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260" w:right="2020" w:hanging="252"/>
        <w:spacing w:after="0" w:line="501" w:lineRule="auto"/>
        <w:tabs>
          <w:tab w:leader="none" w:pos="22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 to ________.</w:t>
      </w:r>
    </w:p>
    <w:p>
      <w:pPr>
        <w:jc w:val="center"/>
        <w:ind w:right="-39"/>
        <w:spacing w:after="0"/>
        <w:rPr>
          <w:sz w:val="20"/>
          <w:szCs w:val="20"/>
          <w:color w:val="auto"/>
        </w:rPr>
      </w:pPr>
      <w:r>
        <w:rPr>
          <w:rFonts w:ascii="Arial" w:cs="Arial" w:eastAsia="Arial" w:hAnsi="Arial"/>
          <w:sz w:val="18"/>
          <w:szCs w:val="18"/>
          <w:b w:val="1"/>
          <w:bCs w:val="1"/>
          <w:color w:val="auto"/>
        </w:rPr>
        <w:t>Commission File Number 1-32639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TG THERAPEUTICS, INC.</w:t>
      </w:r>
    </w:p>
    <w:p>
      <w:pPr>
        <w:spacing w:after="0" w:line="236"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6360" w:type="dxa"/>
            <w:vAlign w:val="bottom"/>
          </w:tcPr>
          <w:p>
            <w:pPr>
              <w:ind w:left="228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440" w:type="dxa"/>
            <w:vAlign w:val="bottom"/>
          </w:tcPr>
          <w:p>
            <w:pPr>
              <w:spacing w:after="0"/>
              <w:rPr>
                <w:sz w:val="20"/>
                <w:szCs w:val="20"/>
                <w:color w:val="auto"/>
              </w:rPr>
            </w:pPr>
          </w:p>
        </w:tc>
      </w:tr>
      <w:tr>
        <w:trPr>
          <w:trHeight w:val="418"/>
        </w:trPr>
        <w:tc>
          <w:tcPr>
            <w:tcW w:w="6360" w:type="dxa"/>
            <w:vAlign w:val="bottom"/>
          </w:tcPr>
          <w:p>
            <w:pPr>
              <w:jc w:val="center"/>
              <w:ind w:right="343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36-3898269</w:t>
            </w:r>
          </w:p>
        </w:tc>
      </w:tr>
      <w:tr>
        <w:trPr>
          <w:trHeight w:val="216"/>
        </w:trPr>
        <w:tc>
          <w:tcPr>
            <w:tcW w:w="6360" w:type="dxa"/>
            <w:vAlign w:val="bottom"/>
          </w:tcPr>
          <w:p>
            <w:pPr>
              <w:jc w:val="center"/>
              <w:ind w:right="3430"/>
              <w:spacing w:after="0"/>
              <w:rPr>
                <w:sz w:val="20"/>
                <w:szCs w:val="20"/>
                <w:color w:val="auto"/>
              </w:rPr>
            </w:pPr>
            <w:r>
              <w:rPr>
                <w:rFonts w:ascii="Arial" w:cs="Arial" w:eastAsia="Arial" w:hAnsi="Arial"/>
                <w:sz w:val="18"/>
                <w:szCs w:val="18"/>
                <w:color w:val="auto"/>
                <w:w w:val="92"/>
              </w:rPr>
              <w:t>(State or other jurisdiction of</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(I.R.S. Employer</w:t>
            </w:r>
          </w:p>
        </w:tc>
      </w:tr>
      <w:tr>
        <w:trPr>
          <w:trHeight w:val="230"/>
        </w:trPr>
        <w:tc>
          <w:tcPr>
            <w:tcW w:w="6360" w:type="dxa"/>
            <w:vAlign w:val="bottom"/>
          </w:tcPr>
          <w:p>
            <w:pPr>
              <w:jc w:val="center"/>
              <w:ind w:right="3430"/>
              <w:spacing w:after="0"/>
              <w:rPr>
                <w:sz w:val="20"/>
                <w:szCs w:val="20"/>
                <w:color w:val="auto"/>
              </w:rPr>
            </w:pPr>
            <w:r>
              <w:rPr>
                <w:rFonts w:ascii="Arial" w:cs="Arial" w:eastAsia="Arial" w:hAnsi="Arial"/>
                <w:sz w:val="18"/>
                <w:szCs w:val="18"/>
                <w:color w:val="auto"/>
                <w:w w:val="92"/>
              </w:rPr>
              <w:t>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360" w:type="dxa"/>
            <w:vAlign w:val="bottom"/>
          </w:tcPr>
          <w:p>
            <w:pPr>
              <w:jc w:val="center"/>
              <w:ind w:right="3410"/>
              <w:spacing w:after="0"/>
              <w:rPr>
                <w:sz w:val="20"/>
                <w:szCs w:val="20"/>
                <w:color w:val="auto"/>
              </w:rPr>
            </w:pPr>
            <w:r>
              <w:rPr>
                <w:rFonts w:ascii="Arial" w:cs="Arial" w:eastAsia="Arial" w:hAnsi="Arial"/>
                <w:sz w:val="18"/>
                <w:szCs w:val="18"/>
                <w:b w:val="1"/>
                <w:bCs w:val="1"/>
                <w:color w:val="auto"/>
                <w:w w:val="87"/>
              </w:rPr>
              <w:t>787 Seventh Avenue</w:t>
            </w:r>
          </w:p>
        </w:tc>
        <w:tc>
          <w:tcPr>
            <w:tcW w:w="1440" w:type="dxa"/>
            <w:vAlign w:val="bottom"/>
          </w:tcPr>
          <w:p>
            <w:pPr>
              <w:spacing w:after="0"/>
              <w:rPr>
                <w:sz w:val="24"/>
                <w:szCs w:val="24"/>
                <w:color w:val="auto"/>
              </w:rPr>
            </w:pPr>
          </w:p>
        </w:tc>
      </w:tr>
      <w:tr>
        <w:trPr>
          <w:trHeight w:val="220"/>
        </w:trPr>
        <w:tc>
          <w:tcPr>
            <w:tcW w:w="6360" w:type="dxa"/>
            <w:vAlign w:val="bottom"/>
          </w:tcPr>
          <w:p>
            <w:pPr>
              <w:jc w:val="center"/>
              <w:ind w:right="3410"/>
              <w:spacing w:after="0"/>
              <w:rPr>
                <w:sz w:val="20"/>
                <w:szCs w:val="20"/>
                <w:color w:val="auto"/>
              </w:rPr>
            </w:pPr>
            <w:r>
              <w:rPr>
                <w:rFonts w:ascii="Arial" w:cs="Arial" w:eastAsia="Arial" w:hAnsi="Arial"/>
                <w:sz w:val="18"/>
                <w:szCs w:val="18"/>
                <w:b w:val="1"/>
                <w:bCs w:val="1"/>
                <w:color w:val="auto"/>
                <w:w w:val="93"/>
              </w:rPr>
              <w:t>New York, New York</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10019</w:t>
            </w:r>
          </w:p>
        </w:tc>
      </w:tr>
      <w:tr>
        <w:trPr>
          <w:trHeight w:val="230"/>
        </w:trPr>
        <w:tc>
          <w:tcPr>
            <w:tcW w:w="6360" w:type="dxa"/>
            <w:vAlign w:val="bottom"/>
          </w:tcPr>
          <w:p>
            <w:pPr>
              <w:jc w:val="center"/>
              <w:ind w:right="3410"/>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Registrant’s telephone number, including area code: (212) 554-4484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87" w:orient="portrait"/>
          <w:cols w:equalWidth="0" w:num="1">
            <w:col w:w="11400"/>
          </w:cols>
          <w:pgMar w:left="240" w:top="733" w:right="259" w:bottom="0" w:gutter="0" w:footer="0" w:header="0"/>
        </w:sectPr>
      </w:pPr>
    </w:p>
    <w:p>
      <w:pPr>
        <w:spacing w:after="0" w:line="229"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Common Stock, Par Value $0.001 Per Share</w:t>
      </w:r>
    </w:p>
    <w:p>
      <w:pPr>
        <w:spacing w:after="0" w:line="46"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OTC Bulletin Board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87" w:orient="portrait"/>
          <w:cols w:equalWidth="0" w:num="2">
            <w:col w:w="6120" w:space="720"/>
            <w:col w:w="4560"/>
          </w:cols>
          <w:pgMar w:left="240" w:top="733"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1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filed,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definitions of “large accelerated filer,” “accelerated filer,” and “smaller reporting company” in Rule 12b-2 of the Exchange Act). (Check one):</w:t>
      </w:r>
    </w:p>
    <w:p>
      <w:pPr>
        <w:sectPr>
          <w:pgSz w:w="11900" w:h="16887" w:orient="portrait"/>
          <w:cols w:equalWidth="0" w:num="1">
            <w:col w:w="11400"/>
          </w:cols>
          <w:pgMar w:left="240" w:top="733" w:right="259" w:bottom="0" w:gutter="0" w:footer="0" w:header="0"/>
          <w:type w:val="continuous"/>
        </w:sectPr>
      </w:pPr>
    </w:p>
    <w:p>
      <w:pPr>
        <w:spacing w:after="0" w:line="19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11" w:lineRule="exact"/>
        <w:rPr>
          <w:sz w:val="24"/>
          <w:szCs w:val="24"/>
          <w:color w:val="auto"/>
        </w:rPr>
      </w:pPr>
    </w:p>
    <w:p>
      <w:pPr>
        <w:sectPr>
          <w:pgSz w:w="11900" w:h="16887" w:orient="portrait"/>
          <w:cols w:equalWidth="0" w:num="2">
            <w:col w:w="5000" w:space="720"/>
            <w:col w:w="5680"/>
          </w:cols>
          <w:pgMar w:left="240" w:top="733" w:right="259" w:bottom="0" w:gutter="0" w:footer="0" w:header="0"/>
          <w:type w:val="continuous"/>
        </w:sectPr>
      </w:pPr>
    </w:p>
    <w:p>
      <w:pPr>
        <w:spacing w:after="0" w:line="2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aggregate market value of voting common stock held by non-affiliates of the registrant (assuming, for purposes of this calculation, without conceding, that all executive officers and directors are “affiliates”) was $69,293,694 as of June 30, 2012, based on the closing sale price of such stock as reported on the OTC Bulletin Board.</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There were 25,820,738 shares of the registrant’s common stock outstanding as of March 1, 2013.</w:t>
      </w:r>
    </w:p>
    <w:p>
      <w:pPr>
        <w:sectPr>
          <w:pgSz w:w="11900" w:h="16887" w:orient="portrait"/>
          <w:cols w:equalWidth="0" w:num="1">
            <w:col w:w="11400"/>
          </w:cols>
          <w:pgMar w:left="240" w:top="733" w:right="259" w:bottom="0" w:gutter="0" w:footer="0" w:header="0"/>
          <w:type w:val="continuous"/>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Proxy Statement for the 2013 Annual Meeting of Stockholders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3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9020" w:type="dxa"/>
            <w:vAlign w:val="bottom"/>
            <w:shd w:val="clear" w:color="auto" w:fill="CCFFCC"/>
          </w:tcPr>
          <w:p>
            <w:pPr>
              <w:jc w:val="center"/>
              <w:ind w:left="230"/>
              <w:spacing w:after="0"/>
              <w:rPr>
                <w:sz w:val="20"/>
                <w:szCs w:val="20"/>
                <w:color w:val="auto"/>
              </w:rPr>
            </w:pPr>
            <w:r>
              <w:rPr>
                <w:rFonts w:ascii="Arial" w:cs="Arial" w:eastAsia="Arial" w:hAnsi="Arial"/>
                <w:sz w:val="18"/>
                <w:szCs w:val="18"/>
                <w:b w:val="1"/>
                <w:bCs w:val="1"/>
                <w:color w:val="auto"/>
                <w:w w:val="98"/>
              </w:rPr>
              <w:t>PART I</w:t>
            </w:r>
          </w:p>
        </w:tc>
        <w:tc>
          <w:tcPr>
            <w:tcW w:w="1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020" w:type="dxa"/>
            <w:vAlign w:val="bottom"/>
          </w:tcPr>
          <w:p>
            <w:pPr>
              <w:ind w:left="340"/>
              <w:spacing w:after="0"/>
              <w:rPr>
                <w:sz w:val="20"/>
                <w:szCs w:val="20"/>
                <w:color w:val="auto"/>
              </w:rPr>
            </w:pPr>
            <w:r>
              <w:rPr>
                <w:rFonts w:ascii="Arial" w:cs="Arial" w:eastAsia="Arial" w:hAnsi="Arial"/>
                <w:sz w:val="18"/>
                <w:szCs w:val="18"/>
                <w:color w:val="auto"/>
              </w:rPr>
              <w:t>Business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Risk Factors</w:t>
            </w: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02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Legal Proceedings</w:t>
            </w: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020" w:type="dxa"/>
            <w:vAlign w:val="bottom"/>
          </w:tcPr>
          <w:p>
            <w:pPr>
              <w:ind w:left="340"/>
              <w:spacing w:after="0"/>
              <w:rPr>
                <w:sz w:val="20"/>
                <w:szCs w:val="20"/>
                <w:color w:val="auto"/>
              </w:rPr>
            </w:pPr>
            <w:r>
              <w:rPr>
                <w:rFonts w:ascii="Arial" w:cs="Arial" w:eastAsia="Arial" w:hAnsi="Arial"/>
                <w:sz w:val="18"/>
                <w:szCs w:val="18"/>
                <w:color w:val="auto"/>
              </w:rPr>
              <w:t>Mine Safety Disclosures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90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20" w:type="dxa"/>
            <w:vAlign w:val="bottom"/>
          </w:tcPr>
          <w:p>
            <w:pPr>
              <w:jc w:val="center"/>
              <w:ind w:left="230"/>
              <w:spacing w:after="0"/>
              <w:rPr>
                <w:sz w:val="20"/>
                <w:szCs w:val="20"/>
                <w:color w:val="auto"/>
              </w:rPr>
            </w:pPr>
            <w:r>
              <w:rPr>
                <w:rFonts w:ascii="Arial" w:cs="Arial" w:eastAsia="Arial" w:hAnsi="Arial"/>
                <w:sz w:val="18"/>
                <w:szCs w:val="18"/>
                <w:b w:val="1"/>
                <w:bCs w:val="1"/>
                <w:color w:val="auto"/>
              </w:rPr>
              <w:t>PART II</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90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020" w:type="dxa"/>
            <w:vAlign w:val="bottom"/>
          </w:tcPr>
          <w:p>
            <w:pPr>
              <w:ind w:left="340"/>
              <w:spacing w:after="0"/>
              <w:rPr>
                <w:sz w:val="20"/>
                <w:szCs w:val="20"/>
                <w:color w:val="auto"/>
              </w:rPr>
            </w:pPr>
            <w:r>
              <w:rPr>
                <w:rFonts w:ascii="Arial" w:cs="Arial" w:eastAsia="Arial" w:hAnsi="Arial"/>
                <w:sz w:val="18"/>
                <w:szCs w:val="18"/>
                <w:color w:val="auto"/>
                <w:w w:val="97"/>
              </w:rPr>
              <w:t>Market for Registrant’s Common Equity, Related Stockholder Matters and Issuer Purchases of Equity Securities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7</w:t>
            </w:r>
          </w:p>
        </w:tc>
        <w:tc>
          <w:tcPr>
            <w:tcW w:w="9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9020" w:type="dxa"/>
            <w:vAlign w:val="bottom"/>
          </w:tcPr>
          <w:p>
            <w:pPr>
              <w:ind w:left="340"/>
              <w:spacing w:after="0"/>
              <w:rPr>
                <w:sz w:val="20"/>
                <w:szCs w:val="20"/>
                <w:color w:val="auto"/>
              </w:rPr>
            </w:pPr>
            <w:r>
              <w:rPr>
                <w:rFonts w:ascii="Arial" w:cs="Arial" w:eastAsia="Arial" w:hAnsi="Arial"/>
                <w:sz w:val="18"/>
                <w:szCs w:val="18"/>
                <w:color w:val="auto"/>
              </w:rPr>
              <w:t>Financial Statements and Supplementary Data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9</w:t>
            </w:r>
          </w:p>
        </w:tc>
        <w:tc>
          <w:tcPr>
            <w:tcW w:w="9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Changes in and Disagreements With Accountants on Accounting and Financial Disclosures</w:t>
            </w: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9020" w:type="dxa"/>
            <w:vAlign w:val="bottom"/>
          </w:tcPr>
          <w:p>
            <w:pPr>
              <w:ind w:left="340"/>
              <w:spacing w:after="0"/>
              <w:rPr>
                <w:sz w:val="20"/>
                <w:szCs w:val="20"/>
                <w:color w:val="auto"/>
              </w:rPr>
            </w:pPr>
            <w:r>
              <w:rPr>
                <w:rFonts w:ascii="Arial" w:cs="Arial" w:eastAsia="Arial" w:hAnsi="Arial"/>
                <w:sz w:val="18"/>
                <w:szCs w:val="18"/>
                <w:color w:val="auto"/>
              </w:rPr>
              <w:t>Controls and Procedures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9B</w:t>
            </w:r>
          </w:p>
        </w:tc>
        <w:tc>
          <w:tcPr>
            <w:tcW w:w="9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Information</w:t>
            </w: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9020" w:type="dxa"/>
            <w:vAlign w:val="bottom"/>
            <w:shd w:val="clear" w:color="auto" w:fill="CCFFCC"/>
          </w:tcPr>
          <w:p>
            <w:pPr>
              <w:jc w:val="center"/>
              <w:ind w:left="250"/>
              <w:spacing w:after="0"/>
              <w:rPr>
                <w:sz w:val="20"/>
                <w:szCs w:val="20"/>
                <w:color w:val="auto"/>
              </w:rPr>
            </w:pPr>
            <w:r>
              <w:rPr>
                <w:rFonts w:ascii="Arial" w:cs="Arial" w:eastAsia="Arial" w:hAnsi="Arial"/>
                <w:sz w:val="18"/>
                <w:szCs w:val="18"/>
                <w:b w:val="1"/>
                <w:bCs w:val="1"/>
                <w:color w:val="auto"/>
              </w:rPr>
              <w:t>PART III</w:t>
            </w:r>
          </w:p>
        </w:tc>
        <w:tc>
          <w:tcPr>
            <w:tcW w:w="1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10</w:t>
            </w:r>
          </w:p>
        </w:tc>
        <w:tc>
          <w:tcPr>
            <w:tcW w:w="9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Directors, Executive Officers and Corporate Governance</w:t>
            </w: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9020" w:type="dxa"/>
            <w:vAlign w:val="bottom"/>
          </w:tcPr>
          <w:p>
            <w:pPr>
              <w:ind w:left="340"/>
              <w:spacing w:after="0"/>
              <w:rPr>
                <w:sz w:val="20"/>
                <w:szCs w:val="20"/>
                <w:color w:val="auto"/>
              </w:rPr>
            </w:pPr>
            <w:r>
              <w:rPr>
                <w:rFonts w:ascii="Arial" w:cs="Arial" w:eastAsia="Arial" w:hAnsi="Arial"/>
                <w:sz w:val="18"/>
                <w:szCs w:val="18"/>
                <w:color w:val="auto"/>
              </w:rPr>
              <w:t>Executive Compensation</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12</w:t>
            </w:r>
          </w:p>
        </w:tc>
        <w:tc>
          <w:tcPr>
            <w:tcW w:w="9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9020" w:type="dxa"/>
            <w:vAlign w:val="bottom"/>
          </w:tcPr>
          <w:p>
            <w:pPr>
              <w:ind w:left="3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14</w:t>
            </w:r>
          </w:p>
        </w:tc>
        <w:tc>
          <w:tcPr>
            <w:tcW w:w="9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Principal Accountant Fees and Services</w:t>
            </w: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9020" w:type="dxa"/>
            <w:vAlign w:val="bottom"/>
            <w:shd w:val="clear" w:color="auto" w:fill="CCFFCC"/>
          </w:tcPr>
          <w:p>
            <w:pPr>
              <w:jc w:val="center"/>
              <w:ind w:left="250"/>
              <w:spacing w:after="0"/>
              <w:rPr>
                <w:sz w:val="20"/>
                <w:szCs w:val="20"/>
                <w:color w:val="auto"/>
              </w:rPr>
            </w:pPr>
            <w:r>
              <w:rPr>
                <w:rFonts w:ascii="Arial" w:cs="Arial" w:eastAsia="Arial" w:hAnsi="Arial"/>
                <w:sz w:val="18"/>
                <w:szCs w:val="18"/>
                <w:b w:val="1"/>
                <w:bCs w:val="1"/>
                <w:color w:val="auto"/>
              </w:rPr>
              <w:t>PART IV</w:t>
            </w:r>
          </w:p>
        </w:tc>
        <w:tc>
          <w:tcPr>
            <w:tcW w:w="1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ITEM 15</w:t>
            </w:r>
          </w:p>
        </w:tc>
        <w:tc>
          <w:tcPr>
            <w:tcW w:w="9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Exhibits and Financial Statement Schedules</w:t>
            </w:r>
          </w:p>
        </w:tc>
        <w:tc>
          <w:tcPr>
            <w:tcW w:w="13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Annual Report on Form 10-K contains trademarks and trade names of TG Therapeutics, Inc., including our name and logo. All other trademarks, service marks, or trade names referenced in this Annual Report on Form 10-K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25" w:lineRule="exact"/>
        <w:rPr>
          <w:rFonts w:ascii="Arial" w:cs="Arial" w:eastAsia="Arial" w:hAnsi="Arial"/>
          <w:sz w:val="18"/>
          <w:szCs w:val="18"/>
          <w:color w:val="auto"/>
        </w:rPr>
      </w:pPr>
    </w:p>
    <w:p>
      <w:pPr>
        <w:ind w:left="1300" w:right="104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225" w:lineRule="exact"/>
        <w:rPr>
          <w:rFonts w:ascii="Arial" w:cs="Arial" w:eastAsia="Arial" w:hAnsi="Arial"/>
          <w:sz w:val="18"/>
          <w:szCs w:val="18"/>
          <w:color w:val="auto"/>
        </w:rPr>
      </w:pPr>
    </w:p>
    <w:p>
      <w:pPr>
        <w:ind w:left="1300" w:right="34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and its volatility;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two therapies targeting hematological malignancies. TG-1101 (ublituximab), is a novel, third generation monoclonal antibody that targets a specific and unique epitope on the CD20 antigen found on mature B-lymphocytes. We are also developing TGR-1202, an orally available PI3K delta inhibitor.</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were incorporated in Delaware in 1993. Our executive offices are located at 787 Seventh Avenue, New York, New York 10019. Our telephone number is 212-554-4484, and our e-mail address is info@tgtxinc.com.</w:t>
      </w:r>
    </w:p>
    <w:p>
      <w:pPr>
        <w:spacing w:after="0" w:line="17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file reports with the SEC on an annual basis using Form 10-K, quarterly reports on Form 10-Q and current reports on Form 8-K. You may read and copy any such reports and amendments thereto at the SEC’s Public Reference Room at 100 F Street, N.E., Washington, D.C. 20549 on official business days during the hours of 10:00 a.m. to 3:00 p.m. Please call the SEC at 1-800-SEC-0330 for information on the Public Reference Room. Additionally, the SEC maintains a website that contains annual, quarterly, and current reports, proxy statements, and other information that issuers (including us) file electronically with the SEC. The SEC’s website address is http://www.sec.gov.</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UNDER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TG-1101 (formerly referred to as “LFB-R603” or “R603”) is a chimeric monoclonal antibody with the generic name “ublituximab” that targets a unique epitope on the CD20 antigen found on the surface of B-lymphocytes developed to aid in the depletion of circulating B-cells. We hold exclusive worldwide rights (except France/Belgium) to develop and commercialize ublituximab for all indications, including the treatment of cancer and autoimmune diseases such as Non-Hodgkin’s Lymphoma (“NHL”) and Chronic Lymphocytic Leukemia (“CLL”).</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Multiple preclinical studies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produced data that support the activity and potency of ublituximab as an efficient and selective B-cell targeting anti-CD20 antibody with the ability to effectively deplete B lymphocytes in both malignant laboratory cell models as well as NHL and CLL patient donor cell lines.</w:t>
      </w:r>
    </w:p>
    <w:p>
      <w:pPr>
        <w:spacing w:after="0" w:line="181" w:lineRule="exact"/>
        <w:rPr>
          <w:sz w:val="20"/>
          <w:szCs w:val="20"/>
          <w:color w:val="auto"/>
        </w:rPr>
      </w:pPr>
    </w:p>
    <w:p>
      <w:pPr>
        <w:ind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Ublituximab has been specifically bio-engineered to enhance ADCC activity, which enhances its ability to deplete B-cells and may improve its anti-cancer effects as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2011 of approximately $7 billion.</w:t>
      </w:r>
    </w:p>
    <w:p>
      <w:pPr>
        <w:spacing w:after="0" w:line="42" w:lineRule="exact"/>
        <w:rPr>
          <w:sz w:val="20"/>
          <w:szCs w:val="20"/>
          <w:color w:val="auto"/>
        </w:rPr>
      </w:pPr>
    </w:p>
    <w:p>
      <w:pPr>
        <w:ind w:right="340" w:firstLine="648"/>
        <w:spacing w:after="0" w:line="288" w:lineRule="auto"/>
        <w:rPr>
          <w:sz w:val="20"/>
          <w:szCs w:val="20"/>
          <w:color w:val="auto"/>
        </w:rPr>
      </w:pPr>
      <w:r>
        <w:rPr>
          <w:rFonts w:ascii="Arial" w:cs="Arial" w:eastAsia="Arial" w:hAnsi="Arial"/>
          <w:sz w:val="16"/>
          <w:szCs w:val="16"/>
          <w:color w:val="auto"/>
        </w:rPr>
        <w:t>A two part dose escalating Phase I clinical trial was completed in France in which ublituximab was introduced in relapsed or refractory CLL patients. Though the primary endpoint of this Phase I clinical study was to assess the safety and tolerability of ublituximab in CLL patients, robust B-cell depletion and an encouraging rate of partial responses may suggest preliminary evidence of efficacy. A portion of the data from Part 2 of this study was</w:t>
      </w:r>
    </w:p>
    <w:p>
      <w:pPr>
        <w:ind w:right="400"/>
        <w:spacing w:after="0" w:line="231" w:lineRule="auto"/>
        <w:rPr>
          <w:sz w:val="20"/>
          <w:szCs w:val="20"/>
          <w:color w:val="auto"/>
        </w:rPr>
      </w:pPr>
      <w:r>
        <w:rPr>
          <w:rFonts w:ascii="Arial" w:cs="Arial" w:eastAsia="Arial" w:hAnsi="Arial"/>
          <w:sz w:val="17"/>
          <w:szCs w:val="17"/>
          <w:color w:val="auto"/>
        </w:rPr>
        <w:t>presented at the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Annual American Society of Hematology Meeting in December 2011. Currently, the Company has two ongoing clinical studies for ublituximab: TG-1101-101, a study of single-agent ublituximab in patients with NHL and CLL, and TG-1101-102 which is a study of ublituximab in combination with lenalidomide (trade name Revlimid®), an immunomodulatory agent, also for patients with NHL and CLL.</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Manufacturing of ublituximab is currently performed by our partner, LFB Biotechnologies.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Overview</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mechanism of action of anti-CD20 antibodies, including rituximab and ublituximab has been elucidated and detailed in numerous academic and clinical studies. Upon conjugation of the antibody to the CD20 surface antigen, rituximab has been found to deplete B-lymphocytes through three primary mechanisms: antibody dependent cell-mediated cytotoxicity (“ADCC”), complement dependent cytotoxicity (“CDC”), and direct cell death (“DCD” or “programmed cell death” or “PCD”),</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Antibody dependent cellular cytotoxicity, or ADCC, is a mechanism that is dependent on interactions between the Fc region of the antibody and the FcγR receptors on immune system effector cells, most notably the FcγRIIIA (“CD16”) receptor found on NK cells. These interactions trigger cells to release pre-forming proteins and proteases resulting in B-cell death. Empirically, ADCC has been the most heavily described and studied mechanism of action, and the subsequent focal point in the research and development of improved CD20 targeted antibodies. CDC occurs when binding of the antibody to the CD20 epitope leads to activation of the complement immune system, also known as the “innate” immune system, which can lead to destruction of the target cell. In programmed cell death, or PCD, the binding of the antibody to the CD20 antigen leads to the activation of apoptotic signaling pathways, contributing to cell death.</w:t>
      </w:r>
    </w:p>
    <w:p>
      <w:pPr>
        <w:spacing w:after="0" w:line="18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Ublituximab is a third generation, type I chimeric IgG1 monoclonal antibody with an engineered Fc region designed specifically to induce higher ADCC activity in comparison to rituximab.</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testing has demonstrated superior ADCC induction of ublituximab over rituximab (</w:t>
      </w:r>
      <w:r>
        <w:rPr>
          <w:rFonts w:ascii="Arial" w:cs="Arial" w:eastAsia="Arial" w:hAnsi="Arial"/>
          <w:sz w:val="18"/>
          <w:szCs w:val="18"/>
          <w:i w:val="1"/>
          <w:iCs w:val="1"/>
          <w:color w:val="auto"/>
        </w:rPr>
        <w:t>see Figure 1</w:t>
      </w:r>
      <w:r>
        <w:rPr>
          <w:rFonts w:ascii="Arial" w:cs="Arial" w:eastAsia="Arial" w:hAnsi="Arial"/>
          <w:sz w:val="18"/>
          <w:szCs w:val="18"/>
          <w:color w:val="auto"/>
        </w:rPr>
        <w:t>). Tested on CLL patient B-cell samples at</w:t>
      </w:r>
      <w:r>
        <w:rPr>
          <w:rFonts w:ascii="Arial" w:cs="Arial" w:eastAsia="Arial" w:hAnsi="Arial"/>
          <w:sz w:val="18"/>
          <w:szCs w:val="18"/>
          <w:i w:val="1"/>
          <w:iCs w:val="1"/>
          <w:color w:val="auto"/>
        </w:rPr>
        <w:t xml:space="preserve"> </w:t>
      </w:r>
      <w:r>
        <w:rPr>
          <w:rFonts w:ascii="Arial" w:cs="Arial" w:eastAsia="Arial" w:hAnsi="Arial"/>
          <w:sz w:val="18"/>
          <w:szCs w:val="18"/>
          <w:color w:val="auto"/>
        </w:rPr>
        <w:t>concentrations of 50 ng/mL, ublituximab produces ADCC activity of 35%, while rituximab was found to exhibit ADCC levels of only 5% at the same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631305" cy="204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130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i w:val="1"/>
          <w:iCs w:val="1"/>
          <w:color w:val="auto"/>
        </w:rPr>
        <w:t>Figure 1</w:t>
      </w:r>
      <w:r>
        <w:rPr>
          <w:rFonts w:ascii="Arial" w:cs="Arial" w:eastAsia="Arial" w:hAnsi="Arial"/>
          <w:sz w:val="18"/>
          <w:szCs w:val="18"/>
          <w:i w:val="1"/>
          <w:iCs w:val="1"/>
          <w:color w:val="auto"/>
        </w:rPr>
        <w:t>: ADCC activity of</w:t>
      </w:r>
    </w:p>
    <w:p>
      <w:pPr>
        <w:spacing w:after="0" w:line="23" w:lineRule="exact"/>
        <w:rPr>
          <w:sz w:val="20"/>
          <w:szCs w:val="20"/>
          <w:color w:val="auto"/>
        </w:rPr>
      </w:pPr>
    </w:p>
    <w:p>
      <w:pPr>
        <w:jc w:val="center"/>
        <w:ind w:left="5320"/>
        <w:spacing w:after="0"/>
        <w:rPr>
          <w:sz w:val="20"/>
          <w:szCs w:val="20"/>
          <w:color w:val="auto"/>
        </w:rPr>
      </w:pPr>
      <w:r>
        <w:rPr>
          <w:rFonts w:ascii="Arial" w:cs="Arial" w:eastAsia="Arial" w:hAnsi="Arial"/>
          <w:sz w:val="18"/>
          <w:szCs w:val="18"/>
          <w:i w:val="1"/>
          <w:iCs w:val="1"/>
          <w:color w:val="auto"/>
        </w:rPr>
        <w:t>ublituximab (black) in</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i w:val="1"/>
          <w:iCs w:val="1"/>
          <w:color w:val="auto"/>
        </w:rPr>
        <w:t>comparison to rituximab</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i w:val="1"/>
          <w:iCs w:val="1"/>
          <w:color w:val="auto"/>
        </w:rPr>
        <w:t>(white) at equivalent</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i w:val="1"/>
          <w:iCs w:val="1"/>
          <w:color w:val="auto"/>
        </w:rPr>
        <w:t>concentrations. (de Romeuf et</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i w:val="1"/>
          <w:iCs w:val="1"/>
          <w:color w:val="auto"/>
        </w:rPr>
        <w:t>al,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firstLine="648"/>
        <w:spacing w:after="0" w:line="188" w:lineRule="auto"/>
        <w:rPr>
          <w:sz w:val="20"/>
          <w:szCs w:val="20"/>
          <w:color w:val="auto"/>
        </w:rPr>
      </w:pPr>
      <w:r>
        <w:rPr>
          <w:rFonts w:ascii="Arial" w:cs="Arial" w:eastAsia="Arial" w:hAnsi="Arial"/>
          <w:sz w:val="18"/>
          <w:szCs w:val="18"/>
          <w:color w:val="auto"/>
        </w:rPr>
        <w:t xml:space="preserve">Additional pre-clinical studies of ublituximab, including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assays as a single agent and in combination with chemotherapeutic agents, were presented in abstract and poster form at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Annual American Society of Hematology Meeting in December 2011 as well as at the 54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American Society of Hematology Meeting in December 2012.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Highlights from the recent American Society of Hematology Meeting in December 2012, included the following:</w:t>
      </w:r>
    </w:p>
    <w:p>
      <w:pPr>
        <w:spacing w:after="0" w:line="225" w:lineRule="exact"/>
        <w:rPr>
          <w:sz w:val="20"/>
          <w:szCs w:val="20"/>
          <w:color w:val="auto"/>
        </w:rPr>
      </w:pPr>
    </w:p>
    <w:p>
      <w:pPr>
        <w:ind w:left="34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In vitro / in vivo results demonstrated superior efficacy with ublituximab compared to rituximab in primary central nervous system lymphomas, including a significant reduction in tumor burden (p=0.0014) and survival (p=0.016). </w:t>
      </w:r>
      <w:r>
        <w:rPr>
          <w:rFonts w:ascii="Arial" w:cs="Arial" w:eastAsia="Arial" w:hAnsi="Arial"/>
          <w:sz w:val="17"/>
          <w:szCs w:val="17"/>
          <w:i w:val="1"/>
          <w:iCs w:val="1"/>
          <w:color w:val="auto"/>
        </w:rPr>
        <w:t>CNS Lymphoma Poster Presentation — Poster 2755.</w:t>
      </w:r>
    </w:p>
    <w:p>
      <w:pPr>
        <w:spacing w:after="0" w:line="146" w:lineRule="exact"/>
        <w:rPr>
          <w:rFonts w:ascii="Arial" w:cs="Arial" w:eastAsia="Arial" w:hAnsi="Arial"/>
          <w:sz w:val="17"/>
          <w:szCs w:val="17"/>
          <w:color w:val="auto"/>
        </w:rPr>
      </w:pPr>
    </w:p>
    <w:p>
      <w:pPr>
        <w:ind w:left="340" w:right="2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Ublituximab induced higher levels of ADCC than rituximab in B-cell NHL cell lines as well as caused a higher degree of CDC lysis in patient-derived tumor cells than rituximab. </w:t>
      </w:r>
      <w:r>
        <w:rPr>
          <w:rFonts w:ascii="Arial" w:cs="Arial" w:eastAsia="Arial" w:hAnsi="Arial"/>
          <w:sz w:val="18"/>
          <w:szCs w:val="18"/>
          <w:i w:val="1"/>
          <w:iCs w:val="1"/>
          <w:color w:val="auto"/>
        </w:rPr>
        <w:t>Non-Hodgkin Lymphoma Poster Presentation — Poster 2756.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ind w:left="340" w:right="16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Ublituximab is more effective than rituximab in inducing ADCC at low doses (p &lt; 0.01), and more importantly suggest that ublituximab could be more efficient than rituximab both to induce NK cell activation and ADCC in the presence of peripheral tumor cells from Waldenstrom Macroglobulinemia patients. </w:t>
      </w:r>
      <w:r>
        <w:rPr>
          <w:rFonts w:ascii="Arial" w:cs="Arial" w:eastAsia="Arial" w:hAnsi="Arial"/>
          <w:sz w:val="18"/>
          <w:szCs w:val="18"/>
          <w:i w:val="1"/>
          <w:iCs w:val="1"/>
          <w:color w:val="auto"/>
        </w:rPr>
        <w:t>Waldenstrom's Macroglobulinemia Poster Presentation — Poster 1654.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Overview</w:t>
      </w:r>
    </w:p>
    <w:p>
      <w:pPr>
        <w:spacing w:after="0" w:line="225" w:lineRule="exact"/>
        <w:rPr>
          <w:sz w:val="20"/>
          <w:szCs w:val="20"/>
          <w:color w:val="auto"/>
        </w:rPr>
      </w:pPr>
    </w:p>
    <w:p>
      <w:pPr>
        <w:ind w:right="600" w:firstLine="648"/>
        <w:spacing w:after="0" w:line="319" w:lineRule="auto"/>
        <w:rPr>
          <w:sz w:val="20"/>
          <w:szCs w:val="20"/>
          <w:color w:val="auto"/>
        </w:rPr>
      </w:pPr>
      <w:r>
        <w:rPr>
          <w:rFonts w:ascii="Arial" w:cs="Arial" w:eastAsia="Arial" w:hAnsi="Arial"/>
          <w:sz w:val="16"/>
          <w:szCs w:val="16"/>
          <w:color w:val="auto"/>
        </w:rPr>
        <w:t>A multicenter, open-label Phase I/Ib clinical trial of ublituximab was completed which aimed to assess the safety, tolerability, and efficacy of ublituximab in patients with relapsed or refractory CLL. This two part, first-in-man, dose escalating trial was conducted in 9 centers in France with preliminary results from Parts 1 and 2 presented at the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and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Annual American Society of Hematology (“ASH”) meetings, respectively.</w:t>
      </w:r>
    </w:p>
    <w:p>
      <w:pPr>
        <w:spacing w:after="0" w:line="1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study regimen in Part 1 involved 21 patients in five dosing cohorts receiving infusions of ublituximab at a dose ranging from 5mg to 450mg once weekly over the course of 4 weeks. Part 2 of this study evaluated the safety and efficacy profile of ublituximab when administered in an 8-dose regimen (150mg initial dose, followed by 7 doses of 450mg). Inclusion criteria were the same in Parts 1 and 2 of the study. In Part 2, 12 patients were enrolled, having a median age of 69.5 years, and a median of 3 prior therapies (58% previously treated with rituximab). Patients were assessed for efficacy every 8 weeks.</w:t>
      </w:r>
    </w:p>
    <w:p>
      <w:pPr>
        <w:spacing w:after="0" w:line="15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Adverse events seen were generally consistent with those exhibited by other anti-CD20 antibodies, consisting mostly of infusion related reactions, infection, headache, neutropenia, thrombocytopenia and transient elevation of AST/ALT levels.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Part 2 of the study, rapid, near total blood lymphocyte depletion was observed in all patients (</w:t>
      </w:r>
      <w:r>
        <w:rPr>
          <w:rFonts w:ascii="Arial" w:cs="Arial" w:eastAsia="Arial" w:hAnsi="Arial"/>
          <w:sz w:val="18"/>
          <w:szCs w:val="18"/>
          <w:i w:val="1"/>
          <w:iCs w:val="1"/>
          <w:color w:val="auto"/>
        </w:rPr>
        <w:t>see Figure 2</w:t>
      </w:r>
      <w:r>
        <w:rPr>
          <w:rFonts w:ascii="Arial" w:cs="Arial" w:eastAsia="Arial" w:hAnsi="Arial"/>
          <w:sz w:val="18"/>
          <w:szCs w:val="18"/>
          <w:color w:val="auto"/>
        </w:rPr>
        <w:t>). Overall response assessment at month 4 according to NCI-WG guidelines following treatment, ublituximab was found to produce a durable PR in 5/11 (45%) evaluable patients (1 patient not evaluable for efficacy due to early withdrawal as a result of a secondary acute leukemia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3543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543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7720"/>
        <w:spacing w:after="0"/>
        <w:rPr>
          <w:sz w:val="20"/>
          <w:szCs w:val="20"/>
          <w:color w:val="auto"/>
        </w:rPr>
      </w:pPr>
      <w:r>
        <w:rPr>
          <w:rFonts w:ascii="Arial" w:cs="Arial" w:eastAsia="Arial" w:hAnsi="Arial"/>
          <w:sz w:val="18"/>
          <w:szCs w:val="18"/>
          <w:b w:val="1"/>
          <w:bCs w:val="1"/>
          <w:i w:val="1"/>
          <w:iCs w:val="1"/>
          <w:color w:val="auto"/>
        </w:rPr>
        <w:t xml:space="preserve">Figure 2: </w:t>
      </w:r>
      <w:r>
        <w:rPr>
          <w:rFonts w:ascii="Arial" w:cs="Arial" w:eastAsia="Arial" w:hAnsi="Arial"/>
          <w:sz w:val="18"/>
          <w:szCs w:val="18"/>
          <w:i w:val="1"/>
          <w:iCs w:val="1"/>
          <w:color w:val="auto"/>
        </w:rPr>
        <w:t>Rapid and</w:t>
      </w:r>
    </w:p>
    <w:p>
      <w:pPr>
        <w:spacing w:after="0" w:line="23" w:lineRule="exact"/>
        <w:rPr>
          <w:sz w:val="20"/>
          <w:szCs w:val="20"/>
          <w:color w:val="auto"/>
        </w:rPr>
      </w:pPr>
    </w:p>
    <w:p>
      <w:pPr>
        <w:jc w:val="center"/>
        <w:ind w:left="7720"/>
        <w:spacing w:after="0"/>
        <w:rPr>
          <w:sz w:val="20"/>
          <w:szCs w:val="20"/>
          <w:color w:val="auto"/>
        </w:rPr>
      </w:pPr>
      <w:r>
        <w:rPr>
          <w:rFonts w:ascii="Arial" w:cs="Arial" w:eastAsia="Arial" w:hAnsi="Arial"/>
          <w:sz w:val="18"/>
          <w:szCs w:val="18"/>
          <w:i w:val="1"/>
          <w:iCs w:val="1"/>
          <w:color w:val="auto"/>
        </w:rPr>
        <w:t>profound lymphocyte</w:t>
      </w:r>
    </w:p>
    <w:p>
      <w:pPr>
        <w:spacing w:after="0" w:line="9" w:lineRule="exact"/>
        <w:rPr>
          <w:sz w:val="20"/>
          <w:szCs w:val="20"/>
          <w:color w:val="auto"/>
        </w:rPr>
      </w:pPr>
    </w:p>
    <w:p>
      <w:pPr>
        <w:jc w:val="center"/>
        <w:ind w:left="7720"/>
        <w:spacing w:after="0"/>
        <w:rPr>
          <w:sz w:val="20"/>
          <w:szCs w:val="20"/>
          <w:color w:val="auto"/>
        </w:rPr>
      </w:pPr>
      <w:r>
        <w:rPr>
          <w:rFonts w:ascii="Arial" w:cs="Arial" w:eastAsia="Arial" w:hAnsi="Arial"/>
          <w:sz w:val="18"/>
          <w:szCs w:val="18"/>
          <w:i w:val="1"/>
          <w:iCs w:val="1"/>
          <w:color w:val="auto"/>
        </w:rPr>
        <w:t>depletion in study patients</w:t>
      </w:r>
    </w:p>
    <w:p>
      <w:pPr>
        <w:spacing w:after="0" w:line="9" w:lineRule="exact"/>
        <w:rPr>
          <w:sz w:val="20"/>
          <w:szCs w:val="20"/>
          <w:color w:val="auto"/>
        </w:rPr>
      </w:pPr>
    </w:p>
    <w:p>
      <w:pPr>
        <w:jc w:val="center"/>
        <w:ind w:left="7720"/>
        <w:spacing w:after="0"/>
        <w:rPr>
          <w:sz w:val="20"/>
          <w:szCs w:val="20"/>
          <w:color w:val="auto"/>
        </w:rPr>
      </w:pPr>
      <w:r>
        <w:rPr>
          <w:rFonts w:ascii="Arial" w:cs="Arial" w:eastAsia="Arial" w:hAnsi="Arial"/>
          <w:sz w:val="18"/>
          <w:szCs w:val="18"/>
          <w:i w:val="1"/>
          <w:iCs w:val="1"/>
          <w:color w:val="auto"/>
        </w:rPr>
        <w:t>from Part 2 of Phase I/II</w:t>
      </w:r>
    </w:p>
    <w:p>
      <w:pPr>
        <w:spacing w:after="0" w:line="9" w:lineRule="exact"/>
        <w:rPr>
          <w:sz w:val="20"/>
          <w:szCs w:val="20"/>
          <w:color w:val="auto"/>
        </w:rPr>
      </w:pPr>
    </w:p>
    <w:p>
      <w:pPr>
        <w:jc w:val="center"/>
        <w:ind w:left="7720"/>
        <w:spacing w:after="0"/>
        <w:rPr>
          <w:sz w:val="20"/>
          <w:szCs w:val="20"/>
          <w:color w:val="auto"/>
        </w:rPr>
      </w:pPr>
      <w:r>
        <w:rPr>
          <w:rFonts w:ascii="Arial" w:cs="Arial" w:eastAsia="Arial" w:hAnsi="Arial"/>
          <w:sz w:val="18"/>
          <w:szCs w:val="18"/>
          <w:i w:val="1"/>
          <w:iCs w:val="1"/>
          <w:color w:val="auto"/>
        </w:rPr>
        <w:t>study of ublituximab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Phase I/II trials with ublituximab are currently ongoing,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TG-1101-101</w:t>
      </w:r>
    </w:p>
    <w:p>
      <w:pPr>
        <w:spacing w:after="0" w:line="22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first US based trial was launched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2012. The trial, entitled "An Open Label Phase I/II Trial of the Efficacy and Safety of Ublituximab in Patients with B-cell Non-Hodgkin Lymphoma who have Relapsed or are Refractory After CD20 Directed Antibody Therapy," is enrolling up to 15 patients total into 4 dose escalation cohorts (450, 600, 900 and 1200 mg). Cohort expansions to confirm safety and efficacy have been included at higher doses prior to entering patients into the Phase 2 portion. Patients will be stratified by subtype of B-cell Lymphoma, including Follicular Lymphoma, Diffuse Large B-cell Lymphoma, Marginal Zone Lymphoma and other NHL subtypes, with a recent amendment to include CLL and CNS lymphoma. All enrolled patients will be relapsed or refractory to Rituxan® or a Rituxan® containing regimen, and in most cases multiple other lines of therapy. Dr. Owen O'Connor, Professor of Medicine and Director, Center for Lymphoid Malignancies at New York Presbyterian Columbia Medical Center is the Principal Investigator for the multi-center study.</w:t>
      </w:r>
    </w:p>
    <w:p>
      <w:pPr>
        <w:spacing w:after="0" w:line="20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have currently completed enrollment in the first 3 cohorts (450mg, 600mg and 900mg). To date, no dose-limiting-toxicities have been observed. Based on responses seen at all dose levels, we have decided to expand the 900mg cohort to include up to an additional 20 patients. In addition, we have opened an expansion cohort for enrollment of patients with CLL at a dose of 600mg.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235"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TG-1101-102</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December of 2012, the Company initiated its second US based clinical trial entitled "TG-1101-102: A Phase I/II Study of Ublituximab in Combination with Lenalidomide (Revlimid®) in Patients with B-Cell Lymphoid Malignancies who have Relapsed or are Refractory After CD20 Directed Antibody Therapy". Lenalidomide is an immunomodulatory drug that has displayed activity as a single agent in patients with non-Hodgkin’s lymphoma. In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studies, through its activating effects on natural killer cells, lenalidomide has also been shown to enhance the ADCC properties of anti-CD20 antibodies.</w:t>
      </w:r>
      <w:r>
        <w:rPr>
          <w:rFonts w:ascii="Arial" w:cs="Arial" w:eastAsia="Arial" w:hAnsi="Arial"/>
          <w:sz w:val="17"/>
          <w:szCs w:val="17"/>
          <w:i w:val="1"/>
          <w:iCs w:val="1"/>
          <w:color w:val="auto"/>
        </w:rPr>
        <w:t xml:space="preserve"> </w:t>
      </w:r>
      <w:r>
        <w:rPr>
          <w:rFonts w:ascii="Arial" w:cs="Arial" w:eastAsia="Arial" w:hAnsi="Arial"/>
          <w:sz w:val="17"/>
          <w:szCs w:val="17"/>
          <w:color w:val="auto"/>
        </w:rPr>
        <w:t>Ublituximab has demonstrated enhanced ADCC over rituximab, and displayed significant single agent activity in a relapsed CLL setting, providing a strong rationale for the exploration of a combination between lenalidomide and ublituximab in NHL and CLL patients.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trial is enrolling up to 30 patients in the Phase I dose escalation component/cohort expansion part of the study. Once the optimal dose is determined, the Phase II component may enroll up to an additional 30 patients, with all patients stratified by B-cell malignancy subtype, including CLL and various NHL subtypes. All enrolled patients will be relapsed or refractory to a prior anti-CD20 antibody containing regimen. This multicenter trial is being led by Dr. Marshall Schreeder of the Clearview Cancer Institute in Huntsville, AL.</w:t>
      </w:r>
    </w:p>
    <w:p>
      <w:pPr>
        <w:spacing w:after="0" w:line="187"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Currently we are dosing patients at 600mg of TG-1101 in combination with Revlimid® starting at 10mg. If tolerated, patients may have their Revlimid® dose increased in 5mg increments per cycle to a maximum dose of 20mg for patients with NHL and 15mg for patients with CLL. If the combination is well-tolerated, we may increase the dose of TG-1101 to 900mg or higher, with similar dose titration for Revlimid®.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several fold selectivity over the alpha, beta, and gamma isoforms. TGR-1202 has demonstrated activity in several pre-clinical models and primary cells from patients with hematologic malignancies.</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TGR-1202 is being developed jointly with Rhizen Pharmaceuticals, S A, a Switzerland based drug discovery and biotechnology company. The Company and Rhizen will jointly develop the product on a worldwide basis, excluding India, initially focusing on indications in the area of hematologic malignancies and autoimmune disease. Rhizen shall maintain rights to manufacture and supply the product, while we will be responsible for all clinical and regulatory development for TGR-1202 globally.</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Company’s Investigational New Drug (“IND”) application for TGR-1202 was accepted by the FDA in December 2012 and a first in-human Phase I clinical trial was initiated in January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Overview</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an enzyme based assay, TGR-1202 demonstrated potency and specificity towards PI3Kδ with &gt;1000, 50 and 48-fold selectivity over the α, β, and γ PI3K isoforms.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117475</wp:posOffset>
            </wp:positionV>
            <wp:extent cx="6717030" cy="1054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703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i w:val="1"/>
          <w:iCs w:val="1"/>
          <w:color w:val="auto"/>
        </w:rPr>
        <w:t>Figure 3</w:t>
      </w:r>
      <w:r>
        <w:rPr>
          <w:rFonts w:ascii="Arial" w:cs="Arial" w:eastAsia="Arial" w:hAnsi="Arial"/>
          <w:sz w:val="18"/>
          <w:szCs w:val="18"/>
          <w:i w:val="1"/>
          <w:iCs w:val="1"/>
          <w:color w:val="auto"/>
        </w:rPr>
        <w:t>: Potency and</w:t>
      </w:r>
    </w:p>
    <w:p>
      <w:pPr>
        <w:spacing w:after="0" w:line="23" w:lineRule="exact"/>
        <w:rPr>
          <w:sz w:val="20"/>
          <w:szCs w:val="20"/>
          <w:color w:val="auto"/>
        </w:rPr>
      </w:pPr>
    </w:p>
    <w:p>
      <w:pPr>
        <w:jc w:val="center"/>
        <w:ind w:left="7800"/>
        <w:spacing w:after="0"/>
        <w:rPr>
          <w:sz w:val="20"/>
          <w:szCs w:val="20"/>
          <w:color w:val="auto"/>
        </w:rPr>
      </w:pPr>
      <w:r>
        <w:rPr>
          <w:rFonts w:ascii="Arial" w:cs="Arial" w:eastAsia="Arial" w:hAnsi="Arial"/>
          <w:sz w:val="18"/>
          <w:szCs w:val="18"/>
          <w:i w:val="1"/>
          <w:iCs w:val="1"/>
          <w:color w:val="auto"/>
        </w:rPr>
        <w:t>Specificity of TGR-1202</w:t>
      </w:r>
    </w:p>
    <w:p>
      <w:pPr>
        <w:spacing w:after="0" w:line="9" w:lineRule="exact"/>
        <w:rPr>
          <w:sz w:val="20"/>
          <w:szCs w:val="20"/>
          <w:color w:val="auto"/>
        </w:rPr>
      </w:pPr>
    </w:p>
    <w:p>
      <w:pPr>
        <w:jc w:val="center"/>
        <w:ind w:left="7800"/>
        <w:spacing w:after="0"/>
        <w:rPr>
          <w:sz w:val="20"/>
          <w:szCs w:val="20"/>
          <w:color w:val="auto"/>
        </w:rPr>
      </w:pPr>
      <w:r>
        <w:rPr>
          <w:rFonts w:ascii="Arial" w:cs="Arial" w:eastAsia="Arial" w:hAnsi="Arial"/>
          <w:sz w:val="18"/>
          <w:szCs w:val="18"/>
          <w:i w:val="1"/>
          <w:iCs w:val="1"/>
          <w:color w:val="auto"/>
        </w:rPr>
        <w:t>towards PI3K Delta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 w:name="page9"/>
    <w:bookmarkEnd w:id="8"/>
    <w:p>
      <w:pPr>
        <w:ind w:left="980"/>
        <w:spacing w:after="0"/>
        <w:rPr>
          <w:sz w:val="20"/>
          <w:szCs w:val="20"/>
          <w:color w:val="auto"/>
        </w:rPr>
      </w:pPr>
      <w:r>
        <w:rPr>
          <w:rFonts w:ascii="Arial" w:cs="Arial" w:eastAsia="Arial" w:hAnsi="Arial"/>
          <w:sz w:val="16"/>
          <w:szCs w:val="16"/>
          <w:color w:val="auto"/>
        </w:rPr>
        <w:t>Pre-clinical studies of TGR-1202 were presented in abstract and poster form at the 54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Annual American Society of Hematology Meeting in</w:t>
      </w:r>
    </w:p>
    <w:p>
      <w:pPr>
        <w:spacing w:after="0"/>
        <w:rPr>
          <w:sz w:val="20"/>
          <w:szCs w:val="20"/>
          <w:color w:val="auto"/>
        </w:rPr>
      </w:pPr>
      <w:r>
        <w:rPr>
          <w:rFonts w:ascii="Arial" w:cs="Arial" w:eastAsia="Arial" w:hAnsi="Arial"/>
          <w:sz w:val="18"/>
          <w:szCs w:val="18"/>
          <w:color w:val="auto"/>
        </w:rPr>
        <w:t>Atlanta, GA in December 2012. Highlights from the meeting included the following:</w:t>
      </w:r>
    </w:p>
    <w:p>
      <w:pPr>
        <w:spacing w:after="0" w:line="209" w:lineRule="exact"/>
        <w:rPr>
          <w:sz w:val="20"/>
          <w:szCs w:val="20"/>
          <w:color w:val="auto"/>
        </w:rPr>
      </w:pPr>
    </w:p>
    <w:p>
      <w:pPr>
        <w:jc w:val="both"/>
        <w:ind w:left="660" w:right="2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a blinded comparison study of TGR-1202 and GS-1101 completed at Duke University Medical Center, TGR-1202 demonstrated equal efficacy to GS-1101 in regards to in vitro induction of apoptosis and toxicity as well as in suppressing Akt phosphorylation (pAkt) in CLL patient cells. </w:t>
      </w:r>
      <w:r>
        <w:rPr>
          <w:rFonts w:ascii="Arial" w:cs="Arial" w:eastAsia="Arial" w:hAnsi="Arial"/>
          <w:sz w:val="18"/>
          <w:szCs w:val="18"/>
          <w:i w:val="1"/>
          <w:iCs w:val="1"/>
          <w:color w:val="auto"/>
        </w:rPr>
        <w:t>Chronic</w:t>
      </w:r>
      <w:r>
        <w:rPr>
          <w:rFonts w:ascii="Arial" w:cs="Arial" w:eastAsia="Arial" w:hAnsi="Arial"/>
          <w:sz w:val="18"/>
          <w:szCs w:val="18"/>
          <w:color w:val="auto"/>
        </w:rPr>
        <w:t xml:space="preserve"> </w:t>
      </w:r>
      <w:r>
        <w:rPr>
          <w:rFonts w:ascii="Arial" w:cs="Arial" w:eastAsia="Arial" w:hAnsi="Arial"/>
          <w:sz w:val="18"/>
          <w:szCs w:val="18"/>
          <w:i w:val="1"/>
          <w:iCs w:val="1"/>
          <w:color w:val="auto"/>
        </w:rPr>
        <w:t>Lymphocytic Leukemia (CLL) Poster Presentation — Poster 3914.</w:t>
      </w:r>
    </w:p>
    <w:p>
      <w:pPr>
        <w:ind w:left="660" w:right="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TGR-1202 is a potent and selective inhibitor of PI3Kδ demonstrating significant inhibition in Akt phosphorylation (pAKT) in AML and ALL cell lines and patient cells as well as marked anti-tumor activity in a MOLT-4 (AML) subcutaneous xenograft mouse model. </w:t>
      </w:r>
      <w:r>
        <w:rPr>
          <w:rFonts w:ascii="Arial" w:cs="Arial" w:eastAsia="Arial" w:hAnsi="Arial"/>
          <w:sz w:val="18"/>
          <w:szCs w:val="18"/>
          <w:i w:val="1"/>
          <w:iCs w:val="1"/>
          <w:color w:val="auto"/>
        </w:rPr>
        <w:t>Acute Leukemia (AML/ALL)</w:t>
      </w:r>
      <w:r>
        <w:rPr>
          <w:rFonts w:ascii="Arial" w:cs="Arial" w:eastAsia="Arial" w:hAnsi="Arial"/>
          <w:sz w:val="18"/>
          <w:szCs w:val="18"/>
          <w:color w:val="auto"/>
        </w:rPr>
        <w:t xml:space="preserve"> </w:t>
      </w:r>
      <w:r>
        <w:rPr>
          <w:rFonts w:ascii="Arial" w:cs="Arial" w:eastAsia="Arial" w:hAnsi="Arial"/>
          <w:sz w:val="18"/>
          <w:szCs w:val="18"/>
          <w:i w:val="1"/>
          <w:iCs w:val="1"/>
          <w:color w:val="auto"/>
        </w:rPr>
        <w:t>Poster Presentation — Poster 2610.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and will enroll approximately 30 patients during the initial dose escalation phase, followed by up to an additional 30 patients in an expansion phase once the optimal dose has been determined. Enrollment is open to patients with relapsed or refractory NHL, CLL, and Peripheral T-Cell Lymphoma ("PTCL"). Michael R. Savona, MD, the Director of Leukemic Research, Sarah Cannon Research Institute, is acting as Study Chair for the Phase I study. As of February 2013, TGR-1202-101 is ongoing and enrolling patients in the dose escalation component of the Phase I study.</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have completed enrollment of the first dose cohort (50mg, one time per day). Provided no patients experience dose limiting toxicities, additional cohorts evaluating sequentially higher doses of TGR-1202 are planned. We anticipate following completion of the initial cohorts, we will be able to analyze the preliminary pharmacokinetic data (“PK data”) to determine whether the dosing regimen of TGR-1202 requires modification in further dose escalation cohorts, if any. We also believe the PK data may provide us preliminary information about the drug properties of TGR-1202 and whether further human study of TGR-1202 is warranted. There can be no assurances given that TGR-1202 will exhibit sufficient pharmaceutical properties following review of the preliminary PK data to support further development of TGR-1202 or that such PK data will be conclusive in any manner to provide assurances that the pharmaceutical properties are adequate. While we do have potential back-up compounds, if we decide to terminate the development of TGR-1202 following review of the PK data, then our PI3K Delta program would be significantly delayed or terminated.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 for TG-1101 &amp; TGR-1202</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lead development programs, TG-1101 and TGR-1202 are for the treatment of B-cell hematologic malignancies. Hematologic malignancies include cancers derived from the bone marrow and lymph tissue. The non-Hodgkin lymphomas (NHL) represent a heterogeneous subset of these malignancies. Underneath the single rubric of lymphoma exist some of the most aggressive growing cancers (Burkitt’s lymphoma, lymphoblastic lymphoma, diffuse large-B-cell lymphoma), as well as some of the most indolent (small lymphocytic lymphoma, follicular lymphoma, and marginal zone lymphoma). In the United States, NHL represents 4-5% of all new cancer cases, and is the fifth leading cause of cancer death. According to the National Cancer Institute, it is estimated in 2012 that there will be 70,130 cases in the United States, and 18,940 deaths from NHL, despite improvements in treatment. Chronic lymphocytic leukemia (CLL) affects mainly older adults and accounts for one third of all diagnosed cases of leukemia. In the US, an estimated 16,060 new cases of CLL will be reported in 2012 with deaths totaling 4,580 due to the disease according to National Cancer Institute (NCI) estimates. Despite improvements in therapy, up to one third of patients with aggressive NHL continue to die from their disease, and indolent lymphomas remain incurable in the absence of allogeneic stem cell transplant. The treatment paradigm for hematologic malignancies is well standardized in front line settings, with the anti-CD20 monoclonal antibody, rituximab, administered generally in combination with chemotherapeutic agents. While front line therapies are generally efficacious, there are numerous downsides, including a high rate of toxicity associated with exposure to chemotherapeutic agents. While initially responsive, most patients with hematologic malignancies will relapse and require second, third, and sometimes more lines of therapy. As a result, there is a pressing need for new, innovative, targeted therapies for the treatment of this heterogeneous group of diseases.</w:t>
      </w:r>
    </w:p>
    <w:p>
      <w:pPr>
        <w:spacing w:after="0" w:line="17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Anti-CD20 antibodies have been approved and studied in a variety of diseases falling into several therapeutic areas including oncology, autoimmune disorders, and neurologic disease. NHL and CLL are the most common B-cell proliferative diseases for which rituximab, the first anti-CD20 antibody approved by the FDA, is the current gold standard treatment. While the addition of rituximab to chemotherapeutic treatment of NHL has dramatically improved patient outcomes, many patients will relapse or become refractory to rituximab containing regimens.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sectPr>
      </w:pPr>
    </w:p>
    <w:bookmarkStart w:id="9" w:name="page10"/>
    <w:bookmarkEnd w:id="9"/>
    <w:p>
      <w:pPr>
        <w:jc w:val="both"/>
        <w:ind w:right="260" w:firstLine="648"/>
        <w:spacing w:after="0" w:line="264" w:lineRule="auto"/>
        <w:rPr>
          <w:sz w:val="20"/>
          <w:szCs w:val="20"/>
          <w:color w:val="auto"/>
        </w:rPr>
      </w:pPr>
      <w:r>
        <w:rPr>
          <w:rFonts w:ascii="Arial" w:cs="Arial" w:eastAsia="Arial" w:hAnsi="Arial"/>
          <w:sz w:val="18"/>
          <w:szCs w:val="18"/>
          <w:color w:val="auto"/>
        </w:rPr>
        <w:t>Rituximab resistance is becoming an increasing concern for clinicians as relapsing patients are exposed to multiple lines of rituximab containing regimens to treat recurrence of disease. It is estimated that over half of patients initially responsive to their first exposure to rituximab do not respond upon retreatment (Davis et al, 2000).</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believe these factors contribute to an immediate and sustained need for an anti-CD20 monoclonal antibody that is differentiated and potentially therapeutically superior to the gold standard rituximab in order to extend and enhance CD20 therapy as it stands today.</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Additionally, advanced novel agents are being developed which target specific signaling pathways and enzymes known to exhibit aberrant activity and overexpression in B-cell malignancies such as Bruton’s Tyrosine Kinase (BTK), and Phosphoinositide-3-Kinase delta (PI3K delta). The PI3K/AKT/mTOR pathway has been the target of numerous pharmaceutical agents, both approved and in development, however only recently has the delta isoform of PI3k been identified as a potential target for the treatment of hematologic malignancies and other B-cell lymphoproliferative disorders. GS-1101 (formerly CAL-101) is a PI3K delta specific inhibitor that is under development by Gilead Pharmaceuticals, and has shown promising responses in patients with advanced hematologic malignancies. IPI-145, a PI3K delta and gamma specific inhibitor under development by Infinity Pharmaceuticals has also shown preliminary activity in hematologic malignancies of both B- and T-cell origin. Other agents in development targeting kinases downstream of the B-cell receptor, such as the BTK inhibitor, ibrutinib, have displayed high rates of response in patients with relapsed and refractory B-cell malignancies. While these agents have demonstrated high levels of single agent activity in B-cell disorders, their clinical activity has been shown to be greatly enhanced when utilized in combination with anti-CD20 agents.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current market for front-line therapy for hematologic malignancies is estimated to be over $7 billion annually, while subsequent lines of therapy currently consist of generically available chemotherapies which do not contribute significantly to the size of the overall hematologic malignancies market. As novel targeted agents gain FDA approval for the treatment of relapsed and refractory disease, it is anticipated that the size of this market will expand greatly as branded drugs enter use in multiple lines of therapy. Given the nature of the disease state for patients with hematologic malignancies, characterized by indolent disease progression and chronic relapses, the Company anticipates a great and growing need for novel agents that can be used alone or in combination with approved agents, and those currently under development to enhance the quality of life and extend the length of survival for patients suffering from hematologic malignancies.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AST-726</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AST-726 is a nasally delivered form of hydroxocobalamin for the treatment of Vitamin B12 deficiency. The Company acquired global rights to AST-726 as part of the Ariston acquisition. AST-726 has demonstrated pharmacokinetic equivalence to a marketed intramuscular injection product for Vitamin B12 remediation.</w:t>
      </w:r>
    </w:p>
    <w:p>
      <w:pPr>
        <w:spacing w:after="0" w:line="18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 Company is currently reviewing its development plans for AST-726, which may include: (1) ceasing further development and attempting to sell or license AST-726, (2) continuing development as originally contemplated under the SPA or (3) evaluating and implementing alternative development plans. No decision has been made as to which approach to execute. A final decision is expected to take 6-12 months, but may occur earlier or later.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AST-915</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has a sponsored research arrangement for AST-915, an orally delivered treatment for essential tremor. Patient enrollment, treatment, and follow-up concluded for a Phase 1 dose escalation trial of AST-915 in early June 2012. Upon analysis of the data from this study, it was determined that the Phase 1 dose escalation trial of AST-915 did not meet its primary efficacy endpoint of reduction in dominant hand tremor at a timepoint of 80 minutes following administration. Given the results from this Phase 1 study, the Company has discontinued future development activities for AST-915.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TIME TO COMPLETE PRODUCT DEVELOPMENT</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information below provides estimates regarding the costs associated with the completion of the current development phase and our current estimated range of the time that will be necessary to complete that development phase for our key pipeline products. We also direct your attention to the risk factors which could significantly affect our ability to meet these cost and time estimates found in this report in Item 1A under the heading “Risks Related to the Company’s Business and Industry.”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Development</w:t>
            </w:r>
          </w:p>
        </w:tc>
        <w:tc>
          <w:tcPr>
            <w:tcW w:w="1940" w:type="dxa"/>
            <w:vAlign w:val="bottom"/>
          </w:tcPr>
          <w:p>
            <w:pPr>
              <w:spacing w:after="0"/>
              <w:rPr>
                <w:sz w:val="20"/>
                <w:szCs w:val="20"/>
                <w:color w:val="auto"/>
              </w:rPr>
            </w:pPr>
            <w:r>
              <w:rPr>
                <w:rFonts w:ascii="Arial" w:cs="Arial" w:eastAsia="Arial" w:hAnsi="Arial"/>
                <w:sz w:val="18"/>
                <w:szCs w:val="18"/>
                <w:b w:val="1"/>
                <w:bCs w:val="1"/>
                <w:color w:val="auto"/>
              </w:rPr>
              <w:t>Completion</w:t>
            </w:r>
          </w:p>
        </w:tc>
        <w:tc>
          <w:tcPr>
            <w:tcW w:w="2140" w:type="dxa"/>
            <w:vAlign w:val="bottom"/>
            <w:gridSpan w:val="3"/>
          </w:tcPr>
          <w:p>
            <w:pPr>
              <w:ind w:left="100"/>
              <w:spacing w:after="0"/>
              <w:rPr>
                <w:sz w:val="20"/>
                <w:szCs w:val="20"/>
                <w:color w:val="auto"/>
              </w:rPr>
            </w:pPr>
            <w:r>
              <w:rPr>
                <w:rFonts w:ascii="Arial" w:cs="Arial" w:eastAsia="Arial" w:hAnsi="Arial"/>
                <w:sz w:val="18"/>
                <w:szCs w:val="18"/>
                <w:b w:val="1"/>
                <w:bCs w:val="1"/>
                <w:color w:val="auto"/>
              </w:rPr>
              <w:t>Estimated cost to</w:t>
            </w: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w:t>
            </w:r>
          </w:p>
        </w:tc>
        <w:tc>
          <w:tcPr>
            <w:tcW w:w="2520" w:type="dxa"/>
            <w:vAlign w:val="bottom"/>
          </w:tcPr>
          <w:p>
            <w:pPr>
              <w:spacing w:after="0"/>
              <w:rPr>
                <w:sz w:val="20"/>
                <w:szCs w:val="20"/>
                <w:color w:val="auto"/>
              </w:rPr>
            </w:pPr>
            <w:r>
              <w:rPr>
                <w:rFonts w:ascii="Arial" w:cs="Arial" w:eastAsia="Arial" w:hAnsi="Arial"/>
                <w:sz w:val="18"/>
                <w:szCs w:val="18"/>
                <w:b w:val="1"/>
                <w:bCs w:val="1"/>
                <w:color w:val="auto"/>
              </w:rPr>
              <w:t>Target indication</w:t>
            </w:r>
          </w:p>
        </w:tc>
        <w:tc>
          <w:tcPr>
            <w:tcW w:w="2180" w:type="dxa"/>
            <w:vAlign w:val="bottom"/>
            <w:gridSpan w:val="3"/>
          </w:tcPr>
          <w:p>
            <w:pPr>
              <w:ind w:left="120"/>
              <w:spacing w:after="0"/>
              <w:rPr>
                <w:sz w:val="20"/>
                <w:szCs w:val="20"/>
                <w:color w:val="auto"/>
              </w:rPr>
            </w:pPr>
            <w:r>
              <w:rPr>
                <w:rFonts w:ascii="Arial" w:cs="Arial" w:eastAsia="Arial" w:hAnsi="Arial"/>
                <w:sz w:val="18"/>
                <w:szCs w:val="18"/>
                <w:b w:val="1"/>
                <w:bCs w:val="1"/>
                <w:color w:val="auto"/>
              </w:rPr>
              <w:t>status</w:t>
            </w:r>
          </w:p>
        </w:tc>
        <w:tc>
          <w:tcPr>
            <w:tcW w:w="1940" w:type="dxa"/>
            <w:vAlign w:val="bottom"/>
          </w:tcPr>
          <w:p>
            <w:pPr>
              <w:spacing w:after="0"/>
              <w:rPr>
                <w:sz w:val="20"/>
                <w:szCs w:val="20"/>
                <w:color w:val="auto"/>
              </w:rPr>
            </w:pPr>
            <w:r>
              <w:rPr>
                <w:rFonts w:ascii="Arial" w:cs="Arial" w:eastAsia="Arial" w:hAnsi="Arial"/>
                <w:sz w:val="18"/>
                <w:szCs w:val="18"/>
                <w:b w:val="1"/>
                <w:bCs w:val="1"/>
                <w:color w:val="auto"/>
              </w:rPr>
              <w:t>of phase</w:t>
            </w:r>
          </w:p>
        </w:tc>
        <w:tc>
          <w:tcPr>
            <w:tcW w:w="2140" w:type="dxa"/>
            <w:vAlign w:val="bottom"/>
            <w:gridSpan w:val="3"/>
          </w:tcPr>
          <w:p>
            <w:pPr>
              <w:ind w:left="100"/>
              <w:spacing w:after="0"/>
              <w:rPr>
                <w:sz w:val="20"/>
                <w:szCs w:val="20"/>
                <w:color w:val="auto"/>
              </w:rPr>
            </w:pPr>
            <w:r>
              <w:rPr>
                <w:rFonts w:ascii="Arial" w:cs="Arial" w:eastAsia="Arial" w:hAnsi="Arial"/>
                <w:sz w:val="18"/>
                <w:szCs w:val="18"/>
                <w:b w:val="1"/>
                <w:bCs w:val="1"/>
                <w:color w:val="auto"/>
              </w:rPr>
              <w:t>complete phase</w:t>
            </w:r>
          </w:p>
        </w:tc>
      </w:tr>
      <w:tr>
        <w:trPr>
          <w:trHeight w:val="195"/>
        </w:trPr>
        <w:tc>
          <w:tcPr>
            <w:tcW w:w="252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b w:val="1"/>
                <w:bCs w:val="1"/>
                <w:i w:val="1"/>
                <w:iCs w:val="1"/>
                <w:color w:val="auto"/>
              </w:rPr>
              <w:t>TG-1101 (ublituximab)</w:t>
            </w:r>
          </w:p>
        </w:tc>
        <w:tc>
          <w:tcPr>
            <w:tcW w:w="120" w:type="dxa"/>
            <w:vAlign w:val="bottom"/>
            <w:tcBorders>
              <w:top w:val="single" w:sz="8" w:color="CCFFCC"/>
            </w:tcBorders>
            <w:shd w:val="clear" w:color="auto" w:fill="CCFFCC"/>
          </w:tcPr>
          <w:p>
            <w:pPr>
              <w:spacing w:after="0"/>
              <w:rPr>
                <w:sz w:val="16"/>
                <w:szCs w:val="16"/>
                <w:color w:val="auto"/>
              </w:rPr>
            </w:pPr>
          </w:p>
        </w:tc>
        <w:tc>
          <w:tcPr>
            <w:tcW w:w="252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Multiple forms of cancer and</w:t>
            </w:r>
          </w:p>
        </w:tc>
        <w:tc>
          <w:tcPr>
            <w:tcW w:w="120" w:type="dxa"/>
            <w:vAlign w:val="bottom"/>
            <w:tcBorders>
              <w:top w:val="single" w:sz="8" w:color="CCFFCC"/>
            </w:tcBorders>
            <w:shd w:val="clear" w:color="auto" w:fill="CCFFCC"/>
          </w:tcPr>
          <w:p>
            <w:pPr>
              <w:spacing w:after="0"/>
              <w:rPr>
                <w:sz w:val="16"/>
                <w:szCs w:val="16"/>
                <w:color w:val="auto"/>
              </w:rPr>
            </w:pPr>
          </w:p>
        </w:tc>
        <w:tc>
          <w:tcPr>
            <w:tcW w:w="194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Phase I</w:t>
            </w:r>
          </w:p>
        </w:tc>
        <w:tc>
          <w:tcPr>
            <w:tcW w:w="120" w:type="dxa"/>
            <w:vAlign w:val="bottom"/>
            <w:tcBorders>
              <w:top w:val="single" w:sz="8" w:color="CCFFCC"/>
            </w:tcBorders>
            <w:shd w:val="clear" w:color="auto" w:fill="CCFFCC"/>
          </w:tcPr>
          <w:p>
            <w:pPr>
              <w:spacing w:after="0"/>
              <w:rPr>
                <w:sz w:val="16"/>
                <w:szCs w:val="16"/>
                <w:color w:val="auto"/>
              </w:rPr>
            </w:pPr>
          </w:p>
        </w:tc>
        <w:tc>
          <w:tcPr>
            <w:tcW w:w="194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Mid-2013</w:t>
            </w:r>
          </w:p>
        </w:tc>
        <w:tc>
          <w:tcPr>
            <w:tcW w:w="100" w:type="dxa"/>
            <w:vAlign w:val="bottom"/>
            <w:tcBorders>
              <w:top w:val="single" w:sz="8" w:color="CCFFCC"/>
            </w:tcBorders>
            <w:shd w:val="clear" w:color="auto" w:fill="CCFFCC"/>
          </w:tcPr>
          <w:p>
            <w:pPr>
              <w:spacing w:after="0"/>
              <w:rPr>
                <w:sz w:val="16"/>
                <w:szCs w:val="16"/>
                <w:color w:val="auto"/>
              </w:rPr>
            </w:pPr>
          </w:p>
        </w:tc>
        <w:tc>
          <w:tcPr>
            <w:tcW w:w="194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Less than $1 million</w:t>
            </w:r>
          </w:p>
        </w:tc>
        <w:tc>
          <w:tcPr>
            <w:tcW w:w="100" w:type="dxa"/>
            <w:vAlign w:val="bottom"/>
            <w:tcBorders>
              <w:top w:val="single" w:sz="8" w:color="CCFFCC"/>
            </w:tcBorders>
            <w:shd w:val="clear" w:color="auto" w:fill="CCFFCC"/>
          </w:tcPr>
          <w:p>
            <w:pPr>
              <w:spacing w:after="0"/>
              <w:rPr>
                <w:sz w:val="16"/>
                <w:szCs w:val="16"/>
                <w:color w:val="auto"/>
              </w:rPr>
            </w:pPr>
          </w:p>
        </w:tc>
      </w:tr>
      <w:tr>
        <w:trPr>
          <w:trHeight w:val="230"/>
        </w:trPr>
        <w:tc>
          <w:tcPr>
            <w:tcW w:w="25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8"/>
                <w:szCs w:val="18"/>
                <w:color w:val="auto"/>
              </w:rPr>
              <w:t>various autoimmune diseases</w:t>
            </w:r>
          </w:p>
        </w:tc>
        <w:tc>
          <w:tcPr>
            <w:tcW w:w="120" w:type="dxa"/>
            <w:vAlign w:val="bottom"/>
            <w:shd w:val="clear" w:color="auto" w:fill="CCFFCC"/>
          </w:tcPr>
          <w:p>
            <w:pPr>
              <w:spacing w:after="0"/>
              <w:rPr>
                <w:sz w:val="20"/>
                <w:szCs w:val="20"/>
                <w:color w:val="auto"/>
              </w:rPr>
            </w:pPr>
          </w:p>
        </w:tc>
        <w:tc>
          <w:tcPr>
            <w:tcW w:w="19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02"/>
        </w:trPr>
        <w:tc>
          <w:tcPr>
            <w:tcW w:w="264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TG-1101</w:t>
            </w: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Multiple forms of cancer</w:t>
            </w:r>
          </w:p>
        </w:tc>
        <w:tc>
          <w:tcPr>
            <w:tcW w:w="21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Phase Ib/II</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Mid-2014</w:t>
            </w:r>
          </w:p>
        </w:tc>
        <w:tc>
          <w:tcPr>
            <w:tcW w:w="21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Approximately</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140" w:type="dxa"/>
            <w:vAlign w:val="bottom"/>
            <w:gridSpan w:val="3"/>
          </w:tcPr>
          <w:p>
            <w:pPr>
              <w:ind w:left="100"/>
              <w:spacing w:after="0"/>
              <w:rPr>
                <w:sz w:val="20"/>
                <w:szCs w:val="20"/>
                <w:color w:val="auto"/>
              </w:rPr>
            </w:pPr>
            <w:r>
              <w:rPr>
                <w:rFonts w:ascii="Arial" w:cs="Arial" w:eastAsia="Arial" w:hAnsi="Arial"/>
                <w:sz w:val="18"/>
                <w:szCs w:val="18"/>
                <w:color w:val="auto"/>
              </w:rPr>
              <w:t>$3 million</w:t>
            </w:r>
          </w:p>
        </w:tc>
      </w:tr>
      <w:tr>
        <w:trPr>
          <w:trHeight w:val="216"/>
        </w:trPr>
        <w:tc>
          <w:tcPr>
            <w:tcW w:w="26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i w:val="1"/>
                <w:iCs w:val="1"/>
                <w:color w:val="auto"/>
              </w:rPr>
              <w:t>TGR-1202</w:t>
            </w:r>
          </w:p>
        </w:tc>
        <w:tc>
          <w:tcPr>
            <w:tcW w:w="2520" w:type="dxa"/>
            <w:vAlign w:val="bottom"/>
            <w:shd w:val="clear" w:color="auto" w:fill="CCFFCC"/>
          </w:tcPr>
          <w:p>
            <w:pPr>
              <w:spacing w:after="0"/>
              <w:rPr>
                <w:sz w:val="20"/>
                <w:szCs w:val="20"/>
                <w:color w:val="auto"/>
              </w:rPr>
            </w:pPr>
            <w:r>
              <w:rPr>
                <w:rFonts w:ascii="Arial" w:cs="Arial" w:eastAsia="Arial" w:hAnsi="Arial"/>
                <w:sz w:val="18"/>
                <w:szCs w:val="18"/>
                <w:color w:val="auto"/>
              </w:rPr>
              <w:t>Multiple forms of cancer</w:t>
            </w:r>
          </w:p>
        </w:tc>
        <w:tc>
          <w:tcPr>
            <w:tcW w:w="218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Phase I</w:t>
            </w: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Late-2013</w:t>
            </w:r>
          </w:p>
        </w:tc>
        <w:tc>
          <w:tcPr>
            <w:tcW w:w="214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Approximately $2 million</w:t>
            </w: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Completion dates and costs in the above table are estimates due to the uncertainties associated with clinical trials and the related requirements of development. In the cases where the requirements for clinical trials and development programs have not been fully defined, or are dependent on the success of other trials, we cannot estimate trial completion or cost with any certainty. The actual spending on each trial during the year is also dependent on funding. We therefore direct your attention to Item 7 under the heading “Liquidity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5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This knowledge and experience we call “know-how.” To help protect our proprietary know-how which is not patentable, and for inventions for which patents may be difficult to enforce, we rely on trade secret protection and confidentiality agreements to protect our interests. To this end, we require all employees, consultants, advisors and other contractors to enter into confidentiality agreements which prohibit the disclosure of confidential information and, where applicable, require disclosure and assignment to us of the ideas, developments, discoveries and inventions important to our business.</w:t>
      </w:r>
    </w:p>
    <w:p>
      <w:pPr>
        <w:spacing w:after="0" w:line="1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patents and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8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Generally, patent applications in the U.S. are maintained in secrecy for a period of 18 months or more. Since publication of discoveries in the scientific or patent literature often lag behind actual discoveries, we are not certain that we were the first to make the inventions covered by each of our pending patent applications or that we were the first to file those patent applications. The patent positions of biotechnology and pharmaceutical companies are highly uncertain and involve complex legal and factual questions. Therefore, we cannot predict the breadth of claims allowed in biotechnology and pharmaceutical patents, or their enforceability. To date, there has been no consistent policy regarding the breadth of claims allowed in biotechnology patents. Third parties or competitors may challenge or circumvent our patents or patent applications, if issued. If our competitors prepare and file patent applications in the U.S. that claim technology also claimed by us, we may have to participate in interference proceedings declared by the U.S. Patent and Trademark Office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ind w:right="60" w:firstLine="648"/>
        <w:spacing w:after="0" w:line="273" w:lineRule="auto"/>
        <w:rPr>
          <w:sz w:val="20"/>
          <w:szCs w:val="20"/>
          <w:color w:val="auto"/>
        </w:rPr>
      </w:pPr>
      <w:r>
        <w:rPr>
          <w:rFonts w:ascii="Arial" w:cs="Arial" w:eastAsia="Arial" w:hAnsi="Arial"/>
          <w:sz w:val="17"/>
          <w:szCs w:val="17"/>
          <w:color w:val="auto"/>
        </w:rPr>
        <w:t>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 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TG-1101</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Pursuant to our license for TG-1101 (ublituximab) with LFB Biotechnologies, GTC Biotherapeutics, and LFB/GTC LLC, we have the exclusive commercial rights to a series of patents and patent applications in the U.S., and in multiple countries around the world. These patents and patent applications include composition of matter patents relating to the structure and mechanism of action for ublituximab as well as method of use patents which cover use of ublituximab in combination with various agents and for various therapeutic indications.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the United States, we have 5 issued patents for TG-1101 which expire between 2021 and 2024, excluding any patent term extensions, as well as granted and pending foreign counterpart patent filings related to these issued patents. These patents include claims related to the manufacture and use of TG-1101. Additionally, we have over 10 issued patents outside the US, and over 45 patent applications pending worldwide including claims directed to the composition of matter and methods of treatment with TG-1101 in various settings.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TGR-1202</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our Collaboration Agreement with Rhizen Pharmaceuticals for TGR-1202, we have the exclusive commercial rights to a series of patents and patent applications in the U.S. and abroad. These patents and patent applications include composition of matter patents relating to the structure and mechanism of action for TGR-1202 as well as method of use patents which cover use of TGR-1202 in combination with various agents and for various therapeutic indications. All patent applications currently filed for TG-1202 are currently pending.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AST-726</w:t>
      </w:r>
    </w:p>
    <w:p>
      <w:pPr>
        <w:spacing w:after="0" w:line="229"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The Company has certain patent rights and other intellectual property relating to AST-726 in the U.S. and multiple countries around the world, which expire at various times from 2014 to 2015.</w:t>
      </w:r>
    </w:p>
    <w:p>
      <w:pPr>
        <w:spacing w:after="0" w:line="170" w:lineRule="exact"/>
        <w:rPr>
          <w:sz w:val="20"/>
          <w:szCs w:val="20"/>
          <w:color w:val="auto"/>
        </w:rPr>
      </w:pPr>
    </w:p>
    <w:p>
      <w:pPr>
        <w:ind w:right="500" w:firstLine="567"/>
        <w:spacing w:after="0" w:line="264" w:lineRule="auto"/>
        <w:rPr>
          <w:sz w:val="20"/>
          <w:szCs w:val="20"/>
          <w:color w:val="auto"/>
        </w:rPr>
      </w:pPr>
      <w:r>
        <w:rPr>
          <w:rFonts w:ascii="Arial" w:cs="Arial" w:eastAsia="Arial" w:hAnsi="Arial"/>
          <w:sz w:val="18"/>
          <w:szCs w:val="18"/>
          <w:color w:val="auto"/>
        </w:rPr>
        <w:t>The patent rights that we own or have licensed relating to our product candidates are limited in ways that may affect our ability to exclude third parties from competing against us if we obtain regulatory approval to market these product candidates. See section “</w:t>
      </w:r>
      <w:r>
        <w:rPr>
          <w:rFonts w:ascii="Arial" w:cs="Arial" w:eastAsia="Arial" w:hAnsi="Arial"/>
          <w:sz w:val="18"/>
          <w:szCs w:val="18"/>
          <w:b w:val="1"/>
          <w:bCs w:val="1"/>
          <w:i w:val="1"/>
          <w:iCs w:val="1"/>
          <w:color w:val="auto"/>
        </w:rPr>
        <w:t>Risks Related to the Company’s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w:t>
      </w:r>
    </w:p>
    <w:p>
      <w:pPr>
        <w:spacing w:after="0" w:line="181" w:lineRule="exact"/>
        <w:rPr>
          <w:sz w:val="20"/>
          <w:szCs w:val="20"/>
          <w:color w:val="auto"/>
        </w:rPr>
      </w:pPr>
    </w:p>
    <w:p>
      <w:pPr>
        <w:ind w:right="220" w:firstLine="567"/>
        <w:spacing w:after="0" w:line="259" w:lineRule="auto"/>
        <w:rPr>
          <w:sz w:val="20"/>
          <w:szCs w:val="20"/>
          <w:color w:val="auto"/>
        </w:rPr>
      </w:pPr>
      <w:r>
        <w:rPr>
          <w:rFonts w:ascii="Arial" w:cs="Arial" w:eastAsia="Arial" w:hAnsi="Arial"/>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187" w:lineRule="exact"/>
        <w:rPr>
          <w:sz w:val="20"/>
          <w:szCs w:val="20"/>
          <w:color w:val="auto"/>
        </w:rPr>
      </w:pPr>
    </w:p>
    <w:p>
      <w:pPr>
        <w:ind w:right="100" w:firstLine="567"/>
        <w:spacing w:after="0" w:line="264" w:lineRule="auto"/>
        <w:rPr>
          <w:sz w:val="20"/>
          <w:szCs w:val="20"/>
          <w:color w:val="auto"/>
        </w:rPr>
      </w:pPr>
      <w:r>
        <w:rPr>
          <w:rFonts w:ascii="Arial" w:cs="Arial" w:eastAsia="Arial" w:hAnsi="Arial"/>
          <w:sz w:val="18"/>
          <w:szCs w:val="18"/>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81"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In addition, the limited patent protection described above may adversely affect the value of our product candidates and may inhibit our ability to obtain a corporate partner at terms acceptable to us, if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depend upon trademarks, trade secrets, know-how and continuing technological advances to develop and maintain our competitive position. To maintain the confidentiality of trade secrets and proprietary information, we require our employees, scientific advisors, consultants and collaborators, upon commencement of a relationship with us, to execute confidentiality agreements and, in the case of parties other than our research and development collaborators, to agree to assign their inventions to us. These agreements are designed to protect our proprietary information and to grant us ownership of technologies that are developed in connection with their relationship with us. These agreements may not, however, provide protection for our trade secrets in the event of unauthorized disclosure of such information.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2" w:name="page13"/>
    <w:bookmarkEnd w:id="12"/>
    <w:p>
      <w:pPr>
        <w:ind w:right="60" w:firstLine="648"/>
        <w:spacing w:after="0" w:line="273" w:lineRule="auto"/>
        <w:rPr>
          <w:sz w:val="20"/>
          <w:szCs w:val="20"/>
          <w:color w:val="auto"/>
        </w:rPr>
      </w:pPr>
      <w:r>
        <w:rPr>
          <w:rFonts w:ascii="Arial" w:cs="Arial" w:eastAsia="Arial" w:hAnsi="Arial"/>
          <w:sz w:val="17"/>
          <w:szCs w:val="17"/>
          <w:color w:val="auto"/>
        </w:rPr>
        <w:t>In addition to patent protection, we may utilize orphan drug regulations or other provisions of the Food, Drug and Cosmetic Act of 1938, as amended, or FDCA, to provide market exclusivity for certain of our drug candidates. Orphan drug regulations provide incentives to pharmaceutical and biotechnology companies to develop and manufacture drugs for the treatment of rare diseases, currently defined as diseases that exist in fewer than 200,000 individuals in the U.S., or, diseases that affect more than 200,000 individuals in the U.S. but that the sponsor does not realistically anticipate will generate a net profit. Under these provisions, a manufacturer of a designated orphan-drug can seek tax benefits, and the holder of the first FDA approval of a designated orphan product will be granted a seven-year period of marketing exclusivity for such FDA-approved orphan product.</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Pursuant to these regulations, TG-1101 (ublituximab) has received Orphan-Drug designation from the FDA for the treatment of CLL in August of 2010, and Orphan-Drug designation by the EMA for the treatment of CLL in November of 2009. We believe that TG-1101 may be eligible for additional orphan drug designations; however, we cannot assure you that TG-1101, or any other drug candidates we may acquire or in-license, will obtain such orphan drug designations. Additionally, upon FDA approval, we believe that ublituximab would qualify as a New Chemical Entity, or NCE, which provides for five years of exclusivity following approval.</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cannot assure you that any other drug candidates we may acquire or in-license, will obtain such orphan drug designation or that we will be the first to receive FDA approval for such drugs so as to be eligible for market exclusivity protection.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 AND COLLABORATIONS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have formed strategic alliances with a number of companies for the manufacture and commercialization of our products. Our current key strategic alliances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LFB Biotechnologies S.A.S, GTC Biotherapeutics, LFB/GTC LLC.</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2012, we entered into an exclusive license agreement with LFB Biotechnologies, GTC Biotherapeutics, and LFB/GTC LLC, all wholly-owned subsidiaries of LFB Group, relating to the development of ublituximab. Under the license agreement, we have acquired the exclusive worldwide rights (exclusive of France/Belgium) for the development and commercialization of TG-1101 (ublituximab). To date, we have made no payments to LFB Group and LFB Group is eligible to receive payments of up to an aggregate of approximately $31.0 million upon our successful achievement of certain clinical development, regulatory and sales milestones, in addition to royalty payments on net sales of ublituximab. The license will terminate on a country by country basis upon the expiration of the last licensed patent right or 15 years after the first commercial sale of a product in such country, unless the agreement is earlier terminated.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Ildong Pharmaceutical Co. Ltd.</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To date, we have received $2 Million in the form of an upfront payment from Ildong, and are eligible to receive sales based milestone and royalty payments on net sales of ublituximab upon approval in South Korea and/or Southeast Asia. The license will terminate on a country by country basis upon the expiration of the last licensed patent right or 15 years after the first commercial sale of a product in such country, unless the agreement is earlier terminated.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August 15, 2012, the Company and Rhizen Pharmaceuticals S A (“Rhizen”) entered into an exclusive global agreement to collaborate on the development and commercialization of Rhizen’s lead product candidate (the “Collaboration Agreement”), a novel P13K delta inhibitor, (“TGR-1202”) (previously referred to as RP5264). The companies will jointly develop the product on a worldwide basis, excluding India, initially focusing on indications in the area of hematologic malignancies and autoimmune disease. Beyond TGR-1202, Rhizen would contribute backup molecules providing multiple opportunities for TG to develop differentiated therapies against hematologic cancers and autoimmune diseases.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3" w:name="page14"/>
    <w:bookmarkEnd w:id="13"/>
    <w:p>
      <w:pPr>
        <w:ind w:firstLine="648"/>
        <w:spacing w:after="0" w:line="293" w:lineRule="auto"/>
        <w:rPr>
          <w:sz w:val="20"/>
          <w:szCs w:val="20"/>
          <w:color w:val="auto"/>
        </w:rPr>
      </w:pPr>
      <w:r>
        <w:rPr>
          <w:rFonts w:ascii="Arial" w:cs="Arial" w:eastAsia="Arial" w:hAnsi="Arial"/>
          <w:sz w:val="16"/>
          <w:szCs w:val="16"/>
          <w:color w:val="auto"/>
        </w:rPr>
        <w:t>The Company will make up-front licensing payments and milestones based on early clinical development, and will be responsible for the costs of clinical development of the product through Phase II, after which the Company and Rhizen will be jointly responsible for all development costs of the product. The Company and Rhizen will each maintain an exclusive option, exercisable at specific times during development, for the Company to license the rights to TGR-1202, in which case Rhizen would be eligible to receive upfront, development, and commercialization milestone payments in addition to milestone payments and royalties tied to net sales of the product, the aggregate of which could exceed $250 million. Rhizen shall maintain rights to manufacture and supply the product to the Company, and the Company will be responsible for all clinical and regulatory development for TGR-1202 globally.</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connection with the Collaboration Agreement, to date we have paid an aggregate of $1,000,000 to Rhizen, and Rhizen is eligible to receive additional payments of up to $2,000,000 upon the successful achievement of certain clinical development milestones prior to entering profit and loss sharing for the TGR-1202 development program. Pursuant to the terms of the Collaboration Agreement, should either of the exclusive license options be exercised, Rhizen would be eligible to receive up to an aggregate of $182.5 million upon the successful achievement of certain clinical development, regulatory, and sales based milestones in addition to royalties on net sales of TGR-1202.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18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drugs that we are attempting to develop will have to compete with existing therapies. In addition, a large number of companies are pursuing the development of pharmaceuticals that target the same diseases and conditions that we are targeting. Other companies have products or drug candidates in various stages of pre-clinical or clinical development to treat diseases for which we are also seeking to discover and develop drug candidates. Some of these potential competing drugs are further advanced in development than our drug candidates and may be commercialized earlier.</w:t>
      </w:r>
    </w:p>
    <w:p>
      <w:pPr>
        <w:spacing w:after="0" w:line="158" w:lineRule="exact"/>
        <w:rPr>
          <w:sz w:val="20"/>
          <w:szCs w:val="20"/>
          <w:color w:val="auto"/>
        </w:rPr>
      </w:pPr>
    </w:p>
    <w:p>
      <w:pPr>
        <w:ind w:right="620" w:firstLine="648"/>
        <w:spacing w:after="0" w:line="210" w:lineRule="auto"/>
        <w:rPr>
          <w:sz w:val="20"/>
          <w:szCs w:val="20"/>
          <w:color w:val="auto"/>
        </w:rPr>
      </w:pPr>
      <w:r>
        <w:rPr>
          <w:rFonts w:ascii="Arial" w:cs="Arial" w:eastAsia="Arial" w:hAnsi="Arial"/>
          <w:sz w:val="16"/>
          <w:szCs w:val="16"/>
          <w:color w:val="auto"/>
        </w:rPr>
        <w:t>If approved, we expect TG-1101 to compete directly with Roche Group’s Rituxan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(Rituximab), Spectrum Pharmaceutical’s Zevalin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(Y</w:t>
      </w:r>
      <w:r>
        <w:rPr>
          <w:rFonts w:ascii="Arial" w:cs="Arial" w:eastAsia="Arial" w:hAnsi="Arial"/>
          <w:sz w:val="26"/>
          <w:szCs w:val="26"/>
          <w:color w:val="auto"/>
          <w:vertAlign w:val="superscript"/>
        </w:rPr>
        <w:t>90</w:t>
      </w:r>
      <w:r>
        <w:rPr>
          <w:rFonts w:ascii="Arial" w:cs="Arial" w:eastAsia="Arial" w:hAnsi="Arial"/>
          <w:sz w:val="16"/>
          <w:szCs w:val="16"/>
          <w:color w:val="auto"/>
        </w:rPr>
        <w:t>-Ibritumomab Tiuxetan), GlaxoSmithKline’s Bexxar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w:t>
      </w:r>
      <w:r>
        <w:rPr>
          <w:rFonts w:ascii="Arial" w:cs="Arial" w:eastAsia="Arial" w:hAnsi="Arial"/>
          <w:sz w:val="26"/>
          <w:szCs w:val="26"/>
          <w:color w:val="auto"/>
          <w:vertAlign w:val="superscript"/>
        </w:rPr>
        <w:t>131</w:t>
      </w:r>
      <w:r>
        <w:rPr>
          <w:rFonts w:ascii="Arial" w:cs="Arial" w:eastAsia="Arial" w:hAnsi="Arial"/>
          <w:sz w:val="16"/>
          <w:szCs w:val="16"/>
          <w:color w:val="auto"/>
        </w:rPr>
        <w:t>-Tositumomab), Dr. Reddy’s Laboratories’ Reditux</w:t>
      </w:r>
      <w:r>
        <w:rPr>
          <w:rFonts w:ascii="Arial" w:cs="Arial" w:eastAsia="Arial" w:hAnsi="Arial"/>
          <w:sz w:val="26"/>
          <w:szCs w:val="26"/>
          <w:color w:val="auto"/>
          <w:vertAlign w:val="superscript"/>
        </w:rPr>
        <w:t>®</w:t>
      </w:r>
      <w:r>
        <w:rPr>
          <w:rFonts w:ascii="Arial" w:cs="Arial" w:eastAsia="Arial" w:hAnsi="Arial"/>
          <w:sz w:val="16"/>
          <w:szCs w:val="16"/>
          <w:color w:val="auto"/>
        </w:rPr>
        <w:t>, and Genmab and GlaxoSmithKline’s</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(Ofatumomab) among others, each of which is currently approved for the treatment of various diseases including NHL and CLL. In addition, a number of pharmaceutical companies are developing anti-CD20 antibodies which, if approved, would potentially compete with TG-1101, including, but not limited to, GA-101 (obinutuzumab), under clinical development by the Roche Group. New developments, including the development of other pharmaceutical technologies and methods of treating disease, occur in the pharmaceutical and life sciences industries at a rapid pace.</w:t>
      </w:r>
    </w:p>
    <w:p>
      <w:pPr>
        <w:spacing w:after="0" w:line="20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With respect to TGR-1202, although no PI3K delta inhibitors have been approved by the FDA, there are several PI3K delta targeted compounds in development, including, but not limited to, Gilead’s GS-1101 (formerly known as CAL-101), Infinity Pharmaceuticals IPI-145 and Amgen’s AMG-319,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(under clinical development by Pharmacyclics), or the blc-2 inhibitor ABT-199 (under clinical development by Abbott Laboratories).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can be found under Item 1A - Risk Factors – Other Risks Related to Our Business within this report.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SUPPLY AND MANUFACTURING</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limited experience in manufacturing products for clinical or commercial purposes. We currently do not have any manufacturing capabilities. We have established contract manufacturing relationships for the supply of TG-1101 as part of our license agreement with LFB Biotechnologies, GTC Biotherapeutics, and LFB/GTC. We have also established contract manufacturing relationships for the supply of TGR-1202 as part of our collaboration agreement with Rhizen. As with any supply program, obtaining pre-clinical and clinical materials of sufficient quality and quantity to meet the requirements of our development programs cannot be guaranteed and we cannot ensure that we will be successful in this endeavor. In addition, we anticipate the need for the current scale of production for each of our products to be significantly expanded as we enter later stages of development.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time of commercial sale, to the extent possible and commercially practicable, we would seek to engage a back-up supplier for each of our product candidates. Until such time, we expect that we will rely on a single contract manufacturer to produce each of our product candidates under current Good Manufacturing Practice, or cGMP, regulations. Our third-party manufacturers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expect to similarly rely on contract manufacturing relationships for any products that we may in-license or acquire in the future. However, there can be no assurance that we will be able to successfully contract with such manufacturers on terms acceptable to us, or at all.</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Contract manufacturers are subject to ongoing periodic and unannounced inspections by the FDA, the Drug Enforcement Administration and corresponding state agencies to ensure strict compliance with cGMP and other state and federal regulations. Our contractors outside of the United States face similar challenges from the numerous local and regional agencies and authorized bodies. We do not have control over third-party manufacturers’ compliance with these regulations and standards, other than through contractual obligations. If they are deemed out of compliance with cGMPs, product recalls could result, inventory could be destroyed, production could be stopped and supplies could be delayed or otherwise disrupted.</w:t>
      </w:r>
    </w:p>
    <w:p>
      <w:pPr>
        <w:spacing w:after="0" w:line="17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If we need to change manufacturers after commercialization, the FDA and corresponding foreign regulatory agencies must approve these new manufacturers in advance, which will involve testing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INDUSTRY REGULATION</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Numerous governmental authorities, principally the FDA and corresponding state and foreign regulatory agencies, impose substantial regulations upon the clinical development, manufacture and marketing of our drug candidates, as well as our ongoing research and development activities. None of our drug candidates have been approved for sale in any market in which we have marketing rights. Before marketing in the U.S., any drug that we develop must undergo rigorous pre-clinical testing and clinical trials and an extensive regulatory approval process implemented by the FDA under the FDCA. The FDA regulates, among other things, the pre-clinical and clinical testing, safety, efficacy, approval, manufacturing, record keeping, adverse event reporting, packaging, labeling, storage, advertising, promotion, export, sale and distribution of biopharmaceutical products.</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FDA may permit expedited development, evaluation, and marketing of new therapies intended to treat persons with serious or life-threatening conditions for which there is an unmet medical need under its fast track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87" w:lineRule="exact"/>
        <w:rPr>
          <w:sz w:val="20"/>
          <w:szCs w:val="20"/>
          <w:color w:val="auto"/>
        </w:rPr>
      </w:pPr>
    </w:p>
    <w:p>
      <w:pPr>
        <w:ind w:left="5620" w:right="5340" w:hanging="4964"/>
        <w:spacing w:after="0" w:line="906" w:lineRule="auto"/>
        <w:tabs>
          <w:tab w:leader="none" w:pos="97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that the drug is intended to treat a serious or life-threatening condition;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the drug is intended to treat a serious aspect of the condition;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the drug has the potential to address unmet medical needs, and this potential is being evaluated in the planned drug development program.</w:t>
      </w:r>
    </w:p>
    <w:p>
      <w:pPr>
        <w:spacing w:after="0" w:line="2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ordinarily are eligible for priority review of a completed application in six months or less and also may be permitted to submit portions of a NDA to the FDA for review before the complete application is submitted.</w:t>
      </w:r>
    </w:p>
    <w:p>
      <w:pPr>
        <w:spacing w:after="0" w:line="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Sponsors of drugs designated as fast track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Approval will be subject to the requirement that the applicant study the drug further to verify and describe its clinical benefit where there is uncertainty as to the relation of the surrogate endpoint to clinical benefit or uncertainty as to the relation of the observed clinical benefit to ultimate outcome. Post-marketing studies are usually underway at the time an applicant files the NDA. When required to be conducted, such post-marketing studies must also be adequate and well-controlled. The applicant must carry out any such post-marketing studies with due diligence. Many companies who have been granted the right to utilize an accelerated approval approach have failed to obtain approval. Moreover, negative or inconclusive results from the clinical trials we hope to conduct or adverse medical events could cause us to have to repeat or terminate the clinical trials. Accordingly, we may not be able to complete the clinical trials within an acceptable time frame, if at all, and, therefore, could not submit the NDA to the FDA or foreign regulatory authorities for marketing approval.</w:t>
      </w:r>
    </w:p>
    <w:p>
      <w:pPr>
        <w:spacing w:after="0" w:line="167"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Clinical testing must meet requirements for institutional review board oversight, informed consent and good clinical practices, and must be conducted pursuant to an IND, unless exempted.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NDA approval, clinical trials are typically conducted in the following sequential phases:</w:t>
      </w:r>
    </w:p>
    <w:p>
      <w:pPr>
        <w:spacing w:after="0" w:line="225" w:lineRule="exact"/>
        <w:rPr>
          <w:sz w:val="20"/>
          <w:szCs w:val="20"/>
          <w:color w:val="auto"/>
        </w:rPr>
      </w:pPr>
    </w:p>
    <w:p>
      <w:pPr>
        <w:ind w:left="980" w:right="7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drug is administered to a small group of humans, either healthy volunteers or patients, to test for safety, dosage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excretion, and clinical pharmacology.</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Studies are conducted on a larger number of patients to assess the efficacy of the product, to ascertain dose tolerance and the optimal</w:t>
      </w:r>
      <w:r>
        <w:rPr>
          <w:rFonts w:ascii="Arial" w:cs="Arial" w:eastAsia="Arial" w:hAnsi="Arial"/>
          <w:sz w:val="18"/>
          <w:szCs w:val="18"/>
          <w:i w:val="1"/>
          <w:iCs w:val="1"/>
          <w:color w:val="auto"/>
        </w:rPr>
        <w:t xml:space="preserve"> </w:t>
      </w:r>
      <w:r>
        <w:rPr>
          <w:rFonts w:ascii="Arial" w:cs="Arial" w:eastAsia="Arial" w:hAnsi="Arial"/>
          <w:sz w:val="18"/>
          <w:szCs w:val="18"/>
          <w:color w:val="auto"/>
        </w:rPr>
        <w:t>dose range, and to gather additional data relating to safety and potential adverse events.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Studies establish safety and efficacy in an expanded patient population.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The FDA may require Phase 4 post-marketing studies to find out more about the drug’s long-term risks, benefits, and optimal use, or to</w:t>
      </w:r>
      <w:r>
        <w:rPr>
          <w:rFonts w:ascii="Arial" w:cs="Arial" w:eastAsia="Arial" w:hAnsi="Arial"/>
          <w:sz w:val="18"/>
          <w:szCs w:val="18"/>
          <w:i w:val="1"/>
          <w:iCs w:val="1"/>
          <w:color w:val="auto"/>
        </w:rPr>
        <w:t xml:space="preserve"> </w:t>
      </w:r>
      <w:r>
        <w:rPr>
          <w:rFonts w:ascii="Arial" w:cs="Arial" w:eastAsia="Arial" w:hAnsi="Arial"/>
          <w:sz w:val="18"/>
          <w:szCs w:val="18"/>
          <w:color w:val="auto"/>
        </w:rPr>
        <w:t>test the drug in different populations.</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181" w:lineRule="exact"/>
        <w:rPr>
          <w:sz w:val="20"/>
          <w:szCs w:val="20"/>
          <w:color w:val="auto"/>
        </w:rPr>
      </w:pPr>
    </w:p>
    <w:p>
      <w:pPr>
        <w:ind w:left="980" w:right="9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slow patient enrollment due to the nature of the clinical trial plan, the proximity of patients to clinical sites, the eligibility criteria for participation in the study or other factors;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 or delays in approvals from a study site’s review board;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treatment time required to demonstrate efficacy or determine the appropriate product dose;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6" w:name="page17"/>
    <w:bookmarkEnd w:id="16"/>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insufficient supply of the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ineffectiveness of the drug candidates.</w:t>
      </w:r>
    </w:p>
    <w:p>
      <w:pPr>
        <w:spacing w:after="0" w:line="225"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the course of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Sponsors of drugs may apply for an SPA from the FDA. The SPA process is a procedure by which the FDA provides official evaluation and written guidance on the design and size of proposed protocols that are intended to form the basis for a new drug application. However,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spacing w:after="0" w:line="1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Before receiving FDA approval to market a product, we must demonstrate that the product is safe and effective for its intended use by submitting to the FDA an NDA containing the pre-clinical and clinical data that have been accumulated, together with chemistry and manufacturing and controls specifications and information, and proposed labeling, among other things. The FDA may refuse to accept an NDA for filing if certain content criteria are not met and, even after accepting an NDA, the FDA may often require additional information, including clinical data, before approval of marketing a product.</w:t>
      </w:r>
    </w:p>
    <w:p>
      <w:pPr>
        <w:spacing w:after="0" w:line="154"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It is also becoming more common for the FDA to request a Risk Evaluation and Mitigation Strategy, or REMS, as part of a NDA. The REMS plan contains post-market obligations of the sponsor to train prescribing physicians, monitor off-label drug use, and conduct sufficient Phase 4 follow-up studies and registries to ensure the continued safe use of the drug.</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part of the approval process, the FDA must inspect and approve each manufacturing facility. Among the conditions of approval is the requirement that a manufacturer’s quality control and manufacturing procedures conform to cGMP. Manufacturers must expend significant time, money and effort to ensure continued compliance, and the FDA conducts periodic inspections to certify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the FDA grants approval, the approval will be limited to those disease states, conditions and patient populations for which the product is safe and effective, as demonstrated through clinical studies. Further, a product may be marketed only in those dosage forms and for those indications approved in the NDA. Certain changes to an approved NDA, including, with certain exceptions, any significant changes to labeling, require approval of a supplemental application before the drug may be marketed as changed. Any products that we manufacture or distribute pursuant to FDA approvals are subject to continuing monitoring and regulation by the FDA, including compliance with cGMP and the reporting of adverse experiences with the drugs. The nature of marketing claims that the FDA will permit us to make in the labeling and advertising of our products will generally be limited to those specified in FDA approved labeling, and the advertising of our products will be subject to comprehensive monitoring and regulation by the FDA. Drugs whose review was accelerated may carry additional restrictions on marketing activities, including the requirement that all promotional materials are pre-submitted to the FDA. Claims exceeding those contained in approved labeling will constitute a violation of the FDCA. Violations of the FDCA or regulatory requirements at any time during the product development process, approval process, or marketing and sale following approval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18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At present, companies are typically required to apply for foreign marketing authorizations at a national level. However, within the European Union, registration procedures are available to companies wishing to market a product in more than one European Union member state.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ind w:right="80" w:firstLine="648"/>
        <w:spacing w:after="0" w:line="259" w:lineRule="auto"/>
        <w:rPr>
          <w:sz w:val="20"/>
          <w:szCs w:val="20"/>
          <w:color w:val="auto"/>
        </w:rPr>
      </w:pPr>
      <w:r>
        <w:rPr>
          <w:rFonts w:ascii="Arial" w:cs="Arial" w:eastAsia="Arial" w:hAnsi="Arial"/>
          <w:sz w:val="18"/>
          <w:szCs w:val="18"/>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1, 2013, we had 6 full and part-time employees. None of our employees are represented by a collective bargaining agreement, and we have never experienced a work stoppage. We consider our relations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You should carefully consider the following risks and uncertainties. If any of the following occurs,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You should carefully consider the following risk factors and the other information contained elsewhere in this Annual Report before making an investment in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Company’s Business and Industry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the Company has in-licensed its product candidates from third parties, any dispute with or non-performance by its licensors will adversely affect its ability to develop and commercialize the applicable product candidates.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order to submit an Investigational New Drug application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While we maintain an active IND for ublituximab and TGR-1202 enabling the conduct of studies in the FDA’s Division of Hematology and Oncology; there can be no assurance given that we will be successful in obtaining an active IND for ublituximab or TGR-1202 in any other division under whose supervision we may seek to develop our product candidates, or that the FDA will allow us to continue the development of our product candidates in those divisions where we maintain an active IND.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8" w:name="page19"/>
    <w:bookmarkEnd w:id="18"/>
    <w:p>
      <w:pPr>
        <w:ind w:right="42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attrition from the failure of pharmaceutical candidates proceeding through clinical trials.</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plan on conducting additional Phase I, II and III clinical trials for ublituximab. Early clinical results seen with ublituximab in a small number of patients may not be reproduced in larger clinical trials. Additionally, individually reported outcomes of patients treated in clinical trials may not be representative of the entire population of treated patients in such studies. If the results from later trials are different from those found in the earlier studies of ublituximab, we may need to terminate or revise our clinical development plan, which could extend the time for conducting our development program and could have a material adverse effect on our business.</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TGR-1202 has only recently entered into a first-in-human Phase I clinical trial. At this time it is difficult to predict TGR-1202’s pharmacologic properties in humans and whether it will be able to inhibit PI3k delta in humans. We will assess such pharmacologic properties in our first in human phase 1 study. There can be no assurances given that TGR-1202 will exhibit sufficient pharmacologic properties following review of the initial data from this first Phase 1 study to support further development of TGR-1202. Furthermore, such pharmacologic data arising from this first Phase 1 study may be inconclusive or not reproducible in later clinical trials. In such situation, we may conduct additional clinical trials only to learn later that TGR-1202 lacks adequate pharmacologic properties. Additionally, even if we believed that TGR-1202 possessed adequate pharmacologic properties, that still does not ensure that TGR-1202 will be a safe, active, or effective pharmaceutical agent. If TGR-1202 were ultimately determined to lack adequate pharmacologic properties or fail to be a safe, active, or effective pharmaceutical agent, we would have to cease development, which could have a material adverse effect on our business. In such event, despite the rights we retain to back-up compounds, our PI3k Delta program would be significantly delayed or terminated.</w:t>
      </w:r>
    </w:p>
    <w:p>
      <w:pPr>
        <w:spacing w:after="0" w:line="16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4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its product candidates. To date, clinical trials using ublituximab and our other product candidates have demonstrated a toxicity profile that was deemed acceptable by the investigators performing such studies. Such interpretation may not be shared by future investigators or by the FDA and in the case of ublituximab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ublituximab, the toxicity when manufactured under different conditions is not known, nor is the toxicity of transgenically derived ublituximab, and it is possible that additional and/or different adverse events may appear upon the human use of those formulations and those adverse events may arise with greater frequency, intensity and duration than in the current formulation. With respect to TGR-1202, we are unfamiliar with the adverse event profile as it has only recently been dosed in humans. If any of our product candidates cause unacceptable adverse events in clinical trials, we may not be able to obtain marketing approval and generate revenues from its sale, which could have a material adverse impact on the Company.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ind w:right="16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its ability to pursue regulatory approval.</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its product candidates.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the Company and the FDA must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1" w:name="page22"/>
    <w:bookmarkEnd w:id="21"/>
    <w:p>
      <w:pPr>
        <w:ind w:left="980" w:right="240" w:hanging="324"/>
        <w:spacing w:after="0" w:line="25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Delays in the completion of clinical testing could result in increased costs to the Company and delay our ability to generate product revenues.</w:t>
      </w:r>
    </w:p>
    <w:p>
      <w:pPr>
        <w:spacing w:after="0" w:line="24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Institutional Review Board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right="18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product candidates are in the initial stages of development and are currently manufactured in small batches for use in pre-clinical and clinical studies. Process improvements implemented to date have,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including without limitation, the introduction of transgenically derived ublituximab.</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our competitors develop treatments for the target indications for which any of our product candidates may be approved, that are approved more quickly, marketed more effectively or demonstrated to be more effective than our product candidates, our commercial opportunity will be reduced or eliminated.</w:t>
      </w:r>
    </w:p>
    <w:p>
      <w:pPr>
        <w:spacing w:after="0" w:line="10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620" w:firstLine="648"/>
        <w:spacing w:after="0" w:line="210" w:lineRule="auto"/>
        <w:rPr>
          <w:sz w:val="20"/>
          <w:szCs w:val="20"/>
          <w:color w:val="auto"/>
        </w:rPr>
      </w:pPr>
      <w:r>
        <w:rPr>
          <w:rFonts w:ascii="Arial" w:cs="Arial" w:eastAsia="Arial" w:hAnsi="Arial"/>
          <w:sz w:val="16"/>
          <w:szCs w:val="16"/>
          <w:color w:val="auto"/>
        </w:rPr>
        <w:t>If approved, we expect TG-1101 to compete directly with Roche Group’s Rituxan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(Rituximab), Spectrum Pharmaceutical’s Zevalin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(Y</w:t>
      </w:r>
      <w:r>
        <w:rPr>
          <w:rFonts w:ascii="Arial" w:cs="Arial" w:eastAsia="Arial" w:hAnsi="Arial"/>
          <w:sz w:val="26"/>
          <w:szCs w:val="26"/>
          <w:color w:val="auto"/>
          <w:vertAlign w:val="superscript"/>
        </w:rPr>
        <w:t>90</w:t>
      </w:r>
      <w:r>
        <w:rPr>
          <w:rFonts w:ascii="Arial" w:cs="Arial" w:eastAsia="Arial" w:hAnsi="Arial"/>
          <w:sz w:val="16"/>
          <w:szCs w:val="16"/>
          <w:color w:val="auto"/>
        </w:rPr>
        <w:t>-Ibritumomab Tiuxetan), GlaxoSmithKline’s Bexxar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w:t>
      </w:r>
      <w:r>
        <w:rPr>
          <w:rFonts w:ascii="Arial" w:cs="Arial" w:eastAsia="Arial" w:hAnsi="Arial"/>
          <w:sz w:val="26"/>
          <w:szCs w:val="26"/>
          <w:color w:val="auto"/>
          <w:vertAlign w:val="superscript"/>
        </w:rPr>
        <w:t>131</w:t>
      </w:r>
      <w:r>
        <w:rPr>
          <w:rFonts w:ascii="Arial" w:cs="Arial" w:eastAsia="Arial" w:hAnsi="Arial"/>
          <w:sz w:val="16"/>
          <w:szCs w:val="16"/>
          <w:color w:val="auto"/>
        </w:rPr>
        <w:t>-Tositumomab), Dr. Reddy’s Laboratories’ Reditux</w:t>
      </w:r>
      <w:r>
        <w:rPr>
          <w:rFonts w:ascii="Arial" w:cs="Arial" w:eastAsia="Arial" w:hAnsi="Arial"/>
          <w:sz w:val="26"/>
          <w:szCs w:val="26"/>
          <w:color w:val="auto"/>
          <w:vertAlign w:val="superscript"/>
        </w:rPr>
        <w:t>®</w:t>
      </w:r>
      <w:r>
        <w:rPr>
          <w:rFonts w:ascii="Arial" w:cs="Arial" w:eastAsia="Arial" w:hAnsi="Arial"/>
          <w:sz w:val="16"/>
          <w:szCs w:val="16"/>
          <w:color w:val="auto"/>
        </w:rPr>
        <w:t>, and Genmab and GlaxoSmithKline’s</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(Ofatumomab) among others, each of which is currently approved for the treatment of various diseases including NHL and CLL. In addition, a number of pharmaceutical companies are developing anti-CD20 antibodies which, if approved, would potentially compete with TG-1101, including, but not limited to, GA-101 (obinutuzumab), under clinical development by the Roche Group. New developments, including the development of other pharmaceutical technologies and methods of treating disease, occur in the pharmaceutical and life sciences industries at a rapid pace.</w:t>
      </w:r>
    </w:p>
    <w:p>
      <w:pPr>
        <w:spacing w:after="0" w:line="20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With respect to TGR-1202, although no PI3K delta inhibitors have been approved by the FDA, there are several PI3K delta targeted compounds in development, including, but not limited to, Gilead’s GS-1101 (formerly known as CAL-101), Infinity Pharmaceuticals IPI-145 and Amgen’s AMG-319,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(under clinical development by Pharmacyclics), or the blc-2 inhibitor ABT-199 (under clinical development by Abbott Laboratories).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right="540" w:firstLine="648"/>
        <w:spacing w:after="0" w:line="25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specifications and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at an appropriate scale and cost to make it commercially feasible. If they are unable to do so, it could have a material adverse impact on our business. If that is the case, we may need to rely exclusively on transgenically manufactured material, which may introduce additional risk and uncertainty the extent of which cannot be fully determined today.</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Company does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the Company’s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the Company’s current or future supply of any or our product candidates should fail to meet specifications during its stability program there could be a significant interruption of our supply of drug, which would adversely affect the Company’s clinical development and commercialization of the product. Regarding ublituximab, the proprietary transgenic technology that supports the manufacture of transgenically derived ublituximab is not easily transferrable, if at all, and it is expected that GTC will be the sole supplier of transgenically derived ublituximab at a single site for the foreseeable future.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the Company or its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any product candidate that the Company successfully develops does not achieve broad market acceptance among physicians, patients, healthcare payors, and the medical community, the revenues that we generate from its sales will be limited.</w:t>
      </w:r>
    </w:p>
    <w:p>
      <w:pPr>
        <w:spacing w:after="0" w:line="14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the Company, we may incur substantial liabilities and may be required to limit commercialization of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the Company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17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5" w:name="page26"/>
    <w:bookmarkEnd w:id="25"/>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the Company could cause its stock price to decline and, if judgments exceed our insurance coverage, could decrease our cash and adversely affect our business.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17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ind w:right="14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The Company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taxes that the Company is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Company will need to increase the size of its organization and the scope of our outside vendor relationships, and we may experience difficulties in managing this growth.</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of March 1, 2013, the Company has 6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utilize the services of outside vendors or consultants to perform tasks including clinical trial management, statistics and analysis, regulatory affairs, formulation development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the Company is not able to effectively expand its organization by hiring new employees and expanding its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Company fails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the Company continues to expand its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the Company is not able to attract and retain the necessary personnel to accomplish its business objectives, we may experience constraints that will impede significantly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b w:val="1"/>
          <w:bCs w:val="1"/>
          <w:i w:val="1"/>
          <w:iCs w:val="1"/>
          <w:color w:val="auto"/>
        </w:rPr>
        <w:t>If the Company fails to comply with healthcare regulations, it could face substantial penalties and its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Company uses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filing are based on the assumption of further financing.</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timelines and projections in this filing are predicated upon the assumption that we will raise additional financing in the future to continue the development of our product candidates. In the event the Company does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such as the Exchange Transaction between the Company and TG Bio and the Collaboration Agreement between the Company and Rhizen. Acquisitions, investments and strategic alliances involve a number of special problems and risks, including, but not limited to:</w:t>
      </w:r>
    </w:p>
    <w:p>
      <w:pPr>
        <w:spacing w:after="0" w:line="16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2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Intellectual Property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Company’s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Currently, the composition of matter patent and several method of use patents for ublituximab and TGR-1202 in various indications and settings have been applied for but have not yet been issued. The patent application process is subject to numerous risks and uncertainties, and there can be no assurance that we or our partners will be successful in protecting our product candidates by obtaining and defending patents.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6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March 16, 2013, the U.S. will convert from a “first to invent” to a “first to file” system. After this time if we do not win the filing race, we will not be entitled to inventive priority;</w:t>
      </w:r>
    </w:p>
    <w:p>
      <w:pPr>
        <w:ind w:left="980" w:right="40" w:hanging="324"/>
        <w:spacing w:after="0" w:line="25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9" w:name="page30"/>
    <w:bookmarkEnd w:id="29"/>
    <w:p>
      <w:pPr>
        <w:jc w:val="both"/>
        <w:ind w:left="980" w:right="260" w:hanging="324"/>
        <w:spacing w:after="0" w:line="25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ind w:left="980" w:right="720" w:hanging="324"/>
        <w:spacing w:after="0" w:line="261"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If the Company or its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ublituximab.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ublituximab, then we will need to either prevail in a litigation to challenge those patents or negotiate a settlement agreement with the patent holders. If we are unable to do so we may be forced to delay the launch of ublituximab or launch at the risk of litigation for patent infringement, which may have a material adverse effect on the Company.</w:t>
      </w:r>
    </w:p>
    <w:p>
      <w:pPr>
        <w:spacing w:after="0" w:line="19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4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0" w:name="page31"/>
    <w:bookmarkEnd w:id="30"/>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its management and other employees. We may not be able to prevent, alone or with our licensors, misappropriation of our trade secrets or confidential information, particularly in countries where the laws may not protect those rights as fully as in the United States. Moreover, as of March 16, 2013, the U.S. will convert from a “first to invent” to a “first to file” system. After that time, should there be any innovations that we invented first, but on which we filed the patent application second, we will have limited options available to reclaim invention priority.</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Company may be subject to claims that its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the Company has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Company’s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will need to raise additional capital to continue to operate its business.</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As of December 31, 2012, we had net cash on hand of approximately $16,456,000. We believe that our cash on hand will sustain our operations for approximately the next 18 months. As a result, we will need additional capital to continue our operations beyond that time. We will need to seek additional sources of financing in the future, which might not be available on favorable terms, if at all, to continue our operations.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the Company’s equity securities, which would have a dilutive effect on your holdings of our capital stock.</w:t>
      </w:r>
    </w:p>
    <w:p>
      <w:pPr>
        <w:spacing w:after="0" w:line="17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right="50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it will become profitable, if ever.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The Company’s prospects must be considered in light of the uncertainties, risks, expenses and difficulties frequently encountered by companies in their early stages of operations and the competitive environment in which we operate.</w:t>
      </w:r>
    </w:p>
    <w:p>
      <w:pPr>
        <w:spacing w:after="0" w:line="18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has never been profitable and, as of December 31, 2012, we had an accumulated deficit of approximately $18,926,000. We have generated operating losses in all periods since the Company was incorporated. We expect to make substantial expenditures resulting in increasing operating costs in the future and our accumulated deficit may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completion of preclinical studies of its product candidates;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its product candidates and any future product candidates we advance into clinical trials;</w:t>
      </w:r>
    </w:p>
    <w:p>
      <w:pPr>
        <w:ind w:left="980" w:right="42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the Company is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3" w:lineRule="exact"/>
        <w:rPr>
          <w:sz w:val="20"/>
          <w:szCs w:val="20"/>
          <w:color w:val="auto"/>
        </w:rPr>
      </w:pPr>
    </w:p>
    <w:p>
      <w:pPr>
        <w:ind w:left="980" w:right="240" w:hanging="324"/>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2" w:name="page33"/>
    <w:bookmarkEnd w:id="32"/>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Until the Company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50%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global economic crisis, which affected stock prices of many companies, and particularly many small pharmaceutical companies like ours;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3" w:name="page34"/>
    <w:bookmarkEnd w:id="33"/>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is not listed on a national exchange and there is a limited market for the Common Stock which may make it more difficult for you to sell your stock.</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common stock, par value $0.001 per share (the “Common Stock”), is quoted on the OTC Bulletin Board under the symbol "TGTX." There is a limited trading market for our Common Stock which negatively impacts the liquidity of our Common Stock not only in terms of the number of shares that can be bought and sold at a given price, but also through delays in the timing of transactions and reduction in security analysts’ and the media’s coverage of us. Accordingly, there can be no assurance as to the liquidity of any markets that may develop for the Common Stock, the ability of holders of our Common Stock to sell the Common Stock, or the prices at which holders may be able to sell the Common Stock.</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fact that our Common Stock is not listed on a national exchange may negatively impact our ability to attract investors and to use our Common Stock to raise capital to fund our operations.</w:t>
      </w:r>
    </w:p>
    <w:p>
      <w:pPr>
        <w:spacing w:after="0" w:line="170"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In order to maintain liquidity in our Common Stock, we depend upon the continuing availability of a market on which our securities may be traded. We need to raise substantial additional funds in the future to continue our operations and the fact that our Common Stock is not listed on a national exchange may impact our ability to attract investors and to use our Common Stock to raise sufficient capital to continue to fund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file periodic reports with the SEC our common stock may be removed from the OTCBB.</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Pursuant to the Over-The-Counter Bulletin Board ("OTCBB") rules relating to the timely filing of periodic reports with the SEC, any OTCBB issuer which fails to file a periodic report (Form 10-Qs or 10-Ks) by the due date of such report (as extended by the filing of a Form 12b-25), three (3) times during any twenty-four (24) month period is automatically de-listed from the OTCBB. In the event an issuer is de-listed, such issuer would not be eligible to be re-listed on the OTCBB for a period of one-year, during which time any subsequent late filing would reset the one-year period of de-listing. If the Company is late in its filings three (3) times in any twenty-four (24) month period and is de-listed from the OTCBB, the Common Stock would likely be listed for trading only on the “Pink Sheets,” which generally provide an even less liquid market than the OTCBB. In such event, investors may find it more difficult to trade the Common Stock or to obtain accurate, current information concerning market prices for the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w:t>
      </w:r>
    </w:p>
    <w:p>
      <w:pPr>
        <w:spacing w:after="0" w:line="225"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Management has identified a material weakness in our internal control over financial reporting as defined in the Public Company Accounting Oversight Board’s Auditing Standard No. 5. See “Item 9A. Controls and Procedures.” The material weakness in our internal control over financial reporting relates to an inadequate segregation of duties, as all financial and accounting duties are performed by our Chief Financial Officer. We intend to address this deficiency by hiring additional accounting personnel in 2013 to remediate the segregation of duties issue. We cannot provide assurances that additional significant deficiencies or material weaknesses in our internal control over financial reporting will not be identified in the future.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of market fraud.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OTCBB securities are frequent targets of fraud or market manipulation. Not only because of their generally low price, but also because the OTCBB reporting requirements for these securities are less stringent than for listed or NASDAQ traded securities, and no exchange requirements are imposed. Dealers may dominate the market and set prices that are not based on competitive forces. Individuals or groups may create fraudulent markets and control the sudden, sharp increase of price and trading volume and the equally sudden collapse of market prices.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Penny stock regulations may impose certain restrictions on marketability of our securities.</w:t>
      </w:r>
    </w:p>
    <w:p>
      <w:pPr>
        <w:spacing w:after="0" w:line="22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Securities and Exchange Commission has adopted Rule 15g-9 which establishes the definition of a “penny stock,” for the purposes relevant to us, as any equity security that has a market price of less than $5.00 per share or with an exercise price of less than $5.00 per share, subject to certain exceptions. For any transaction involving a penny stock, unless exempt, the rules require:</w:t>
      </w: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9"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broker or dealer receives from the investor a written agreement to the transaction, setting forth the identity and quantity of the penny stock to be purchased.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3"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9" w:lineRule="exact"/>
        <w:rPr>
          <w:rFonts w:ascii="Arial" w:cs="Arial" w:eastAsia="Arial" w:hAnsi="Arial"/>
          <w:sz w:val="18"/>
          <w:szCs w:val="18"/>
          <w:color w:val="auto"/>
        </w:rPr>
      </w:pPr>
    </w:p>
    <w:p>
      <w:pPr>
        <w:ind w:left="980" w:right="220" w:hanging="324"/>
        <w:spacing w:after="0" w:line="261"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4"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1"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also must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3" w:lineRule="exact"/>
        <w:rPr>
          <w:sz w:val="20"/>
          <w:szCs w:val="20"/>
          <w:color w:val="auto"/>
        </w:rPr>
      </w:pPr>
    </w:p>
    <w:p>
      <w:pPr>
        <w:ind w:right="120" w:firstLine="648"/>
        <w:spacing w:after="0" w:line="221" w:lineRule="auto"/>
        <w:rPr>
          <w:sz w:val="20"/>
          <w:szCs w:val="20"/>
          <w:color w:val="auto"/>
        </w:rPr>
      </w:pPr>
      <w:r>
        <w:rPr>
          <w:rFonts w:ascii="Arial" w:cs="Arial" w:eastAsia="Arial" w:hAnsi="Arial"/>
          <w:sz w:val="18"/>
          <w:szCs w:val="18"/>
          <w:color w:val="auto"/>
        </w:rPr>
        <w:t>Our corporate and executive office is located in New York, New York. Our New York facility consists of office space at 787 Seventh Avenue, 48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10019. We are not currently under a lease agreement at 787 Seventh Avenue. We believe that our existing facilities are adequate to meet our current requirements. We do not own any real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common stock is listed on the Over the Counter Bulletin Board (“OTCBB”) and effective January 12, 2012 traded under the symbol “TGTX.” Prior to January 12, 2012 the Company was trading under the symbol “MHAN.”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closing sale prices of our common stock for the periods indicated.</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Low</w:t>
            </w:r>
          </w:p>
        </w:tc>
      </w:tr>
      <w:tr>
        <w:trPr>
          <w:trHeight w:val="190"/>
        </w:trPr>
        <w:tc>
          <w:tcPr>
            <w:tcW w:w="4580" w:type="dxa"/>
            <w:vAlign w:val="bottom"/>
            <w:tcBorders>
              <w:top w:val="single" w:sz="8" w:color="CCFFCC"/>
            </w:tcBorders>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Fiscal Year Ended December 31, 2012</w:t>
            </w:r>
          </w:p>
        </w:tc>
        <w:tc>
          <w:tcPr>
            <w:tcW w:w="1700" w:type="dxa"/>
            <w:vAlign w:val="bottom"/>
            <w:tcBorders>
              <w:top w:val="single" w:sz="8" w:color="CCFFCC"/>
            </w:tcBorders>
            <w:shd w:val="clear" w:color="auto" w:fill="CCFFCC"/>
          </w:tcPr>
          <w:p>
            <w:pPr>
              <w:spacing w:after="0"/>
              <w:rPr>
                <w:sz w:val="16"/>
                <w:szCs w:val="16"/>
                <w:color w:val="auto"/>
              </w:rPr>
            </w:pPr>
          </w:p>
        </w:tc>
        <w:tc>
          <w:tcPr>
            <w:tcW w:w="260" w:type="dxa"/>
            <w:vAlign w:val="bottom"/>
            <w:tcBorders>
              <w:top w:val="single" w:sz="8" w:color="auto"/>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28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r>
      <w:tr>
        <w:trPr>
          <w:trHeight w:val="216"/>
        </w:trPr>
        <w:tc>
          <w:tcPr>
            <w:tcW w:w="28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Fourth Quarter</w:t>
            </w:r>
          </w:p>
        </w:tc>
        <w:tc>
          <w:tcPr>
            <w:tcW w:w="1700" w:type="dxa"/>
            <w:vAlign w:val="bottom"/>
            <w:tcBorders>
              <w:top w:val="single" w:sz="8" w:color="CCFFCC"/>
            </w:tcBorders>
          </w:tcPr>
          <w:p>
            <w:pPr>
              <w:spacing w:after="0"/>
              <w:rPr>
                <w:sz w:val="18"/>
                <w:szCs w:val="18"/>
                <w:color w:val="auto"/>
              </w:rPr>
            </w:pPr>
          </w:p>
        </w:tc>
        <w:tc>
          <w:tcPr>
            <w:tcW w:w="1960" w:type="dxa"/>
            <w:vAlign w:val="bottom"/>
            <w:tcBorders>
              <w:top w:val="single" w:sz="8" w:color="CCFFCC"/>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3.64</w:t>
            </w:r>
          </w:p>
        </w:tc>
        <w:tc>
          <w:tcPr>
            <w:tcW w:w="460" w:type="dxa"/>
            <w:vAlign w:val="bottom"/>
            <w:tcBorders>
              <w:top w:val="single" w:sz="8" w:color="CCFFCC"/>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FFCC"/>
            </w:tcBorders>
          </w:tcPr>
          <w:p>
            <w:pPr>
              <w:spacing w:after="0"/>
              <w:rPr>
                <w:sz w:val="18"/>
                <w:szCs w:val="18"/>
                <w:color w:val="auto"/>
              </w:rPr>
            </w:pPr>
          </w:p>
        </w:tc>
      </w:tr>
      <w:tr>
        <w:trPr>
          <w:trHeight w:val="216"/>
        </w:trPr>
        <w:tc>
          <w:tcPr>
            <w:tcW w:w="45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w:t>
            </w:r>
          </w:p>
        </w:tc>
        <w:tc>
          <w:tcPr>
            <w:tcW w:w="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FFCC"/>
          </w:tcPr>
          <w:p>
            <w:pPr>
              <w:spacing w:after="0"/>
              <w:rPr>
                <w:sz w:val="18"/>
                <w:szCs w:val="18"/>
                <w:color w:val="auto"/>
              </w:rPr>
            </w:pPr>
          </w:p>
        </w:tc>
      </w:tr>
      <w:tr>
        <w:trPr>
          <w:trHeight w:val="216"/>
        </w:trPr>
        <w:tc>
          <w:tcPr>
            <w:tcW w:w="4580" w:type="dxa"/>
            <w:vAlign w:val="bottom"/>
            <w:gridSpan w:val="2"/>
          </w:tcPr>
          <w:p>
            <w:pPr>
              <w:ind w:left="160"/>
              <w:spacing w:after="0"/>
              <w:rPr>
                <w:sz w:val="20"/>
                <w:szCs w:val="20"/>
                <w:color w:val="auto"/>
              </w:rPr>
            </w:pPr>
            <w:r>
              <w:rPr>
                <w:rFonts w:ascii="Arial" w:cs="Arial" w:eastAsia="Arial" w:hAnsi="Arial"/>
                <w:sz w:val="18"/>
                <w:szCs w:val="18"/>
                <w:color w:val="auto"/>
              </w:rPr>
              <w:t>Second Quarter</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33.19</w:t>
            </w:r>
          </w:p>
        </w:tc>
        <w:tc>
          <w:tcPr>
            <w:tcW w:w="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FFCC"/>
          </w:tcPr>
          <w:p>
            <w:pPr>
              <w:spacing w:after="0"/>
              <w:rPr>
                <w:sz w:val="18"/>
                <w:szCs w:val="18"/>
                <w:color w:val="auto"/>
              </w:rPr>
            </w:pPr>
          </w:p>
        </w:tc>
      </w:tr>
    </w:tbl>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Low</w:t>
            </w:r>
          </w:p>
        </w:tc>
      </w:tr>
      <w:tr>
        <w:trPr>
          <w:trHeight w:val="190"/>
        </w:trPr>
        <w:tc>
          <w:tcPr>
            <w:tcW w:w="20" w:type="dxa"/>
            <w:vAlign w:val="bottom"/>
            <w:tcBorders>
              <w:bottom w:val="single" w:sz="8" w:color="auto"/>
            </w:tcBorders>
          </w:tcPr>
          <w:p>
            <w:pPr>
              <w:spacing w:after="0"/>
              <w:rPr>
                <w:sz w:val="16"/>
                <w:szCs w:val="16"/>
                <w:color w:val="auto"/>
              </w:rPr>
            </w:pPr>
          </w:p>
        </w:tc>
        <w:tc>
          <w:tcPr>
            <w:tcW w:w="2860" w:type="dxa"/>
            <w:vAlign w:val="bottom"/>
            <w:tcBorders>
              <w:top w:val="single" w:sz="8" w:color="CCFFCC"/>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b w:val="1"/>
                <w:bCs w:val="1"/>
                <w:color w:val="auto"/>
                <w:w w:val="88"/>
              </w:rPr>
              <w:t>Fiscal Year Ended December 31, 2011</w:t>
            </w:r>
          </w:p>
        </w:tc>
        <w:tc>
          <w:tcPr>
            <w:tcW w:w="1700" w:type="dxa"/>
            <w:vAlign w:val="bottom"/>
            <w:tcBorders>
              <w:top w:val="single" w:sz="8" w:color="CCFFCC"/>
              <w:bottom w:val="single" w:sz="8" w:color="CCFFCC"/>
            </w:tcBorders>
            <w:shd w:val="clear" w:color="auto" w:fill="CCFFCC"/>
          </w:tcPr>
          <w:p>
            <w:pPr>
              <w:spacing w:after="0"/>
              <w:rPr>
                <w:sz w:val="16"/>
                <w:szCs w:val="16"/>
                <w:color w:val="auto"/>
              </w:rPr>
            </w:pPr>
          </w:p>
        </w:tc>
        <w:tc>
          <w:tcPr>
            <w:tcW w:w="1700" w:type="dxa"/>
            <w:vAlign w:val="bottom"/>
            <w:tcBorders>
              <w:top w:val="single" w:sz="8" w:color="CCFFCC"/>
              <w:bottom w:val="single" w:sz="8" w:color="CCFFCC"/>
            </w:tcBorders>
            <w:shd w:val="clear" w:color="auto" w:fill="CCFFCC"/>
          </w:tcPr>
          <w:p>
            <w:pPr>
              <w:spacing w:after="0"/>
              <w:rPr>
                <w:sz w:val="16"/>
                <w:szCs w:val="16"/>
                <w:color w:val="auto"/>
              </w:rPr>
            </w:pPr>
          </w:p>
        </w:tc>
        <w:tc>
          <w:tcPr>
            <w:tcW w:w="260" w:type="dxa"/>
            <w:vAlign w:val="bottom"/>
            <w:tcBorders>
              <w:top w:val="single" w:sz="8" w:color="auto"/>
              <w:bottom w:val="single" w:sz="8" w:color="CCFFCC"/>
            </w:tcBorders>
            <w:shd w:val="clear" w:color="auto" w:fill="CCFFCC"/>
          </w:tcPr>
          <w:p>
            <w:pPr>
              <w:spacing w:after="0"/>
              <w:rPr>
                <w:sz w:val="16"/>
                <w:szCs w:val="16"/>
                <w:color w:val="auto"/>
              </w:rPr>
            </w:pPr>
          </w:p>
        </w:tc>
        <w:tc>
          <w:tcPr>
            <w:tcW w:w="1000" w:type="dxa"/>
            <w:vAlign w:val="bottom"/>
            <w:tcBorders>
              <w:top w:val="single" w:sz="8" w:color="auto"/>
              <w:bottom w:val="single" w:sz="8" w:color="CCFFCC"/>
            </w:tcBorders>
            <w:shd w:val="clear" w:color="auto" w:fill="CCFFCC"/>
          </w:tcPr>
          <w:p>
            <w:pPr>
              <w:spacing w:after="0"/>
              <w:rPr>
                <w:sz w:val="16"/>
                <w:szCs w:val="16"/>
                <w:color w:val="auto"/>
              </w:rPr>
            </w:pPr>
          </w:p>
        </w:tc>
        <w:tc>
          <w:tcPr>
            <w:tcW w:w="180" w:type="dxa"/>
            <w:vAlign w:val="bottom"/>
            <w:tcBorders>
              <w:top w:val="single" w:sz="8" w:color="CCFFCC"/>
              <w:bottom w:val="single" w:sz="8" w:color="CCFFCC"/>
            </w:tcBorders>
            <w:shd w:val="clear" w:color="auto" w:fill="CCFFCC"/>
          </w:tcPr>
          <w:p>
            <w:pPr>
              <w:spacing w:after="0"/>
              <w:rPr>
                <w:sz w:val="16"/>
                <w:szCs w:val="16"/>
                <w:color w:val="auto"/>
              </w:rPr>
            </w:pPr>
          </w:p>
        </w:tc>
        <w:tc>
          <w:tcPr>
            <w:tcW w:w="280" w:type="dxa"/>
            <w:vAlign w:val="bottom"/>
            <w:tcBorders>
              <w:top w:val="single" w:sz="8" w:color="auto"/>
              <w:bottom w:val="single" w:sz="8" w:color="CCFFCC"/>
            </w:tcBorders>
            <w:shd w:val="clear" w:color="auto" w:fill="CCFFCC"/>
          </w:tcPr>
          <w:p>
            <w:pPr>
              <w:spacing w:after="0"/>
              <w:rPr>
                <w:sz w:val="16"/>
                <w:szCs w:val="16"/>
                <w:color w:val="auto"/>
              </w:rPr>
            </w:pPr>
          </w:p>
        </w:tc>
        <w:tc>
          <w:tcPr>
            <w:tcW w:w="1020" w:type="dxa"/>
            <w:vAlign w:val="bottom"/>
            <w:tcBorders>
              <w:top w:val="single" w:sz="8" w:color="auto"/>
              <w:bottom w:val="single" w:sz="8" w:color="CCFFCC"/>
            </w:tcBorders>
            <w:shd w:val="clear" w:color="auto" w:fill="CCFFCC"/>
          </w:tcPr>
          <w:p>
            <w:pPr>
              <w:spacing w:after="0"/>
              <w:rPr>
                <w:sz w:val="16"/>
                <w:szCs w:val="16"/>
                <w:color w:val="auto"/>
              </w:rPr>
            </w:pP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Third Quarter</w:t>
            </w:r>
          </w:p>
        </w:tc>
        <w:tc>
          <w:tcPr>
            <w:tcW w:w="1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28.69</w:t>
            </w:r>
          </w:p>
        </w:tc>
        <w:tc>
          <w:tcPr>
            <w:tcW w:w="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48.41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First Quarter</w:t>
            </w:r>
          </w:p>
        </w:tc>
        <w:tc>
          <w:tcPr>
            <w:tcW w:w="1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93.97</w:t>
            </w:r>
          </w:p>
        </w:tc>
        <w:tc>
          <w:tcPr>
            <w:tcW w:w="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37.02</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record holders of our common stock as of February 28, 2013 was 234.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future determination to pay dividends will be at the discretion of our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following table provides information as of December 31, 2012, regarding the securities authorized for issuance under our equity compensation plans, consisting of the 1995 Stock Option Plan, the 2003 Stock Option Plan, and the TG Therapeutics, Inc. Amended and Restated 2012 Incentive Plan.</w:t>
      </w:r>
    </w:p>
    <w:p>
      <w:pPr>
        <w:spacing w:after="0" w:line="12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975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ectPr>
          <w:pgSz w:w="11900" w:h="16838" w:orient="portrait"/>
          <w:cols w:equalWidth="0" w:num="1">
            <w:col w:w="11280"/>
          </w:cols>
          <w:pgMar w:left="240" w:top="87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64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23" w:lineRule="exact"/>
        <w:rPr>
          <w:sz w:val="20"/>
          <w:szCs w:val="20"/>
          <w:color w:val="auto"/>
        </w:rPr>
      </w:pPr>
    </w:p>
    <w:p>
      <w:pPr>
        <w:ind w:left="180" w:right="260" w:hanging="161"/>
        <w:spacing w:after="0" w:line="258" w:lineRule="auto"/>
        <w:rPr>
          <w:sz w:val="20"/>
          <w:szCs w:val="20"/>
          <w:color w:val="auto"/>
        </w:rPr>
      </w:pPr>
      <w:r>
        <w:rPr>
          <w:rFonts w:ascii="Arial" w:cs="Arial" w:eastAsia="Arial" w:hAnsi="Arial"/>
          <w:sz w:val="18"/>
          <w:szCs w:val="18"/>
          <w:color w:val="auto"/>
        </w:rPr>
        <w:t>Equity compensation plans approved by security holders</w:t>
      </w:r>
    </w:p>
    <w:p>
      <w:pPr>
        <w:spacing w:after="0" w:line="1"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Equity compensation plans not approved by security 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securities to be</w:t>
            </w:r>
          </w:p>
        </w:tc>
        <w:tc>
          <w:tcPr>
            <w:tcW w:w="16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Weighted-average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issued upon</w:t>
            </w:r>
          </w:p>
        </w:tc>
        <w:tc>
          <w:tcPr>
            <w:tcW w:w="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 of</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outstanding</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reflected</w:t>
            </w:r>
          </w:p>
        </w:tc>
      </w:tr>
      <w:tr>
        <w:trPr>
          <w:trHeight w:val="234"/>
        </w:trPr>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outstanding options</w:t>
            </w:r>
          </w:p>
        </w:tc>
        <w:tc>
          <w:tcPr>
            <w:tcW w:w="12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options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in column (a))</w:t>
            </w:r>
          </w:p>
        </w:tc>
      </w:tr>
      <w:tr>
        <w:trPr>
          <w:trHeight w:val="228"/>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16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414"/>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46,904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61.08</w:t>
            </w:r>
          </w:p>
        </w:tc>
        <w:tc>
          <w:tcPr>
            <w:tcW w:w="1540" w:type="dxa"/>
            <w:vAlign w:val="bottom"/>
          </w:tcPr>
          <w:p>
            <w:pPr>
              <w:jc w:val="right"/>
              <w:spacing w:after="0"/>
              <w:rPr>
                <w:sz w:val="20"/>
                <w:szCs w:val="20"/>
                <w:color w:val="auto"/>
              </w:rPr>
            </w:pPr>
            <w:r>
              <w:rPr>
                <w:rFonts w:ascii="Arial" w:cs="Arial" w:eastAsia="Arial" w:hAnsi="Arial"/>
                <w:sz w:val="18"/>
                <w:szCs w:val="18"/>
                <w:color w:val="auto"/>
              </w:rPr>
              <w:t>2,056,989</w:t>
            </w:r>
          </w:p>
        </w:tc>
      </w:tr>
      <w:tr>
        <w:trPr>
          <w:trHeight w:val="446"/>
        </w:trPr>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46,904</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61.08</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2,056,989</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-736600</wp:posOffset>
            </wp:positionV>
            <wp:extent cx="579755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7550" cy="27432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-179705</wp:posOffset>
            </wp:positionV>
            <wp:extent cx="579755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340"/>
            <w:col w:w="7160"/>
          </w:cols>
          <w:pgMar w:left="240" w:top="877" w:right="37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information about all of our equity compensation plans, see Note 5 to our Consolidated Financial Statements included in this report.</w:t>
      </w: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7" w:right="37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 In 2012, we completed two additional closings of the 2011 Equity PIPE. These closings were held on January 31, 2012, and February 24, 2012. In these closings, the Company issued 695,428 shares of our Series A preferred stock (the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all shares of preferred stock issued in the 2011 Equity PIPE were converted to Common Stock. Investors also received warrants to purchase 1,545,396 shares of Common Stock. The warrants have an exercise price of $2.25 per share and are exercisable for five years. The shares of Common Stock,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Activities Prior to the Exchange Transaction with TG Therapeutics, Inc.</w:t>
      </w:r>
    </w:p>
    <w:p>
      <w:pPr>
        <w:spacing w:after="0" w:line="229"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On February 9, 2011, the Company entered into a waiver and forbearance agreement (the “Extension Agreement”) with the requisite holders of the Secured 12% Notes whereby the holders of the notes (the “Noteholders”) agreed to forbear the exercise of their rights under the Notes and waive the default thereof until December 31, 2011. As part of the Extension Agreement, the Company agreed to take prompt steps to seek to reduce its outstanding indebtedness by permitting the Noteholders to convert the Secured 12% Notes into shares of the Company's common stock at a conversion price of $28.13 per share and to amend the terms of the warrants issued with the Secured 12 % Notes to include a full-ratchet anti-dilution feature and an exercise price of $28.13 per share. The Company obtained stockholder approval to, among other things, increase the number of its authorized common stock. The Secured</w:t>
      </w:r>
    </w:p>
    <w:p>
      <w:pPr>
        <w:spacing w:after="0" w:line="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12% Notes became convertible into common stock at a conversion price of $28.13, which triggered the antidilution rights of the warrants issued with Secured 12% Notes, the warrants issued with the Convertible 12% Note and the warrants issued in the 2010 Equity Pipe. The Secured 12% Notes and interest thereon, amounting to $676,072 at the time of conversion, converted into the right to receive 85,372 shares of the Company’s common stock on September 15, 2011 (the “Secured Debt Conversion”). In connection with the Exchange Transaction with TG Therapeutics, Inc., the warrant holders of the 12% Notes agreed to waive their anti-dilution feature, in exchange for the exercise price being lowered to $2.25.</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March and April 2010, the Company raised aggregate gross proceeds of approximately $2,607,500 pursuant to a private placement of its securities (the “2010 Equity Financing”). The Company entered into subscription agreements (the "Subscription Agreements") with accredited investors (the "Investors") pursuant to which the Company sold an aggregate of 104.3 Units (as defined herein) for a purchase price of $25,000 per Unit. Pursuant to the Subscription Agreements, the Company issued to each Investor units (the "Units") consisting of (i) 127 shares of common stock, $0.001 par value per share (the “Common Stock” or “Shares”) of the Company and (ii) 190 warrants (each a “Warrant” and collectively the “Warrants”), each of which will entitle the holder to purchase one additional share of Common Stock for a period of five years (each a “Warrant Share” and collectively the “Warrant Shares”) at an exercise price of $225 per share. In connection with the Exchange Transaction with TG Therapeutics, Inc., the warrant holders exercise price was lowered to $2.25. All of the Investors represented that they were “accredited investors,” as that term is defined in Rule 501(a) of Regulation D under the Securities Act, and the sale of the Units was made in reliance on exemptions provided by Regulation D and Section 4(2) of the Securities Act of 1933, as amended. The Company did not use any form of advertising or general solicitation in connection with the sale of the Units. The Shares, the Warrants and the Warrant Shares are non-transferable in the absence of an effective registration statement under the Act, or an available exemption therefrom, and all certificates are imprinted with a restrictive legend to that effect.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jc w:val="both"/>
        <w:ind w:right="460" w:firstLine="648"/>
        <w:spacing w:after="0" w:line="264" w:lineRule="auto"/>
        <w:rPr>
          <w:sz w:val="20"/>
          <w:szCs w:val="20"/>
          <w:color w:val="auto"/>
        </w:rPr>
      </w:pPr>
      <w:r>
        <w:rPr>
          <w:rFonts w:ascii="Arial" w:cs="Arial" w:eastAsia="Arial" w:hAnsi="Arial"/>
          <w:sz w:val="18"/>
          <w:szCs w:val="18"/>
          <w:color w:val="auto"/>
        </w:rPr>
        <w:t>In addition, the Company issued a warrant to purchase 10,596 shares of Common Stock at an exercise price of $225 per share to the Placement Agent as compensation for its services. In connection with the Exchange Transaction with TG Therapeutics, Inc., the warrant holders exercise price was lowered to $2.25.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8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were incorporated in Delaware in 1993 under the name “Atlantic Pharmaceuticals, Inc.” and, in March 2000, we changed our name to “Atlantic Technology Ventures, Inc.” In 2003, we completed a “reverse acquisition” of privately held “Manhattan Research Development, Inc”. In connection with this transaction, we also changed our name to “Manhattan Pharmaceuticals, Inc.” From an accounting perspective, the accounting acquirer is considered to be Manhattan Research Development, Inc. and accordingly, through December 29, 2011, the historical financial statements were those of Manhattan Research Development, Inc.</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March 8, 2010, the Company entered into an Agreement and Plan of Merger (the "Merger Agreement") by and among the Company, Ariston Pharmaceuticals, Inc., a Delaware corporation ("Ariston") and Ariston Merger Corp., a Delaware corporation and wholly-owned subsidiary of the Company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the Company.</w:t>
      </w:r>
    </w:p>
    <w:p>
      <w:pPr>
        <w:spacing w:after="0" w:line="18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December 29, 2011, the Company entered into and consummated an exchange transaction agreement (the “Exchange Transaction”) with Opus Point Partners, LLC (“Opus”) and TG Biologics, Inc. (formerly known as TG Therapeutics, Inc.) (“TG Bio”). The stockholders of TG Bio received the majority of the voting shares of the Company; therefore, the merger was accounted for as a reverse acquisition whereby TG Bio was the accounting acquirer (legal acquiree) and the Company was the accounting acquiree (legal acquirer) under the acquisition method of accounting. TG Bio was incorporated in Delaware in November 2010, but did not commence operations until April 2011.</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30, 2012, the Company filed a Certificate of Amendment to its Certificate of Incorporation to change its name from Manhattan Pharmaceuticals, Inc. (“Manhattan”) to TG Therapeutics, Inc. In conjunction with this change, the subsidiary formerly named TG Therapeutics, Inc. filed a Certificate of Amendment changing its name to TG Biologics, Inc.</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therapies targeting hematological malignancies. TG-1101 (ublituximab), is a novel, third generation monoclonal antibody that targets a specific and unique epitope on the CD20 antigen found on mature B-lymphocytes. We are also developing TGR-1202, an orally available PI3K delta inhibitor.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right="60" w:firstLine="648"/>
        <w:spacing w:after="0" w:line="297" w:lineRule="auto"/>
        <w:rPr>
          <w:sz w:val="20"/>
          <w:szCs w:val="20"/>
          <w:color w:val="auto"/>
        </w:rPr>
      </w:pPr>
      <w:r>
        <w:rPr>
          <w:rFonts w:ascii="Arial" w:cs="Arial" w:eastAsia="Arial" w:hAnsi="Arial"/>
          <w:sz w:val="16"/>
          <w:szCs w:val="16"/>
          <w:color w:val="auto"/>
        </w:rPr>
        <w:t>Our research and development expenses (excluding non-cash compensation expense related to research and development)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 Research and development expenses for the years ended December 31, 2012 and 2011 were $20,572,182, and $327,283, respectively, excluding non-cash compensation expenses related to research and development.</w:t>
      </w:r>
    </w:p>
    <w:p>
      <w:pPr>
        <w:spacing w:after="0" w:line="15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sets forth the research and development expenses per project, exclusive of non-cash compensation expenses, for the periods presented.</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5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bottom w:val="single" w:sz="8" w:color="CCFFCC"/>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60" w:type="dxa"/>
            <w:vAlign w:val="bottom"/>
            <w:tcBorders>
              <w:bottom w:val="single" w:sz="8" w:color="CCFFCC"/>
            </w:tcBorders>
          </w:tcPr>
          <w:p>
            <w:pPr>
              <w:spacing w:after="0"/>
              <w:rPr>
                <w:sz w:val="20"/>
                <w:szCs w:val="20"/>
                <w:color w:val="auto"/>
              </w:rPr>
            </w:pPr>
          </w:p>
        </w:tc>
      </w:tr>
      <w:tr>
        <w:trPr>
          <w:trHeight w:val="210"/>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TG-1101</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19,140,621</w:t>
            </w:r>
          </w:p>
        </w:tc>
        <w:tc>
          <w:tcPr>
            <w:tcW w:w="5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$325,671</w:t>
            </w:r>
          </w:p>
        </w:tc>
        <w:tc>
          <w:tcPr>
            <w:tcW w:w="60" w:type="dxa"/>
            <w:vAlign w:val="bottom"/>
            <w:shd w:val="clear" w:color="auto" w:fill="CCFFC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TGR-1202</w:t>
            </w:r>
          </w:p>
        </w:tc>
        <w:tc>
          <w:tcPr>
            <w:tcW w:w="18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1,259,289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AST-726</w:t>
            </w: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72,272</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Terminated programs</w:t>
            </w:r>
          </w:p>
        </w:tc>
        <w:tc>
          <w:tcPr>
            <w:tcW w:w="18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1,612</w:t>
            </w:r>
          </w:p>
        </w:tc>
      </w:tr>
      <w:tr>
        <w:trPr>
          <w:trHeight w:val="223"/>
        </w:trPr>
        <w:tc>
          <w:tcPr>
            <w:tcW w:w="4520" w:type="dxa"/>
            <w:vAlign w:val="bottom"/>
            <w:tcBorders>
              <w:top w:val="single" w:sz="8" w:color="CCFFCC"/>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20,572,182</w:t>
            </w:r>
          </w:p>
        </w:tc>
        <w:tc>
          <w:tcPr>
            <w:tcW w:w="500" w:type="dxa"/>
            <w:vAlign w:val="bottom"/>
            <w:tcBorders>
              <w:top w:val="single" w:sz="8" w:color="CCFFCC"/>
              <w:bottom w:val="single" w:sz="8" w:color="CCFFCC"/>
            </w:tcBorders>
            <w:shd w:val="clear" w:color="auto" w:fill="CCFFCC"/>
          </w:tcPr>
          <w:p>
            <w:pPr>
              <w:spacing w:after="0"/>
              <w:rPr>
                <w:sz w:val="19"/>
                <w:szCs w:val="19"/>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327,283</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Included in the above research and development expenses related to TG-1101 during the years ended December 31, 2012 and 2011 are noncash expenses of $16,578,000 and $297,000, respectively, recorded in conjunction with stock issued to LFB Group for the license to TG-1101.</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 The Company did not grant any consultant options during the year ended December 31, 2011.</w:t>
      </w:r>
    </w:p>
    <w:p>
      <w:pPr>
        <w:spacing w:after="0" w:line="16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2012 and 2011</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19"/>
                <w:szCs w:val="19"/>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License revenue</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19,048</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Noncash stock expense associated with in-licensing agreement</w:t>
            </w:r>
          </w:p>
        </w:tc>
        <w:tc>
          <w:tcPr>
            <w:tcW w:w="3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16,578,000</w:t>
            </w:r>
          </w:p>
        </w:tc>
        <w:tc>
          <w:tcPr>
            <w:tcW w:w="3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297,000</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455,809</w:t>
            </w:r>
          </w:p>
        </w:tc>
        <w:tc>
          <w:tcPr>
            <w:tcW w:w="36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5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research and development</w:t>
            </w:r>
          </w:p>
        </w:tc>
        <w:tc>
          <w:tcPr>
            <w:tcW w:w="36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3,994,182</w:t>
            </w:r>
          </w:p>
        </w:tc>
        <w:tc>
          <w:tcPr>
            <w:tcW w:w="18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30,283</w:t>
            </w:r>
          </w:p>
        </w:tc>
        <w:tc>
          <w:tcPr>
            <w:tcW w:w="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9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research and development</w:t>
            </w: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21,027,991</w:t>
            </w:r>
          </w:p>
        </w:tc>
        <w:tc>
          <w:tcPr>
            <w:tcW w:w="18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327,283</w:t>
            </w:r>
          </w:p>
        </w:tc>
        <w:tc>
          <w:tcPr>
            <w:tcW w:w="2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9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compensation</w:t>
            </w:r>
          </w:p>
        </w:tc>
        <w:tc>
          <w:tcPr>
            <w:tcW w:w="36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2,966,373</w:t>
            </w:r>
          </w:p>
        </w:tc>
        <w:tc>
          <w:tcPr>
            <w:tcW w:w="1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86,494</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1,815,083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468,197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general and administrative</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4,781,456</w:t>
            </w:r>
          </w:p>
        </w:tc>
        <w:tc>
          <w:tcPr>
            <w:tcW w:w="1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554,691</w:t>
            </w:r>
          </w:p>
        </w:tc>
        <w:tc>
          <w:tcPr>
            <w:tcW w:w="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19"/>
                <w:szCs w:val="19"/>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36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1,104,700</w:t>
            </w:r>
          </w:p>
        </w:tc>
        <w:tc>
          <w:tcPr>
            <w:tcW w:w="18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3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19"/>
                <w:szCs w:val="19"/>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Total costs and expenses</w:t>
            </w:r>
          </w:p>
        </w:tc>
        <w:tc>
          <w:tcPr>
            <w:tcW w:w="36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26,914,147</w:t>
            </w:r>
          </w:p>
        </w:tc>
        <w:tc>
          <w:tcPr>
            <w:tcW w:w="3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881,974</w:t>
            </w:r>
          </w:p>
        </w:tc>
        <w:tc>
          <w:tcPr>
            <w:tcW w:w="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(26,895,099)</w:t>
            </w:r>
          </w:p>
        </w:tc>
        <w:tc>
          <w:tcPr>
            <w:tcW w:w="360" w:type="dxa"/>
            <w:vAlign w:val="bottom"/>
            <w:shd w:val="clear" w:color="auto" w:fill="CCFFCC"/>
          </w:tcPr>
          <w:p>
            <w:pPr>
              <w:spacing w:after="0"/>
              <w:rPr>
                <w:sz w:val="18"/>
                <w:szCs w:val="18"/>
                <w:color w:val="auto"/>
              </w:rPr>
            </w:pPr>
          </w:p>
        </w:tc>
        <w:tc>
          <w:tcPr>
            <w:tcW w:w="13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(881,974)</w:t>
            </w: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19"/>
                <w:szCs w:val="19"/>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(1,042,147)</w:t>
            </w:r>
          </w:p>
        </w:tc>
        <w:tc>
          <w:tcPr>
            <w:tcW w:w="3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7,097</w:t>
            </w:r>
          </w:p>
        </w:tc>
        <w:tc>
          <w:tcPr>
            <w:tcW w:w="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(25,852,952)</w:t>
            </w:r>
          </w:p>
        </w:tc>
        <w:tc>
          <w:tcPr>
            <w:tcW w:w="360" w:type="dxa"/>
            <w:vAlign w:val="bottom"/>
            <w:shd w:val="clear" w:color="auto" w:fill="CCFFCC"/>
          </w:tcPr>
          <w:p>
            <w:pPr>
              <w:spacing w:after="0"/>
              <w:rPr>
                <w:sz w:val="18"/>
                <w:szCs w:val="18"/>
                <w:color w:val="auto"/>
              </w:rPr>
            </w:pPr>
          </w:p>
        </w:tc>
        <w:tc>
          <w:tcPr>
            <w:tcW w:w="13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(889,071)</w:t>
            </w: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19"/>
                <w:szCs w:val="19"/>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330,000</w:t>
            </w:r>
          </w:p>
        </w:tc>
        <w:tc>
          <w:tcPr>
            <w:tcW w:w="360" w:type="dxa"/>
            <w:vAlign w:val="bottom"/>
            <w:shd w:val="clear" w:color="auto" w:fill="CCFFCC"/>
          </w:tcPr>
          <w:p>
            <w:pPr>
              <w:spacing w:after="0"/>
              <w:rPr>
                <w:sz w:val="19"/>
                <w:szCs w:val="19"/>
                <w:color w:val="auto"/>
              </w:rPr>
            </w:pPr>
          </w:p>
        </w:tc>
        <w:tc>
          <w:tcPr>
            <w:tcW w:w="13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Consolidated net loss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(26,182,952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(889,071</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$19,048 for the year ended December 31, 2012, as compared to zero revenue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2011. License revenue for the year ended December 31, 2012 was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54"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Noncash Stock Expense Associated with In-licensing Agreement. </w:t>
      </w:r>
      <w:r>
        <w:rPr>
          <w:rFonts w:ascii="Arial" w:cs="Arial" w:eastAsia="Arial" w:hAnsi="Arial"/>
          <w:sz w:val="16"/>
          <w:szCs w:val="16"/>
          <w:color w:val="auto"/>
        </w:rPr>
        <w:t>Noncash stock expense associated with an in-licensing agreement was $16,578,000</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2012, as compared to $297,000 for the year ended December 31, 2011. The expense during the years ended December 31, 2012 and 2011 related to a noncash stock expense recorded in conjunction with the stock issued to LFB Group for the license to TG-1101.</w:t>
      </w:r>
    </w:p>
    <w:p>
      <w:pPr>
        <w:spacing w:after="0" w:line="147" w:lineRule="exact"/>
        <w:rPr>
          <w:sz w:val="20"/>
          <w:szCs w:val="20"/>
          <w:color w:val="auto"/>
        </w:rPr>
      </w:pPr>
    </w:p>
    <w:p>
      <w:pPr>
        <w:ind w:right="280" w:firstLine="648"/>
        <w:spacing w:after="0" w:line="340" w:lineRule="auto"/>
        <w:rPr>
          <w:sz w:val="20"/>
          <w:szCs w:val="20"/>
          <w:color w:val="auto"/>
        </w:rPr>
      </w:pPr>
      <w:r>
        <w:rPr>
          <w:rFonts w:ascii="Arial" w:cs="Arial" w:eastAsia="Arial" w:hAnsi="Arial"/>
          <w:sz w:val="15"/>
          <w:szCs w:val="15"/>
          <w:i w:val="1"/>
          <w:iCs w:val="1"/>
          <w:color w:val="auto"/>
        </w:rPr>
        <w:t xml:space="preserve">Noncash Compensation Expense (Research and Development). </w:t>
      </w:r>
      <w:r>
        <w:rPr>
          <w:rFonts w:ascii="Arial" w:cs="Arial" w:eastAsia="Arial" w:hAnsi="Arial"/>
          <w:sz w:val="15"/>
          <w:szCs w:val="15"/>
          <w:color w:val="auto"/>
        </w:rPr>
        <w:t>Noncash compensation expense (research and development) related to equity</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grants equaled $455,809 for the year ended December 31, 2012. The noncash compensation expense was related to the period’s expense for restricted stock grants to research and development personnel. We expect noncash compensation expense (research and development) to increase in 2013.</w:t>
      </w:r>
    </w:p>
    <w:p>
      <w:pPr>
        <w:spacing w:after="0" w:line="13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$3,963,899 to $3,994,182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as compared to $30,283 for the year ended December 31, 2011. The increase in research and development expenses is primarily due to increased research and development expenses related to TG-1101 related to the Company’s preparations for and initiation of U.S. based clinical trials, and a $1,000,000 upfront milestone payment paid to Rhizen in connection with the Collaboration Agreement for TGR-1202. We expect our other research and development costs to increase in 2013 as we continue to recruit patients to our TG-1101 clinical trials and due to the commencement of our clinical development program for TGR-1202.</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40" w:name="page41"/>
    <w:bookmarkEnd w:id="40"/>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equaled $2,966,373 for the year ended December 31, 2012. The noncash compensation expense was related to the period’s expense for restricted stock grants to general and administrative personnel. We expect noncash compensation expense (general and administrative) to increase modestly during 2013.</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$1,346,886 to $1,815,083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as compared to $468,197 for the year ended December 31, 2011. This expense was primarily related to a full year of legal and personnel costs. We expect our other general and administrative expenses to remain at a comparable level during 2013.</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Impairment of in-process research and development</w:t>
      </w:r>
      <w:r>
        <w:rPr>
          <w:rFonts w:ascii="Arial" w:cs="Arial" w:eastAsia="Arial" w:hAnsi="Arial"/>
          <w:sz w:val="18"/>
          <w:szCs w:val="18"/>
          <w:color w:val="auto"/>
        </w:rPr>
        <w:t>. During the year ended December 31, 2012, we recorded an impairment charge of $1,104,700</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in-process research and development intangible asset recorded in connection with the Exchange Transaction. Impairment testing of our indefinite lived intangible assets is performed annually or when a triggering event occurs that could indicate a potential impairment. As a result of market changes affecting the commercial potential for the Ariston in-process research and development assets (AST-726 and AST-915), the Company determined that the asset's carrying value was no longer fully recoverable. Also contributing to the impairment charge was the Company’s decision during the year ended December 31, 2012 to discontinue future development activities for AST-915, following the analysis from a Phase I dose escalation trial, in which AST-915 failed to meet its primary efficacy endpoint.</w:t>
      </w:r>
    </w:p>
    <w:p>
      <w:pPr>
        <w:spacing w:after="0" w:line="18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totaled $1,042,147 for the year ended December 31, 2012 as compared to other expense of $7,097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2011. The increase in other income is primarily due to a decrease in the fair value of our non-current notes payable of approximately $1,660,000, partially off-set by the interest expense recorded on our notes payable of $905,744.</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During the year ended December 31, 2012 we recorded income tax expense of approximately $330,000 related to a foreign tax</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on the $2,000,000 upfront payment received from Ildong in connection with our sublicensing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primary source of cash has been proceeds from the private placement of equity securities and from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As of December 31, 2012, we had $16,456,000 in cash and cash equivalents. We currently anticipate that our cash and cash equivalents as of December 31, 2012 are sufficient to fund our anticipated operating cash requirements for approximately 18 months from December 31, 2012.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8"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Cash used in operating activities for the year ended December 31, 2012 was $5,187,964 as compared to $86,577 for the year ended December 31, 2011. The increase in cash used in operating activities was due primarily to a full year of activity in 2012, and increased expenditures related to our clinical development plan for TG-1101 and the upfront payment associated with TGR-1202.</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For the year ended December 31, 2012, net cash used in investing activities was $1,399, which consisted of purchases of equipment. For the year ended December 31, 2011, net cash provided by investing activities was $10,386, which consisted of cash that was acquired in the Exchange Transaction between TG Therapeutics and the Company.</w:t>
      </w:r>
    </w:p>
    <w:p>
      <w:pPr>
        <w:spacing w:after="0" w:line="181"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Cash provided by financing activities for the year ended December 31, 2012 was $11,896,867 as compared to $9,824,682 for the year ended December 31, 2011. The cash provided by financing activities in 2011 and 2012 was primarily related to the 2011 Equity PIPE, as discussed below.</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b w:val="1"/>
          <w:bCs w:val="1"/>
          <w:i w:val="1"/>
          <w:iCs w:val="1"/>
          <w:color w:val="auto"/>
        </w:rPr>
        <w:t>2011 Equity PIPE</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 In 2012, we completed two additional closings of the 2011 Equity PIPE. These closings were held on January 31, 2012, and February 24, 2012. In these closings, the Company issued 695,428 shares of our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all shares of preferred stock issued in the 2011 Equity PIPE were converted to Common Stock. Investors also received warrants to purchase 1,545,396 shares of Common Stock. The warrants have an exercise price of $2.25 per share and are exercisable for five years. The shares of Common Stock,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Joint Venture Agreement</w:t>
      </w:r>
    </w:p>
    <w:p>
      <w:pPr>
        <w:spacing w:after="0" w:line="22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On April 19, 2011, H Pharmaceuticals K/S (the “Hedrin JV”), of which the Company was a 15% limited partner at the time, filed a demand for arbitration against Thornton &amp; Ross, LTD. (“T&amp;R”) with respect to alleged breaches by T&amp;R of an Exclusive License Agreement (the “Hedrin License”) dated June 28, 2007, which was originally entered into between the Company and T&amp;R, and which the Company assigned in 2008 to the Hedrin JV, with T&amp;R’s consent. The Hedrin JV is seeking damages from T&amp;R in the amount of approximately $7,000,000. The Company was not a party to the initial arbitration demand.</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May 20, 2011, T&amp;R filed an answer to the arbitration demand in which T&amp;R asserted counterclaims against the Hedrin JV for alleged breaches by the Hedrin JV of the Hedrin License and for declaratory relief that the Hedrin License was properly terminated by T&amp;R. In addition, T&amp;R impleaded an individual (who is not associated with the Company), Nordic Biotech Venture Fund II K/S (an investment fund) and the Company, demanding arbitration against them based on alleged breaches of the Hedrin License and other related claims. The Company has recently been removed by the arbitrator as a party to the arbitration. T&amp;R is seeking damages of approximately $20,000,000.</w:t>
      </w:r>
    </w:p>
    <w:p>
      <w:pPr>
        <w:spacing w:after="0" w:line="18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Hedrin JV and T&amp;R held a mediation session in order to avoid the arbitration process. The mediation process did not produce a result. In 2011 Nordic made an additional capital contribution to the Hedrin JV in order to fund the arbitration. As a result of that capital contribution, as of December 31, 2011, the Company owned a 13% interest in the Hedrin JV, and no further information has been available since that date. The arbitration process is ongoing.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SwissPharma Contract LLC Settlement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October 2009, the Company entered into a Settlement Agreement and Mutual Release with Swiss Pharma Contract LTD (“Swiss Pharma”) pursuant to which the Company agreed to pay Swiss Pharma $200,000 and issue to Swiss Pharma an interest free promissory note due on October 27, 2011 in the principal amount of $250,000 in full satisfaction of a September 5, 2008 arbitration award. In November 2011, the Company renegotiated the $250,000 promissory note due October 27, 2011 in which the amount of the promissory note was reduced to $200,000 and the maturity date was extended to February 15, 2012. This amount was paid on February 14, 2012 in full settlement of this note.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We have granted stock options and restricted stock to employees, directors and consultants, as well as warrants to other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assessed as of the balance sheet date to ascertain if there has been any impairment of the recorded value. If there is an impairment the asset is written down to its current fair value by the recording of an expense.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December 31, 2012 and 2011, there was approximately $799,391 of goodwill on our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February 2013, the FASB issued amendments to the accounting guidance for presentation of comprehensive income to improve the reporting of reclassifications out of accumulated other comprehensive income. The amendments do not change the current requirements for reporting net income or other comprehensive income, but do require an entity to provide information about the amounts reclassified out of accumulated other comprehensive income by component. In addition, an entity is required to present, either on the face of the statement where the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additional detail about these amounts. These amendments are effective prospectively for reporting periods beginning after December 15, 2012. The Company does not believe the adoption of this guidance will have a material impact on the consolidated financial statements.</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the consolidated financial statements of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financial statements and the notes thereto, included in Part IV, Item 15(a), part 1, are incorporated by reference into this Item 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As of December 31, 2012, we carried out an evaluation, under the supervision and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our Chief Executive Officer and our Chief Financial Officer, of the effectiveness of the design and operation of our disclosure controls and procedures (as defined in Rules 13a-15(e) and 15d-15(e) of the Securities Exchange Act of 1934, as amended (the “Exchange Act”)). Based upon that evaluation, our Chief Executive and Chief Financial Officers concluded that our disclosure controls and procedures were not effective as of that date to ensure that information required to be disclosed in our reports filed or submitted under the Exchange Act is recorded , processed, summarized and reported within the time periods specified in the SEC’s rules and forms, and to ensure that information required to be disclosed by us in such reports is accumulated and communicated to the our management, including our Chief Executive Officer and Chief Financial Officer, as appropriate to allow timely decisions regarding required disclosure. There were no changes in our internal controls over financial reporting (as defined in Exchange Act Rules 13a – 15(f) and 15d – 15(f)) during the quarter ended December 31, 2012 that have materially affected, or is reasonably likely to materially affect, our internal controls over financial reporting.</w:t>
      </w:r>
    </w:p>
    <w:p>
      <w:pPr>
        <w:spacing w:after="0" w:line="19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disclosure controls or internal controls over financial reporting were designed to provide only reasonable assurance that such disclosure controls or internal control over financial reporting will prevent all errors or all instances of fraud, even as the same are improved to address any deficiencies. The design of any system of controls is based in part upon certain assumptions about the likelihood of future events, and there can be only reasonable, not absolute assurance that any design will succeed in achieving its stated goals under all potential future conditions. A control system, no matter how well designed and operated, can provide only reasonable, not absolute, assurance that the control system’s objectives will be met. Over time, controls may become inadequate because of changes in conditions or deterioration in the degree of compliance with policies or procedures. Further, the design of a control system must reflect the fact that there are resource constraints, and the benefits of controls must be considered relative to their costs.</w:t>
      </w:r>
    </w:p>
    <w:p>
      <w:pPr>
        <w:spacing w:after="0" w:line="16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i w:val="1"/>
          <w:i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and for the assessment of the effectiveness of internal control over financial reporting. As defined by the SEC,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financial statements in accordance with U.S. generally accepted accounting principles.</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the financial statements in accordance with U.S.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5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connection with the preparation of our annual financial statements, management has undertaken an assessment of the effectiveness of our internal control over financial reporting as of December 31, 2012, based on criteria established in Internal Control – Integrated Framework issued by the Committee of Sponsoring Organizations of the Treadway Commission, or COSO Framework. Management’s assessment included an evaluation of the design of our internal control over financial reporting and testing of the operational effectiveness of those controls.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jc w:val="both"/>
        <w:ind w:right="40" w:firstLine="648"/>
        <w:spacing w:after="0" w:line="312" w:lineRule="auto"/>
        <w:rPr>
          <w:sz w:val="20"/>
          <w:szCs w:val="20"/>
          <w:color w:val="auto"/>
        </w:rPr>
      </w:pPr>
      <w:r>
        <w:rPr>
          <w:rFonts w:ascii="Arial" w:cs="Arial" w:eastAsia="Arial" w:hAnsi="Arial"/>
          <w:sz w:val="16"/>
          <w:szCs w:val="16"/>
          <w:color w:val="auto"/>
        </w:rPr>
        <w:t>Based on this evaluation, management has concluded that our internal control over financial reporting is not effective as of December 31, 2012. This conclusion was reached because a lack of segregation of duties exists, as all financial and accounting duties are performed by the Chief Financial Officer. The Company intends to address this deficiency by hiring additional accounting personnel in 2013 to alleviate the segregation of duties issue.</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rules of the SEC that permit us to provide only management’s report on internal control in this report.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Our management, including our Chief Executive Officer and Chief Financial Officer, does not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2013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2013 Annual Meeting of Stockholders.</w:t>
      </w:r>
    </w:p>
    <w:p>
      <w:pPr>
        <w:spacing w:after="0" w:line="244"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2013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2013 Annual Meeting of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2013 Annual Meeting of Stockholders.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ind w:left="320"/>
              <w:spacing w:after="0"/>
              <w:rPr>
                <w:sz w:val="20"/>
                <w:szCs w:val="20"/>
                <w:color w:val="auto"/>
              </w:rPr>
            </w:pPr>
            <w:r>
              <w:rPr>
                <w:rFonts w:ascii="Arial" w:cs="Arial" w:eastAsia="Arial" w:hAnsi="Arial"/>
                <w:sz w:val="18"/>
                <w:szCs w:val="18"/>
                <w:b w:val="1"/>
                <w:bCs w:val="1"/>
                <w:color w:val="auto"/>
              </w:rPr>
              <w:t>(a)</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9180" w:type="dxa"/>
            <w:vAlign w:val="bottom"/>
          </w:tcPr>
          <w:p>
            <w:pPr>
              <w:ind w:left="160"/>
              <w:spacing w:after="0"/>
              <w:rPr>
                <w:sz w:val="20"/>
                <w:szCs w:val="20"/>
                <w:color w:val="auto"/>
              </w:rPr>
            </w:pPr>
            <w:r>
              <w:rPr>
                <w:rFonts w:ascii="Arial" w:cs="Arial" w:eastAsia="Arial" w:hAnsi="Arial"/>
                <w:sz w:val="18"/>
                <w:szCs w:val="18"/>
                <w:b w:val="1"/>
                <w:bCs w:val="1"/>
                <w:color w:val="auto"/>
              </w:rPr>
              <w:t>Consolidated Financial Statements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20" w:type="dxa"/>
            <w:vAlign w:val="bottom"/>
            <w:gridSpan w:val="2"/>
          </w:tcPr>
          <w:p>
            <w:pPr>
              <w:ind w:left="60"/>
              <w:spacing w:after="0"/>
              <w:rPr>
                <w:sz w:val="20"/>
                <w:szCs w:val="20"/>
                <w:color w:val="auto"/>
              </w:rPr>
            </w:pPr>
            <w:r>
              <w:rPr>
                <w:rFonts w:ascii="Arial" w:cs="Arial" w:eastAsia="Arial" w:hAnsi="Arial"/>
                <w:sz w:val="18"/>
                <w:szCs w:val="18"/>
                <w:color w:val="auto"/>
              </w:rPr>
              <w:t>The following consolidated financial statements of TG Therapeutics, Inc. are filed as part of this report.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94"/>
              </w:rPr>
              <w:t>Contents</w:t>
            </w:r>
          </w:p>
        </w:tc>
        <w:tc>
          <w:tcPr>
            <w:tcW w:w="3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3"/>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2012 and 2011</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3"/>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3"/>
            <w:shd w:val="clear" w:color="auto" w:fill="CCFFCC"/>
          </w:tcPr>
          <w:p>
            <w:pPr>
              <w:spacing w:after="0"/>
              <w:rPr>
                <w:sz w:val="20"/>
                <w:szCs w:val="20"/>
                <w:color w:val="auto"/>
              </w:rPr>
            </w:pPr>
            <w:r>
              <w:rPr>
                <w:rFonts w:ascii="Arial" w:cs="Arial" w:eastAsia="Arial" w:hAnsi="Arial"/>
                <w:sz w:val="18"/>
                <w:szCs w:val="18"/>
                <w:color w:val="auto"/>
                <w:w w:val="91"/>
              </w:rPr>
              <w:t>Consolidated Statements of Operations for the years ended December 31, 2012 and 2011 and cumulative period ended December 31, 2012</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3"/>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3"/>
            <w:shd w:val="clear" w:color="auto" w:fill="CCFFCC"/>
          </w:tcPr>
          <w:p>
            <w:pPr>
              <w:spacing w:after="0"/>
              <w:rPr>
                <w:sz w:val="20"/>
                <w:szCs w:val="20"/>
                <w:color w:val="auto"/>
              </w:rPr>
            </w:pPr>
            <w:r>
              <w:rPr>
                <w:rFonts w:ascii="Arial" w:cs="Arial" w:eastAsia="Arial" w:hAnsi="Arial"/>
                <w:sz w:val="18"/>
                <w:szCs w:val="18"/>
                <w:color w:val="auto"/>
                <w:w w:val="94"/>
              </w:rPr>
              <w:t>Consolidated Statements of Equity for the years ended December 31, 2012 and 2011 and cumulative period ended December 31, 2012</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3"/>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3"/>
            <w:shd w:val="clear" w:color="auto" w:fill="CCFFCC"/>
          </w:tcPr>
          <w:p>
            <w:pPr>
              <w:spacing w:after="0"/>
              <w:rPr>
                <w:sz w:val="20"/>
                <w:szCs w:val="20"/>
                <w:color w:val="auto"/>
              </w:rPr>
            </w:pPr>
            <w:r>
              <w:rPr>
                <w:rFonts w:ascii="Arial" w:cs="Arial" w:eastAsia="Arial" w:hAnsi="Arial"/>
                <w:sz w:val="18"/>
                <w:szCs w:val="18"/>
                <w:color w:val="auto"/>
                <w:w w:val="91"/>
              </w:rPr>
              <w:t>Consolidated Statements of Cash Flows for the years ended December 31, 2012 and 2011 and cumulative period ended December 31, 2012</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3"/>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Notes to the Consolidated Financial Statements</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8"/>
                <w:szCs w:val="18"/>
                <w:b w:val="1"/>
                <w:bCs w:val="1"/>
                <w:color w:val="auto"/>
              </w:rPr>
              <w:t>2.</w:t>
            </w:r>
          </w:p>
        </w:tc>
        <w:tc>
          <w:tcPr>
            <w:tcW w:w="9180" w:type="dxa"/>
            <w:vAlign w:val="bottom"/>
          </w:tcPr>
          <w:p>
            <w:pPr>
              <w:ind w:left="120"/>
              <w:spacing w:after="0"/>
              <w:rPr>
                <w:sz w:val="20"/>
                <w:szCs w:val="20"/>
                <w:color w:val="auto"/>
              </w:rPr>
            </w:pPr>
            <w:r>
              <w:rPr>
                <w:rFonts w:ascii="Arial" w:cs="Arial" w:eastAsia="Arial" w:hAnsi="Arial"/>
                <w:sz w:val="18"/>
                <w:szCs w:val="18"/>
                <w:b w:val="1"/>
                <w:bCs w:val="1"/>
                <w:color w:val="auto"/>
              </w:rPr>
              <w:t>Consolidated Financial Statement Schedules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166" w:lineRule="exact"/>
        <w:rPr>
          <w:sz w:val="20"/>
          <w:szCs w:val="20"/>
          <w:color w:val="auto"/>
        </w:rPr>
      </w:pPr>
    </w:p>
    <w:p>
      <w:pPr>
        <w:ind w:left="1220" w:hanging="396"/>
        <w:spacing w:after="0"/>
        <w:tabs>
          <w:tab w:leader="none" w:pos="12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Exhibit Description</w:t>
      </w:r>
    </w:p>
    <w:p>
      <w:pPr>
        <w:spacing w:after="0" w:line="211" w:lineRule="exact"/>
        <w:rPr>
          <w:sz w:val="20"/>
          <w:szCs w:val="20"/>
          <w:color w:val="auto"/>
        </w:rPr>
      </w:pPr>
    </w:p>
    <w:p>
      <w:pPr>
        <w:ind w:left="1040" w:right="120" w:hanging="687"/>
        <w:spacing w:after="0" w:line="277" w:lineRule="auto"/>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TG Therapeutics, Inc. dated April 26, 2012 (incorporated by reference to Exhibit 3.2 to the Registrant’s Form 10-Q for the quarter ended June 30, 2012).</w:t>
      </w:r>
    </w:p>
    <w:p>
      <w:pPr>
        <w:spacing w:after="0" w:line="170" w:lineRule="exact"/>
        <w:rPr>
          <w:sz w:val="20"/>
          <w:szCs w:val="20"/>
          <w:color w:val="auto"/>
        </w:rPr>
      </w:pPr>
    </w:p>
    <w:p>
      <w:pPr>
        <w:ind w:left="1040" w:right="300" w:hanging="687"/>
        <w:spacing w:after="0" w:line="277" w:lineRule="auto"/>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Designations of Series A Convertible Preferred Stock, dated October 31, 2003 (incorporated by reference to Exhibit 3.2 to the Registrant’s Form 10-K for the fiscal year ended December 31, 2011).</w:t>
      </w:r>
    </w:p>
    <w:p>
      <w:pPr>
        <w:spacing w:after="0" w:line="170"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Certificate of Ownership Merging Tarpan Therapeutics, Inc. into the Registrant, dated December 28, 2006 (incorporated by reference to Exhibit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3.3 to the Registrant’s Form 10-K for the fiscal year ended December 31, 2011).</w:t>
      </w:r>
    </w:p>
    <w:p>
      <w:pPr>
        <w:spacing w:after="0" w:line="211" w:lineRule="exact"/>
        <w:rPr>
          <w:sz w:val="20"/>
          <w:szCs w:val="20"/>
          <w:color w:val="auto"/>
        </w:rPr>
      </w:pPr>
    </w:p>
    <w:p>
      <w:pPr>
        <w:ind w:left="1040" w:right="140" w:hanging="687"/>
        <w:spacing w:after="0" w:line="277" w:lineRule="auto"/>
        <w:tabs>
          <w:tab w:leader="none" w:pos="10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Certificate of Designations, Preferences and Other Rights of Series A Preferred Stock, dated December 29, 2011 (incorporated by reference to Exhibit 3.1 to the Registrant’s Current Report on Form 8-K filed on January 5, 2012).</w:t>
      </w:r>
    </w:p>
    <w:p>
      <w:pPr>
        <w:spacing w:after="0" w:line="170" w:lineRule="exact"/>
        <w:rPr>
          <w:sz w:val="20"/>
          <w:szCs w:val="20"/>
          <w:color w:val="auto"/>
        </w:rPr>
      </w:pPr>
    </w:p>
    <w:p>
      <w:pPr>
        <w:ind w:left="1040" w:right="160" w:hanging="687"/>
        <w:spacing w:after="0" w:line="277" w:lineRule="auto"/>
        <w:tabs>
          <w:tab w:leader="none" w:pos="10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Restated Bylaws of TG Therapeutics, Inc. dated May 14, 2012 (incorporated by reference to Exhibit 3.2 to the Registrant’s Form 10-Q for the quarter ended March 31, 2012)</w:t>
      </w:r>
    </w:p>
    <w:p>
      <w:pPr>
        <w:spacing w:after="0" w:line="170"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stock certificate (incorporated by reference to Exhibit 4.1 to the Registrant’s Form 10-K for the year ended December 31,</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2011).</w:t>
      </w:r>
    </w:p>
    <w:p>
      <w:pPr>
        <w:spacing w:after="0" w:line="211" w:lineRule="exact"/>
        <w:rPr>
          <w:sz w:val="20"/>
          <w:szCs w:val="20"/>
          <w:color w:val="auto"/>
        </w:rPr>
      </w:pPr>
    </w:p>
    <w:p>
      <w:pPr>
        <w:ind w:left="1040" w:right="80" w:hanging="687"/>
        <w:spacing w:after="0" w:line="277" w:lineRule="auto"/>
        <w:tabs>
          <w:tab w:leader="none" w:pos="10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Warrant issued to Noteholders on September 11, 2008 (incorporated by reference to Exhibit 10.2 to the Registrant’s Current Report on Form 8-K filed on September 15, 2008).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ind w:left="780" w:right="60" w:hanging="687"/>
        <w:spacing w:after="0" w:line="277" w:lineRule="auto"/>
        <w:tabs>
          <w:tab w:leader="none" w:pos="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Form of Warrant issued to Noteholders on November 19, 2008 (incorporated by reference to Exhibit 10.6 to the Registrant’s Current Report on Form 8-K filed on November 25, 2008).</w:t>
      </w:r>
    </w:p>
    <w:p>
      <w:pPr>
        <w:spacing w:after="0" w:line="170" w:lineRule="exact"/>
        <w:rPr>
          <w:sz w:val="20"/>
          <w:szCs w:val="20"/>
          <w:color w:val="auto"/>
        </w:rPr>
      </w:pPr>
    </w:p>
    <w:p>
      <w:pPr>
        <w:ind w:left="780" w:right="460" w:hanging="687"/>
        <w:spacing w:after="0" w:line="277" w:lineRule="auto"/>
        <w:tabs>
          <w:tab w:leader="none" w:pos="7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warrant to purchase common stock of TG Therapeutics, Inc. (incorporated by reference to Exhibit 4.1 to the Registrant’s Current Report on Form 8-K filed on November 13, 2012).</w:t>
      </w:r>
    </w:p>
    <w:p>
      <w:pPr>
        <w:spacing w:after="0" w:line="170" w:lineRule="exact"/>
        <w:rPr>
          <w:sz w:val="20"/>
          <w:szCs w:val="20"/>
          <w:color w:val="auto"/>
        </w:rPr>
      </w:pPr>
    </w:p>
    <w:p>
      <w:pPr>
        <w:ind w:left="780" w:right="560" w:hanging="732"/>
        <w:spacing w:after="0" w:line="277" w:lineRule="auto"/>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1995 Stock Option Plan, as amended (incorporated by reference to Exhibit 10.18 to the Registrant’s Form 10-QSB for the quarter ended September 30, 1996).</w:t>
      </w:r>
    </w:p>
    <w:p>
      <w:pPr>
        <w:spacing w:after="0" w:line="170" w:lineRule="exact"/>
        <w:rPr>
          <w:sz w:val="20"/>
          <w:szCs w:val="20"/>
          <w:color w:val="auto"/>
        </w:rPr>
      </w:pPr>
    </w:p>
    <w:p>
      <w:pPr>
        <w:ind w:left="780" w:right="560" w:hanging="732"/>
        <w:spacing w:after="0" w:line="342" w:lineRule="auto"/>
        <w:tabs>
          <w:tab w:leader="none" w:pos="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Notice of Stock Option Grant issued to employees of the Registrant from April 12, 2000 to February 21, 2003 (incorporated by reference to Exhibit 99.2 of the Registrant’s Registration Statement on Form S-8 filed March 24, 1998 (File 333-48531)).</w:t>
      </w:r>
    </w:p>
    <w:p>
      <w:pPr>
        <w:spacing w:after="0" w:line="124" w:lineRule="exact"/>
        <w:rPr>
          <w:sz w:val="20"/>
          <w:szCs w:val="20"/>
          <w:color w:val="auto"/>
        </w:rPr>
      </w:pPr>
    </w:p>
    <w:p>
      <w:pPr>
        <w:ind w:left="780" w:hanging="732"/>
        <w:spacing w:after="0" w:line="277" w:lineRule="auto"/>
        <w:tabs>
          <w:tab w:leader="none" w:pos="7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Stock Option Agreement issued to employees of the Registrant from April 12, 2000 to February 21, 2003 (incorporated by reference to Exhibit 99.3 to the Registrant’s Registration Statement on Form S-8 filed March 24, 1998 (File 333-48531)).</w:t>
      </w:r>
    </w:p>
    <w:p>
      <w:pPr>
        <w:spacing w:after="0" w:line="170"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2003 Stock Option Plan (incorporated by reference to Exhibit 4.1 to Registrant’s Registration Statement on Form S-8 filed February 17, 2004).</w:t>
      </w:r>
    </w:p>
    <w:p>
      <w:pPr>
        <w:spacing w:after="0" w:line="225" w:lineRule="exact"/>
        <w:rPr>
          <w:sz w:val="20"/>
          <w:szCs w:val="20"/>
          <w:color w:val="auto"/>
        </w:rPr>
      </w:pPr>
    </w:p>
    <w:p>
      <w:pPr>
        <w:ind w:left="780" w:right="540" w:hanging="732"/>
        <w:spacing w:after="0" w:line="277" w:lineRule="auto"/>
        <w:tabs>
          <w:tab w:leader="none" w:pos="7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Summary terms of compensation plan for Registrant’s non-employee directors (incorporated by reference to Exhibit 10.1 of Registrant’s Current Report on Form 8-K filed February 5, 2007). †</w:t>
      </w:r>
    </w:p>
    <w:p>
      <w:pPr>
        <w:spacing w:after="0" w:line="170" w:lineRule="exact"/>
        <w:rPr>
          <w:sz w:val="20"/>
          <w:szCs w:val="20"/>
          <w:color w:val="auto"/>
        </w:rPr>
      </w:pPr>
    </w:p>
    <w:p>
      <w:pPr>
        <w:ind w:left="780" w:right="420" w:hanging="732"/>
        <w:spacing w:after="0" w:line="277" w:lineRule="auto"/>
        <w:tabs>
          <w:tab w:leader="none" w:pos="7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Stock Option Agreement issued under the Registrant’s 2003 Stock Option Plan (incorporated by reference to Exhibit 10.15 to the Registrant's Form 10-KSB filed April 2, 2007).</w:t>
      </w:r>
    </w:p>
    <w:p>
      <w:pPr>
        <w:spacing w:after="0" w:line="170" w:lineRule="exact"/>
        <w:rPr>
          <w:sz w:val="20"/>
          <w:szCs w:val="20"/>
          <w:color w:val="auto"/>
        </w:rPr>
      </w:pPr>
    </w:p>
    <w:p>
      <w:pPr>
        <w:jc w:val="right"/>
        <w:ind w:left="40" w:right="640"/>
        <w:spacing w:after="0" w:line="308" w:lineRule="auto"/>
        <w:rPr>
          <w:sz w:val="20"/>
          <w:szCs w:val="20"/>
          <w:color w:val="auto"/>
        </w:rPr>
      </w:pPr>
      <w:r>
        <w:rPr>
          <w:rFonts w:ascii="Arial" w:cs="Arial" w:eastAsia="Arial" w:hAnsi="Arial"/>
          <w:sz w:val="17"/>
          <w:szCs w:val="17"/>
          <w:color w:val="auto"/>
        </w:rPr>
        <w:t>10.7     Exclusive License Agreement for “Altoderm” between Thornton &amp; Ross Ltd. and Manhattan Pharmaceuticals, Inc. dates April 3, 2007 (incorporated by reference to Exhibit 10.3 of the registrant’s form 10-Q for the quarter ended June 30, 2007 filed on August 14, 2007).</w:t>
      </w:r>
    </w:p>
    <w:p>
      <w:pPr>
        <w:spacing w:after="0" w:line="147"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Exclusive License Agreement for “Altolyn” between Thornton &amp;Ross Ltd. and Manhattan Pharmaceuticals, Inc. dated April 3,</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2007 (incorporated by reference to Exhibit 10.4 of the registrant’s form 10-Q for the quarter ended June 30, 2007 filed on August 14, 2007).</w:t>
      </w:r>
    </w:p>
    <w:p>
      <w:pPr>
        <w:spacing w:after="0" w:line="234" w:lineRule="exact"/>
        <w:rPr>
          <w:sz w:val="20"/>
          <w:szCs w:val="20"/>
          <w:color w:val="auto"/>
        </w:rPr>
      </w:pPr>
    </w:p>
    <w:p>
      <w:pPr>
        <w:jc w:val="right"/>
        <w:ind w:right="220"/>
        <w:spacing w:after="0"/>
        <w:tabs>
          <w:tab w:leader="none" w:pos="103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Exclusive License Agreement for “Hedrin” between Thornton &amp;Ross Ltd. , Kerris, S.A. and Manhattan Pharmaceuticals, Inc. dated June 26,</w:t>
      </w:r>
    </w:p>
    <w:p>
      <w:pPr>
        <w:spacing w:after="0" w:line="23" w:lineRule="exact"/>
        <w:rPr>
          <w:sz w:val="20"/>
          <w:szCs w:val="20"/>
          <w:color w:val="auto"/>
        </w:rPr>
      </w:pPr>
    </w:p>
    <w:p>
      <w:pPr>
        <w:jc w:val="right"/>
        <w:ind w:right="260"/>
        <w:spacing w:after="0"/>
        <w:rPr>
          <w:sz w:val="20"/>
          <w:szCs w:val="20"/>
          <w:color w:val="auto"/>
        </w:rPr>
      </w:pPr>
      <w:r>
        <w:rPr>
          <w:rFonts w:ascii="Arial" w:cs="Arial" w:eastAsia="Arial" w:hAnsi="Arial"/>
          <w:sz w:val="17"/>
          <w:szCs w:val="17"/>
          <w:color w:val="auto"/>
        </w:rPr>
        <w:t>2007 (incorporated by reference to Exhibit 10.5 of the registrant’s form 10-Q for the quarter ended June 30, 2007 filed on August 14, 2007).</w:t>
      </w:r>
    </w:p>
    <w:p>
      <w:pPr>
        <w:spacing w:after="0" w:line="222" w:lineRule="exact"/>
        <w:rPr>
          <w:sz w:val="20"/>
          <w:szCs w:val="20"/>
          <w:color w:val="auto"/>
        </w:rPr>
      </w:pPr>
    </w:p>
    <w:p>
      <w:pPr>
        <w:ind w:left="780" w:right="340" w:hanging="777"/>
        <w:spacing w:after="0" w:line="342" w:lineRule="auto"/>
        <w:tabs>
          <w:tab w:leader="none" w:pos="7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Supply Agreement for “Hedrin” between Thornton &amp; Ross Ltd. and Manhattan Pharmaceuticals, Inc. dated June 26, 2007 (incorporated by reference to Exhibit 10.6 of the Registrant’s Form 10-Q for the quarter ended June 30, 2007 filed on August 14, 2007).</w:t>
      </w:r>
    </w:p>
    <w:p>
      <w:pPr>
        <w:spacing w:after="0" w:line="124" w:lineRule="exact"/>
        <w:rPr>
          <w:sz w:val="20"/>
          <w:szCs w:val="20"/>
          <w:color w:val="auto"/>
        </w:rPr>
      </w:pPr>
    </w:p>
    <w:p>
      <w:pPr>
        <w:ind w:left="780" w:right="240" w:hanging="773"/>
        <w:spacing w:after="0" w:line="308" w:lineRule="auto"/>
        <w:tabs>
          <w:tab w:leader="none" w:pos="7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Joint Venture Agreement between Nordic Biotech Fund II K/S and Manhattan Pharmaceuticals, Inc. to develop and commercialize “Hedrin” dated January 31, 2008 (incorporated by reference to Exhibit 10.19 of the Registrant’s Form 10-K filed March 31, 2008).</w:t>
      </w:r>
    </w:p>
    <w:p>
      <w:pPr>
        <w:spacing w:after="0" w:line="147" w:lineRule="exact"/>
        <w:rPr>
          <w:sz w:val="20"/>
          <w:szCs w:val="20"/>
          <w:color w:val="auto"/>
        </w:rPr>
      </w:pPr>
    </w:p>
    <w:p>
      <w:pPr>
        <w:ind w:left="780" w:right="580" w:hanging="777"/>
        <w:spacing w:after="0" w:line="264" w:lineRule="auto"/>
        <w:tabs>
          <w:tab w:leader="none" w:pos="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No. 1, dated February 25, 2008, to the Joint Venture Agreement between Nordic Biotech Fund II K/S and Manhattan Pharmaceuticals, Inc. to develop and commercialize “Hedrin” dated January 31, 2008 (incorporated by reference to Exhibit 10.20 to the Registrant's Form 10-K filed March 31, 2008).</w:t>
      </w:r>
    </w:p>
    <w:p>
      <w:pPr>
        <w:spacing w:after="0" w:line="181" w:lineRule="exact"/>
        <w:rPr>
          <w:sz w:val="20"/>
          <w:szCs w:val="20"/>
          <w:color w:val="auto"/>
        </w:rPr>
      </w:pPr>
    </w:p>
    <w:p>
      <w:pPr>
        <w:ind w:left="780" w:right="40" w:hanging="777"/>
        <w:spacing w:after="0" w:line="264" w:lineRule="auto"/>
        <w:tabs>
          <w:tab w:leader="none" w:pos="7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Omnibus Amendment to Joint Venture Agreement and Additional Agreements, dated June 9, 2008, among Manhattan Pharmaceuticals, Inc., Hedrin Pharmaceuticals K/S, Hedrin Pharmaceuticals General Partner ApS and Nordic Biotech Venture Fund II K/S (incorporated by reference to Exhibit 10.1 to the Registrant’s Current Report on Form 8-K filed June 13, 2008).</w:t>
      </w:r>
    </w:p>
    <w:p>
      <w:pPr>
        <w:spacing w:after="0" w:line="181" w:lineRule="exact"/>
        <w:rPr>
          <w:sz w:val="20"/>
          <w:szCs w:val="20"/>
          <w:color w:val="auto"/>
        </w:rPr>
      </w:pPr>
    </w:p>
    <w:p>
      <w:pPr>
        <w:ind w:left="780" w:right="140" w:hanging="777"/>
        <w:spacing w:after="0" w:line="277" w:lineRule="auto"/>
        <w:tabs>
          <w:tab w:leader="none" w:pos="7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Assignment and Contribution Agreement between Hedrin Pharmaceuticals K/S and Manhattan Pharmaceuticals, Inc. dated February 25, 2008 (incorporated by reference to Exhibit 10.21 to the Registrant's Form 10-K filed March 31, 2008).</w:t>
      </w:r>
    </w:p>
    <w:p>
      <w:pPr>
        <w:spacing w:after="0" w:line="38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500" w:top="1098" w:right="259" w:bottom="1440" w:gutter="0" w:footer="0" w:header="0"/>
        </w:sectPr>
      </w:pPr>
    </w:p>
    <w:bookmarkStart w:id="48" w:name="page49"/>
    <w:bookmarkEnd w:id="48"/>
    <w:p>
      <w:pPr>
        <w:ind w:left="780" w:right="260" w:hanging="777"/>
        <w:spacing w:after="0" w:line="277" w:lineRule="auto"/>
        <w:tabs>
          <w:tab w:leader="none" w:pos="7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Registration Rights Agreement between Nordic Biotech Venture Fund II K/S and Manhattan Pharmaceuticals, Inc. dated February 25, 2008 (incorporated by reference to Exhibit 10.22 to the Registrant's Form 10-K filed March 31, 2008).</w:t>
      </w:r>
    </w:p>
    <w:p>
      <w:pPr>
        <w:spacing w:after="0" w:line="170" w:lineRule="exact"/>
        <w:rPr>
          <w:sz w:val="20"/>
          <w:szCs w:val="20"/>
          <w:color w:val="auto"/>
        </w:rPr>
      </w:pPr>
    </w:p>
    <w:p>
      <w:pPr>
        <w:ind w:left="780" w:hanging="777"/>
        <w:spacing w:after="0" w:line="308" w:lineRule="auto"/>
        <w:tabs>
          <w:tab w:leader="none" w:pos="7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7"/>
          <w:szCs w:val="17"/>
          <w:color w:val="auto"/>
        </w:rPr>
        <w:t>Letter Agreement, dated September 17, 2008, between Nordic Biotech Venture Fund II K/S and Manhattan Pharmaceuticals, Inc. (incorporated by reference to Exhibit 10.24 to the Registrant’s Amended Registration Statement on Form S-1/A filed on October 3, 2008).</w:t>
      </w:r>
    </w:p>
    <w:p>
      <w:pPr>
        <w:spacing w:after="0" w:line="147" w:lineRule="exact"/>
        <w:rPr>
          <w:sz w:val="20"/>
          <w:szCs w:val="20"/>
          <w:color w:val="auto"/>
        </w:rPr>
      </w:pPr>
    </w:p>
    <w:p>
      <w:pPr>
        <w:ind w:left="780" w:right="100" w:hanging="777"/>
        <w:spacing w:after="0" w:line="277" w:lineRule="auto"/>
        <w:tabs>
          <w:tab w:leader="none" w:pos="7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Form of Secured Promissory Note, dated September 11, 2008 (incorporated by reference to Exhibit 10.1 to the Registrant’s Current Report on Form 8-K filed on September 15, 2008).</w:t>
      </w:r>
    </w:p>
    <w:p>
      <w:pPr>
        <w:spacing w:after="0" w:line="170" w:lineRule="exact"/>
        <w:rPr>
          <w:sz w:val="20"/>
          <w:szCs w:val="20"/>
          <w:color w:val="auto"/>
        </w:rPr>
      </w:pPr>
    </w:p>
    <w:p>
      <w:pPr>
        <w:ind w:left="780" w:right="460" w:hanging="777"/>
        <w:spacing w:after="0" w:line="277" w:lineRule="auto"/>
        <w:tabs>
          <w:tab w:leader="none" w:pos="7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warrant issued to Note Holders, dated September 11, 2008 (incorporated by reference to Exhibit 10.2 to the Registrant’s Current Report on Form 8-K filed on September 15, 2008).</w:t>
      </w:r>
    </w:p>
    <w:p>
      <w:pPr>
        <w:spacing w:after="0" w:line="170" w:lineRule="exact"/>
        <w:rPr>
          <w:sz w:val="20"/>
          <w:szCs w:val="20"/>
          <w:color w:val="auto"/>
        </w:rPr>
      </w:pPr>
    </w:p>
    <w:p>
      <w:pPr>
        <w:ind w:left="780" w:right="680" w:hanging="777"/>
        <w:spacing w:after="0" w:line="277" w:lineRule="auto"/>
        <w:tabs>
          <w:tab w:leader="none" w:pos="7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Placement Agent Warrant (incorporated by reference to Exhibit 10.9 to the Registrant’s Current Report on Form 8-K filed on November 25, 2008).</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Warrant, dated October 28, 2009 (incorporated by reference to Exhibit 10.3 to the Registrant’s Current Report on Form 8-K filed on November</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 2009).</w:t>
      </w:r>
    </w:p>
    <w:p>
      <w:pPr>
        <w:spacing w:after="0" w:line="211" w:lineRule="exact"/>
        <w:rPr>
          <w:sz w:val="20"/>
          <w:szCs w:val="20"/>
          <w:color w:val="auto"/>
        </w:rPr>
      </w:pPr>
    </w:p>
    <w:p>
      <w:pPr>
        <w:ind w:left="780" w:right="680" w:hanging="777"/>
        <w:spacing w:after="0" w:line="277" w:lineRule="auto"/>
        <w:tabs>
          <w:tab w:leader="none" w:pos="7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Placement Agent Warrant (incorporated by reference to Exhibit 10.4 to the Registrant’s Current Report on Form 8-K filed on November 3, 2009).</w:t>
      </w:r>
    </w:p>
    <w:p>
      <w:pPr>
        <w:spacing w:after="0" w:line="170" w:lineRule="exact"/>
        <w:rPr>
          <w:sz w:val="20"/>
          <w:szCs w:val="20"/>
          <w:color w:val="auto"/>
        </w:rPr>
      </w:pPr>
    </w:p>
    <w:p>
      <w:pPr>
        <w:ind w:left="780" w:right="300" w:hanging="777"/>
        <w:spacing w:after="0" w:line="342" w:lineRule="auto"/>
        <w:tabs>
          <w:tab w:leader="none" w:pos="7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Settlement and Release Agreement, dated January 4, 2011, by and among the Registrant, Nordic Biotech Venture Fund II K/S and H Pharmaceuticals K/S (incorporated by reference to Exhibit 10.1 to the Registrant’s Current Report on Form 8-K filed on January 10, 2011).</w:t>
      </w:r>
    </w:p>
    <w:p>
      <w:pPr>
        <w:spacing w:after="0" w:line="124" w:lineRule="exact"/>
        <w:rPr>
          <w:sz w:val="20"/>
          <w:szCs w:val="20"/>
          <w:color w:val="auto"/>
        </w:rPr>
      </w:pPr>
    </w:p>
    <w:p>
      <w:pPr>
        <w:ind w:left="780" w:right="180" w:hanging="777"/>
        <w:spacing w:after="0" w:line="277" w:lineRule="auto"/>
        <w:tabs>
          <w:tab w:leader="none" w:pos="7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Waiver and Forbearance Agreement, dated January 10, 2011 (incorporated by reference to Exhibit 10.1 to the Registrant’s Current Report on Form 8-K filed on February 14, 2011).</w:t>
      </w:r>
    </w:p>
    <w:p>
      <w:pPr>
        <w:spacing w:after="0" w:line="170" w:lineRule="exact"/>
        <w:rPr>
          <w:sz w:val="20"/>
          <w:szCs w:val="20"/>
          <w:color w:val="auto"/>
        </w:rPr>
      </w:pPr>
    </w:p>
    <w:p>
      <w:pPr>
        <w:ind w:left="780" w:right="500" w:hanging="777"/>
        <w:spacing w:after="0" w:line="277" w:lineRule="auto"/>
        <w:tabs>
          <w:tab w:leader="none" w:pos="7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Amended and Restated Convertible Promissory Note, dated March 1, 2011 (incorporated by reference to Exhibit 10.1 to the Registrant’s Current Report on Form 8-K filed on March 7, 2011).</w:t>
      </w:r>
    </w:p>
    <w:p>
      <w:pPr>
        <w:spacing w:after="0" w:line="170" w:lineRule="exact"/>
        <w:rPr>
          <w:sz w:val="20"/>
          <w:szCs w:val="20"/>
          <w:color w:val="auto"/>
        </w:rPr>
      </w:pPr>
    </w:p>
    <w:p>
      <w:pPr>
        <w:ind w:left="780" w:right="20" w:hanging="777"/>
        <w:spacing w:after="0" w:line="308" w:lineRule="auto"/>
        <w:tabs>
          <w:tab w:leader="none" w:pos="7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7"/>
          <w:szCs w:val="17"/>
          <w:color w:val="auto"/>
        </w:rPr>
        <w:t>Amendment to Settlement Agreement and Promissory Note between the Registrant and Swiss Pharma Contract Ltd., dated December 13, 2011 (incorporated by reference to Exhibit 10.2 to the Registrant’s Current Report on Form 8-K filed on December 19, 2011).</w:t>
      </w:r>
    </w:p>
    <w:p>
      <w:pPr>
        <w:spacing w:after="0" w:line="147" w:lineRule="exact"/>
        <w:rPr>
          <w:sz w:val="20"/>
          <w:szCs w:val="20"/>
          <w:color w:val="auto"/>
        </w:rPr>
      </w:pPr>
    </w:p>
    <w:p>
      <w:pPr>
        <w:ind w:left="780" w:right="260" w:hanging="777"/>
        <w:spacing w:after="0" w:line="277" w:lineRule="auto"/>
        <w:tabs>
          <w:tab w:leader="none" w:pos="7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Exchange Transaction Agreement dated December 29, 2011, by and among the Registrant, Opus Point Partners, LLC and TG Therapeutics, Inc. (incorporated by reference to Exhibit 10.1 to the Registrant’s Form 8-K filed on January 5, 2012).</w:t>
      </w:r>
    </w:p>
    <w:p>
      <w:pPr>
        <w:spacing w:after="0" w:line="170" w:lineRule="exact"/>
        <w:rPr>
          <w:sz w:val="20"/>
          <w:szCs w:val="20"/>
          <w:color w:val="auto"/>
        </w:rPr>
      </w:pPr>
    </w:p>
    <w:p>
      <w:pPr>
        <w:ind w:left="780" w:right="300" w:hanging="777"/>
        <w:spacing w:after="0" w:line="342" w:lineRule="auto"/>
        <w:tabs>
          <w:tab w:leader="none" w:pos="7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Amendment No. 1 to Exchange Transaction Agreement, dated as of December 29, 2011, by and among Opus Point Partners, LLC, TG Biologics, Inc. and TG Therapeutics, Inc. (incorporated by reference to Exhibit 10.1 to the Registrant’s Form 8-K filed on August 8, 2012).</w:t>
      </w:r>
    </w:p>
    <w:p>
      <w:pPr>
        <w:spacing w:after="0" w:line="124" w:lineRule="exact"/>
        <w:rPr>
          <w:sz w:val="20"/>
          <w:szCs w:val="20"/>
          <w:color w:val="auto"/>
        </w:rPr>
      </w:pPr>
    </w:p>
    <w:p>
      <w:pPr>
        <w:ind w:left="780" w:right="60" w:hanging="777"/>
        <w:spacing w:after="0" w:line="277" w:lineRule="auto"/>
        <w:tabs>
          <w:tab w:leader="none" w:pos="7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Employment Agreement, effective December 29, 2011, between the Registrant and Michael Weiss (incorporated by reference to Exhibit 10.30 to the Registrant’s Form 10-K for the fiscal year ended December 31, 2011). †</w:t>
      </w:r>
    </w:p>
    <w:p>
      <w:pPr>
        <w:spacing w:after="0" w:line="170" w:lineRule="exact"/>
        <w:rPr>
          <w:sz w:val="20"/>
          <w:szCs w:val="20"/>
          <w:color w:val="auto"/>
        </w:rPr>
      </w:pPr>
    </w:p>
    <w:p>
      <w:pPr>
        <w:ind w:left="780" w:right="60" w:hanging="777"/>
        <w:spacing w:after="0" w:line="277" w:lineRule="auto"/>
        <w:tabs>
          <w:tab w:leader="none" w:pos="7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Restricted Stock Subscription Agreement, effective December 29, 2011, between the Registrant and Michael Weiss (incorporated by reference to Exhibit 10.31 to the Registrant’s Form 10-K for the fiscal year ended December 31, 2011). †</w:t>
      </w:r>
    </w:p>
    <w:p>
      <w:pPr>
        <w:spacing w:after="0" w:line="170" w:lineRule="exact"/>
        <w:rPr>
          <w:sz w:val="20"/>
          <w:szCs w:val="20"/>
          <w:color w:val="auto"/>
        </w:rPr>
      </w:pPr>
    </w:p>
    <w:p>
      <w:pPr>
        <w:ind w:left="780" w:right="80" w:hanging="777"/>
        <w:spacing w:after="0" w:line="277" w:lineRule="auto"/>
        <w:tabs>
          <w:tab w:leader="none" w:pos="7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Employment Agreement, effective December 29, 2011, between the Registrant and Sean Power (incorporated by reference to Exhibit 10.32 to the Registrant’s Form 10-K for the fiscal year ended December 31, 2011). †</w:t>
      </w:r>
    </w:p>
    <w:p>
      <w:pPr>
        <w:spacing w:after="0" w:line="170" w:lineRule="exact"/>
        <w:rPr>
          <w:sz w:val="20"/>
          <w:szCs w:val="20"/>
          <w:color w:val="auto"/>
        </w:rPr>
      </w:pPr>
    </w:p>
    <w:p>
      <w:pPr>
        <w:ind w:left="780" w:right="120" w:hanging="777"/>
        <w:spacing w:after="0" w:line="277" w:lineRule="auto"/>
        <w:tabs>
          <w:tab w:leader="none" w:pos="7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Restricted Stock Subscription Agreement, effective December 29, 2011 between the Registrant and Sean Power (incorporated by reference to Exhibit 10.33 to the Registrant’s Form 10-K for the fiscal year ended December 31, 2011). †</w:t>
      </w:r>
    </w:p>
    <w:p>
      <w:pPr>
        <w:spacing w:after="0" w:line="38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500" w:top="881" w:right="299" w:bottom="1440" w:gutter="0" w:footer="0" w:header="0"/>
        </w:sectPr>
      </w:pPr>
    </w:p>
    <w:bookmarkStart w:id="49" w:name="page50"/>
    <w:bookmarkEnd w:id="49"/>
    <w:p>
      <w:pPr>
        <w:ind w:left="252"/>
        <w:spacing w:after="0"/>
        <w:tabs>
          <w:tab w:leader="none" w:pos="1012"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Form of Warrant issued to stockholders on December 29, 2011, January 31, 2012 and February 24, 2012 (incorporated by reference to Exhibit</w:t>
      </w:r>
    </w:p>
    <w:p>
      <w:pPr>
        <w:spacing w:after="0" w:line="23" w:lineRule="exact"/>
        <w:rPr>
          <w:sz w:val="20"/>
          <w:szCs w:val="20"/>
          <w:color w:val="auto"/>
        </w:rPr>
      </w:pPr>
    </w:p>
    <w:p>
      <w:pPr>
        <w:ind w:left="1032"/>
        <w:spacing w:after="0"/>
        <w:rPr>
          <w:sz w:val="20"/>
          <w:szCs w:val="20"/>
          <w:color w:val="auto"/>
        </w:rPr>
      </w:pPr>
      <w:r>
        <w:rPr>
          <w:rFonts w:ascii="Arial" w:cs="Arial" w:eastAsia="Arial" w:hAnsi="Arial"/>
          <w:sz w:val="18"/>
          <w:szCs w:val="18"/>
          <w:color w:val="auto"/>
        </w:rPr>
        <w:t>10.34 to the Registrant’s Form 10-K for the fiscal year ended December 31, 2011).</w:t>
      </w:r>
    </w:p>
    <w:p>
      <w:pPr>
        <w:spacing w:after="0" w:line="211" w:lineRule="exact"/>
        <w:rPr>
          <w:sz w:val="20"/>
          <w:szCs w:val="20"/>
          <w:color w:val="auto"/>
        </w:rPr>
      </w:pPr>
    </w:p>
    <w:p>
      <w:pPr>
        <w:ind w:left="1032" w:right="300" w:hanging="777"/>
        <w:spacing w:after="0" w:line="342" w:lineRule="auto"/>
        <w:tabs>
          <w:tab w:leader="none" w:pos="1012"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License Agreement, dated January 30, 2012, by and among the Registrant, GTC Biotherapeutics, Inc., LFB Biotechnologies S.A.S. and LFB/GTC LLC (incorporated by reference to Exhibit 10.35 to the Registrant’s Form 10-K for the fiscal year ended December 31, 2011). *</w:t>
      </w:r>
    </w:p>
    <w:p>
      <w:pPr>
        <w:spacing w:after="0" w:line="124" w:lineRule="exact"/>
        <w:rPr>
          <w:sz w:val="20"/>
          <w:szCs w:val="20"/>
          <w:color w:val="auto"/>
        </w:rPr>
      </w:pPr>
    </w:p>
    <w:p>
      <w:pPr>
        <w:ind w:left="1032" w:right="440" w:hanging="777"/>
        <w:spacing w:after="0" w:line="277" w:lineRule="auto"/>
        <w:tabs>
          <w:tab w:leader="none" w:pos="1012"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TG Therapeutics, Inc. Amended and Restated 2012 Incentive Plan, dated May 14, 2012 (incorporated by reference to Exhibit 10.1 to the Registrant’s Form 10-Q/A for the quarter ended March 31, 2012).</w:t>
      </w:r>
    </w:p>
    <w:p>
      <w:pPr>
        <w:spacing w:after="0" w:line="170" w:lineRule="exact"/>
        <w:rPr>
          <w:sz w:val="20"/>
          <w:szCs w:val="20"/>
          <w:color w:val="auto"/>
        </w:rPr>
      </w:pPr>
    </w:p>
    <w:p>
      <w:pPr>
        <w:ind w:left="1032" w:right="220" w:hanging="777"/>
        <w:spacing w:after="0" w:line="277" w:lineRule="auto"/>
        <w:tabs>
          <w:tab w:leader="none" w:pos="1012"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Securities Exchange Agreement, dated November 9, 2012, by and between the Company and LFB Biotechnologies S.A.S. (incorporated by reference to Exhibit 10.1 to the Registrant’s Current Report on Form 8-K filed on November 13, 2012).</w:t>
      </w:r>
    </w:p>
    <w:p>
      <w:pPr>
        <w:spacing w:after="0" w:line="170" w:lineRule="exact"/>
        <w:rPr>
          <w:sz w:val="20"/>
          <w:szCs w:val="20"/>
          <w:color w:val="auto"/>
        </w:rPr>
      </w:pPr>
    </w:p>
    <w:p>
      <w:pPr>
        <w:ind w:left="1032" w:hanging="777"/>
        <w:spacing w:after="0" w:line="277" w:lineRule="auto"/>
        <w:tabs>
          <w:tab w:leader="none" w:pos="1012"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Joint Venture Agreement between TG Therapeutics, Inc. and Rhizen Pharmaceuticals SA, dated August 15, 2012 (incorporated by reference to Exhibit 10.1 to the Registrant’s Form 10-Q for the quarter ended September 30, 2012). *</w:t>
      </w:r>
    </w:p>
    <w:p>
      <w:pPr>
        <w:spacing w:after="0" w:line="170" w:lineRule="exact"/>
        <w:rPr>
          <w:sz w:val="20"/>
          <w:szCs w:val="20"/>
          <w:color w:val="auto"/>
        </w:rPr>
      </w:pPr>
    </w:p>
    <w:p>
      <w:pPr>
        <w:ind w:left="252"/>
        <w:spacing w:after="0"/>
        <w:tabs>
          <w:tab w:leader="none" w:pos="1012"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Sublicense Agreement between TG Biologics, Inc. and Ildong Pharmaceutical Co. Ltd., dated November 13, 2012. *</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Principal Executive Officer</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Principal Financial Officer</w:t>
      </w:r>
    </w:p>
    <w:p>
      <w:pPr>
        <w:spacing w:after="0" w:line="225" w:lineRule="exact"/>
        <w:rPr>
          <w:sz w:val="20"/>
          <w:szCs w:val="20"/>
          <w:color w:val="auto"/>
        </w:rPr>
      </w:pPr>
    </w:p>
    <w:p>
      <w:pPr>
        <w:ind w:left="292"/>
        <w:spacing w:after="0"/>
        <w:tabs>
          <w:tab w:leader="none" w:pos="101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Certifications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7" w:lineRule="exact"/>
        <w:rPr>
          <w:sz w:val="20"/>
          <w:szCs w:val="20"/>
          <w:color w:val="auto"/>
        </w:rPr>
      </w:pPr>
    </w:p>
    <w:p>
      <w:pPr>
        <w:ind w:left="652" w:hanging="652"/>
        <w:spacing w:after="0"/>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sz w:val="20"/>
          <w:szCs w:val="20"/>
          <w:color w:val="auto"/>
        </w:rPr>
      </w:pPr>
    </w:p>
    <w:p>
      <w:pPr>
        <w:ind w:left="5612" w:right="4220" w:hanging="5612"/>
        <w:spacing w:after="0" w:line="762"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omitted portions of this exhibit.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TG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80" w:type="dxa"/>
            <w:vAlign w:val="bottom"/>
          </w:tcPr>
          <w:p>
            <w:pPr>
              <w:ind w:left="100"/>
              <w:spacing w:after="0"/>
              <w:rPr>
                <w:sz w:val="20"/>
                <w:szCs w:val="20"/>
                <w:color w:val="auto"/>
              </w:rPr>
            </w:pPr>
            <w:r>
              <w:rPr>
                <w:rFonts w:ascii="Arial" w:cs="Arial" w:eastAsia="Arial" w:hAnsi="Arial"/>
                <w:sz w:val="18"/>
                <w:szCs w:val="18"/>
                <w:color w:val="auto"/>
              </w:rPr>
              <w:t>Contents</w:t>
            </w:r>
          </w:p>
        </w:tc>
        <w:tc>
          <w:tcPr>
            <w:tcW w:w="1040" w:type="dxa"/>
            <w:vAlign w:val="bottom"/>
            <w:gridSpan w:val="2"/>
          </w:tcPr>
          <w:p>
            <w:pPr>
              <w:spacing w:after="0"/>
              <w:rPr>
                <w:sz w:val="20"/>
                <w:szCs w:val="20"/>
                <w:color w:val="auto"/>
              </w:rPr>
            </w:pPr>
            <w:r>
              <w:rPr>
                <w:rFonts w:ascii="Arial" w:cs="Arial" w:eastAsia="Arial" w:hAnsi="Arial"/>
                <w:sz w:val="18"/>
                <w:szCs w:val="18"/>
                <w:color w:val="auto"/>
              </w:rPr>
              <w:t>Page</w:t>
            </w:r>
          </w:p>
        </w:tc>
      </w:tr>
      <w:tr>
        <w:trPr>
          <w:trHeight w:val="237"/>
        </w:trPr>
        <w:tc>
          <w:tcPr>
            <w:tcW w:w="103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r>
      <w:tr>
        <w:trPr>
          <w:trHeight w:val="216"/>
        </w:trPr>
        <w:tc>
          <w:tcPr>
            <w:tcW w:w="103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Report of Independent Registered Public Accounting Firm</w:t>
            </w:r>
          </w:p>
        </w:tc>
        <w:tc>
          <w:tcPr>
            <w:tcW w:w="1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F-1</w:t>
            </w:r>
          </w:p>
        </w:tc>
      </w:tr>
      <w:tr>
        <w:trPr>
          <w:trHeight w:val="216"/>
        </w:trPr>
        <w:tc>
          <w:tcPr>
            <w:tcW w:w="10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3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Consolidated Balance Sheets as of December 31, 2012 and 2011</w:t>
            </w:r>
          </w:p>
        </w:tc>
        <w:tc>
          <w:tcPr>
            <w:tcW w:w="1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F-2</w:t>
            </w:r>
          </w:p>
        </w:tc>
      </w:tr>
      <w:tr>
        <w:trPr>
          <w:trHeight w:val="216"/>
        </w:trPr>
        <w:tc>
          <w:tcPr>
            <w:tcW w:w="10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2"/>
        </w:trPr>
        <w:tc>
          <w:tcPr>
            <w:tcW w:w="10380" w:type="dxa"/>
            <w:vAlign w:val="bottom"/>
            <w:shd w:val="clear" w:color="auto" w:fill="CCFFCC"/>
          </w:tcPr>
          <w:p>
            <w:pPr>
              <w:ind w:left="100"/>
              <w:spacing w:after="0" w:line="201" w:lineRule="exact"/>
              <w:rPr>
                <w:sz w:val="20"/>
                <w:szCs w:val="20"/>
                <w:color w:val="auto"/>
              </w:rPr>
            </w:pPr>
            <w:r>
              <w:rPr>
                <w:rFonts w:ascii="Arial" w:cs="Arial" w:eastAsia="Arial" w:hAnsi="Arial"/>
                <w:sz w:val="18"/>
                <w:szCs w:val="18"/>
                <w:color w:val="auto"/>
                <w:w w:val="93"/>
              </w:rPr>
              <w:t>Consolidated Statements of Operations for the years ended December 31, 2012 and 2011 the and cumulative period ended December 31,</w:t>
            </w:r>
          </w:p>
        </w:tc>
        <w:tc>
          <w:tcPr>
            <w:tcW w:w="10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F-3</w:t>
            </w:r>
          </w:p>
        </w:tc>
      </w:tr>
      <w:tr>
        <w:trPr>
          <w:trHeight w:val="230"/>
        </w:trPr>
        <w:tc>
          <w:tcPr>
            <w:tcW w:w="103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2012</w:t>
            </w:r>
          </w:p>
        </w:tc>
        <w:tc>
          <w:tcPr>
            <w:tcW w:w="3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r>
      <w:tr>
        <w:trPr>
          <w:trHeight w:val="216"/>
        </w:trPr>
        <w:tc>
          <w:tcPr>
            <w:tcW w:w="10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380" w:type="dxa"/>
            <w:vAlign w:val="bottom"/>
            <w:shd w:val="clear" w:color="auto" w:fill="CCFFCC"/>
          </w:tcPr>
          <w:p>
            <w:pPr>
              <w:ind w:left="100"/>
              <w:spacing w:after="0"/>
              <w:rPr>
                <w:sz w:val="20"/>
                <w:szCs w:val="20"/>
                <w:color w:val="auto"/>
              </w:rPr>
            </w:pPr>
            <w:r>
              <w:rPr>
                <w:rFonts w:ascii="Arial" w:cs="Arial" w:eastAsia="Arial" w:hAnsi="Arial"/>
                <w:sz w:val="18"/>
                <w:szCs w:val="18"/>
                <w:color w:val="auto"/>
                <w:w w:val="92"/>
              </w:rPr>
              <w:t>Consolidated Statements of Equity for the years ended December 31, 2012 and 2011 and the cumulative period ended December 31, 2012</w:t>
            </w:r>
          </w:p>
        </w:tc>
        <w:tc>
          <w:tcPr>
            <w:tcW w:w="1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F-4</w:t>
            </w:r>
          </w:p>
        </w:tc>
      </w:tr>
      <w:tr>
        <w:trPr>
          <w:trHeight w:val="216"/>
        </w:trPr>
        <w:tc>
          <w:tcPr>
            <w:tcW w:w="10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2"/>
        </w:trPr>
        <w:tc>
          <w:tcPr>
            <w:tcW w:w="10380" w:type="dxa"/>
            <w:vAlign w:val="bottom"/>
            <w:shd w:val="clear" w:color="auto" w:fill="CCFFCC"/>
          </w:tcPr>
          <w:p>
            <w:pPr>
              <w:ind w:left="100"/>
              <w:spacing w:after="0" w:line="201" w:lineRule="exact"/>
              <w:rPr>
                <w:sz w:val="20"/>
                <w:szCs w:val="20"/>
                <w:color w:val="auto"/>
              </w:rPr>
            </w:pPr>
            <w:r>
              <w:rPr>
                <w:rFonts w:ascii="Arial" w:cs="Arial" w:eastAsia="Arial" w:hAnsi="Arial"/>
                <w:sz w:val="18"/>
                <w:szCs w:val="18"/>
                <w:color w:val="auto"/>
                <w:w w:val="92"/>
              </w:rPr>
              <w:t>Consolidated Statements of Cash Flows for the years ended December 31, 2012 and 2011 and the cumulative period ended December 31,</w:t>
            </w:r>
          </w:p>
        </w:tc>
        <w:tc>
          <w:tcPr>
            <w:tcW w:w="10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F-5</w:t>
            </w:r>
          </w:p>
        </w:tc>
      </w:tr>
      <w:tr>
        <w:trPr>
          <w:trHeight w:val="230"/>
        </w:trPr>
        <w:tc>
          <w:tcPr>
            <w:tcW w:w="103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2012</w:t>
            </w:r>
          </w:p>
        </w:tc>
        <w:tc>
          <w:tcPr>
            <w:tcW w:w="3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r>
      <w:tr>
        <w:trPr>
          <w:trHeight w:val="216"/>
        </w:trPr>
        <w:tc>
          <w:tcPr>
            <w:tcW w:w="10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3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Notes to the Consolidated Financial Statements</w:t>
            </w:r>
          </w:p>
        </w:tc>
        <w:tc>
          <w:tcPr>
            <w:tcW w:w="1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F-6</w:t>
            </w:r>
          </w:p>
        </w:tc>
      </w:tr>
      <w:tr>
        <w:trPr>
          <w:trHeight w:val="648"/>
        </w:trPr>
        <w:tc>
          <w:tcPr>
            <w:tcW w:w="10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TG Therapeutics, Inc. and Subsidiaries (a development stage company) (the “Company) as of December 31, 2012 and 2011, and the related consolidated statements of operations, equity and cash flows for the years then ended and cumulative period then ended. TG Therapeutics, Inc.’s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TG Therapeutics, Inc. and Subsidiaries as of December 31, 2012 and 2011, and their results of operations and cash flows for the years then ended and cumulative period then ended, in conformity with accounting principles generally accepted in the United States of America.</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2013</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16,455,995</w:t>
            </w:r>
          </w:p>
        </w:tc>
        <w:tc>
          <w:tcPr>
            <w:tcW w:w="28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9,748,491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Prepaid research and development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1,990,759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29,128</w:t>
            </w: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87,176</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18,475,882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9,835,667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Equipment, net</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1,164</w:t>
            </w: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2,797,600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3,902,300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799,391</w:t>
            </w:r>
          </w:p>
        </w:tc>
        <w:tc>
          <w:tcPr>
            <w:tcW w:w="32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799,391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FFCC"/>
            </w:tcBorders>
          </w:tcPr>
          <w:p>
            <w:pPr>
              <w:ind w:left="4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22,074,037</w:t>
            </w:r>
          </w:p>
        </w:tc>
        <w:tc>
          <w:tcPr>
            <w:tcW w:w="320" w:type="dxa"/>
            <w:vAlign w:val="bottom"/>
            <w:tcBorders>
              <w:bottom w:val="single" w:sz="8" w:color="CCFFCC"/>
            </w:tcBorders>
          </w:tcPr>
          <w:p>
            <w:pPr>
              <w:spacing w:after="0"/>
              <w:rPr>
                <w:sz w:val="22"/>
                <w:szCs w:val="22"/>
                <w:color w:val="auto"/>
              </w:rPr>
            </w:pPr>
          </w:p>
        </w:tc>
        <w:tc>
          <w:tcPr>
            <w:tcW w:w="20" w:type="dxa"/>
            <w:vAlign w:val="bottom"/>
            <w:tcBorders>
              <w:bottom w:val="single" w:sz="8" w:color="CCFFC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14,537,358</w:t>
            </w:r>
          </w:p>
        </w:tc>
        <w:tc>
          <w:tcPr>
            <w:tcW w:w="2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Notes payable, current portion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677,778</w:t>
            </w:r>
          </w:p>
        </w:tc>
        <w:tc>
          <w:tcPr>
            <w:tcW w:w="320" w:type="dxa"/>
            <w:vAlign w:val="bottom"/>
          </w:tcPr>
          <w:p>
            <w:pPr>
              <w:spacing w:after="0"/>
              <w:rPr>
                <w:sz w:val="18"/>
                <w:szCs w:val="18"/>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877,778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1,117,397</w:t>
            </w: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666,640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Current portion of deferred revenue</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152,381</w:t>
            </w: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Interest payable, current portion</w:t>
            </w:r>
          </w:p>
        </w:tc>
        <w:tc>
          <w:tcPr>
            <w:tcW w:w="2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123,511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61,941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ind w:left="4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2,216,067</w:t>
            </w:r>
          </w:p>
        </w:tc>
        <w:tc>
          <w:tcPr>
            <w:tcW w:w="3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1,606,359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1,828,571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Notes payable, less current portion, at fair value</w:t>
            </w:r>
          </w:p>
        </w:tc>
        <w:tc>
          <w:tcPr>
            <w:tcW w:w="24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2,479,098</w:t>
            </w:r>
          </w:p>
        </w:tc>
        <w:tc>
          <w:tcPr>
            <w:tcW w:w="32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3,294,797</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FFCC"/>
            </w:tcBorders>
          </w:tcPr>
          <w:p>
            <w:pPr>
              <w:ind w:left="4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6,523,736</w:t>
            </w:r>
          </w:p>
        </w:tc>
        <w:tc>
          <w:tcPr>
            <w:tcW w:w="3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4,901,156</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Preferred stock, $0.001 par value per share (10,000,000 shares authorized, 0 and 413,388 issued and outstanding</w:t>
            </w:r>
          </w:p>
        </w:tc>
        <w:tc>
          <w:tcPr>
            <w:tcW w:w="2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as of December 31, 2012 and 2011, respectively, aggregate liquidation value of $0 and $8,267,760 at</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December 31, 2012 and 2011, respectively)</w:t>
            </w:r>
          </w:p>
        </w:tc>
        <w:tc>
          <w:tcPr>
            <w:tcW w:w="24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5"/>
              </w:rPr>
              <w:t>Common stock, $0.001 par value per share (500,000,000 shares authorized, 25,820,738 and 5,061,399 shares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issued and outstanding at December 31, 2012 and 2011, respectively)</w:t>
            </w:r>
          </w:p>
        </w:tc>
        <w:tc>
          <w:tcPr>
            <w:tcW w:w="24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25,821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Contingently issuable shares</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34,534,805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10,472,115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Treasury stock, at cost, 13,526 and 0 shares at December 31, 2012 and 2011, respectively</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(84,538)</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Deficit accumulated in the development stage</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(18,925,793)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(853,074)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ind w:left="4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15,550,301</w:t>
            </w:r>
          </w:p>
        </w:tc>
        <w:tc>
          <w:tcPr>
            <w:tcW w:w="3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9,624,521</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ind w:left="46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15,550,301</w:t>
            </w:r>
          </w:p>
        </w:tc>
        <w:tc>
          <w:tcPr>
            <w:tcW w:w="3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9,636,202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22,074,037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14,537,358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 Ended December 31, 2012 and 2011 and the Cumulative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w w:val="93"/>
              </w:rPr>
              <w:t>Amounts 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during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development stage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License revenue</w:t>
            </w:r>
          </w:p>
        </w:tc>
        <w:tc>
          <w:tcPr>
            <w:tcW w:w="68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19,048</w:t>
            </w:r>
          </w:p>
        </w:tc>
        <w:tc>
          <w:tcPr>
            <w:tcW w:w="46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Noncash stock expense associated with in-licensing agreement</w:t>
            </w: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16,578,000</w:t>
            </w: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297,000</w:t>
            </w: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455,809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455,809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research and development</w:t>
            </w:r>
          </w:p>
        </w:tc>
        <w:tc>
          <w:tcPr>
            <w:tcW w:w="3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3,994,182</w:t>
            </w:r>
          </w:p>
        </w:tc>
        <w:tc>
          <w:tcPr>
            <w:tcW w:w="1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30,283</w:t>
            </w: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4,024,465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research and development</w:t>
            </w:r>
          </w:p>
        </w:tc>
        <w:tc>
          <w:tcPr>
            <w:tcW w:w="36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21,027,991</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327,283</w:t>
            </w:r>
          </w:p>
        </w:tc>
        <w:tc>
          <w:tcPr>
            <w:tcW w:w="3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21,355,274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Noncash compensation</w:t>
            </w: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2,966,373</w:t>
            </w: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86,494</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3,052,867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Other general and administrative</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1,815,083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468,197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2,283,280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general and administrative</w:t>
            </w:r>
          </w:p>
        </w:tc>
        <w:tc>
          <w:tcPr>
            <w:tcW w:w="36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4,781,456</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554,691</w:t>
            </w:r>
          </w:p>
        </w:tc>
        <w:tc>
          <w:tcPr>
            <w:tcW w:w="3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5,336,147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3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1,104,700</w:t>
            </w:r>
          </w:p>
        </w:tc>
        <w:tc>
          <w:tcPr>
            <w:tcW w:w="1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1,104,700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Total costs and expenses</w:t>
            </w:r>
          </w:p>
        </w:tc>
        <w:tc>
          <w:tcPr>
            <w:tcW w:w="3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26,914,147</w:t>
            </w:r>
          </w:p>
        </w:tc>
        <w:tc>
          <w:tcPr>
            <w:tcW w:w="1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881,974</w:t>
            </w:r>
          </w:p>
        </w:tc>
        <w:tc>
          <w:tcPr>
            <w:tcW w:w="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27,796,121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(26,895,099)</w:t>
            </w:r>
          </w:p>
        </w:tc>
        <w:tc>
          <w:tcPr>
            <w:tcW w:w="1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(881,974)</w:t>
            </w: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(27,777,073)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(15,787)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(272,232)</w:t>
            </w: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905,744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912,841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Change in fair value of notes payable</w:t>
            </w:r>
          </w:p>
        </w:tc>
        <w:tc>
          <w:tcPr>
            <w:tcW w:w="3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(1,659,872)</w:t>
            </w:r>
          </w:p>
        </w:tc>
        <w:tc>
          <w:tcPr>
            <w:tcW w:w="1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(1,659,872)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(1,042,147</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3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(1,035,050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(25,852,952)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(889,071)</w:t>
            </w:r>
          </w:p>
        </w:tc>
        <w:tc>
          <w:tcPr>
            <w:tcW w:w="1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(26,742,023)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330,000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36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(26,182,952)</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(889,071)</w:t>
            </w:r>
          </w:p>
        </w:tc>
        <w:tc>
          <w:tcPr>
            <w:tcW w:w="3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6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(27,072,023)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(8,110,233)</w:t>
            </w:r>
          </w:p>
        </w:tc>
        <w:tc>
          <w:tcPr>
            <w:tcW w:w="1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(35,997)</w:t>
            </w: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(8,146,230)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loss attributable to TG Therapeutics, Inc. and Subsidiaries</w:t>
            </w:r>
          </w:p>
        </w:tc>
        <w:tc>
          <w:tcPr>
            <w:tcW w:w="360" w:type="dxa"/>
            <w:vAlign w:val="bottom"/>
            <w:tcBorders>
              <w:bottom w:val="single" w:sz="8" w:color="CCFFC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(18,072,719</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(853,074</w:t>
            </w:r>
          </w:p>
        </w:tc>
        <w:tc>
          <w:tcPr>
            <w:tcW w:w="320" w:type="dxa"/>
            <w:vAlign w:val="bottom"/>
            <w:tcBorders>
              <w:bottom w:val="single" w:sz="8" w:color="CCFFCC"/>
            </w:tcBorders>
          </w:tcPr>
          <w:p>
            <w:pPr>
              <w:jc w:val="right"/>
              <w:ind w:right="1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(18,925,793</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6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Borders>
              <w:top w:val="single" w:sz="8" w:color="CCFFCC"/>
            </w:tcBorders>
            <w:shd w:val="clear" w:color="auto" w:fill="CCFFCC"/>
          </w:tcPr>
          <w:p>
            <w:pPr>
              <w:spacing w:after="0"/>
              <w:rPr>
                <w:sz w:val="17"/>
                <w:szCs w:val="17"/>
                <w:color w:val="auto"/>
              </w:rPr>
            </w:pPr>
          </w:p>
        </w:tc>
        <w:tc>
          <w:tcPr>
            <w:tcW w:w="36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32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60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40" w:type="dxa"/>
            <w:vAlign w:val="bottom"/>
          </w:tcPr>
          <w:p>
            <w:pPr>
              <w:spacing w:after="0" w:line="201" w:lineRule="exact"/>
              <w:rPr>
                <w:sz w:val="20"/>
                <w:szCs w:val="20"/>
                <w:color w:val="auto"/>
              </w:rPr>
            </w:pPr>
            <w:r>
              <w:rPr>
                <w:rFonts w:ascii="Arial" w:cs="Arial" w:eastAsia="Arial" w:hAnsi="Arial"/>
                <w:sz w:val="18"/>
                <w:szCs w:val="18"/>
                <w:color w:val="auto"/>
                <w:w w:val="94"/>
              </w:rPr>
              <w:t>Weighted average shares used in computing basic and diluted net loss per</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660" w:type="dxa"/>
            <w:vAlign w:val="bottom"/>
            <w:gridSpan w:val="2"/>
          </w:tcPr>
          <w:p>
            <w:pPr>
              <w:spacing w:after="0"/>
              <w:rPr>
                <w:sz w:val="20"/>
                <w:szCs w:val="20"/>
                <w:color w:val="auto"/>
              </w:rPr>
            </w:pPr>
            <w:r>
              <w:rPr>
                <w:rFonts w:ascii="Arial" w:cs="Arial" w:eastAsia="Arial" w:hAnsi="Arial"/>
                <w:sz w:val="18"/>
                <w:szCs w:val="18"/>
                <w:color w:val="auto"/>
              </w:rPr>
              <w:t>common share</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13,113,758</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1,926,198</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Equity for the Years Ended December 31, 2012 and 2011 and the Cumulative period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62"/>
              <w:spacing w:after="0"/>
              <w:rPr>
                <w:sz w:val="20"/>
                <w:szCs w:val="20"/>
                <w:color w:val="auto"/>
              </w:rPr>
            </w:pPr>
            <w:r>
              <w:rPr>
                <w:rFonts w:ascii="Arial" w:cs="Arial" w:eastAsia="Arial" w:hAnsi="Arial"/>
                <w:sz w:val="11"/>
                <w:szCs w:val="11"/>
                <w:b w:val="1"/>
                <w:bCs w:val="1"/>
                <w:color w:val="auto"/>
                <w:w w:val="95"/>
              </w:rPr>
              <w:t>Deficit</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tcPr>
          <w:p>
            <w:pPr>
              <w:jc w:val="center"/>
              <w:ind w:right="162"/>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0" w:type="dxa"/>
            <w:vAlign w:val="bottom"/>
          </w:tcPr>
          <w:p>
            <w:pPr>
              <w:spacing w:after="0"/>
              <w:rPr>
                <w:sz w:val="10"/>
                <w:szCs w:val="10"/>
                <w:color w:val="auto"/>
              </w:rPr>
            </w:pPr>
          </w:p>
        </w:tc>
        <w:tc>
          <w:tcPr>
            <w:tcW w:w="7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Non-</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8"/>
              </w:rPr>
              <w:t>Contingently</w:t>
            </w:r>
          </w:p>
        </w:tc>
        <w:tc>
          <w:tcPr>
            <w:tcW w:w="100" w:type="dxa"/>
            <w:vAlign w:val="bottom"/>
          </w:tcPr>
          <w:p>
            <w:pPr>
              <w:spacing w:after="0"/>
              <w:rPr>
                <w:sz w:val="10"/>
                <w:szCs w:val="10"/>
                <w:color w:val="auto"/>
              </w:rPr>
            </w:pPr>
          </w:p>
        </w:tc>
        <w:tc>
          <w:tcPr>
            <w:tcW w:w="8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Additional</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62"/>
              <w:spacing w:after="0" w:line="122" w:lineRule="exact"/>
              <w:rPr>
                <w:sz w:val="20"/>
                <w:szCs w:val="20"/>
                <w:color w:val="auto"/>
              </w:rPr>
            </w:pPr>
            <w:r>
              <w:rPr>
                <w:rFonts w:ascii="Arial" w:cs="Arial" w:eastAsia="Arial" w:hAnsi="Arial"/>
                <w:sz w:val="11"/>
                <w:szCs w:val="11"/>
                <w:b w:val="1"/>
                <w:bCs w:val="1"/>
                <w:color w:val="auto"/>
                <w:w w:val="95"/>
              </w:rPr>
              <w:t>in the</w:t>
            </w:r>
          </w:p>
        </w:tc>
        <w:tc>
          <w:tcPr>
            <w:tcW w:w="8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controlling</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1"/>
                <w:szCs w:val="11"/>
                <w:b w:val="1"/>
                <w:bCs w:val="1"/>
                <w:color w:val="auto"/>
              </w:rPr>
              <w:t>Preferred stock</w:t>
            </w:r>
          </w:p>
        </w:tc>
        <w:tc>
          <w:tcPr>
            <w:tcW w:w="1440" w:type="dxa"/>
            <w:vAlign w:val="bottom"/>
            <w:gridSpan w:val="6"/>
          </w:tcPr>
          <w:p>
            <w:pPr>
              <w:jc w:val="right"/>
              <w:ind w:right="48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issuable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paid-in</w:t>
            </w:r>
          </w:p>
        </w:tc>
        <w:tc>
          <w:tcPr>
            <w:tcW w:w="1260" w:type="dxa"/>
            <w:vAlign w:val="bottom"/>
            <w:gridSpan w:val="6"/>
          </w:tcPr>
          <w:p>
            <w:pPr>
              <w:jc w:val="right"/>
              <w:ind w:right="342"/>
              <w:spacing w:after="0"/>
              <w:rPr>
                <w:sz w:val="20"/>
                <w:szCs w:val="20"/>
                <w:color w:val="auto"/>
              </w:rPr>
            </w:pPr>
            <w:r>
              <w:rPr>
                <w:rFonts w:ascii="Arial" w:cs="Arial" w:eastAsia="Arial" w:hAnsi="Arial"/>
                <w:sz w:val="11"/>
                <w:szCs w:val="11"/>
                <w:b w:val="1"/>
                <w:bCs w:val="1"/>
                <w:color w:val="auto"/>
              </w:rPr>
              <w:t>Treasury Stock</w:t>
            </w:r>
          </w:p>
        </w:tc>
        <w:tc>
          <w:tcPr>
            <w:tcW w:w="880" w:type="dxa"/>
            <w:vAlign w:val="bottom"/>
            <w:gridSpan w:val="3"/>
          </w:tcPr>
          <w:p>
            <w:pPr>
              <w:jc w:val="center"/>
              <w:ind w:right="162"/>
              <w:spacing w:after="0"/>
              <w:rPr>
                <w:sz w:val="20"/>
                <w:szCs w:val="20"/>
                <w:color w:val="auto"/>
              </w:rPr>
            </w:pPr>
            <w:r>
              <w:rPr>
                <w:rFonts w:ascii="Arial" w:cs="Arial" w:eastAsia="Arial" w:hAnsi="Arial"/>
                <w:sz w:val="11"/>
                <w:szCs w:val="11"/>
                <w:b w:val="1"/>
                <w:bCs w:val="1"/>
                <w:color w:val="auto"/>
                <w:w w:val="88"/>
              </w:rPr>
              <w:t>development</w:t>
            </w:r>
          </w:p>
        </w:tc>
        <w:tc>
          <w:tcPr>
            <w:tcW w:w="60" w:type="dxa"/>
            <w:vAlign w:val="bottom"/>
          </w:tcPr>
          <w:p>
            <w:pPr>
              <w:spacing w:after="0"/>
              <w:rPr>
                <w:sz w:val="11"/>
                <w:szCs w:val="11"/>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interest in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18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4"/>
              </w:rPr>
              <w:t>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5"/>
              </w:rPr>
              <w:t>capital</w:t>
            </w:r>
          </w:p>
        </w:tc>
        <w:tc>
          <w:tcPr>
            <w:tcW w:w="5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w w:val="92"/>
              </w:rPr>
              <w:t>Shares</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Amount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2"/>
              <w:spacing w:after="0"/>
              <w:rPr>
                <w:sz w:val="20"/>
                <w:szCs w:val="20"/>
                <w:color w:val="auto"/>
              </w:rPr>
            </w:pPr>
            <w:r>
              <w:rPr>
                <w:rFonts w:ascii="Arial" w:cs="Arial" w:eastAsia="Arial" w:hAnsi="Arial"/>
                <w:sz w:val="11"/>
                <w:szCs w:val="11"/>
                <w:b w:val="1"/>
                <w:bCs w:val="1"/>
                <w:color w:val="auto"/>
                <w:w w:val="83"/>
              </w:rPr>
              <w:t>stage</w:t>
            </w:r>
          </w:p>
        </w:tc>
        <w:tc>
          <w:tcPr>
            <w:tcW w:w="60" w:type="dxa"/>
            <w:vAlign w:val="bottom"/>
          </w:tcPr>
          <w:p>
            <w:pPr>
              <w:spacing w:after="0"/>
              <w:rPr>
                <w:sz w:val="11"/>
                <w:szCs w:val="11"/>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subsidiary</w:t>
            </w:r>
          </w:p>
        </w:tc>
        <w:tc>
          <w:tcPr>
            <w:tcW w:w="80" w:type="dxa"/>
            <w:vAlign w:val="bottom"/>
          </w:tcPr>
          <w:p>
            <w:pPr>
              <w:spacing w:after="0"/>
              <w:rPr>
                <w:sz w:val="11"/>
                <w:szCs w:val="11"/>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320" w:type="dxa"/>
            <w:vAlign w:val="bottom"/>
            <w:tcBorders>
              <w:top w:val="single" w:sz="8" w:color="CCFFCC"/>
            </w:tcBorders>
            <w:shd w:val="clear" w:color="auto" w:fill="CCFFCC"/>
          </w:tcPr>
          <w:p>
            <w:pPr>
              <w:spacing w:after="0" w:line="92" w:lineRule="exact"/>
              <w:rPr>
                <w:sz w:val="20"/>
                <w:szCs w:val="20"/>
                <w:color w:val="auto"/>
              </w:rPr>
            </w:pPr>
            <w:r>
              <w:rPr>
                <w:rFonts w:ascii="Arial" w:cs="Arial" w:eastAsia="Arial" w:hAnsi="Arial"/>
                <w:sz w:val="10"/>
                <w:szCs w:val="10"/>
                <w:color w:val="auto"/>
              </w:rPr>
              <w:t>Common stock issued to founders in exchange for seed capital in April</w:t>
            </w:r>
          </w:p>
        </w:tc>
        <w:tc>
          <w:tcPr>
            <w:tcW w:w="560" w:type="dxa"/>
            <w:vAlign w:val="bottom"/>
            <w:tcBorders>
              <w:top w:val="single" w:sz="8" w:color="auto"/>
            </w:tcBorders>
            <w:shd w:val="clear" w:color="auto" w:fill="CCFFCC"/>
          </w:tcPr>
          <w:p>
            <w:pPr>
              <w:spacing w:after="0"/>
              <w:rPr>
                <w:sz w:val="7"/>
                <w:szCs w:val="7"/>
                <w:color w:val="auto"/>
              </w:rPr>
            </w:pPr>
          </w:p>
        </w:tc>
        <w:tc>
          <w:tcPr>
            <w:tcW w:w="180" w:type="dxa"/>
            <w:vAlign w:val="bottom"/>
            <w:tcBorders>
              <w:top w:val="single" w:sz="8" w:color="CCFFCC"/>
              <w:right w:val="single" w:sz="8" w:color="CCFFCC"/>
            </w:tcBorders>
            <w:shd w:val="clear" w:color="auto" w:fill="CCFFCC"/>
          </w:tcPr>
          <w:p>
            <w:pPr>
              <w:spacing w:after="0"/>
              <w:rPr>
                <w:sz w:val="7"/>
                <w:szCs w:val="7"/>
                <w:color w:val="auto"/>
              </w:rPr>
            </w:pPr>
          </w:p>
        </w:tc>
        <w:tc>
          <w:tcPr>
            <w:tcW w:w="120" w:type="dxa"/>
            <w:vAlign w:val="bottom"/>
            <w:tcBorders>
              <w:top w:val="single" w:sz="8" w:color="auto"/>
            </w:tcBorders>
            <w:shd w:val="clear" w:color="auto" w:fill="CCFFCC"/>
          </w:tcPr>
          <w:p>
            <w:pPr>
              <w:spacing w:after="0"/>
              <w:rPr>
                <w:sz w:val="7"/>
                <w:szCs w:val="7"/>
                <w:color w:val="auto"/>
              </w:rPr>
            </w:pPr>
          </w:p>
        </w:tc>
        <w:tc>
          <w:tcPr>
            <w:tcW w:w="340" w:type="dxa"/>
            <w:vAlign w:val="bottom"/>
            <w:tcBorders>
              <w:top w:val="single" w:sz="8" w:color="auto"/>
            </w:tcBorders>
            <w:shd w:val="clear" w:color="auto" w:fill="CCFFCC"/>
          </w:tcPr>
          <w:p>
            <w:pPr>
              <w:spacing w:after="0"/>
              <w:rPr>
                <w:sz w:val="7"/>
                <w:szCs w:val="7"/>
                <w:color w:val="auto"/>
              </w:rPr>
            </w:pPr>
          </w:p>
        </w:tc>
        <w:tc>
          <w:tcPr>
            <w:tcW w:w="180" w:type="dxa"/>
            <w:vAlign w:val="bottom"/>
            <w:tcBorders>
              <w:top w:val="single" w:sz="8" w:color="CCFFCC"/>
            </w:tcBorders>
            <w:shd w:val="clear" w:color="auto" w:fill="CCFFCC"/>
          </w:tcPr>
          <w:p>
            <w:pPr>
              <w:spacing w:after="0"/>
              <w:rPr>
                <w:sz w:val="7"/>
                <w:szCs w:val="7"/>
                <w:color w:val="auto"/>
              </w:rPr>
            </w:pPr>
          </w:p>
        </w:tc>
        <w:tc>
          <w:tcPr>
            <w:tcW w:w="580" w:type="dxa"/>
            <w:vAlign w:val="bottom"/>
            <w:tcBorders>
              <w:top w:val="single" w:sz="8" w:color="auto"/>
            </w:tcBorders>
            <w:shd w:val="clear" w:color="auto" w:fill="CCFFCC"/>
          </w:tcPr>
          <w:p>
            <w:pPr>
              <w:spacing w:after="0"/>
              <w:rPr>
                <w:sz w:val="7"/>
                <w:szCs w:val="7"/>
                <w:color w:val="auto"/>
              </w:rPr>
            </w:pPr>
          </w:p>
        </w:tc>
        <w:tc>
          <w:tcPr>
            <w:tcW w:w="120" w:type="dxa"/>
            <w:vAlign w:val="bottom"/>
            <w:tcBorders>
              <w:top w:val="single" w:sz="8" w:color="CCFFCC"/>
            </w:tcBorders>
            <w:shd w:val="clear" w:color="auto" w:fill="CCFFCC"/>
          </w:tcPr>
          <w:p>
            <w:pPr>
              <w:spacing w:after="0"/>
              <w:rPr>
                <w:sz w:val="7"/>
                <w:szCs w:val="7"/>
                <w:color w:val="auto"/>
              </w:rPr>
            </w:pPr>
          </w:p>
        </w:tc>
        <w:tc>
          <w:tcPr>
            <w:tcW w:w="80" w:type="dxa"/>
            <w:vAlign w:val="bottom"/>
            <w:tcBorders>
              <w:top w:val="single" w:sz="8" w:color="CCFFCC"/>
            </w:tcBorders>
            <w:shd w:val="clear" w:color="auto" w:fill="CCFFCC"/>
          </w:tcPr>
          <w:p>
            <w:pPr>
              <w:spacing w:after="0"/>
              <w:rPr>
                <w:sz w:val="7"/>
                <w:szCs w:val="7"/>
                <w:color w:val="auto"/>
              </w:rPr>
            </w:pPr>
          </w:p>
        </w:tc>
        <w:tc>
          <w:tcPr>
            <w:tcW w:w="100" w:type="dxa"/>
            <w:vAlign w:val="bottom"/>
            <w:tcBorders>
              <w:top w:val="single" w:sz="8" w:color="auto"/>
            </w:tcBorders>
            <w:shd w:val="clear" w:color="auto" w:fill="CCFFCC"/>
          </w:tcPr>
          <w:p>
            <w:pPr>
              <w:spacing w:after="0"/>
              <w:rPr>
                <w:sz w:val="7"/>
                <w:szCs w:val="7"/>
                <w:color w:val="auto"/>
              </w:rPr>
            </w:pPr>
          </w:p>
        </w:tc>
        <w:tc>
          <w:tcPr>
            <w:tcW w:w="360" w:type="dxa"/>
            <w:vAlign w:val="bottom"/>
            <w:tcBorders>
              <w:top w:val="single" w:sz="8" w:color="auto"/>
            </w:tcBorders>
            <w:shd w:val="clear" w:color="auto" w:fill="CCFFCC"/>
          </w:tcPr>
          <w:p>
            <w:pPr>
              <w:spacing w:after="0"/>
              <w:rPr>
                <w:sz w:val="7"/>
                <w:szCs w:val="7"/>
                <w:color w:val="auto"/>
              </w:rPr>
            </w:pPr>
          </w:p>
        </w:tc>
        <w:tc>
          <w:tcPr>
            <w:tcW w:w="200" w:type="dxa"/>
            <w:vAlign w:val="bottom"/>
            <w:tcBorders>
              <w:top w:val="single" w:sz="8" w:color="CCFFCC"/>
            </w:tcBorders>
            <w:shd w:val="clear" w:color="auto" w:fill="CCFFCC"/>
          </w:tcPr>
          <w:p>
            <w:pPr>
              <w:spacing w:after="0"/>
              <w:rPr>
                <w:sz w:val="7"/>
                <w:szCs w:val="7"/>
                <w:color w:val="auto"/>
              </w:rPr>
            </w:pPr>
          </w:p>
        </w:tc>
        <w:tc>
          <w:tcPr>
            <w:tcW w:w="80" w:type="dxa"/>
            <w:vAlign w:val="bottom"/>
            <w:tcBorders>
              <w:top w:val="single" w:sz="8" w:color="auto"/>
            </w:tcBorders>
            <w:shd w:val="clear" w:color="auto" w:fill="CCFFCC"/>
          </w:tcPr>
          <w:p>
            <w:pPr>
              <w:spacing w:after="0"/>
              <w:rPr>
                <w:sz w:val="7"/>
                <w:szCs w:val="7"/>
                <w:color w:val="auto"/>
              </w:rPr>
            </w:pPr>
          </w:p>
        </w:tc>
        <w:tc>
          <w:tcPr>
            <w:tcW w:w="500" w:type="dxa"/>
            <w:vAlign w:val="bottom"/>
            <w:tcBorders>
              <w:top w:val="single" w:sz="8" w:color="auto"/>
            </w:tcBorders>
            <w:shd w:val="clear" w:color="auto" w:fill="CCFFCC"/>
          </w:tcPr>
          <w:p>
            <w:pPr>
              <w:spacing w:after="0"/>
              <w:rPr>
                <w:sz w:val="7"/>
                <w:szCs w:val="7"/>
                <w:color w:val="auto"/>
              </w:rPr>
            </w:pPr>
          </w:p>
        </w:tc>
        <w:tc>
          <w:tcPr>
            <w:tcW w:w="100" w:type="dxa"/>
            <w:vAlign w:val="bottom"/>
            <w:tcBorders>
              <w:top w:val="single" w:sz="8" w:color="CCFFCC"/>
            </w:tcBorders>
            <w:shd w:val="clear" w:color="auto" w:fill="CCFFCC"/>
          </w:tcPr>
          <w:p>
            <w:pPr>
              <w:spacing w:after="0"/>
              <w:rPr>
                <w:sz w:val="7"/>
                <w:szCs w:val="7"/>
                <w:color w:val="auto"/>
              </w:rPr>
            </w:pPr>
          </w:p>
        </w:tc>
        <w:tc>
          <w:tcPr>
            <w:tcW w:w="100" w:type="dxa"/>
            <w:vAlign w:val="bottom"/>
            <w:tcBorders>
              <w:top w:val="single" w:sz="8" w:color="CCFFCC"/>
            </w:tcBorders>
            <w:shd w:val="clear" w:color="auto" w:fill="CCFFCC"/>
          </w:tcPr>
          <w:p>
            <w:pPr>
              <w:spacing w:after="0"/>
              <w:rPr>
                <w:sz w:val="7"/>
                <w:szCs w:val="7"/>
                <w:color w:val="auto"/>
              </w:rPr>
            </w:pPr>
          </w:p>
        </w:tc>
        <w:tc>
          <w:tcPr>
            <w:tcW w:w="80" w:type="dxa"/>
            <w:vAlign w:val="bottom"/>
            <w:tcBorders>
              <w:top w:val="single" w:sz="8" w:color="auto"/>
            </w:tcBorders>
            <w:shd w:val="clear" w:color="auto" w:fill="CCFFCC"/>
          </w:tcPr>
          <w:p>
            <w:pPr>
              <w:spacing w:after="0"/>
              <w:rPr>
                <w:sz w:val="7"/>
                <w:szCs w:val="7"/>
                <w:color w:val="auto"/>
              </w:rPr>
            </w:pPr>
          </w:p>
        </w:tc>
        <w:tc>
          <w:tcPr>
            <w:tcW w:w="520" w:type="dxa"/>
            <w:vAlign w:val="bottom"/>
            <w:tcBorders>
              <w:top w:val="single" w:sz="8" w:color="auto"/>
            </w:tcBorders>
            <w:shd w:val="clear" w:color="auto" w:fill="CCFFCC"/>
          </w:tcPr>
          <w:p>
            <w:pPr>
              <w:spacing w:after="0"/>
              <w:rPr>
                <w:sz w:val="7"/>
                <w:szCs w:val="7"/>
                <w:color w:val="auto"/>
              </w:rPr>
            </w:pPr>
          </w:p>
        </w:tc>
        <w:tc>
          <w:tcPr>
            <w:tcW w:w="200" w:type="dxa"/>
            <w:vAlign w:val="bottom"/>
            <w:tcBorders>
              <w:top w:val="single" w:sz="8" w:color="CCFFCC"/>
            </w:tcBorders>
            <w:shd w:val="clear" w:color="auto" w:fill="CCFFCC"/>
          </w:tcPr>
          <w:p>
            <w:pPr>
              <w:spacing w:after="0"/>
              <w:rPr>
                <w:sz w:val="7"/>
                <w:szCs w:val="7"/>
                <w:color w:val="auto"/>
              </w:rPr>
            </w:pPr>
          </w:p>
        </w:tc>
        <w:tc>
          <w:tcPr>
            <w:tcW w:w="420" w:type="dxa"/>
            <w:vAlign w:val="bottom"/>
            <w:tcBorders>
              <w:top w:val="single" w:sz="8" w:color="auto"/>
            </w:tcBorders>
            <w:shd w:val="clear" w:color="auto" w:fill="CCFFCC"/>
          </w:tcPr>
          <w:p>
            <w:pPr>
              <w:spacing w:after="0"/>
              <w:rPr>
                <w:sz w:val="7"/>
                <w:szCs w:val="7"/>
                <w:color w:val="auto"/>
              </w:rPr>
            </w:pPr>
          </w:p>
        </w:tc>
        <w:tc>
          <w:tcPr>
            <w:tcW w:w="100" w:type="dxa"/>
            <w:vAlign w:val="bottom"/>
            <w:tcBorders>
              <w:top w:val="single" w:sz="8" w:color="CCFFCC"/>
            </w:tcBorders>
            <w:shd w:val="clear" w:color="auto" w:fill="CCFFCC"/>
          </w:tcPr>
          <w:p>
            <w:pPr>
              <w:spacing w:after="0"/>
              <w:rPr>
                <w:sz w:val="7"/>
                <w:szCs w:val="7"/>
                <w:color w:val="auto"/>
              </w:rPr>
            </w:pPr>
          </w:p>
        </w:tc>
        <w:tc>
          <w:tcPr>
            <w:tcW w:w="100" w:type="dxa"/>
            <w:vAlign w:val="bottom"/>
            <w:tcBorders>
              <w:top w:val="single" w:sz="8" w:color="CCFFCC"/>
            </w:tcBorders>
            <w:shd w:val="clear" w:color="auto" w:fill="CCFFCC"/>
          </w:tcPr>
          <w:p>
            <w:pPr>
              <w:spacing w:after="0"/>
              <w:rPr>
                <w:sz w:val="7"/>
                <w:szCs w:val="7"/>
                <w:color w:val="auto"/>
              </w:rPr>
            </w:pPr>
          </w:p>
        </w:tc>
        <w:tc>
          <w:tcPr>
            <w:tcW w:w="80" w:type="dxa"/>
            <w:vAlign w:val="bottom"/>
            <w:tcBorders>
              <w:top w:val="single" w:sz="8" w:color="auto"/>
            </w:tcBorders>
            <w:shd w:val="clear" w:color="auto" w:fill="CCFFCC"/>
          </w:tcPr>
          <w:p>
            <w:pPr>
              <w:spacing w:after="0"/>
              <w:rPr>
                <w:sz w:val="7"/>
                <w:szCs w:val="7"/>
                <w:color w:val="auto"/>
              </w:rPr>
            </w:pPr>
          </w:p>
        </w:tc>
        <w:tc>
          <w:tcPr>
            <w:tcW w:w="360" w:type="dxa"/>
            <w:vAlign w:val="bottom"/>
            <w:tcBorders>
              <w:top w:val="single" w:sz="8" w:color="auto"/>
            </w:tcBorders>
            <w:shd w:val="clear" w:color="auto" w:fill="CCFFCC"/>
          </w:tcPr>
          <w:p>
            <w:pPr>
              <w:spacing w:after="0"/>
              <w:rPr>
                <w:sz w:val="7"/>
                <w:szCs w:val="7"/>
                <w:color w:val="auto"/>
              </w:rPr>
            </w:pPr>
          </w:p>
        </w:tc>
        <w:tc>
          <w:tcPr>
            <w:tcW w:w="200" w:type="dxa"/>
            <w:vAlign w:val="bottom"/>
            <w:tcBorders>
              <w:top w:val="single" w:sz="8" w:color="CCFFCC"/>
            </w:tcBorders>
            <w:shd w:val="clear" w:color="auto" w:fill="CCFFCC"/>
          </w:tcPr>
          <w:p>
            <w:pPr>
              <w:spacing w:after="0"/>
              <w:rPr>
                <w:sz w:val="7"/>
                <w:szCs w:val="7"/>
                <w:color w:val="auto"/>
              </w:rPr>
            </w:pPr>
          </w:p>
        </w:tc>
        <w:tc>
          <w:tcPr>
            <w:tcW w:w="100" w:type="dxa"/>
            <w:vAlign w:val="bottom"/>
            <w:tcBorders>
              <w:top w:val="single" w:sz="8" w:color="auto"/>
            </w:tcBorders>
            <w:shd w:val="clear" w:color="auto" w:fill="CCFFCC"/>
          </w:tcPr>
          <w:p>
            <w:pPr>
              <w:spacing w:after="0"/>
              <w:rPr>
                <w:sz w:val="7"/>
                <w:szCs w:val="7"/>
                <w:color w:val="auto"/>
              </w:rPr>
            </w:pPr>
          </w:p>
        </w:tc>
        <w:tc>
          <w:tcPr>
            <w:tcW w:w="580" w:type="dxa"/>
            <w:vAlign w:val="bottom"/>
            <w:tcBorders>
              <w:top w:val="single" w:sz="8" w:color="auto"/>
            </w:tcBorders>
            <w:shd w:val="clear" w:color="auto" w:fill="CCFFCC"/>
          </w:tcPr>
          <w:p>
            <w:pPr>
              <w:spacing w:after="0"/>
              <w:rPr>
                <w:sz w:val="7"/>
                <w:szCs w:val="7"/>
                <w:color w:val="auto"/>
              </w:rPr>
            </w:pPr>
          </w:p>
        </w:tc>
        <w:tc>
          <w:tcPr>
            <w:tcW w:w="200" w:type="dxa"/>
            <w:vAlign w:val="bottom"/>
            <w:tcBorders>
              <w:top w:val="single" w:sz="8" w:color="CCFFCC"/>
            </w:tcBorders>
            <w:shd w:val="clear" w:color="auto" w:fill="CCFFCC"/>
          </w:tcPr>
          <w:p>
            <w:pPr>
              <w:spacing w:after="0"/>
              <w:rPr>
                <w:sz w:val="7"/>
                <w:szCs w:val="7"/>
                <w:color w:val="auto"/>
              </w:rPr>
            </w:pPr>
          </w:p>
        </w:tc>
        <w:tc>
          <w:tcPr>
            <w:tcW w:w="60" w:type="dxa"/>
            <w:vAlign w:val="bottom"/>
            <w:tcBorders>
              <w:top w:val="single" w:sz="8" w:color="auto"/>
            </w:tcBorders>
            <w:shd w:val="clear" w:color="auto" w:fill="CCFFCC"/>
          </w:tcPr>
          <w:p>
            <w:pPr>
              <w:spacing w:after="0"/>
              <w:rPr>
                <w:sz w:val="7"/>
                <w:szCs w:val="7"/>
                <w:color w:val="auto"/>
              </w:rPr>
            </w:pPr>
          </w:p>
        </w:tc>
        <w:tc>
          <w:tcPr>
            <w:tcW w:w="540" w:type="dxa"/>
            <w:vAlign w:val="bottom"/>
            <w:tcBorders>
              <w:top w:val="single" w:sz="8" w:color="auto"/>
            </w:tcBorders>
            <w:shd w:val="clear" w:color="auto" w:fill="CCFFCC"/>
          </w:tcPr>
          <w:p>
            <w:pPr>
              <w:spacing w:after="0"/>
              <w:rPr>
                <w:sz w:val="7"/>
                <w:szCs w:val="7"/>
                <w:color w:val="auto"/>
              </w:rPr>
            </w:pPr>
          </w:p>
        </w:tc>
        <w:tc>
          <w:tcPr>
            <w:tcW w:w="200" w:type="dxa"/>
            <w:vAlign w:val="bottom"/>
            <w:tcBorders>
              <w:top w:val="single" w:sz="8" w:color="CCFFCC"/>
            </w:tcBorders>
            <w:shd w:val="clear" w:color="auto" w:fill="CCFFCC"/>
          </w:tcPr>
          <w:p>
            <w:pPr>
              <w:spacing w:after="0"/>
              <w:rPr>
                <w:sz w:val="7"/>
                <w:szCs w:val="7"/>
                <w:color w:val="auto"/>
              </w:rPr>
            </w:pPr>
          </w:p>
        </w:tc>
        <w:tc>
          <w:tcPr>
            <w:tcW w:w="80" w:type="dxa"/>
            <w:vAlign w:val="bottom"/>
            <w:tcBorders>
              <w:top w:val="single" w:sz="8" w:color="auto"/>
            </w:tcBorders>
            <w:shd w:val="clear" w:color="auto" w:fill="CCFFCC"/>
          </w:tcPr>
          <w:p>
            <w:pPr>
              <w:spacing w:after="0"/>
              <w:rPr>
                <w:sz w:val="7"/>
                <w:szCs w:val="7"/>
                <w:color w:val="auto"/>
              </w:rPr>
            </w:pPr>
          </w:p>
        </w:tc>
        <w:tc>
          <w:tcPr>
            <w:tcW w:w="560" w:type="dxa"/>
            <w:vAlign w:val="bottom"/>
            <w:tcBorders>
              <w:top w:val="single" w:sz="8" w:color="auto"/>
            </w:tcBorders>
            <w:shd w:val="clear" w:color="auto" w:fill="CCFFCC"/>
          </w:tcPr>
          <w:p>
            <w:pPr>
              <w:spacing w:after="0"/>
              <w:rPr>
                <w:sz w:val="7"/>
                <w:szCs w:val="7"/>
                <w:color w:val="auto"/>
              </w:rPr>
            </w:pPr>
          </w:p>
        </w:tc>
        <w:tc>
          <w:tcPr>
            <w:tcW w:w="100" w:type="dxa"/>
            <w:vAlign w:val="bottom"/>
            <w:tcBorders>
              <w:top w:val="single" w:sz="8" w:color="CCFFCC"/>
            </w:tcBorders>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2011</w:t>
            </w:r>
          </w:p>
        </w:tc>
        <w:tc>
          <w:tcPr>
            <w:tcW w:w="560" w:type="dxa"/>
            <w:vAlign w:val="bottom"/>
            <w:shd w:val="clear" w:color="auto" w:fill="CCFFCC"/>
          </w:tcPr>
          <w:p>
            <w:pPr>
              <w:spacing w:after="0"/>
              <w:rPr>
                <w:sz w:val="11"/>
                <w:szCs w:val="11"/>
                <w:color w:val="auto"/>
              </w:rPr>
            </w:pPr>
          </w:p>
        </w:tc>
        <w:tc>
          <w:tcPr>
            <w:tcW w:w="18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2,500,000</w:t>
            </w:r>
          </w:p>
        </w:tc>
        <w:tc>
          <w:tcPr>
            <w:tcW w:w="120" w:type="dxa"/>
            <w:vAlign w:val="bottom"/>
            <w:shd w:val="clear" w:color="auto" w:fill="CCFFCC"/>
          </w:tcPr>
          <w:p>
            <w:pPr>
              <w:spacing w:after="0"/>
              <w:rPr>
                <w:sz w:val="11"/>
                <w:szCs w:val="11"/>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2,500</w:t>
            </w:r>
          </w:p>
        </w:tc>
        <w:tc>
          <w:tcPr>
            <w:tcW w:w="8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104,078</w:t>
            </w:r>
          </w:p>
        </w:tc>
        <w:tc>
          <w:tcPr>
            <w:tcW w:w="2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106,578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Stock issued at $2.25 per share in exchange for license option</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132,000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132</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296,868</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297,000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Issuance of restricted stock to employees</w:t>
            </w:r>
          </w:p>
        </w:tc>
        <w:tc>
          <w:tcPr>
            <w:tcW w:w="560" w:type="dxa"/>
            <w:vAlign w:val="bottom"/>
            <w:shd w:val="clear" w:color="auto" w:fill="CCFFCC"/>
          </w:tcPr>
          <w:p>
            <w:pPr>
              <w:spacing w:after="0"/>
              <w:rPr>
                <w:sz w:val="10"/>
                <w:szCs w:val="10"/>
                <w:color w:val="auto"/>
              </w:rPr>
            </w:pPr>
          </w:p>
        </w:tc>
        <w:tc>
          <w:tcPr>
            <w:tcW w:w="18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1,150,000</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1,150</w:t>
            </w: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Effect of reverse acquisition</w:t>
            </w: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281,250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281</w:t>
            </w:r>
          </w:p>
        </w:tc>
        <w:tc>
          <w:tcPr>
            <w:tcW w:w="18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(2,500,124)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(2,501)</w:t>
            </w:r>
          </w:p>
        </w:tc>
        <w:tc>
          <w:tcPr>
            <w:tcW w:w="80" w:type="dxa"/>
            <w:vAlign w:val="bottom"/>
          </w:tcPr>
          <w:p>
            <w:pPr>
              <w:spacing w:after="0" w:line="122" w:lineRule="exact"/>
              <w:rPr>
                <w:sz w:val="20"/>
                <w:szCs w:val="20"/>
                <w:color w:val="auto"/>
              </w:rPr>
            </w:pPr>
            <w:r>
              <w:rPr>
                <w:rFonts w:ascii="Arial" w:cs="Arial" w:eastAsia="Arial" w:hAnsi="Arial"/>
                <w:sz w:val="11"/>
                <w:szCs w:val="11"/>
                <w:color w:val="auto"/>
                <w:w w:val="97"/>
              </w:rPr>
              <w:t>$</w:t>
            </w:r>
          </w:p>
        </w:tc>
        <w:tc>
          <w:tcPr>
            <w:tcW w:w="60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277,500</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47,678</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322,964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Conversion of note payable to preferred stock</w:t>
            </w:r>
          </w:p>
        </w:tc>
        <w:tc>
          <w:tcPr>
            <w:tcW w:w="74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2,763</w:t>
            </w:r>
          </w:p>
        </w:tc>
        <w:tc>
          <w:tcPr>
            <w:tcW w:w="120" w:type="dxa"/>
            <w:vAlign w:val="bottom"/>
            <w:shd w:val="clear" w:color="auto" w:fill="CCFFCC"/>
          </w:tcPr>
          <w:p>
            <w:pPr>
              <w:spacing w:after="0"/>
              <w:rPr>
                <w:sz w:val="10"/>
                <w:szCs w:val="10"/>
                <w:color w:val="auto"/>
              </w:rPr>
            </w:pP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55,268</w:t>
            </w:r>
          </w:p>
        </w:tc>
        <w:tc>
          <w:tcPr>
            <w:tcW w:w="20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55,271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Issuance of replacement restricted preferred stock to employees</w:t>
            </w: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129,375</w:t>
            </w:r>
          </w:p>
        </w:tc>
        <w:tc>
          <w:tcPr>
            <w:tcW w:w="12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129</w:t>
            </w:r>
          </w:p>
        </w:tc>
        <w:tc>
          <w:tcPr>
            <w:tcW w:w="180" w:type="dxa"/>
            <w:vAlign w:val="bottom"/>
          </w:tcPr>
          <w:p>
            <w:pPr>
              <w:spacing w:after="0"/>
              <w:rPr>
                <w:sz w:val="10"/>
                <w:szCs w:val="10"/>
                <w:color w:val="auto"/>
              </w:rPr>
            </w:pP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(1,150,000)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(1,150)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1,021</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Common stock issued at $2.25 per share, net of expenses</w:t>
            </w:r>
          </w:p>
        </w:tc>
        <w:tc>
          <w:tcPr>
            <w:tcW w:w="560" w:type="dxa"/>
            <w:vAlign w:val="bottom"/>
            <w:shd w:val="clear" w:color="auto" w:fill="CCFFCC"/>
          </w:tcPr>
          <w:p>
            <w:pPr>
              <w:spacing w:after="0"/>
              <w:rPr>
                <w:sz w:val="10"/>
                <w:szCs w:val="10"/>
                <w:color w:val="auto"/>
              </w:rPr>
            </w:pPr>
          </w:p>
        </w:tc>
        <w:tc>
          <w:tcPr>
            <w:tcW w:w="18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4,929,523</w:t>
            </w: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4,930</w:t>
            </w: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9,650,886</w:t>
            </w:r>
          </w:p>
        </w:tc>
        <w:tc>
          <w:tcPr>
            <w:tcW w:w="20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9,655,816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line="112" w:lineRule="exact"/>
              <w:rPr>
                <w:sz w:val="20"/>
                <w:szCs w:val="20"/>
                <w:color w:val="auto"/>
              </w:rPr>
            </w:pPr>
            <w:r>
              <w:rPr>
                <w:rFonts w:ascii="Arial" w:cs="Arial" w:eastAsia="Arial" w:hAnsi="Arial"/>
                <w:sz w:val="11"/>
                <w:szCs w:val="11"/>
                <w:color w:val="auto"/>
                <w:w w:val="97"/>
              </w:rPr>
              <w:t>Compensation in respect of restricted stock preferred stock granted to</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tcPr>
          <w:p>
            <w:pPr>
              <w:ind w:left="140"/>
              <w:spacing w:after="0"/>
              <w:rPr>
                <w:sz w:val="20"/>
                <w:szCs w:val="20"/>
                <w:color w:val="auto"/>
              </w:rPr>
            </w:pPr>
            <w:r>
              <w:rPr>
                <w:rFonts w:ascii="Arial" w:cs="Arial" w:eastAsia="Arial" w:hAnsi="Arial"/>
                <w:sz w:val="11"/>
                <w:szCs w:val="11"/>
                <w:color w:val="auto"/>
              </w:rPr>
              <w:t>employees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86,494</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86,494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1"/>
                <w:szCs w:val="11"/>
                <w:color w:val="auto"/>
              </w:rPr>
              <w:t>Net loss</w:t>
            </w:r>
          </w:p>
        </w:tc>
        <w:tc>
          <w:tcPr>
            <w:tcW w:w="560" w:type="dxa"/>
            <w:vAlign w:val="bottom"/>
            <w:shd w:val="clear" w:color="auto" w:fill="CCFFCC"/>
          </w:tcPr>
          <w:p>
            <w:pPr>
              <w:spacing w:after="0"/>
              <w:rPr>
                <w:sz w:val="11"/>
                <w:szCs w:val="11"/>
                <w:color w:val="auto"/>
              </w:rPr>
            </w:pPr>
          </w:p>
        </w:tc>
        <w:tc>
          <w:tcPr>
            <w:tcW w:w="18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FFCC"/>
          </w:tcPr>
          <w:p>
            <w:pPr>
              <w:jc w:val="right"/>
              <w:ind w:right="122"/>
              <w:spacing w:after="0"/>
              <w:rPr>
                <w:sz w:val="20"/>
                <w:szCs w:val="20"/>
                <w:color w:val="auto"/>
              </w:rPr>
            </w:pPr>
            <w:r>
              <w:rPr>
                <w:rFonts w:ascii="Arial" w:cs="Arial" w:eastAsia="Arial" w:hAnsi="Arial"/>
                <w:sz w:val="11"/>
                <w:szCs w:val="11"/>
                <w:color w:val="auto"/>
              </w:rPr>
              <w:t>(853,074)</w:t>
            </w:r>
          </w:p>
        </w:tc>
        <w:tc>
          <w:tcPr>
            <w:tcW w:w="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(35,997)</w:t>
            </w: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(889,071)</w:t>
            </w:r>
          </w:p>
        </w:tc>
        <w:tc>
          <w:tcPr>
            <w:tcW w:w="0" w:type="dxa"/>
            <w:vAlign w:val="bottom"/>
          </w:tcPr>
          <w:p>
            <w:pPr>
              <w:spacing w:after="0"/>
              <w:rPr>
                <w:sz w:val="1"/>
                <w:szCs w:val="1"/>
                <w:color w:val="auto"/>
              </w:rPr>
            </w:pPr>
          </w:p>
        </w:tc>
      </w:tr>
      <w:tr>
        <w:trPr>
          <w:trHeight w:val="115"/>
        </w:trPr>
        <w:tc>
          <w:tcPr>
            <w:tcW w:w="3340" w:type="dxa"/>
            <w:vAlign w:val="bottom"/>
            <w:gridSpan w:val="2"/>
          </w:tcPr>
          <w:p>
            <w:pPr>
              <w:spacing w:after="0" w:line="115" w:lineRule="exact"/>
              <w:rPr>
                <w:sz w:val="20"/>
                <w:szCs w:val="20"/>
                <w:color w:val="auto"/>
              </w:rPr>
            </w:pPr>
            <w:r>
              <w:rPr>
                <w:rFonts w:ascii="Arial" w:cs="Arial" w:eastAsia="Arial" w:hAnsi="Arial"/>
                <w:sz w:val="11"/>
                <w:szCs w:val="11"/>
                <w:color w:val="auto"/>
              </w:rPr>
              <w:t>Balance at December 31, 2011</w:t>
            </w: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413,388</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413</w:t>
            </w:r>
          </w:p>
        </w:tc>
        <w:tc>
          <w:tcPr>
            <w:tcW w:w="180" w:type="dxa"/>
            <w:vAlign w:val="bottom"/>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5,061,399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5,061</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460"/>
              <w:spacing w:after="0"/>
              <w:rPr>
                <w:sz w:val="20"/>
                <w:szCs w:val="20"/>
                <w:color w:val="auto"/>
              </w:rPr>
            </w:pPr>
            <w:r>
              <w:rPr>
                <w:rFonts w:ascii="Arial" w:cs="Arial" w:eastAsia="Arial" w:hAnsi="Arial"/>
                <w:sz w:val="5"/>
                <w:szCs w:val="5"/>
                <w:color w:val="auto"/>
                <w:w w:val="70"/>
              </w:rPr>
              <w:t>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10,472,115</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(853,074)</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11,681</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9,636,202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3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8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3320" w:type="dxa"/>
            <w:vAlign w:val="bottom"/>
          </w:tcPr>
          <w:p>
            <w:pPr>
              <w:spacing w:after="0" w:line="112" w:lineRule="exact"/>
              <w:rPr>
                <w:sz w:val="20"/>
                <w:szCs w:val="20"/>
                <w:color w:val="auto"/>
              </w:rPr>
            </w:pPr>
            <w:r>
              <w:rPr>
                <w:rFonts w:ascii="Arial" w:cs="Arial" w:eastAsia="Arial" w:hAnsi="Arial"/>
                <w:sz w:val="11"/>
                <w:szCs w:val="11"/>
                <w:color w:val="auto"/>
              </w:rPr>
              <w:t>Compensation in respect of restricted preferred stock granted to</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tcPr>
          <w:p>
            <w:pPr>
              <w:ind w:left="140"/>
              <w:spacing w:after="0"/>
              <w:rPr>
                <w:sz w:val="20"/>
                <w:szCs w:val="20"/>
                <w:color w:val="auto"/>
              </w:rPr>
            </w:pPr>
            <w:r>
              <w:rPr>
                <w:rFonts w:ascii="Arial" w:cs="Arial" w:eastAsia="Arial" w:hAnsi="Arial"/>
                <w:sz w:val="11"/>
                <w:szCs w:val="11"/>
                <w:color w:val="auto"/>
              </w:rPr>
              <w:t>employees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188,509</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188,509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Preferred stock issued at $20.00 per share, net of expenses</w:t>
            </w:r>
          </w:p>
        </w:tc>
        <w:tc>
          <w:tcPr>
            <w:tcW w:w="74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695,428</w:t>
            </w:r>
          </w:p>
        </w:tc>
        <w:tc>
          <w:tcPr>
            <w:tcW w:w="120" w:type="dxa"/>
            <w:vAlign w:val="bottom"/>
            <w:shd w:val="clear" w:color="auto" w:fill="CCFFCC"/>
          </w:tcPr>
          <w:p>
            <w:pPr>
              <w:spacing w:after="0"/>
              <w:rPr>
                <w:sz w:val="10"/>
                <w:szCs w:val="10"/>
                <w:color w:val="auto"/>
              </w:rPr>
            </w:pPr>
          </w:p>
        </w:tc>
        <w:tc>
          <w:tcPr>
            <w:tcW w:w="3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696</w:t>
            </w: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0"/>
              </w:rPr>
              <w:t>12,180,710</w:t>
            </w:r>
          </w:p>
        </w:tc>
        <w:tc>
          <w:tcPr>
            <w:tcW w:w="200" w:type="dxa"/>
            <w:vAlign w:val="bottom"/>
            <w:shd w:val="clear" w:color="auto" w:fill="CCFFCC"/>
          </w:tcPr>
          <w:p>
            <w:pPr>
              <w:spacing w:after="0"/>
              <w:rPr>
                <w:sz w:val="10"/>
                <w:szCs w:val="10"/>
                <w:color w:val="auto"/>
              </w:rPr>
            </w:pPr>
          </w:p>
        </w:tc>
        <w:tc>
          <w:tcPr>
            <w:tcW w:w="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w w:val="98"/>
              </w:rPr>
              <w:t>12,181,406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line="112" w:lineRule="exact"/>
              <w:rPr>
                <w:sz w:val="20"/>
                <w:szCs w:val="20"/>
                <w:color w:val="auto"/>
              </w:rPr>
            </w:pPr>
            <w:r>
              <w:rPr>
                <w:rFonts w:ascii="Arial" w:cs="Arial" w:eastAsia="Arial" w:hAnsi="Arial"/>
                <w:sz w:val="11"/>
                <w:szCs w:val="11"/>
                <w:color w:val="auto"/>
                <w:w w:val="94"/>
              </w:rPr>
              <w:t>Shares issued in subsidiary to non-controlling interest in connection with</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tcPr>
          <w:p>
            <w:pPr>
              <w:ind w:left="140"/>
              <w:spacing w:after="0"/>
              <w:rPr>
                <w:sz w:val="20"/>
                <w:szCs w:val="20"/>
                <w:color w:val="auto"/>
              </w:rPr>
            </w:pPr>
            <w:r>
              <w:rPr>
                <w:rFonts w:ascii="Arial" w:cs="Arial" w:eastAsia="Arial" w:hAnsi="Arial"/>
                <w:sz w:val="11"/>
                <w:szCs w:val="11"/>
                <w:color w:val="auto"/>
              </w:rPr>
              <w:t>in-licensing agreement</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w w:val="94"/>
              </w:rPr>
              <w:t>16,578,000</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w w:val="98"/>
              </w:rPr>
              <w:t>16,578,000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Conversion of preferred stock to common stock in conjunction with</w:t>
            </w:r>
          </w:p>
        </w:tc>
        <w:tc>
          <w:tcPr>
            <w:tcW w:w="560" w:type="dxa"/>
            <w:vAlign w:val="bottom"/>
            <w:shd w:val="clear" w:color="auto" w:fill="CCFFCC"/>
          </w:tcPr>
          <w:p>
            <w:pPr>
              <w:spacing w:after="0"/>
              <w:rPr>
                <w:sz w:val="9"/>
                <w:szCs w:val="9"/>
                <w:color w:val="auto"/>
              </w:rPr>
            </w:pPr>
          </w:p>
        </w:tc>
        <w:tc>
          <w:tcPr>
            <w:tcW w:w="18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reverse stock split</w:t>
            </w:r>
          </w:p>
        </w:tc>
        <w:tc>
          <w:tcPr>
            <w:tcW w:w="7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(1,108,816)</w:t>
            </w:r>
          </w:p>
        </w:tc>
        <w:tc>
          <w:tcPr>
            <w:tcW w:w="120" w:type="dxa"/>
            <w:vAlign w:val="bottom"/>
            <w:shd w:val="clear" w:color="auto" w:fill="CCFFCC"/>
          </w:tcPr>
          <w:p>
            <w:pPr>
              <w:spacing w:after="0"/>
              <w:rPr>
                <w:sz w:val="11"/>
                <w:szCs w:val="11"/>
                <w:color w:val="auto"/>
              </w:rPr>
            </w:pPr>
          </w:p>
        </w:tc>
        <w:tc>
          <w:tcPr>
            <w:tcW w:w="52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w w:val="97"/>
              </w:rPr>
              <w:t>(1,109)</w:t>
            </w: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9,857,596</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9,858</w:t>
            </w:r>
          </w:p>
        </w:tc>
        <w:tc>
          <w:tcPr>
            <w:tcW w:w="8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(8,749)</w:t>
            </w: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tcPr>
          <w:p>
            <w:pPr>
              <w:spacing w:after="0" w:line="122" w:lineRule="exact"/>
              <w:rPr>
                <w:sz w:val="20"/>
                <w:szCs w:val="20"/>
                <w:color w:val="auto"/>
              </w:rPr>
            </w:pPr>
            <w:r>
              <w:rPr>
                <w:rFonts w:ascii="Arial" w:cs="Arial" w:eastAsia="Arial" w:hAnsi="Arial"/>
                <w:sz w:val="11"/>
                <w:szCs w:val="11"/>
                <w:color w:val="auto"/>
              </w:rPr>
              <w:t>Issuance of restricted stock</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5,901,743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5,902</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(5,902)</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Compensation in respect of restricted common stock granted to</w:t>
            </w:r>
          </w:p>
        </w:tc>
        <w:tc>
          <w:tcPr>
            <w:tcW w:w="560" w:type="dxa"/>
            <w:vAlign w:val="bottom"/>
            <w:shd w:val="clear" w:color="auto" w:fill="CCFFCC"/>
          </w:tcPr>
          <w:p>
            <w:pPr>
              <w:spacing w:after="0"/>
              <w:rPr>
                <w:sz w:val="9"/>
                <w:szCs w:val="9"/>
                <w:color w:val="auto"/>
              </w:rPr>
            </w:pPr>
          </w:p>
        </w:tc>
        <w:tc>
          <w:tcPr>
            <w:tcW w:w="180" w:type="dxa"/>
            <w:vAlign w:val="bottom"/>
            <w:tcBorders>
              <w:right w:val="single" w:sz="8" w:color="CCFFCC"/>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employees, directors and consultants</w:t>
            </w:r>
          </w:p>
        </w:tc>
        <w:tc>
          <w:tcPr>
            <w:tcW w:w="560" w:type="dxa"/>
            <w:vAlign w:val="bottom"/>
            <w:shd w:val="clear" w:color="auto" w:fill="CCFFCC"/>
          </w:tcPr>
          <w:p>
            <w:pPr>
              <w:spacing w:after="0"/>
              <w:rPr>
                <w:sz w:val="11"/>
                <w:szCs w:val="11"/>
                <w:color w:val="auto"/>
              </w:rPr>
            </w:pPr>
          </w:p>
        </w:tc>
        <w:tc>
          <w:tcPr>
            <w:tcW w:w="18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3,233,674</w:t>
            </w:r>
          </w:p>
        </w:tc>
        <w:tc>
          <w:tcPr>
            <w:tcW w:w="2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3,233,674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line="112" w:lineRule="exact"/>
              <w:rPr>
                <w:sz w:val="20"/>
                <w:szCs w:val="20"/>
                <w:color w:val="auto"/>
              </w:rPr>
            </w:pPr>
            <w:r>
              <w:rPr>
                <w:rFonts w:ascii="Arial" w:cs="Arial" w:eastAsia="Arial" w:hAnsi="Arial"/>
                <w:sz w:val="11"/>
                <w:szCs w:val="11"/>
                <w:color w:val="auto"/>
                <w:w w:val="96"/>
              </w:rPr>
              <w:t>Non-controlling interest subsidiary shares exchanged for shares in TG</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tcPr>
          <w:p>
            <w:pPr>
              <w:ind w:left="140"/>
              <w:spacing w:after="0"/>
              <w:rPr>
                <w:sz w:val="20"/>
                <w:szCs w:val="20"/>
                <w:color w:val="auto"/>
              </w:rPr>
            </w:pPr>
            <w:r>
              <w:rPr>
                <w:rFonts w:ascii="Arial" w:cs="Arial" w:eastAsia="Arial" w:hAnsi="Arial"/>
                <w:sz w:val="11"/>
                <w:szCs w:val="11"/>
                <w:color w:val="auto"/>
              </w:rPr>
              <w:t>Therapeutics, Inc.</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5,000</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8,474,448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w w:val="99"/>
              </w:rPr>
              <w:t>(8,479,448)</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Surrender of common stock for tax withholding</w:t>
            </w:r>
          </w:p>
        </w:tc>
        <w:tc>
          <w:tcPr>
            <w:tcW w:w="560" w:type="dxa"/>
            <w:vAlign w:val="bottom"/>
            <w:shd w:val="clear" w:color="auto" w:fill="CCFFCC"/>
          </w:tcPr>
          <w:p>
            <w:pPr>
              <w:spacing w:after="0"/>
              <w:rPr>
                <w:sz w:val="10"/>
                <w:szCs w:val="10"/>
                <w:color w:val="auto"/>
              </w:rPr>
            </w:pPr>
          </w:p>
        </w:tc>
        <w:tc>
          <w:tcPr>
            <w:tcW w:w="180" w:type="dxa"/>
            <w:vAlign w:val="bottom"/>
            <w:tcBorders>
              <w:right w:val="single" w:sz="8" w:color="CCFFCC"/>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13,526</w:t>
            </w:r>
          </w:p>
        </w:tc>
        <w:tc>
          <w:tcPr>
            <w:tcW w:w="1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FFCC"/>
          </w:tcPr>
          <w:p>
            <w:pPr>
              <w:jc w:val="right"/>
              <w:ind w:right="122"/>
              <w:spacing w:after="0" w:line="122" w:lineRule="exact"/>
              <w:rPr>
                <w:sz w:val="20"/>
                <w:szCs w:val="20"/>
                <w:color w:val="auto"/>
              </w:rPr>
            </w:pPr>
            <w:r>
              <w:rPr>
                <w:rFonts w:ascii="Arial" w:cs="Arial" w:eastAsia="Arial" w:hAnsi="Arial"/>
                <w:sz w:val="11"/>
                <w:szCs w:val="11"/>
                <w:color w:val="auto"/>
                <w:w w:val="92"/>
              </w:rPr>
              <w:t>(84,538)</w:t>
            </w: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(84,538)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20"/>
                <w:szCs w:val="20"/>
                <w:color w:val="auto"/>
              </w:rPr>
            </w:pPr>
            <w:r>
              <w:rPr>
                <w:rFonts w:ascii="Arial" w:cs="Arial" w:eastAsia="Arial" w:hAnsi="Arial"/>
                <w:sz w:val="11"/>
                <w:szCs w:val="11"/>
                <w:color w:val="auto"/>
              </w:rPr>
              <w:t>Net loss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22"/>
              <w:spacing w:after="0"/>
              <w:rPr>
                <w:sz w:val="20"/>
                <w:szCs w:val="20"/>
                <w:color w:val="auto"/>
              </w:rPr>
            </w:pPr>
            <w:r>
              <w:rPr>
                <w:rFonts w:ascii="Arial" w:cs="Arial" w:eastAsia="Arial" w:hAnsi="Arial"/>
                <w:sz w:val="11"/>
                <w:szCs w:val="11"/>
                <w:color w:val="auto"/>
                <w:w w:val="96"/>
              </w:rPr>
              <w:t>(18,072,719)</w:t>
            </w:r>
          </w:p>
        </w:tc>
        <w:tc>
          <w:tcPr>
            <w:tcW w:w="6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w w:val="99"/>
              </w:rPr>
              <w:t>(8,110,233)</w:t>
            </w:r>
          </w:p>
        </w:tc>
        <w:tc>
          <w:tcPr>
            <w:tcW w:w="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w w:val="89"/>
              </w:rPr>
              <w:t>(26,182,952)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CFFCC"/>
          </w:tcPr>
          <w:p>
            <w:pPr>
              <w:spacing w:after="0"/>
              <w:rPr>
                <w:sz w:val="20"/>
                <w:szCs w:val="20"/>
                <w:color w:val="auto"/>
              </w:rPr>
            </w:pPr>
            <w:r>
              <w:rPr>
                <w:rFonts w:ascii="Arial" w:cs="Arial" w:eastAsia="Arial" w:hAnsi="Arial"/>
                <w:sz w:val="11"/>
                <w:szCs w:val="11"/>
                <w:color w:val="auto"/>
              </w:rPr>
              <w:t>Balance at December 31, 2012</w:t>
            </w: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jc w:val="right"/>
              <w:ind w:right="122"/>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jc w:val="right"/>
              <w:ind w:right="122"/>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vMerge w:val="continue"/>
            <w:shd w:val="clear" w:color="auto" w:fill="CCFFCC"/>
          </w:tcPr>
          <w:p>
            <w:pPr>
              <w:spacing w:after="0"/>
              <w:rPr>
                <w:sz w:val="11"/>
                <w:szCs w:val="1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jc w:val="right"/>
              <w:ind w:right="10"/>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25,820,738</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25,821</w:t>
            </w: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20"/>
                <w:szCs w:val="20"/>
                <w:color w:val="auto"/>
              </w:rPr>
            </w:pPr>
            <w:r>
              <w:rPr>
                <w:rFonts w:ascii="Arial" w:cs="Arial" w:eastAsia="Arial" w:hAnsi="Arial"/>
                <w:sz w:val="11"/>
                <w:szCs w:val="11"/>
                <w:color w:val="auto"/>
                <w:w w:val="97"/>
              </w:rPr>
              <w:t>$</w:t>
            </w:r>
          </w:p>
        </w:tc>
        <w:tc>
          <w:tcPr>
            <w:tcW w:w="600" w:type="dxa"/>
            <w:vAlign w:val="bottom"/>
            <w:gridSpan w:val="2"/>
            <w:shd w:val="clear" w:color="auto" w:fill="CCFFCC"/>
          </w:tcPr>
          <w:p>
            <w:pPr>
              <w:ind w:left="460"/>
              <w:spacing w:after="0"/>
              <w:rPr>
                <w:sz w:val="20"/>
                <w:szCs w:val="20"/>
                <w:color w:val="auto"/>
              </w:rPr>
            </w:pPr>
            <w:r>
              <w:rPr>
                <w:rFonts w:ascii="Arial" w:cs="Arial" w:eastAsia="Arial" w:hAnsi="Arial"/>
                <w:sz w:val="11"/>
                <w:szCs w:val="11"/>
                <w:color w:val="auto"/>
              </w:rPr>
              <w:t>6</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0"/>
              </w:rPr>
              <w:t>34,534,805</w:t>
            </w:r>
          </w:p>
        </w:tc>
        <w:tc>
          <w:tcPr>
            <w:tcW w:w="200" w:type="dxa"/>
            <w:vAlign w:val="bottom"/>
            <w:shd w:val="clear" w:color="auto" w:fill="CCFFCC"/>
          </w:tcPr>
          <w:p>
            <w:pPr>
              <w:spacing w:after="0"/>
              <w:rPr>
                <w:sz w:val="11"/>
                <w:szCs w:val="11"/>
                <w:color w:val="auto"/>
              </w:rPr>
            </w:pPr>
          </w:p>
        </w:tc>
        <w:tc>
          <w:tcPr>
            <w:tcW w:w="5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13,526</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1"/>
              </w:rPr>
              <w:t>(84,538</w:t>
            </w:r>
          </w:p>
        </w:tc>
        <w:tc>
          <w:tcPr>
            <w:tcW w:w="200" w:type="dxa"/>
            <w:vAlign w:val="bottom"/>
            <w:vMerge w:val="continue"/>
            <w:shd w:val="clear" w:color="auto" w:fill="CCFFCC"/>
          </w:tcPr>
          <w:p>
            <w:pPr>
              <w:spacing w:after="0"/>
              <w:rPr>
                <w:sz w:val="11"/>
                <w:szCs w:val="1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5"/>
              </w:rPr>
              <w:t>(18,925,793</w:t>
            </w:r>
          </w:p>
        </w:tc>
        <w:tc>
          <w:tcPr>
            <w:tcW w:w="200" w:type="dxa"/>
            <w:vAlign w:val="bottom"/>
            <w:vMerge w:val="continue"/>
            <w:shd w:val="clear" w:color="auto" w:fill="CCFFCC"/>
          </w:tcPr>
          <w:p>
            <w:pPr>
              <w:spacing w:after="0"/>
              <w:rPr>
                <w:sz w:val="11"/>
                <w:szCs w:val="11"/>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w w:val="98"/>
              </w:rPr>
              <w:t>15,550,301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for the Years Ended December 31, 2012 and 2011 and the Cumulative Period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during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development stage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(26,182,952)</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(889,071)</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(27,072,023)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Adjustments to reconcile consolidated net loss to cash used in operating activities: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3,422,182</w:t>
            </w:r>
          </w:p>
        </w:tc>
        <w:tc>
          <w:tcPr>
            <w:tcW w:w="3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86,494</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3,508,676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Noncash stock expense associated with in-licensing agreement</w:t>
            </w: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16,578,000</w:t>
            </w: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297,000</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1,104,700</w:t>
            </w:r>
          </w:p>
        </w:tc>
        <w:tc>
          <w:tcPr>
            <w:tcW w:w="3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1,104,700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and accrued interest of notes payable</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(815,699)</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(Increase) decrease in other current assets</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(1,932,710)</w:t>
            </w:r>
          </w:p>
        </w:tc>
        <w:tc>
          <w:tcPr>
            <w:tcW w:w="2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3,593</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(1,929,117)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Increase in accounts payable and accrued expenses</w:t>
            </w: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595,757</w:t>
            </w: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408,310</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interest payable</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61,571</w:t>
            </w:r>
          </w:p>
        </w:tc>
        <w:tc>
          <w:tcPr>
            <w:tcW w:w="2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7,097</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68,668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Increase in deferred revenue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1,980,952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1,980,952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(5,187,964</w:t>
            </w:r>
          </w:p>
        </w:tc>
        <w:tc>
          <w:tcPr>
            <w:tcW w:w="320" w:type="dxa"/>
            <w:vAlign w:val="bottom"/>
            <w:tcBorders>
              <w:top w:val="single" w:sz="8" w:color="CCFFCC"/>
            </w:tcBorders>
            <w:shd w:val="clear" w:color="auto" w:fill="CCFFCC"/>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(86,577</w:t>
            </w:r>
          </w:p>
        </w:tc>
        <w:tc>
          <w:tcPr>
            <w:tcW w:w="320" w:type="dxa"/>
            <w:vAlign w:val="bottom"/>
            <w:tcBorders>
              <w:top w:val="single" w:sz="8" w:color="CCFFCC"/>
            </w:tcBorders>
            <w:shd w:val="clear" w:color="auto" w:fill="CCFFCC"/>
          </w:tcPr>
          <w:p>
            <w:pPr>
              <w:jc w:val="right"/>
              <w:ind w:right="1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(5,274,541</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plant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acquired in connection with acquisition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provided by investing activities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FINANCING ACTIVITIES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(1,399)</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0"/>
        </w:trPr>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10,386</w:t>
            </w:r>
          </w:p>
        </w:tc>
        <w:tc>
          <w:tcPr>
            <w:tcW w:w="1420" w:type="dxa"/>
            <w:vAlign w:val="bottom"/>
          </w:tcPr>
          <w:p>
            <w:pPr>
              <w:jc w:val="right"/>
              <w:spacing w:after="0"/>
              <w:rPr>
                <w:sz w:val="20"/>
                <w:szCs w:val="20"/>
                <w:color w:val="auto"/>
              </w:rPr>
            </w:pPr>
            <w:r>
              <w:rPr>
                <w:rFonts w:ascii="Arial" w:cs="Arial" w:eastAsia="Arial" w:hAnsi="Arial"/>
                <w:sz w:val="18"/>
                <w:szCs w:val="18"/>
                <w:color w:val="auto"/>
              </w:rPr>
              <w:t>10,386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320" w:type="dxa"/>
            <w:vAlign w:val="bottom"/>
            <w:vMerge w:val="continue"/>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10,386</w:t>
            </w:r>
          </w:p>
        </w:tc>
        <w:tc>
          <w:tcPr>
            <w:tcW w:w="3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-436880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-153670</wp:posOffset>
            </wp:positionV>
            <wp:extent cx="72466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6060" w:space="720"/>
            <w:col w:w="46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7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Payments of short-term loans</w:t>
            </w:r>
          </w:p>
        </w:tc>
        <w:tc>
          <w:tcPr>
            <w:tcW w:w="2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(200,001)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Proceeds from sale of common stock, net</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9,824,682</w:t>
            </w: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9,824,682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Proceeds from sale of preferred stock, net</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12,257,309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12,257,309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Offering costs paid</w:t>
            </w:r>
          </w:p>
        </w:tc>
        <w:tc>
          <w:tcPr>
            <w:tcW w:w="2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(75,903)</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(84,538)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(84,538)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11,896,867</w:t>
            </w:r>
          </w:p>
        </w:tc>
        <w:tc>
          <w:tcPr>
            <w:tcW w:w="3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9,824,682</w:t>
            </w:r>
          </w:p>
        </w:tc>
        <w:tc>
          <w:tcPr>
            <w:tcW w:w="3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21,721,549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6,707,504</w:t>
            </w:r>
          </w:p>
        </w:tc>
        <w:tc>
          <w:tcPr>
            <w:tcW w:w="3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9,748,491</w:t>
            </w: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16,455,955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9,748,491</w:t>
            </w:r>
          </w:p>
        </w:tc>
        <w:tc>
          <w:tcPr>
            <w:tcW w:w="3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16,455,995</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9,748,491</w:t>
            </w:r>
          </w:p>
        </w:tc>
        <w:tc>
          <w:tcPr>
            <w:tcW w:w="320" w:type="dxa"/>
            <w:vAlign w:val="bottom"/>
            <w:shd w:val="clear" w:color="auto" w:fill="CCFFCC"/>
          </w:tcPr>
          <w:p>
            <w:pPr>
              <w:spacing w:after="0"/>
              <w:rPr>
                <w:sz w:val="21"/>
                <w:szCs w:val="21"/>
                <w:color w:val="auto"/>
              </w:rPr>
            </w:pP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16,455,995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NONCASH TRANSACTIONS</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Conversion of notes payable to preferred stock</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55,271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color w:val="auto"/>
              </w:rPr>
              <w:t>Accrued financing costs</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61,138</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61,138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6" w:name="page57"/>
    <w:bookmarkEnd w:id="56"/>
    <w:p>
      <w:pPr>
        <w:jc w:val="center"/>
        <w:ind w:right="-7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the Company is developing therapies targeting hematological malignancies. TG-1101 (ublituximab), is a novel, third generation monoclonal antibody that targets a specific and unique epitope on the CD20 antigen found on mature B-lymphocytes. We are also developing TGR-1202, an orally available PI3K delta inhibitor. We also hold the development rights to AST-726, a nasally delivered product for the treatment of Vitamin B</w:t>
      </w:r>
      <w:r>
        <w:rPr>
          <w:rFonts w:ascii="Arial" w:cs="Arial" w:eastAsia="Arial" w:hAnsi="Arial"/>
          <w:sz w:val="26"/>
          <w:szCs w:val="26"/>
          <w:color w:val="auto"/>
          <w:vertAlign w:val="subscript"/>
        </w:rPr>
        <w:t>12</w:t>
      </w:r>
      <w:r>
        <w:rPr>
          <w:rFonts w:ascii="Arial" w:cs="Arial" w:eastAsia="Arial" w:hAnsi="Arial"/>
          <w:sz w:val="16"/>
          <w:szCs w:val="16"/>
          <w:color w:val="auto"/>
        </w:rPr>
        <w:t xml:space="preserve"> deficiency.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Transaction with TG Therapeutics, Inc. and its majority shareholders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29, 2011, the Company entered into and consummated an Exchange Transaction Agreement with Opus Point Partners, LLC (“Opus”) and TG Biologics, Inc. (formerly known as TG Therapeutics, Inc.) (“TG Bio”) (the “Agreement”). Under the Agreement, Opus exchanged (the “Exchange Transaction”) its shares of common stock in TG Bio (“TG Bio Common Stock”) for shares of Series A preferred stock in the Company (“Company Preferred Stock”). In accordance with the terms of the Agreement, 95% of the holders of common stock of TG Bio (one (1) minority shareholder of TG Bio holding in aggregate 132,000 shares of common stock of TG Bio did not participate) surrendered their TG Bio common stock. The Agreement caused the Company to issue to TG Bio’s shareholders 281,250 shares of Company Preferred Stock. Each share of Company Preferred Stock was convertible into 8.89 shares of the Common Stock provided that such conversion rights were subject to sufficient available authorized shares of Common Stock. In connection with the reverse stock split effected by the Company on April 30, 2012 (as discussed below), all shares of preferred stock issued in connection with the Agreement were converted to Common Stock. The Company Preferred Stock issued in connection with the Agreement provided the former TG Bio shareholders with direct and/or indirect ownership of approximately 95% of the Company’s outstanding Company Common Stock immediately following the consummation of the transaction.</w:t>
      </w:r>
    </w:p>
    <w:p>
      <w:pPr>
        <w:spacing w:after="0" w:line="18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Since the stockholders of TG Bio received the majority of the voting shares of the Company, the merger was accounted for as a reverse acquisition whereby TG Bio was the accounting acquirer (legal acquiree) and the Company was the accounting acquiree (legal acquirer) under the acquisition method of accounting. TG Bio was incorporated in Delaware in November 2010, but did not commence operations until April 2011.</w:t>
      </w:r>
    </w:p>
    <w:p>
      <w:pPr>
        <w:spacing w:after="0" w:line="16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filings with the Securities and Exchange Commission (the “SEC”) include the historical financial results of TG Bio and will hereafter collectively be referred to as the Company.</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April 30, 2012, the Company filed a Certificate of Amendment to its Certificate of Incorporation to change its name from Manhattan Pharmaceuticals, Inc. (“Manhattan”) to TG Therapeutics, Inc. In conjunction with this change, the subsidiary formerly named TG Therapeutics, Inc. filed a Certificate of Amendment changing its name to TG Biologics,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AN IMMATERIAL ERROR</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Company has identified certain immaterial errors in its previously issued consolidated financial statements for the year ended December 31, 2011. In connection with the Exchange Transaction (see description above), a valuation using the guidance in the accounting literature for business combinations was performed to determine the fair value of the assets acquired and liabilities assumed. The Company has determined that certain methodologies and assumptions utilized in this valuation were incorrect. As a result of this, the Company has recorded an adjustment to previously reported in-process research and development, goodwill, and notes payable, less current portion, at fair value, at December 31, 2011 as follows:</w:t>
      </w:r>
    </w:p>
    <w:p>
      <w:pPr>
        <w:spacing w:after="0" w:line="158"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In-process research and development decreased from $5,441,839 to $3,902,300</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Goodwill increased from $629,752 to $799,391</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Notes payable, less current portion, at fair value decreased from $4,664,697 to $3,294,797</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The net effect of this adjustment is a decrease to total assets and liabilities, as previously reported, of $1,369,900.</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adjustment was recorded as of December 31, 2011 and has no effect on the statement of operations or statement of equity for any period. The Company assessed the impact of this adjustment under the provisions of SEC Staff Accounting Bulletin Nos. 99 and 108 and determined the impact of the errors to be immaterial to the financial statements. The accompanying consolidated balance sheet as of December 31, 2011 reflects the corrections of the aforementioned immaterial errors.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December 31, 2012, we have an accumulated deficit of $18,925,793.</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primary source of cash has been proceeds from the private placement of equity securities.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December 31, 2012, we had $16,455,995 in cash and cash equivalents. We currently anticipate that our cash and cash equivalents to be sufficient to fund our anticipated operating cash requirements for approximately 18 months from December 31, 2012.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OTC Bulletin Board and trades under the symbol “TGTX.”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April 30, 2012, the Company effected a reverse split of its Common Stock at a ratio of 56.25 for 1, pursuant to a previously obtained stockholder authorization. All share amounts and per share prices in this Annual Report on Form 10-K have been retroactively adjusted to reflect the effect of our reverse stock split, on a fifty-six and one quarter (56.25) for one (1) basis, unless otherwise indicated. The exercise price for all stock options and warrants and the conversion price for convertible securities in the accompanying consolidated financial statements have been adjusted to reflect the reverse stock split by multiplying the original exercise or conversion price by fifty-six and one quarter (56.25).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MANAGEMENT CHANGES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Exchange Transaction with TG Therapeutics, Inc., effective December 29, 2011, Douglas Abel, David C. Shimko and Richard Steinhart resigned from their positions on the Board of Directors of the Company. Michael McGuinness resigned both his seat as a director and as an officer of the Company, effective December 29, 2011.</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Effective December 29, 2011, Michael S. Weiss was appointed Executive Chairman, Interim Chief Executive Officer and President of the Company. In connection with the appointment, the Company assumed Mr. Weiss’ employment agreement with TG, effective November 1, 2011, under which Mr. Weiss is to serve as the Company’s Executive Chairman, Interim Chief Executive Officer and President until such employment is terminated pursuant to the terms of the agreement.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8" w:name="page59"/>
    <w:bookmarkEnd w:id="58"/>
    <w:p>
      <w:pPr>
        <w:ind w:right="40" w:firstLine="648"/>
        <w:spacing w:after="0" w:line="257" w:lineRule="auto"/>
        <w:rPr>
          <w:sz w:val="20"/>
          <w:szCs w:val="20"/>
          <w:color w:val="auto"/>
        </w:rPr>
      </w:pPr>
      <w:r>
        <w:rPr>
          <w:rFonts w:ascii="Arial" w:cs="Arial" w:eastAsia="Arial" w:hAnsi="Arial"/>
          <w:sz w:val="18"/>
          <w:szCs w:val="18"/>
          <w:color w:val="auto"/>
        </w:rPr>
        <w:t>In connection with the Exchange Transaction and the appointment of Mr. Weiss to his position, the Company issued replacement awards and granted 112,500 shares of Series A Preferred Stock, to Mr. Weiss on December 29, 2011. Each share of Series A Preferred Stock was convertible into 8.89 shares of the Common Stock provided that such conversion rights were subject to sufficient available authorized shares of Common Stock. In connection with the reverse stock split effected by the Company on April 30, 2012 (as discussed above), all shares of preferred stock issued in connection with the Agreement were converted to Common Stock.</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terms of his employment agreement, on an annual basis, the Company will also grant Mr. Weiss a number of shares of restricted common stock equal to 1.25% of the shares of Common Stock outstanding on the date of grant on a fully-diluted basis. Each of these annual grants of restricted stock will vest and become non-forfeitable as to 25% of the shares on the first anniversary of the respective date of grant, as to 25% of the shares on the second anniversary of the respective date of grant and as to 50% of the shares on the date that the “market capitalization” (as defined in the employment agreement) is $100 million greater than the market capitalization on the respective date of grant, provided that Mr. Weiss remains an employee, director and/or consultant of the Company through each vesting date.</w:t>
      </w:r>
    </w:p>
    <w:p>
      <w:pPr>
        <w:spacing w:after="0" w:line="19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Effective December 29, 2011, Sean A. Power was appointed Chief Financial Officer, Treasurer and Secretary of the Company. In connection with the appointment, the Company assumed Mr. Power’s employment agreement with TG, effective November 1, 2011, under which Mr. Power is to serve as the Company’s Chief Financial Officer, Treasurer and Secretary until such employment is terminated pursuant to the terms of the agreement.</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Exchange Transaction and the appointment of Mr. Power to his position, the Company issued replacement awards and granted 16,875 shares of Series A Preferred Stock, to Mr. Power on December 29, 2011. Each share of Series A Preferred Stock was convertible into 8.89 shares of the Common Stock provided that such conversion rights were subject to sufficient available authorized shares of Common Stock. In connection with the reverse stock split effected by the Company on April 30, 2012 (as discussed above), all shares of preferred stock issued in connection with the Agreement were converted to Common Stock.</w:t>
      </w:r>
    </w:p>
    <w:p>
      <w:pPr>
        <w:spacing w:after="0" w:line="18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Company will grant Mr. Power a number of shares of restricted common stock of the Company as determined by the CEO and board. Each of these annual grants of restricted stock will be subject to vesting terms, which will be determined at the time of grant by the CEO and Board.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February 2013, the Financial Accounting Standards Board (“FASB”) issued amendments to the accounting guidance for presentation of comprehensive income to improve the reporting of reclassifications out of accumulated other comprehensive income. The amendments do not change the current requirements for reporting net income or other comprehensive income, but do require an entity to provide information about the amounts reclassified out of accumulated other comprehensive income by component. In addition, an entity is required to present, either on the face of the statement where the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additional detail about these amounts. These amendments are effective prospectively for reporting periods beginning after December 15, 2012. The Company does not believe the adoption of this guidance will have a material impact on the consolidated financial statements.</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the consolidated financial statements of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Company has generated limited revenue from its operations and, accordingly, the financial statements have been prepared in accordance with the provisions of accounting and reporting for Development Stage Enterprises.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w:t>
      </w:r>
    </w:p>
    <w:p>
      <w:pPr>
        <w:spacing w:after="0" w:line="5" w:lineRule="exact"/>
        <w:rPr>
          <w:sz w:val="20"/>
          <w:szCs w:val="20"/>
          <w:color w:val="auto"/>
        </w:rPr>
      </w:pPr>
    </w:p>
    <w:p>
      <w:pPr>
        <w:ind w:right="220" w:firstLine="8"/>
        <w:spacing w:after="0" w:line="255"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All acquired research and development projects are recorded at their fair value as of the date acquisition. The fair values are assessed as of the balance sheet date to ascertain if there has been any impairment of the recorded value. If there is an impairment, the asset is written down to its current fair value by the recording of an expense. Impairment is tested on an annual basis, and consists of a comparison of the fair value of the in-process research and development with its carrying amount.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 BASED COMPENSATION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recognize all share-based payments to employees and to non-employee directors as compensation for service on our board of directors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share-based payments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INCOME PER COMMON SHARE</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Basic net income (loss) per common share is calculated by dividing net income (loss) applicable to common shares by the weighted-average number of common shares outstanding for the period. Diluted net loss per common share is the same as basic net income (loss) per common share,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10,746,837 and 5,320,173 at December 31, 2012 and 2011, respectively. During the years ended December 31, 2012 and 2011 the Company incurred a net loss, therefore, all of the dilutive securities are excluded from the computation of diluted earnings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 AND GOODWILL</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Long lived assets are reviewed for an impairment loss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NOTE 2</w:t>
            </w:r>
          </w:p>
        </w:tc>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 CASH AND CASH EQUIVALENTS</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20" w:type="dxa"/>
            <w:vAlign w:val="bottom"/>
            <w:gridSpan w:val="4"/>
          </w:tcPr>
          <w:p>
            <w:pPr>
              <w:ind w:left="1140"/>
              <w:spacing w:after="0"/>
              <w:rPr>
                <w:sz w:val="20"/>
                <w:szCs w:val="20"/>
                <w:color w:val="auto"/>
              </w:rPr>
            </w:pPr>
            <w:r>
              <w:rPr>
                <w:rFonts w:ascii="Arial" w:cs="Arial" w:eastAsia="Arial" w:hAnsi="Arial"/>
                <w:sz w:val="18"/>
                <w:szCs w:val="18"/>
                <w:b w:val="1"/>
                <w:bCs w:val="1"/>
                <w:color w:val="auto"/>
              </w:rPr>
              <w:t>December 31, 2012</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Checking and bank deposits</w:t>
            </w:r>
          </w:p>
        </w:tc>
        <w:tc>
          <w:tcPr>
            <w:tcW w:w="150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16,455,995</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9,748,491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Total</w:t>
            </w:r>
          </w:p>
        </w:tc>
        <w:tc>
          <w:tcPr>
            <w:tcW w:w="4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16,455,995</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9,748,491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3</w:t>
            </w:r>
          </w:p>
        </w:tc>
        <w:tc>
          <w:tcPr>
            <w:tcW w:w="4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FAIR VALUE MEASUREMENTS</w:t>
            </w:r>
          </w:p>
        </w:tc>
        <w:tc>
          <w:tcPr>
            <w:tcW w:w="1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gridSpan w:val="2"/>
            <w:vMerge w:val="continue"/>
          </w:tcPr>
          <w:p>
            <w:pPr>
              <w:spacing w:after="0"/>
              <w:rPr>
                <w:sz w:val="24"/>
                <w:szCs w:val="24"/>
                <w:color w:val="auto"/>
              </w:rPr>
            </w:pPr>
          </w:p>
        </w:tc>
        <w:tc>
          <w:tcPr>
            <w:tcW w:w="41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December 31, 2012 and 2011, the fair values of cash and cash equivalents, and notes and interest payable, current portion approximate their carrying value.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Upon the merger between Manhattan and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the Company performed a valuation of the assets and liabilities of Manhattan immediately prior to the transaction. The cumulative liability including accrued and unpaid interest of these notes was approximately $16,876,000 immediately prior to the Exchange Transaction, and $17,727,000 and $16,883,000 at December 31, 2012 and 2011, respectively. As these notes payable are tied directly to net product cash flows derived from the preexisting products of the Company, this note and accrued interest was recorded at fair value of $3,287,700 as of the date of the Exchange Transaction. No payments have been made on these notes as of December 31, 2012.</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elected the fair value option for valuing the 5% Notes upon the completion of the reverse merger with TG Bio, as discussed above. The Company elected the fair value option in order to reflect in our financial statements the assumptions that market participants use in evaluating these financial instruments.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right="180" w:firstLine="648"/>
        <w:spacing w:after="0" w:line="273" w:lineRule="auto"/>
        <w:rPr>
          <w:sz w:val="20"/>
          <w:szCs w:val="20"/>
          <w:color w:val="auto"/>
        </w:rPr>
      </w:pPr>
      <w:r>
        <w:rPr>
          <w:rFonts w:ascii="Arial" w:cs="Arial" w:eastAsia="Arial" w:hAnsi="Arial"/>
          <w:sz w:val="17"/>
          <w:szCs w:val="17"/>
          <w:color w:val="auto"/>
        </w:rPr>
        <w:t>The valuation method used to estimate the 5% Notes’ fair value was a discounted cash flow model, where the expected cash flows of AST-726 and AST-915 are discounted to the present using a yield that incorporates compensation for the probability of success in clinical development and marketing, among other factors. The discount rate used in this discounted cash flow model approximated 20% at December 31, 2012 and 2011.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financial liabilities measured at fair value on a recurring basis as of December 31, 2012 and 2011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8"/>
                <w:szCs w:val="18"/>
                <w:b w:val="1"/>
                <w:bCs w:val="1"/>
                <w:color w:val="auto"/>
              </w:rPr>
              <w:t>as of December 31, 2012</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FFCC"/>
          </w:tcPr>
          <w:p>
            <w:pPr>
              <w:jc w:val="center"/>
              <w:ind w:right="4450"/>
              <w:spacing w:after="0"/>
              <w:rPr>
                <w:sz w:val="20"/>
                <w:szCs w:val="20"/>
                <w:color w:val="auto"/>
              </w:rPr>
            </w:pPr>
            <w:r>
              <w:rPr>
                <w:rFonts w:ascii="Arial" w:cs="Arial" w:eastAsia="Arial" w:hAnsi="Arial"/>
                <w:sz w:val="18"/>
                <w:szCs w:val="18"/>
                <w:color w:val="auto"/>
                <w:w w:val="89"/>
              </w:rPr>
              <w:t>5% Notes</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2,479,098</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2,479,098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jc w:val="center"/>
              <w:ind w:right="4430"/>
              <w:spacing w:after="0"/>
              <w:rPr>
                <w:sz w:val="20"/>
                <w:szCs w:val="20"/>
                <w:color w:val="auto"/>
              </w:rPr>
            </w:pPr>
            <w:r>
              <w:rPr>
                <w:rFonts w:ascii="Arial" w:cs="Arial" w:eastAsia="Arial" w:hAnsi="Arial"/>
                <w:sz w:val="18"/>
                <w:szCs w:val="18"/>
                <w:color w:val="auto"/>
                <w:w w:val="89"/>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8"/>
                <w:szCs w:val="18"/>
                <w:b w:val="1"/>
                <w:bCs w:val="1"/>
                <w:color w:val="auto"/>
              </w:rPr>
              <w:t>as of December 31, 2011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FFCC"/>
          </w:tcPr>
          <w:p>
            <w:pPr>
              <w:jc w:val="center"/>
              <w:ind w:right="4450"/>
              <w:spacing w:after="0"/>
              <w:rPr>
                <w:sz w:val="20"/>
                <w:szCs w:val="20"/>
                <w:color w:val="auto"/>
              </w:rPr>
            </w:pPr>
            <w:r>
              <w:rPr>
                <w:rFonts w:ascii="Arial" w:cs="Arial" w:eastAsia="Arial" w:hAnsi="Arial"/>
                <w:sz w:val="18"/>
                <w:szCs w:val="18"/>
                <w:color w:val="auto"/>
                <w:w w:val="89"/>
              </w:rPr>
              <w:t>5% Notes</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3,294,797</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3,294,797</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jc w:val="center"/>
              <w:ind w:right="4430"/>
              <w:spacing w:after="0"/>
              <w:rPr>
                <w:sz w:val="20"/>
                <w:szCs w:val="20"/>
                <w:color w:val="auto"/>
              </w:rPr>
            </w:pPr>
            <w:r>
              <w:rPr>
                <w:rFonts w:ascii="Arial" w:cs="Arial" w:eastAsia="Arial" w:hAnsi="Arial"/>
                <w:sz w:val="18"/>
                <w:szCs w:val="18"/>
                <w:color w:val="auto"/>
                <w:w w:val="89"/>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3,294,797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3,294,797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for the years ended December 31, 2011 and 2012: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shd w:val="clear" w:color="auto" w:fill="CCFFCC"/>
          </w:tcPr>
          <w:p>
            <w:pPr>
              <w:spacing w:after="0"/>
              <w:rPr>
                <w:sz w:val="20"/>
                <w:szCs w:val="20"/>
                <w:color w:val="auto"/>
              </w:rPr>
            </w:pPr>
            <w:r>
              <w:rPr>
                <w:rFonts w:ascii="Arial" w:cs="Arial" w:eastAsia="Arial" w:hAnsi="Arial"/>
                <w:sz w:val="18"/>
                <w:szCs w:val="18"/>
                <w:color w:val="auto"/>
                <w:w w:val="88"/>
              </w:rPr>
              <w:t>Balance at January 1,</w:t>
            </w:r>
          </w:p>
        </w:tc>
        <w:tc>
          <w:tcPr>
            <w:tcW w:w="5320" w:type="dxa"/>
            <w:vAlign w:val="bottom"/>
            <w:shd w:val="clear" w:color="auto" w:fill="CCFFCC"/>
          </w:tcPr>
          <w:p>
            <w:pPr>
              <w:ind w:left="40"/>
              <w:spacing w:after="0"/>
              <w:rPr>
                <w:sz w:val="20"/>
                <w:szCs w:val="20"/>
                <w:color w:val="auto"/>
              </w:rPr>
            </w:pPr>
            <w:r>
              <w:rPr>
                <w:rFonts w:ascii="Arial" w:cs="Arial" w:eastAsia="Arial" w:hAnsi="Arial"/>
                <w:sz w:val="18"/>
                <w:szCs w:val="18"/>
                <w:color w:val="auto"/>
              </w:rPr>
              <w:t>2011</w:t>
            </w:r>
          </w:p>
        </w:tc>
        <w:tc>
          <w:tcPr>
            <w:tcW w:w="18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r>
      <w:tr>
        <w:trPr>
          <w:trHeight w:val="216"/>
        </w:trPr>
        <w:tc>
          <w:tcPr>
            <w:tcW w:w="1560" w:type="dxa"/>
            <w:vAlign w:val="bottom"/>
          </w:tcPr>
          <w:p>
            <w:pPr>
              <w:ind w:left="160"/>
              <w:spacing w:after="0"/>
              <w:rPr>
                <w:sz w:val="20"/>
                <w:szCs w:val="20"/>
                <w:color w:val="auto"/>
              </w:rPr>
            </w:pPr>
            <w:r>
              <w:rPr>
                <w:rFonts w:ascii="Arial" w:cs="Arial" w:eastAsia="Arial" w:hAnsi="Arial"/>
                <w:sz w:val="18"/>
                <w:szCs w:val="18"/>
                <w:color w:val="auto"/>
                <w:w w:val="92"/>
              </w:rPr>
              <w:t>Transfer into Level</w:t>
            </w:r>
          </w:p>
        </w:tc>
        <w:tc>
          <w:tcPr>
            <w:tcW w:w="5320" w:type="dxa"/>
            <w:vAlign w:val="bottom"/>
          </w:tcPr>
          <w:p>
            <w:pPr>
              <w:ind w:lef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3,287,700</w:t>
            </w:r>
          </w:p>
        </w:tc>
        <w:tc>
          <w:tcPr>
            <w:tcW w:w="40" w:type="dxa"/>
            <w:vAlign w:val="bottom"/>
          </w:tcPr>
          <w:p>
            <w:pPr>
              <w:spacing w:after="0"/>
              <w:rPr>
                <w:sz w:val="18"/>
                <w:szCs w:val="18"/>
                <w:color w:val="auto"/>
              </w:rPr>
            </w:pPr>
          </w:p>
        </w:tc>
      </w:tr>
      <w:tr>
        <w:trPr>
          <w:trHeight w:val="216"/>
        </w:trPr>
        <w:tc>
          <w:tcPr>
            <w:tcW w:w="6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Interest accrued on face value of 5% Notes</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7,097</w:t>
            </w:r>
          </w:p>
        </w:tc>
        <w:tc>
          <w:tcPr>
            <w:tcW w:w="40" w:type="dxa"/>
            <w:vAlign w:val="bottom"/>
            <w:shd w:val="clear" w:color="auto" w:fill="CCFFCC"/>
          </w:tcPr>
          <w:p>
            <w:pPr>
              <w:spacing w:after="0"/>
              <w:rPr>
                <w:sz w:val="18"/>
                <w:szCs w:val="18"/>
                <w:color w:val="auto"/>
              </w:rPr>
            </w:pPr>
          </w:p>
        </w:tc>
      </w:tr>
      <w:tr>
        <w:trPr>
          <w:trHeight w:val="230"/>
        </w:trPr>
        <w:tc>
          <w:tcPr>
            <w:tcW w:w="6880" w:type="dxa"/>
            <w:vAlign w:val="bottom"/>
            <w:gridSpan w:val="2"/>
          </w:tcPr>
          <w:p>
            <w:pPr>
              <w:ind w:left="160"/>
              <w:spacing w:after="0"/>
              <w:rPr>
                <w:sz w:val="20"/>
                <w:szCs w:val="20"/>
                <w:color w:val="auto"/>
              </w:rPr>
            </w:pPr>
            <w:r>
              <w:rPr>
                <w:rFonts w:ascii="Arial" w:cs="Arial" w:eastAsia="Arial" w:hAnsi="Arial"/>
                <w:sz w:val="18"/>
                <w:szCs w:val="18"/>
                <w:color w:val="auto"/>
              </w:rPr>
              <w:t>Change in fair value of Level 3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0"/>
        </w:trPr>
        <w:tc>
          <w:tcPr>
            <w:tcW w:w="68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Balance at December 31, 2011</w:t>
            </w:r>
          </w:p>
        </w:tc>
        <w:tc>
          <w:tcPr>
            <w:tcW w:w="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3,294,797</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6"/>
        </w:trPr>
        <w:tc>
          <w:tcPr>
            <w:tcW w:w="6880" w:type="dxa"/>
            <w:vAlign w:val="bottom"/>
            <w:gridSpan w:val="2"/>
          </w:tcPr>
          <w:p>
            <w:pPr>
              <w:ind w:left="160"/>
              <w:spacing w:after="0"/>
              <w:rPr>
                <w:sz w:val="20"/>
                <w:szCs w:val="20"/>
                <w:color w:val="auto"/>
              </w:rPr>
            </w:pPr>
            <w:r>
              <w:rPr>
                <w:rFonts w:ascii="Arial" w:cs="Arial" w:eastAsia="Arial" w:hAnsi="Arial"/>
                <w:sz w:val="18"/>
                <w:szCs w:val="18"/>
                <w:color w:val="auto"/>
              </w:rPr>
              <w:t>Interest accrued on face value of 5% Notes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844,173</w:t>
            </w:r>
          </w:p>
        </w:tc>
        <w:tc>
          <w:tcPr>
            <w:tcW w:w="40" w:type="dxa"/>
            <w:vAlign w:val="bottom"/>
          </w:tcPr>
          <w:p>
            <w:pPr>
              <w:spacing w:after="0"/>
              <w:rPr>
                <w:sz w:val="18"/>
                <w:szCs w:val="18"/>
                <w:color w:val="auto"/>
              </w:rPr>
            </w:pPr>
          </w:p>
        </w:tc>
      </w:tr>
      <w:tr>
        <w:trPr>
          <w:trHeight w:val="230"/>
        </w:trPr>
        <w:tc>
          <w:tcPr>
            <w:tcW w:w="6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Change in fair value of Level 3 liabilities</w:t>
            </w:r>
          </w:p>
        </w:tc>
        <w:tc>
          <w:tcPr>
            <w:tcW w:w="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7"/>
              </w:rPr>
              <w:t>(1,659,872)</w:t>
            </w: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measured at fair value on a nonrecurring basis as of December 31, 2012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Fair value measurements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as of December 31, 2012</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w w:val="95"/>
              </w:rPr>
              <w:t>Total impairment charge</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for the year ended</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Level 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December 31, 2012</w:t>
            </w:r>
          </w:p>
        </w:tc>
        <w:tc>
          <w:tcPr>
            <w:tcW w:w="0" w:type="dxa"/>
            <w:vAlign w:val="bottom"/>
          </w:tcPr>
          <w:p>
            <w:pPr>
              <w:spacing w:after="0"/>
              <w:rPr>
                <w:sz w:val="1"/>
                <w:szCs w:val="1"/>
                <w:color w:val="auto"/>
              </w:rPr>
            </w:pP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7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2,797,600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(1,104,700)</w:t>
            </w:r>
          </w:p>
        </w:tc>
        <w:tc>
          <w:tcPr>
            <w:tcW w:w="0" w:type="dxa"/>
            <w:vAlign w:val="bottom"/>
          </w:tcPr>
          <w:p>
            <w:pPr>
              <w:spacing w:after="0"/>
              <w:rPr>
                <w:sz w:val="1"/>
                <w:szCs w:val="1"/>
                <w:color w:val="auto"/>
              </w:rPr>
            </w:pPr>
          </w:p>
        </w:tc>
      </w:tr>
      <w:tr>
        <w:trPr>
          <w:trHeight w:val="223"/>
        </w:trPr>
        <w:tc>
          <w:tcPr>
            <w:tcW w:w="4120" w:type="dxa"/>
            <w:vAlign w:val="bottom"/>
            <w:tcBorders>
              <w:top w:val="single" w:sz="8" w:color="CCFFCC"/>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FFCC"/>
          </w:tcPr>
          <w:p>
            <w:pPr>
              <w:jc w:val="right"/>
              <w:ind w:right="9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30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FFCC"/>
              <w:bottom w:val="single" w:sz="8" w:color="CCFFCC"/>
            </w:tcBorders>
            <w:shd w:val="clear" w:color="auto" w:fill="CCFFCC"/>
          </w:tcPr>
          <w:p>
            <w:pPr>
              <w:spacing w:after="0"/>
              <w:rPr>
                <w:sz w:val="19"/>
                <w:szCs w:val="19"/>
                <w:color w:val="auto"/>
              </w:rPr>
            </w:pPr>
          </w:p>
        </w:tc>
        <w:tc>
          <w:tcPr>
            <w:tcW w:w="4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2,797,600</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(1,104,700</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F-12</w:t>
            </w: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3" w:name="page64"/>
    <w:bookmarkEnd w:id="63"/>
    <w:p>
      <w:pPr>
        <w:ind w:right="60" w:firstLine="648"/>
        <w:spacing w:after="0" w:line="288" w:lineRule="auto"/>
        <w:rPr>
          <w:sz w:val="20"/>
          <w:szCs w:val="20"/>
          <w:color w:val="auto"/>
        </w:rPr>
      </w:pPr>
      <w:r>
        <w:rPr>
          <w:rFonts w:ascii="Arial" w:cs="Arial" w:eastAsia="Arial" w:hAnsi="Arial"/>
          <w:sz w:val="16"/>
          <w:szCs w:val="16"/>
          <w:color w:val="auto"/>
        </w:rPr>
        <w:t>As a result of market changes affecting the commercial potential for the Ariston in-process research and development assets (AST-726 and AST-915), the Company determined that the asset's carrying value was no longer fully recoverable. Accordingly, during the year ended December 31, 2012, we recorded a non-cash impairment charge of approximately $1,104,700, which was recorded as impairment of in-process research and development in our consolidated statements of operations. The fair value of this asset was determined using a discounted cash flow model, where the expected cash flows of the Ariston assets are discounted to the present using a yield that incorporates compensation for the probability of success in clinical development and marketing, among other factors. This fair value measurement technique is based on significant inputs not observable in the market and thus represents a Level 3 measurement within the fair value hierarchy. Changes in the market or any of the assumptions used in determining the fair value of this asset may result in a further reduction to its estimated fair value and could result in additional and potentially full future impairment charges. Also contributing to the impairment charge was the Company’s decision during the year ended December 31, 2012 to discontinue future development activities for AST-915, following the analysis from a Phase I dose escalation trial, in which AST-915 failed to meet its primary efficacy endpoint.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December 29, 2011, the Company completed a reverse acquisition of privately held TG Bio, a Delaware Corporation. The acquisition was effected pursuant to an Exchange Transaction Agreement (the “Agreement”) dated December 29, 2011 by and among the Company, TG Bio and Opus, the largest shareholder of TG Bio. In accordance with the terms of the Agreement, 95% of the holders of common stock of TG Bio (one (1) minority shareholder of TG Bio holding in aggregate 132,000 shares of common stock of TG Bio did not participate) surrendered their TG Bio common stock. The Agreement caused the Company to issue to TG Bio’s shareholders 281,250 shares of Company Preferred Stock. Each share of Company Preferred Stock was convertible into 8.89 shares of the Common Stock provided that such conversion rights were subject to sufficient available authorized shares of Common Stock. In connection with the reverse stock split effected by the Company on April 30, 2012 (as discussed above), all shares of preferred stock issued in connection with the Agreement were converted to Common Stock. The Company Preferred Stock issued in connection with the Agreement provided the former TG Bio shareholders with direct and/or indirect ownership of approximately 95% of the Company’s outstanding Company Common Stock immediately following the consummation of the transaction.</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shares of Common Stock issued upon the conversion of the Company Preferred Stock are not registered for resale and, therefore, shall remain subject to the rights and restrictions of Rule 144 under the Securities Act of 1933, as amended.</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Based on fair value of the Company’s Common Stock of $2.25 per share at December 29, 2011, the purchase price was $295,933, plus the fair value of restricted stock assumed of $82,305. In connection with the Exchange Transaction, the Company incurred $231,580 of acquisition related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 summary of the purchase price calculation is as follows:</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Number of shares of Manhattan common stock outstanding at the time of the transaction</w:t>
            </w: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131,526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Multiplied by Manhattan’s fair value of the Common Stock</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295,933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Fair value of restricted stock assumed</w:t>
            </w:r>
          </w:p>
        </w:tc>
        <w:tc>
          <w:tcPr>
            <w:tcW w:w="380" w:type="dxa"/>
            <w:vAlign w:val="bottom"/>
            <w:tcBorders>
              <w:top w:val="single" w:sz="8" w:color="auto"/>
            </w:tcBorders>
            <w:shd w:val="clear" w:color="auto" w:fill="CCFFCC"/>
          </w:tcPr>
          <w:p>
            <w:pPr>
              <w:spacing w:after="0"/>
              <w:rPr>
                <w:sz w:val="19"/>
                <w:szCs w:val="19"/>
                <w:color w:val="auto"/>
              </w:rPr>
            </w:pPr>
          </w:p>
        </w:tc>
        <w:tc>
          <w:tcPr>
            <w:tcW w:w="900" w:type="dxa"/>
            <w:vAlign w:val="bottom"/>
            <w:tcBorders>
              <w:top w:val="single" w:sz="8" w:color="auto"/>
            </w:tcBorders>
            <w:shd w:val="clear" w:color="auto" w:fill="CCFFCC"/>
          </w:tcPr>
          <w:p>
            <w:pPr>
              <w:spacing w:after="0"/>
              <w:rPr>
                <w:sz w:val="19"/>
                <w:szCs w:val="19"/>
                <w:color w:val="auto"/>
              </w:rPr>
            </w:pPr>
          </w:p>
        </w:tc>
        <w:tc>
          <w:tcPr>
            <w:tcW w:w="16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tcBorders>
            <w:shd w:val="clear" w:color="auto" w:fill="CCFFCC"/>
          </w:tcPr>
          <w:p>
            <w:pPr>
              <w:spacing w:after="0"/>
              <w:rPr>
                <w:sz w:val="19"/>
                <w:szCs w:val="19"/>
                <w:color w:val="auto"/>
              </w:rPr>
            </w:pPr>
          </w:p>
        </w:tc>
        <w:tc>
          <w:tcPr>
            <w:tcW w:w="380" w:type="dxa"/>
            <w:vAlign w:val="bottom"/>
            <w:tcBorders>
              <w:top w:val="single" w:sz="8" w:color="CCFFCC"/>
            </w:tcBorders>
            <w:shd w:val="clear" w:color="auto" w:fill="CCFFCC"/>
          </w:tcPr>
          <w:p>
            <w:pPr>
              <w:spacing w:after="0"/>
              <w:rPr>
                <w:sz w:val="19"/>
                <w:szCs w:val="19"/>
                <w:color w:val="auto"/>
              </w:rPr>
            </w:pPr>
          </w:p>
        </w:tc>
        <w:tc>
          <w:tcPr>
            <w:tcW w:w="98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Total purchase price</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5520"/>
              <w:spacing w:after="0"/>
              <w:rPr>
                <w:sz w:val="20"/>
                <w:szCs w:val="20"/>
                <w:color w:val="auto"/>
              </w:rPr>
            </w:pPr>
            <w:r>
              <w:rPr>
                <w:rFonts w:ascii="Arial" w:cs="Arial" w:eastAsia="Arial" w:hAnsi="Arial"/>
                <w:sz w:val="18"/>
                <w:szCs w:val="18"/>
                <w:color w:val="auto"/>
              </w:rPr>
              <w:t>F-13</w:t>
            </w: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844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The purchase price has been allocated as follows based on the fair values of the assets and liabilities acquired: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10,386</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90,770</w:t>
            </w:r>
          </w:p>
        </w:tc>
      </w:tr>
      <w:tr>
        <w:trPr>
          <w:trHeight w:val="230"/>
        </w:trPr>
        <w:tc>
          <w:tcPr>
            <w:tcW w:w="8060" w:type="dxa"/>
            <w:vAlign w:val="bottom"/>
            <w:shd w:val="clear" w:color="auto" w:fill="CCFFCC"/>
          </w:tcPr>
          <w:p>
            <w:pPr>
              <w:spacing w:after="0"/>
              <w:rPr>
                <w:sz w:val="20"/>
                <w:szCs w:val="20"/>
                <w:color w:val="auto"/>
              </w:rPr>
            </w:pPr>
            <w:r>
              <w:rPr>
                <w:rFonts w:ascii="Arial" w:cs="Arial" w:eastAsia="Arial" w:hAnsi="Arial"/>
                <w:sz w:val="18"/>
                <w:szCs w:val="18"/>
                <w:color w:val="auto"/>
              </w:rPr>
              <w:t>In-process research and development acquired</w:t>
            </w:r>
          </w:p>
        </w:tc>
        <w:tc>
          <w:tcPr>
            <w:tcW w:w="1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3,902,300</w:t>
            </w:r>
          </w:p>
        </w:tc>
      </w:tr>
      <w:tr>
        <w:trPr>
          <w:trHeight w:val="210"/>
        </w:trPr>
        <w:tc>
          <w:tcPr>
            <w:tcW w:w="806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identifiable assets</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4,003,456</w:t>
            </w:r>
          </w:p>
        </w:tc>
        <w:tc>
          <w:tcPr>
            <w:tcW w:w="80" w:type="dxa"/>
            <w:vAlign w:val="bottom"/>
            <w:tcBorders>
              <w:bottom w:val="single" w:sz="8" w:color="CCFFCC"/>
            </w:tcBorders>
          </w:tcPr>
          <w:p>
            <w:pPr>
              <w:spacing w:after="0"/>
              <w:rPr>
                <w:sz w:val="18"/>
                <w:szCs w:val="18"/>
                <w:color w:val="auto"/>
              </w:rPr>
            </w:pPr>
          </w:p>
        </w:tc>
      </w:tr>
      <w:tr>
        <w:trPr>
          <w:trHeight w:val="210"/>
        </w:trPr>
        <w:tc>
          <w:tcPr>
            <w:tcW w:w="806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197,191</w:t>
            </w:r>
          </w:p>
        </w:tc>
        <w:tc>
          <w:tcPr>
            <w:tcW w:w="80" w:type="dxa"/>
            <w:vAlign w:val="bottom"/>
            <w:shd w:val="clear" w:color="auto" w:fill="CCFFCC"/>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Notes payable (ICON and Swiss Pharma)</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939,718</w:t>
            </w:r>
          </w:p>
        </w:tc>
      </w:tr>
      <w:tr>
        <w:trPr>
          <w:trHeight w:val="230"/>
        </w:trPr>
        <w:tc>
          <w:tcPr>
            <w:tcW w:w="8060" w:type="dxa"/>
            <w:vAlign w:val="bottom"/>
            <w:shd w:val="clear" w:color="auto" w:fill="CCFFCC"/>
          </w:tcPr>
          <w:p>
            <w:pPr>
              <w:spacing w:after="0"/>
              <w:rPr>
                <w:sz w:val="20"/>
                <w:szCs w:val="20"/>
                <w:color w:val="auto"/>
              </w:rPr>
            </w:pPr>
            <w:r>
              <w:rPr>
                <w:rFonts w:ascii="Arial" w:cs="Arial" w:eastAsia="Arial" w:hAnsi="Arial"/>
                <w:sz w:val="18"/>
                <w:szCs w:val="18"/>
                <w:color w:val="auto"/>
              </w:rPr>
              <w:t>5% notes payable and accrued interest</w:t>
            </w:r>
          </w:p>
        </w:tc>
        <w:tc>
          <w:tcPr>
            <w:tcW w:w="1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3,287,700</w:t>
            </w:r>
          </w:p>
        </w:tc>
      </w:tr>
      <w:tr>
        <w:trPr>
          <w:trHeight w:val="210"/>
        </w:trPr>
        <w:tc>
          <w:tcPr>
            <w:tcW w:w="806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identifiable liabilities</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4,424,609</w:t>
            </w:r>
          </w:p>
        </w:tc>
        <w:tc>
          <w:tcPr>
            <w:tcW w:w="80" w:type="dxa"/>
            <w:vAlign w:val="bottom"/>
            <w:tcBorders>
              <w:bottom w:val="single" w:sz="8" w:color="CCFFCC"/>
            </w:tcBorders>
          </w:tcPr>
          <w:p>
            <w:pPr>
              <w:spacing w:after="0"/>
              <w:rPr>
                <w:sz w:val="18"/>
                <w:szCs w:val="18"/>
                <w:color w:val="auto"/>
              </w:rPr>
            </w:pPr>
          </w:p>
        </w:tc>
      </w:tr>
      <w:tr>
        <w:trPr>
          <w:trHeight w:val="210"/>
        </w:trPr>
        <w:tc>
          <w:tcPr>
            <w:tcW w:w="8060" w:type="dxa"/>
            <w:vAlign w:val="bottom"/>
            <w:shd w:val="clear" w:color="auto" w:fill="CCFFCC"/>
          </w:tcPr>
          <w:p>
            <w:pPr>
              <w:spacing w:after="0"/>
              <w:rPr>
                <w:sz w:val="20"/>
                <w:szCs w:val="20"/>
                <w:color w:val="auto"/>
              </w:rPr>
            </w:pPr>
            <w:r>
              <w:rPr>
                <w:rFonts w:ascii="Arial" w:cs="Arial" w:eastAsia="Arial" w:hAnsi="Arial"/>
                <w:sz w:val="18"/>
                <w:szCs w:val="18"/>
                <w:color w:val="auto"/>
              </w:rPr>
              <w:t>Net identifiable assets (liabilities)</w:t>
            </w: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(421,153)</w:t>
            </w:r>
          </w:p>
        </w:tc>
        <w:tc>
          <w:tcPr>
            <w:tcW w:w="80" w:type="dxa"/>
            <w:vAlign w:val="bottom"/>
            <w:shd w:val="clear" w:color="auto" w:fill="CCFFCC"/>
          </w:tcPr>
          <w:p>
            <w:pPr>
              <w:spacing w:after="0"/>
              <w:rPr>
                <w:sz w:val="18"/>
                <w:szCs w:val="18"/>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799,391</w:t>
            </w:r>
          </w:p>
        </w:tc>
      </w:tr>
      <w:tr>
        <w:trPr>
          <w:trHeight w:val="223"/>
        </w:trPr>
        <w:tc>
          <w:tcPr>
            <w:tcW w:w="80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378,238</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fair value of certain identifiable intangible assets was determined using the income approach. This method starts with a forecast of the expected future net cash flows. These cash flows are then adjusted to present value by applying an appropriate discount rate that reflects the risk of achieving the asset’s projected cash flows. The present value of the estimated cash flows are then added to the present value equivalent of the residual value of the asset, if any, at the end of the discrete projection period to estimate the fair value.</w:t>
      </w:r>
    </w:p>
    <w:p>
      <w:pPr>
        <w:spacing w:after="0" w:line="187"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The valuations are based on information that is available as of the acquisition date and the expectations and assumptions that have been deemed reasonable by our management. No assurance can be given, however, that the underlying assumptions or events associated with such assets will occur as projected. For these reasons, among others, the actual results may vary from the projected results.</w:t>
      </w:r>
    </w:p>
    <w:p>
      <w:pPr>
        <w:spacing w:after="0" w:line="16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following supplemental pro forma information for the year ended December 31, 2011 presents the financial results as if the transaction had occurred on January 1, 2011. This supplemental pro forma information has been prepared for comparative purposes and does not purport to be indicative of what would have occurred had the acquisition been made on January 1, 2011, nor are they indicative of future results.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Borders>
              <w:bottom w:val="single" w:sz="8" w:color="CCFFCC"/>
            </w:tcBorders>
          </w:tcPr>
          <w:p>
            <w:pPr>
              <w:spacing w:after="0"/>
              <w:rPr>
                <w:sz w:val="20"/>
                <w:szCs w:val="20"/>
                <w:color w:val="auto"/>
              </w:rPr>
            </w:pPr>
          </w:p>
        </w:tc>
        <w:tc>
          <w:tcPr>
            <w:tcW w:w="196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60" w:type="dxa"/>
            <w:vAlign w:val="bottom"/>
            <w:tcBorders>
              <w:bottom w:val="single" w:sz="8" w:color="CCFFCC"/>
            </w:tcBorders>
          </w:tcPr>
          <w:p>
            <w:pPr>
              <w:spacing w:after="0"/>
              <w:rPr>
                <w:sz w:val="20"/>
                <w:szCs w:val="20"/>
                <w:color w:val="auto"/>
              </w:rPr>
            </w:pPr>
          </w:p>
        </w:tc>
      </w:tr>
      <w:tr>
        <w:trPr>
          <w:trHeight w:val="210"/>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196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loss</w:t>
            </w:r>
          </w:p>
        </w:tc>
        <w:tc>
          <w:tcPr>
            <w:tcW w:w="2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(818,279)</w:t>
            </w:r>
          </w:p>
        </w:tc>
      </w:tr>
      <w:tr>
        <w:trPr>
          <w:trHeight w:val="216"/>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loss per common share</w:t>
            </w:r>
          </w:p>
        </w:tc>
        <w:tc>
          <w:tcPr>
            <w:tcW w:w="2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(0.31)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There were 413,388 shares of preferred stock outstanding as of December 31, 2011. In connection with the Exchange Transaction with TG Therapeutics, Inc., on December 29, 2011, the Company filed a Certificate of Designation with respect to its Series A Preferred Stock with the Secretary of State of the State of Delaware. The Company Preferred Stock ranks senior to the Company Common Stock with regard to dividend rights, and has a liquidation preference of $20 per share over the Company Common Stock and any other junior securities. The Company Preferred Stock is automatically convertible into 500 shares of Company Common Stock provided that prior to conversion, the Company has sufficient authorized Company Common Stock to effect such conversion. In conjunction with the reverse split effected on April 30, 2012 (as discussed in Note 1), all outstanding Company Preferred Stock automatically converted to 9,857,596 shares of Common Stock as of that date.</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500,000,000 shares of $0.001 par value common stock.</w:t>
      </w:r>
    </w:p>
    <w:p>
      <w:pPr>
        <w:spacing w:after="0" w:line="23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On December 30, 2011, we completed the first closing of the private placement of our securities, issuing 4,929,523 shares of Common Stock at a price per share of $2.25 for total gross proceeds, before placement commissions and expenses, of $11,091,425 (the “2011 Equity PIPE”). Investors also received warrants to purchase 1,232,381 shares of Common Stock. The warrants have an exercise price of $2.25 per share and are exercisable for five years.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2012, we completed two additional closings of the 2011 Equity PIPE. These closings were held on January 31, 2012, and February 24, 2012. In these closings, the Company issued 695,428 shares of our Company Preferred Stock at a price per share of $20.00 for total gross proceeds, before placement commissions and expenses, of $13,908,560. Each share of Company Preferred Stock was convertible into 8.89 shares of Common Stock; provided that such conversion rights were subject to sufficient available authorized shares of Common Stock. In connection with the reverse stock split effected by the Company on April 30, 2012, all shares of Preferred Stock issued in the 2011 Equity PIPE were converted to Common Stock. Investors also received warrants to purchase 1,545,396 shares of Common Stock. The warrants have an exercise price of $2.25 per share and are exercisable for five years. The shares of Company Preferred Stock and warrants sold in these closings were offered and sold to accredited investors, including members of management, without registration under the Securities Act, or state securities laws, in reliance on the exemptions provided by Section 4(2) of the Securities Act, and Regulation D promulgated thereunder and in reliance on similar exemptions under applicable state laws. Accordingly, the securities issued in the offering have not been registered under the Securities Act, and until so registered, these securities may not be offered or sold in the United States absent registration or availability of an applicable exemption from registration. The placement agent received cash commissions equal to 10% of the gross proceeds of the offering, five-year warrants to purchase shares of the Company’s stock equal to 10% of shares sold in the offering, and a non-accountable expense allowance equal to two percent of the gross proceeds of the offering for their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May 17, 2012, our Chief Financial Officer surrendered to the Company 13,526 shares of common stock in order to satisfy his tax withholding obligation upon the vesting of 37,500 shares of restricted stock. The 13,526 shares of common stock are being held by the Company in Treasury, at a cost of approximately $85,000, representing the fair market value on the date the shares were surrendered.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in effect the following stock option and incentive plans.</w:t>
      </w:r>
    </w:p>
    <w:p>
      <w:pPr>
        <w:spacing w:after="0" w:line="225" w:lineRule="exact"/>
        <w:rPr>
          <w:sz w:val="20"/>
          <w:szCs w:val="20"/>
          <w:color w:val="auto"/>
        </w:rPr>
      </w:pPr>
    </w:p>
    <w:p>
      <w:pPr>
        <w:ind w:right="720" w:firstLine="648"/>
        <w:spacing w:after="0" w:line="257" w:lineRule="auto"/>
        <w:rPr>
          <w:sz w:val="20"/>
          <w:szCs w:val="20"/>
          <w:color w:val="auto"/>
        </w:rPr>
      </w:pPr>
      <w:r>
        <w:rPr>
          <w:rFonts w:ascii="Arial" w:cs="Arial" w:eastAsia="Arial" w:hAnsi="Arial"/>
          <w:sz w:val="18"/>
          <w:szCs w:val="18"/>
          <w:color w:val="auto"/>
        </w:rPr>
        <w:t>a. In July 1995, the Company established the 1995 Stock Option Plan (the “1995 Plan”), which provided for the granting of options to purchase up to 2,600 shares of the Company’s common stock to officers, directors, employees and consultants. The 1995 Plan was amended several times to increase the number of shares reserved for stock option grants. In June 2005, the 1995 Plan expired and no further options can be granted. At December 31, 2012, options to purchase 313 shares were outstanding and no shares were reserved for future stock option grants under the 1995 Plan.</w:t>
      </w:r>
    </w:p>
    <w:p>
      <w:pPr>
        <w:spacing w:after="0" w:line="188" w:lineRule="exact"/>
        <w:rPr>
          <w:sz w:val="20"/>
          <w:szCs w:val="20"/>
          <w:color w:val="auto"/>
        </w:rPr>
      </w:pPr>
    </w:p>
    <w:p>
      <w:pPr>
        <w:ind w:right="660" w:firstLine="648"/>
        <w:spacing w:after="0" w:line="276" w:lineRule="auto"/>
        <w:rPr>
          <w:sz w:val="20"/>
          <w:szCs w:val="20"/>
          <w:color w:val="auto"/>
        </w:rPr>
      </w:pPr>
      <w:r>
        <w:rPr>
          <w:rFonts w:ascii="Arial" w:cs="Arial" w:eastAsia="Arial" w:hAnsi="Arial"/>
          <w:sz w:val="17"/>
          <w:szCs w:val="17"/>
          <w:color w:val="auto"/>
        </w:rPr>
        <w:t>b. The Company has shareholder-approved incentive stock option plans for employees under which it has granted non-qualified and incentive stock options. At December 31, 2012, 5,333 shares were authorized for issuance. The options have a maximum term of 10 years and vest over a period determined by the Company’s Board of Directors (generally 3 years) and are issued at an exercise price equal to or greater than the fair market value of the shares at the date of grant. At December 31, 2012, options to purchase 591 shares were outstanding, 10 shares of common stock were issued and there were 4,732 shares reserved for future grants under the Plan.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6" w:name="page67"/>
    <w:bookmarkEnd w:id="66"/>
    <w:p>
      <w:pPr>
        <w:ind w:right="860" w:firstLine="648"/>
        <w:spacing w:after="0" w:line="257" w:lineRule="auto"/>
        <w:rPr>
          <w:sz w:val="20"/>
          <w:szCs w:val="20"/>
          <w:color w:val="auto"/>
        </w:rPr>
      </w:pPr>
      <w:r>
        <w:rPr>
          <w:rFonts w:ascii="Arial" w:cs="Arial" w:eastAsia="Arial" w:hAnsi="Arial"/>
          <w:sz w:val="18"/>
          <w:szCs w:val="18"/>
          <w:color w:val="auto"/>
        </w:rPr>
        <w:t>c. In May 2012, the Company established the TG Therapeutics, Inc. Amended and Restated 2012 Incentive Plan (“2012 Incentive Plan”). Under the 2012 Incentive Plan, the compensation committee of the Company’s board of directors is authorized to grant stock-based awards to directors, consultants, employees and officers. The 2012 Incentive Plan authorizes grants to purchase up to 6,000,000 shares of authorized but unissued common stock. As of December 31, 2012, options to purchase 46,000 shares were outstanding and up to an additional 2,052,257 shares may be issued under the 2012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years ended December 31, 2012 and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average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of 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 price</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2011</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00"/>
              <w:spacing w:after="0"/>
              <w:rPr>
                <w:sz w:val="20"/>
                <w:szCs w:val="20"/>
                <w:color w:val="auto"/>
              </w:rPr>
            </w:pPr>
            <w:r>
              <w:rPr>
                <w:rFonts w:ascii="Arial" w:cs="Arial" w:eastAsia="Arial" w:hAnsi="Arial"/>
                <w:sz w:val="18"/>
                <w:szCs w:val="18"/>
                <w:color w:val="auto"/>
              </w:rPr>
              <w:t>Assumed in Exchange Transaction</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4,143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1,375.18</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Granted</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00"/>
              <w:spacing w:after="0"/>
              <w:rPr>
                <w:sz w:val="20"/>
                <w:szCs w:val="20"/>
                <w:color w:val="auto"/>
              </w:rPr>
            </w:pPr>
            <w:r>
              <w:rPr>
                <w:rFonts w:ascii="Arial" w:cs="Arial" w:eastAsia="Arial" w:hAnsi="Arial"/>
                <w:sz w:val="18"/>
                <w:szCs w:val="18"/>
                <w:color w:val="auto"/>
              </w:rPr>
              <w:t>Exercised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197.34</w:t>
            </w: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300"/>
              <w:spacing w:after="0"/>
              <w:rPr>
                <w:sz w:val="20"/>
                <w:szCs w:val="20"/>
                <w:color w:val="auto"/>
              </w:rPr>
            </w:pPr>
            <w:r>
              <w:rPr>
                <w:rFonts w:ascii="Arial" w:cs="Arial" w:eastAsia="Arial" w:hAnsi="Arial"/>
                <w:sz w:val="18"/>
                <w:szCs w:val="18"/>
                <w:color w:val="auto"/>
              </w:rPr>
              <w:t>Expired</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2,951.12</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3,379</w:t>
            </w:r>
          </w:p>
        </w:tc>
        <w:tc>
          <w:tcPr>
            <w:tcW w:w="200" w:type="dxa"/>
            <w:vAlign w:val="bottom"/>
            <w:tcBorders>
              <w:top w:val="single" w:sz="8" w:color="CCFFCC"/>
            </w:tcBorders>
            <w:shd w:val="clear" w:color="auto" w:fill="CCFFCC"/>
          </w:tcPr>
          <w:p>
            <w:pPr>
              <w:spacing w:after="0"/>
              <w:rPr>
                <w:sz w:val="20"/>
                <w:szCs w:val="20"/>
                <w:color w:val="auto"/>
              </w:rPr>
            </w:pPr>
          </w:p>
        </w:tc>
        <w:tc>
          <w:tcPr>
            <w:tcW w:w="140" w:type="dxa"/>
            <w:vAlign w:val="bottom"/>
            <w:tcBorders>
              <w:top w:val="single" w:sz="8" w:color="CCFFCC"/>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c>
          <w:tcPr>
            <w:tcW w:w="1520" w:type="dxa"/>
            <w:vAlign w:val="bottom"/>
            <w:tcBorders>
              <w:top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1,315.62</w:t>
            </w:r>
          </w:p>
        </w:tc>
        <w:tc>
          <w:tcPr>
            <w:tcW w:w="1400" w:type="dxa"/>
            <w:vAlign w:val="bottom"/>
            <w:tcBorders>
              <w:top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6.39</w:t>
            </w:r>
          </w:p>
        </w:tc>
        <w:tc>
          <w:tcPr>
            <w:tcW w:w="32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FFCC"/>
              <w:bottom w:val="single" w:sz="8" w:color="CCFFCC"/>
            </w:tcBorders>
            <w:vMerge w:val="restart"/>
          </w:tcPr>
          <w:p>
            <w:pPr>
              <w:ind w:left="300"/>
              <w:spacing w:after="0"/>
              <w:rPr>
                <w:sz w:val="20"/>
                <w:szCs w:val="20"/>
                <w:color w:val="auto"/>
              </w:rPr>
            </w:pPr>
            <w:r>
              <w:rPr>
                <w:rFonts w:ascii="Arial" w:cs="Arial" w:eastAsia="Arial" w:hAnsi="Arial"/>
                <w:sz w:val="18"/>
                <w:szCs w:val="18"/>
                <w:color w:val="auto"/>
              </w:rPr>
              <w:t>Granted</w:t>
            </w:r>
          </w:p>
        </w:tc>
        <w:tc>
          <w:tcPr>
            <w:tcW w:w="1480" w:type="dxa"/>
            <w:vAlign w:val="bottom"/>
            <w:tcBorders>
              <w:top w:val="single" w:sz="8" w:color="CCFFCC"/>
              <w:bottom w:val="single" w:sz="8" w:color="CCFFCC"/>
            </w:tcBorders>
            <w:gridSpan w:val="2"/>
            <w:vMerge w:val="restart"/>
          </w:tcPr>
          <w:p>
            <w:pPr>
              <w:jc w:val="right"/>
              <w:ind w:right="200"/>
              <w:spacing w:after="0"/>
              <w:rPr>
                <w:sz w:val="20"/>
                <w:szCs w:val="20"/>
                <w:color w:val="auto"/>
              </w:rPr>
            </w:pPr>
            <w:r>
              <w:rPr>
                <w:rFonts w:ascii="Arial" w:cs="Arial" w:eastAsia="Arial" w:hAnsi="Arial"/>
                <w:sz w:val="18"/>
                <w:szCs w:val="18"/>
                <w:color w:val="auto"/>
              </w:rPr>
              <w:t>46,000</w:t>
            </w: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20" w:type="dxa"/>
            <w:vAlign w:val="bottom"/>
            <w:tcBorders>
              <w:top w:val="single" w:sz="8" w:color="CCFFCC"/>
              <w:bottom w:val="single" w:sz="8" w:color="CCFFCC"/>
            </w:tcBorders>
            <w:gridSpan w:val="2"/>
            <w:vMerge w:val="restart"/>
          </w:tcPr>
          <w:p>
            <w:pPr>
              <w:jc w:val="right"/>
              <w:ind w:right="340"/>
              <w:spacing w:after="0"/>
              <w:rPr>
                <w:sz w:val="20"/>
                <w:szCs w:val="20"/>
                <w:color w:val="auto"/>
              </w:rPr>
            </w:pPr>
            <w:r>
              <w:rPr>
                <w:rFonts w:ascii="Arial" w:cs="Arial" w:eastAsia="Arial" w:hAnsi="Arial"/>
                <w:sz w:val="18"/>
                <w:szCs w:val="18"/>
                <w:color w:val="auto"/>
              </w:rPr>
              <w:t>4.40</w:t>
            </w:r>
          </w:p>
        </w:tc>
        <w:tc>
          <w:tcPr>
            <w:tcW w:w="12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0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720.45</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Expired</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1280" w:type="dxa"/>
            <w:vAlign w:val="bottom"/>
          </w:tcPr>
          <w:p>
            <w:pPr>
              <w:jc w:val="right"/>
              <w:spacing w:after="0"/>
              <w:rPr>
                <w:sz w:val="20"/>
                <w:szCs w:val="20"/>
                <w:color w:val="auto"/>
              </w:rPr>
            </w:pPr>
            <w:r>
              <w:rPr>
                <w:rFonts w:ascii="Arial" w:cs="Arial" w:eastAsia="Arial" w:hAnsi="Arial"/>
                <w:sz w:val="18"/>
                <w:szCs w:val="18"/>
                <w:color w:val="auto"/>
              </w:rPr>
              <w:t>46,904</w:t>
            </w:r>
          </w:p>
        </w:tc>
        <w:tc>
          <w:tcPr>
            <w:tcW w:w="2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61.08</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FFCC"/>
            </w:tcBorders>
            <w:shd w:val="clear" w:color="auto" w:fill="CCFFCC"/>
          </w:tcPr>
          <w:p>
            <w:pPr>
              <w:spacing w:after="0"/>
              <w:rPr>
                <w:sz w:val="17"/>
                <w:szCs w:val="17"/>
                <w:color w:val="auto"/>
              </w:rPr>
            </w:pPr>
          </w:p>
        </w:tc>
        <w:tc>
          <w:tcPr>
            <w:tcW w:w="128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340" w:type="dxa"/>
            <w:vAlign w:val="bottom"/>
            <w:tcBorders>
              <w:top w:val="single" w:sz="8" w:color="CCFFCC"/>
            </w:tcBorders>
            <w:shd w:val="clear" w:color="auto" w:fill="CCFFCC"/>
          </w:tcPr>
          <w:p>
            <w:pPr>
              <w:spacing w:after="0"/>
              <w:rPr>
                <w:sz w:val="17"/>
                <w:szCs w:val="17"/>
                <w:color w:val="auto"/>
              </w:rPr>
            </w:pPr>
          </w:p>
        </w:tc>
        <w:tc>
          <w:tcPr>
            <w:tcW w:w="124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Vested and expected to vest at December 31, 2012</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2,945.09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December 31, 2012</w:t>
            </w:r>
          </w:p>
        </w:tc>
        <w:tc>
          <w:tcPr>
            <w:tcW w:w="12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898</w:t>
            </w:r>
          </w:p>
        </w:tc>
        <w:tc>
          <w:tcPr>
            <w:tcW w:w="20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2,963.46</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1400" w:type="dxa"/>
            <w:vAlign w:val="bottom"/>
            <w:tcBorders>
              <w:top w:val="single" w:sz="8" w:color="CCFFCC"/>
              <w:bottom w:val="single" w:sz="8" w:color="CCFFCC"/>
            </w:tcBorders>
            <w:gridSpan w:val="2"/>
            <w:shd w:val="clear" w:color="auto" w:fill="CCFFCC"/>
          </w:tcPr>
          <w:p>
            <w:pPr>
              <w:jc w:val="right"/>
              <w:ind w:right="160"/>
              <w:spacing w:after="0" w:line="190" w:lineRule="exact"/>
              <w:rPr>
                <w:sz w:val="20"/>
                <w:szCs w:val="20"/>
                <w:color w:val="auto"/>
              </w:rPr>
            </w:pPr>
            <w:r>
              <w:rPr>
                <w:rFonts w:ascii="Arial" w:cs="Arial" w:eastAsia="Arial" w:hAnsi="Arial"/>
                <w:sz w:val="18"/>
                <w:szCs w:val="18"/>
                <w:color w:val="auto"/>
              </w:rPr>
              <w:t>1.70</w:t>
            </w: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648"/>
        <w:spacing w:after="0" w:line="259" w:lineRule="auto"/>
        <w:rPr>
          <w:sz w:val="20"/>
          <w:szCs w:val="20"/>
          <w:color w:val="auto"/>
        </w:rPr>
      </w:pPr>
      <w:r>
        <w:rPr>
          <w:rFonts w:ascii="Arial" w:cs="Arial" w:eastAsia="Arial" w:hAnsi="Arial"/>
          <w:sz w:val="18"/>
          <w:szCs w:val="18"/>
          <w:color w:val="auto"/>
        </w:rPr>
        <w:t>As of December 31, 2012, the total compensation cost related to unvested time-based option awards not yet recognized is less than $1,000. The weighted average period over which it is expected to be recognized is approximately 3 months. This amount does not include, as of December 31, 2012, 46,000 non-employee options outstanding which are milestone-based and vest upon certain corporate milestones. Stock-based compensation will be measured and recorded if and when a milestone occurs.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Preferred</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Certain employees had been awarded restricted preferred stock. The restricted stock vesting consisted of milestone and time-based vesting. The following table summarizes restricted share activity for the years ended December 31, 2012 and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 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2280" w:type="dxa"/>
            <w:vAlign w:val="bottom"/>
          </w:tcPr>
          <w:p>
            <w:pPr>
              <w:spacing w:after="0"/>
              <w:rPr>
                <w:sz w:val="19"/>
                <w:szCs w:val="19"/>
                <w:color w:val="auto"/>
              </w:rPr>
            </w:pPr>
          </w:p>
        </w:tc>
      </w:tr>
      <w:tr>
        <w:trPr>
          <w:trHeight w:val="216"/>
        </w:trPr>
        <w:tc>
          <w:tcPr>
            <w:tcW w:w="4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 Series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228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 Preferred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2280" w:type="dxa"/>
            <w:vAlign w:val="bottom"/>
          </w:tcPr>
          <w:p>
            <w:pPr>
              <w:spacing w:after="0"/>
              <w:rPr>
                <w:sz w:val="18"/>
                <w:szCs w:val="18"/>
                <w:color w:val="auto"/>
              </w:rPr>
            </w:pPr>
          </w:p>
        </w:tc>
      </w:tr>
      <w:tr>
        <w:trPr>
          <w:trHeight w:val="270"/>
        </w:trPr>
        <w:tc>
          <w:tcPr>
            <w:tcW w:w="43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560" w:type="dxa"/>
            <w:vAlign w:val="bottom"/>
            <w:gridSpan w:val="2"/>
          </w:tcPr>
          <w:p>
            <w:pPr>
              <w:jc w:val="center"/>
              <w:ind w:right="140"/>
              <w:spacing w:after="0" w:line="269" w:lineRule="exact"/>
              <w:rPr>
                <w:sz w:val="20"/>
                <w:szCs w:val="20"/>
                <w:color w:val="auto"/>
              </w:rPr>
            </w:pPr>
            <w:r>
              <w:rPr>
                <w:rFonts w:ascii="Arial" w:cs="Arial" w:eastAsia="Arial" w:hAnsi="Arial"/>
                <w:sz w:val="18"/>
                <w:szCs w:val="18"/>
                <w:b w:val="1"/>
                <w:bCs w:val="1"/>
                <w:color w:val="auto"/>
                <w:w w:val="84"/>
              </w:rPr>
              <w:t>Stock</w:t>
            </w:r>
            <w:r>
              <w:rPr>
                <w:rFonts w:ascii="Arial" w:cs="Arial" w:eastAsia="Arial" w:hAnsi="Arial"/>
                <w:sz w:val="30"/>
                <w:szCs w:val="30"/>
                <w:b w:val="1"/>
                <w:bCs w:val="1"/>
                <w:color w:val="auto"/>
                <w:w w:val="84"/>
                <w:vertAlign w:val="superscript"/>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2280" w:type="dxa"/>
            <w:vAlign w:val="bottom"/>
          </w:tcPr>
          <w:p>
            <w:pPr>
              <w:spacing w:after="0"/>
              <w:rPr>
                <w:sz w:val="23"/>
                <w:szCs w:val="23"/>
                <w:color w:val="auto"/>
              </w:rPr>
            </w:pPr>
          </w:p>
        </w:tc>
      </w:tr>
      <w:tr>
        <w:trPr>
          <w:trHeight w:val="210"/>
        </w:trPr>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2011</w:t>
            </w:r>
          </w:p>
        </w:tc>
        <w:tc>
          <w:tcPr>
            <w:tcW w:w="1860" w:type="dxa"/>
            <w:vAlign w:val="bottom"/>
            <w:tcBorders>
              <w:top w:val="single" w:sz="8" w:color="CCFFCC"/>
            </w:tcBorders>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shd w:val="clear" w:color="auto" w:fill="CCFFCC"/>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40" w:type="dxa"/>
            <w:vAlign w:val="bottom"/>
          </w:tcPr>
          <w:p>
            <w:pPr>
              <w:ind w:left="320"/>
              <w:spacing w:after="0"/>
              <w:rPr>
                <w:sz w:val="20"/>
                <w:szCs w:val="20"/>
                <w:color w:val="auto"/>
              </w:rPr>
            </w:pPr>
            <w:r>
              <w:rPr>
                <w:rFonts w:ascii="Arial" w:cs="Arial" w:eastAsia="Arial" w:hAnsi="Arial"/>
                <w:sz w:val="18"/>
                <w:szCs w:val="18"/>
                <w:color w:val="auto"/>
              </w:rPr>
              <w:t>Granted</w:t>
            </w:r>
          </w:p>
        </w:tc>
        <w:tc>
          <w:tcPr>
            <w:tcW w:w="3420" w:type="dxa"/>
            <w:vAlign w:val="bottom"/>
            <w:gridSpan w:val="3"/>
          </w:tcPr>
          <w:p>
            <w:pPr>
              <w:jc w:val="right"/>
              <w:ind w:right="140"/>
              <w:spacing w:after="0"/>
              <w:rPr>
                <w:sz w:val="20"/>
                <w:szCs w:val="20"/>
                <w:color w:val="auto"/>
              </w:rPr>
            </w:pPr>
            <w:r>
              <w:rPr>
                <w:rFonts w:ascii="Arial" w:cs="Arial" w:eastAsia="Arial" w:hAnsi="Arial"/>
                <w:sz w:val="18"/>
                <w:szCs w:val="18"/>
                <w:color w:val="auto"/>
              </w:rPr>
              <w:t>129,375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2280" w:type="dxa"/>
            <w:vAlign w:val="bottom"/>
          </w:tcPr>
          <w:p>
            <w:pPr>
              <w:spacing w:after="0"/>
              <w:rPr>
                <w:sz w:val="18"/>
                <w:szCs w:val="18"/>
                <w:color w:val="auto"/>
              </w:rPr>
            </w:pPr>
          </w:p>
        </w:tc>
      </w:tr>
      <w:tr>
        <w:trPr>
          <w:trHeight w:val="216"/>
        </w:trPr>
        <w:tc>
          <w:tcPr>
            <w:tcW w:w="4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Vested</w:t>
            </w:r>
          </w:p>
        </w:tc>
        <w:tc>
          <w:tcPr>
            <w:tcW w:w="34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30"/>
        </w:trPr>
        <w:tc>
          <w:tcPr>
            <w:tcW w:w="434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3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210"/>
        </w:trPr>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860" w:type="dxa"/>
            <w:vAlign w:val="bottom"/>
            <w:tcBorders>
              <w:top w:val="single" w:sz="8" w:color="CCFFCC"/>
            </w:tcBorders>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129,375</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w:t>
            </w:r>
          </w:p>
        </w:tc>
        <w:tc>
          <w:tcPr>
            <w:tcW w:w="2280" w:type="dxa"/>
            <w:vAlign w:val="bottom"/>
          </w:tcPr>
          <w:p>
            <w:pPr>
              <w:spacing w:after="0"/>
              <w:rPr>
                <w:sz w:val="18"/>
                <w:szCs w:val="18"/>
                <w:color w:val="auto"/>
              </w:rPr>
            </w:pPr>
          </w:p>
        </w:tc>
      </w:tr>
      <w:tr>
        <w:trPr>
          <w:trHeight w:val="216"/>
        </w:trPr>
        <w:tc>
          <w:tcPr>
            <w:tcW w:w="4340" w:type="dxa"/>
            <w:vAlign w:val="bottom"/>
          </w:tcPr>
          <w:p>
            <w:pPr>
              <w:ind w:left="320"/>
              <w:spacing w:after="0"/>
              <w:rPr>
                <w:sz w:val="20"/>
                <w:szCs w:val="20"/>
                <w:color w:val="auto"/>
              </w:rPr>
            </w:pPr>
            <w:r>
              <w:rPr>
                <w:rFonts w:ascii="Arial" w:cs="Arial" w:eastAsia="Arial" w:hAnsi="Arial"/>
                <w:sz w:val="18"/>
                <w:szCs w:val="18"/>
                <w:color w:val="auto"/>
              </w:rPr>
              <w:t>Granted</w:t>
            </w:r>
          </w:p>
        </w:tc>
        <w:tc>
          <w:tcPr>
            <w:tcW w:w="3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4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Vested</w:t>
            </w:r>
          </w:p>
        </w:tc>
        <w:tc>
          <w:tcPr>
            <w:tcW w:w="34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434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3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30"/>
        </w:trPr>
        <w:tc>
          <w:tcPr>
            <w:tcW w:w="4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Conversion to restricted common stock</w:t>
            </w:r>
          </w:p>
        </w:tc>
        <w:tc>
          <w:tcPr>
            <w:tcW w:w="34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(129,375)</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w:t>
            </w:r>
          </w:p>
        </w:tc>
        <w:tc>
          <w:tcPr>
            <w:tcW w:w="2280" w:type="dxa"/>
            <w:vAlign w:val="bottom"/>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18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29"/>
        </w:trPr>
        <w:tc>
          <w:tcPr>
            <w:tcW w:w="4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3"/>
          </w:tcPr>
          <w:p>
            <w:pPr>
              <w:jc w:val="right"/>
              <w:ind w:right="1880"/>
              <w:spacing w:after="0"/>
              <w:rPr>
                <w:sz w:val="20"/>
                <w:szCs w:val="20"/>
                <w:color w:val="auto"/>
              </w:rPr>
            </w:pPr>
            <w:r>
              <w:rPr>
                <w:rFonts w:ascii="Arial" w:cs="Arial" w:eastAsia="Arial" w:hAnsi="Arial"/>
                <w:sz w:val="18"/>
                <w:szCs w:val="18"/>
                <w:color w:val="auto"/>
              </w:rPr>
              <w:t>F-16</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7" w:name="page68"/>
    <w:bookmarkEnd w:id="67"/>
    <w:p>
      <w:pPr>
        <w:ind w:right="20" w:firstLine="648"/>
        <w:spacing w:after="0" w:line="228" w:lineRule="auto"/>
        <w:rPr>
          <w:sz w:val="20"/>
          <w:szCs w:val="20"/>
          <w:color w:val="auto"/>
        </w:rPr>
      </w:pPr>
      <w:r>
        <w:rPr>
          <w:rFonts w:ascii="Arial" w:cs="Arial" w:eastAsia="Arial" w:hAnsi="Arial"/>
          <w:sz w:val="30"/>
          <w:szCs w:val="30"/>
          <w:b w:val="1"/>
          <w:bCs w:val="1"/>
          <w:u w:val="single" w:color="auto"/>
          <w:color w:val="auto"/>
          <w:vertAlign w:val="superscript"/>
        </w:rPr>
        <w:t>(</w:t>
      </w:r>
      <w:r>
        <w:rPr>
          <w:rFonts w:ascii="Arial" w:cs="Arial" w:eastAsia="Arial" w:hAnsi="Arial"/>
          <w:sz w:val="30"/>
          <w:szCs w:val="30"/>
          <w:b w:val="1"/>
          <w:bCs w:val="1"/>
          <w:color w:val="auto"/>
          <w:vertAlign w:val="superscript"/>
        </w:rPr>
        <w:t>1)</w:t>
      </w:r>
      <w:r>
        <w:rPr>
          <w:rFonts w:ascii="Arial" w:cs="Arial" w:eastAsia="Arial" w:hAnsi="Arial"/>
          <w:sz w:val="18"/>
          <w:szCs w:val="18"/>
          <w:color w:val="auto"/>
        </w:rPr>
        <w:t xml:space="preserve"> The restricted preferred stock listed in the table above was granted in connection with the Exchange Transaction to certain executives as discussed above. Each share of preferred stock was convertible into 8.89 shares of the Company’s Common Stock. In conjunction with the reverse split effected on April 30, 2012 (as discussed in Note 1), all outstanding restricted Preferred Stock automatically converted to 1,150,000 shares of restricted Common Stock as of that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Common</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Certain employees, directors and consultants have been awarded restricted Company Common Stock. The restricted stock vesting consists of milestone and time-based vesting. The following table summarizes restricted share activity for the years ended December 31, 2012 and 2011: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6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20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Number of 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6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2011</w:t>
            </w:r>
          </w:p>
        </w:tc>
        <w:tc>
          <w:tcPr>
            <w:tcW w:w="1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r>
      <w:tr>
        <w:trPr>
          <w:trHeight w:val="230"/>
        </w:trPr>
        <w:tc>
          <w:tcPr>
            <w:tcW w:w="620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0"/>
        </w:trPr>
        <w:tc>
          <w:tcPr>
            <w:tcW w:w="6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2011</w:t>
            </w:r>
          </w:p>
        </w:tc>
        <w:tc>
          <w:tcPr>
            <w:tcW w:w="1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Converted preferred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1,150,000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r>
      <w:tr>
        <w:trPr>
          <w:trHeight w:val="216"/>
        </w:trPr>
        <w:tc>
          <w:tcPr>
            <w:tcW w:w="6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5,901,743</w:t>
            </w: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4.77</w:t>
            </w:r>
          </w:p>
        </w:tc>
        <w:tc>
          <w:tcPr>
            <w:tcW w:w="60" w:type="dxa"/>
            <w:vAlign w:val="bottom"/>
            <w:shd w:val="clear" w:color="auto" w:fill="CCFFCC"/>
          </w:tcPr>
          <w:p>
            <w:pPr>
              <w:spacing w:after="0"/>
              <w:rPr>
                <w:sz w:val="18"/>
                <w:szCs w:val="18"/>
                <w:color w:val="auto"/>
              </w:rPr>
            </w:pP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Vested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(437,500)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r>
      <w:tr>
        <w:trPr>
          <w:trHeight w:val="230"/>
        </w:trPr>
        <w:tc>
          <w:tcPr>
            <w:tcW w:w="6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6,614,243</w:t>
            </w:r>
          </w:p>
        </w:tc>
        <w:tc>
          <w:tcPr>
            <w:tcW w:w="24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Total expense associated with restricted stock grants (both common and preferred) was $3,422,182 and $86,494 during the years ended December 31, 2012 and 2011, respectively. As of December 31, 2012, there was approximately $8,941,000 of total unrecognized compensation cost related to non-vested time based restricted stock, which is expected to be recognized over a weighted-average period of 2.8 years. This amount does not include, as of December 31, 2012, 2,092,500 shares of restricted stock outstanding which are milestone-based and vest upon certain corporate milestones; and 2,580,000 shares of restricted stock outstanding issued to non-employees (see Note 10 – Related Party Transactions for additional information). Milestone based non-cash compensation expense will be measured and recorded if and when a milestone occurs.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years ended December 31, 2012 and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Aggregate</w:t>
            </w:r>
          </w:p>
        </w:tc>
        <w:tc>
          <w:tcPr>
            <w:tcW w:w="228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228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Warrants</w:t>
            </w:r>
          </w:p>
        </w:tc>
        <w:tc>
          <w:tcPr>
            <w:tcW w:w="1400" w:type="dxa"/>
            <w:vAlign w:val="bottom"/>
            <w:gridSpan w:val="4"/>
          </w:tcPr>
          <w:p>
            <w:pPr>
              <w:ind w:left="10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2280" w:type="dxa"/>
            <w:vAlign w:val="bottom"/>
          </w:tcPr>
          <w:p>
            <w:pPr>
              <w:spacing w:after="0"/>
              <w:rPr>
                <w:sz w:val="20"/>
                <w:szCs w:val="20"/>
                <w:color w:val="auto"/>
              </w:rPr>
            </w:pPr>
          </w:p>
        </w:tc>
      </w:tr>
      <w:tr>
        <w:trPr>
          <w:trHeight w:val="210"/>
        </w:trPr>
        <w:tc>
          <w:tcPr>
            <w:tcW w:w="5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2011</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500" w:type="dxa"/>
            <w:vAlign w:val="bottom"/>
          </w:tcPr>
          <w:p>
            <w:pPr>
              <w:ind w:left="320"/>
              <w:spacing w:after="0"/>
              <w:rPr>
                <w:sz w:val="20"/>
                <w:szCs w:val="20"/>
                <w:color w:val="auto"/>
              </w:rPr>
            </w:pPr>
            <w:r>
              <w:rPr>
                <w:rFonts w:ascii="Arial" w:cs="Arial" w:eastAsia="Arial" w:hAnsi="Arial"/>
                <w:sz w:val="18"/>
                <w:szCs w:val="18"/>
                <w:color w:val="auto"/>
              </w:rPr>
              <w:t>Assumed in Exchange Transaction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393,437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Issued</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1,232,474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50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5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Expired</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80" w:type="dxa"/>
            <w:vAlign w:val="bottom"/>
          </w:tcPr>
          <w:p>
            <w:pPr>
              <w:spacing w:after="0"/>
              <w:rPr>
                <w:sz w:val="19"/>
                <w:szCs w:val="19"/>
                <w:color w:val="auto"/>
              </w:rPr>
            </w:pPr>
          </w:p>
        </w:tc>
      </w:tr>
      <w:tr>
        <w:trPr>
          <w:trHeight w:val="277"/>
        </w:trPr>
        <w:tc>
          <w:tcPr>
            <w:tcW w:w="5500" w:type="dxa"/>
            <w:vAlign w:val="bottom"/>
          </w:tcPr>
          <w:p>
            <w:pPr>
              <w:spacing w:after="0"/>
              <w:rPr>
                <w:sz w:val="20"/>
                <w:szCs w:val="20"/>
                <w:color w:val="auto"/>
              </w:rPr>
            </w:pPr>
            <w:r>
              <w:rPr>
                <w:rFonts w:ascii="Arial" w:cs="Arial" w:eastAsia="Arial" w:hAnsi="Arial"/>
                <w:sz w:val="18"/>
                <w:szCs w:val="18"/>
                <w:color w:val="auto"/>
              </w:rPr>
              <w:t>Outstanding at December 31, 2011</w:t>
            </w:r>
          </w:p>
        </w:tc>
        <w:tc>
          <w:tcPr>
            <w:tcW w:w="1000" w:type="dxa"/>
            <w:vAlign w:val="bottom"/>
          </w:tcPr>
          <w:p>
            <w:pPr>
              <w:jc w:val="right"/>
              <w:spacing w:after="0"/>
              <w:rPr>
                <w:sz w:val="20"/>
                <w:szCs w:val="20"/>
                <w:color w:val="auto"/>
              </w:rPr>
            </w:pPr>
            <w:r>
              <w:rPr>
                <w:rFonts w:ascii="Arial" w:cs="Arial" w:eastAsia="Arial" w:hAnsi="Arial"/>
                <w:sz w:val="18"/>
                <w:szCs w:val="18"/>
                <w:color w:val="auto"/>
              </w:rPr>
              <w:t>1,625,911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r>
      <w:tr>
        <w:trPr>
          <w:trHeight w:val="197"/>
        </w:trPr>
        <w:tc>
          <w:tcPr>
            <w:tcW w:w="5500" w:type="dxa"/>
            <w:vAlign w:val="bottom"/>
            <w:tcBorders>
              <w:top w:val="single" w:sz="8" w:color="CCFFCC"/>
            </w:tcBorders>
            <w:shd w:val="clear" w:color="auto" w:fill="CCFFCC"/>
          </w:tcPr>
          <w:p>
            <w:pPr>
              <w:ind w:left="320"/>
              <w:spacing w:after="0" w:line="196" w:lineRule="exact"/>
              <w:rPr>
                <w:sz w:val="20"/>
                <w:szCs w:val="20"/>
                <w:color w:val="auto"/>
              </w:rPr>
            </w:pPr>
            <w:r>
              <w:rPr>
                <w:rFonts w:ascii="Arial" w:cs="Arial" w:eastAsia="Arial" w:hAnsi="Arial"/>
                <w:sz w:val="18"/>
                <w:szCs w:val="18"/>
                <w:color w:val="auto"/>
              </w:rPr>
              <w:t>Issued</w:t>
            </w:r>
          </w:p>
        </w:tc>
        <w:tc>
          <w:tcPr>
            <w:tcW w:w="1000" w:type="dxa"/>
            <w:vAlign w:val="bottom"/>
            <w:tcBorders>
              <w:top w:val="single" w:sz="8" w:color="CCFFCC"/>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5,156,599</w:t>
            </w:r>
          </w:p>
        </w:tc>
        <w:tc>
          <w:tcPr>
            <w:tcW w:w="1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200" w:type="dxa"/>
            <w:vAlign w:val="bottom"/>
            <w:tcBorders>
              <w:top w:val="single" w:sz="8" w:color="CCFFCC"/>
            </w:tcBorders>
            <w:gridSpan w:val="2"/>
            <w:shd w:val="clear" w:color="auto" w:fill="CCFFCC"/>
          </w:tcPr>
          <w:p>
            <w:pPr>
              <w:jc w:val="right"/>
              <w:ind w:right="260"/>
              <w:spacing w:after="0" w:line="196" w:lineRule="exact"/>
              <w:rPr>
                <w:sz w:val="20"/>
                <w:szCs w:val="20"/>
                <w:color w:val="auto"/>
              </w:rPr>
            </w:pPr>
            <w:r>
              <w:rPr>
                <w:rFonts w:ascii="Arial" w:cs="Arial" w:eastAsia="Arial" w:hAnsi="Arial"/>
                <w:sz w:val="18"/>
                <w:szCs w:val="18"/>
                <w:color w:val="auto"/>
              </w:rPr>
              <w:t>1.21</w:t>
            </w:r>
          </w:p>
        </w:tc>
        <w:tc>
          <w:tcPr>
            <w:tcW w:w="100" w:type="dxa"/>
            <w:vAlign w:val="bottom"/>
            <w:tcBorders>
              <w:top w:val="single" w:sz="8" w:color="auto"/>
            </w:tcBorders>
            <w:shd w:val="clear" w:color="auto" w:fill="CCFFCC"/>
          </w:tcPr>
          <w:p>
            <w:pPr>
              <w:spacing w:after="0"/>
              <w:rPr>
                <w:sz w:val="17"/>
                <w:szCs w:val="17"/>
                <w:color w:val="auto"/>
              </w:rPr>
            </w:pPr>
          </w:p>
        </w:tc>
        <w:tc>
          <w:tcPr>
            <w:tcW w:w="900" w:type="dxa"/>
            <w:vAlign w:val="bottom"/>
            <w:tcBorders>
              <w:top w:val="single" w:sz="8" w:color="auto"/>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2280" w:type="dxa"/>
            <w:vAlign w:val="bottom"/>
          </w:tcPr>
          <w:p>
            <w:pPr>
              <w:spacing w:after="0"/>
              <w:rPr>
                <w:sz w:val="17"/>
                <w:szCs w:val="17"/>
                <w:color w:val="auto"/>
              </w:rPr>
            </w:pPr>
          </w:p>
        </w:tc>
      </w:tr>
      <w:tr>
        <w:trPr>
          <w:trHeight w:val="216"/>
        </w:trPr>
        <w:tc>
          <w:tcPr>
            <w:tcW w:w="550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5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2,739.75</w:t>
            </w:r>
          </w:p>
        </w:tc>
        <w:tc>
          <w:tcPr>
            <w:tcW w:w="10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6,781,007</w:t>
            </w:r>
          </w:p>
        </w:tc>
        <w:tc>
          <w:tcPr>
            <w:tcW w:w="16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14,563,539</w:t>
            </w:r>
          </w:p>
        </w:tc>
        <w:tc>
          <w:tcPr>
            <w:tcW w:w="22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29"/>
        </w:trPr>
        <w:tc>
          <w:tcPr>
            <w:tcW w:w="5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color w:val="auto"/>
                <w:w w:val="97"/>
              </w:rPr>
              <w:t>F-17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8" w:name="page69"/>
    <w:bookmarkEnd w:id="68"/>
    <w:p>
      <w:pPr>
        <w:ind w:right="160" w:firstLine="648"/>
        <w:spacing w:after="0" w:line="259" w:lineRule="auto"/>
        <w:rPr>
          <w:sz w:val="20"/>
          <w:szCs w:val="20"/>
          <w:color w:val="auto"/>
        </w:rPr>
      </w:pPr>
      <w:r>
        <w:rPr>
          <w:rFonts w:ascii="Arial" w:cs="Arial" w:eastAsia="Arial" w:hAnsi="Arial"/>
          <w:sz w:val="18"/>
          <w:szCs w:val="18"/>
          <w:color w:val="auto"/>
        </w:rPr>
        <w:t>As discussed above, as part of the 2011 Equity PIPE, we issued warrants to purchase up to 2,777,962 shares of our common stock, none of which have been exercised as of December 31, 2012. The warrants have an exercise price of $2.25 per warrant share. In addition, we issued to the placement agent in the transaction warrants to purchase up to 1,111,111 shares of our common stock at an exercise price of $2.48 per warrant share, none of which have been exercised as of December 31, 2012.</w:t>
      </w:r>
    </w:p>
    <w:p>
      <w:pPr>
        <w:spacing w:after="0" w:line="18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In connection with the Securities Exchange Agreement between the Company and LFB Group as discussed in Note 8 – License Agreements, we issued LFB Group a warrant to purchase an aggregate of 2,500,000 shares of Company Common Stock at a purchase price of $0.001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year-ended December 31, 2011.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information about stock options and restricted stock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 expense associated with restricted stock</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3,422,182</w:t>
            </w:r>
          </w:p>
        </w:tc>
        <w:tc>
          <w:tcPr>
            <w:tcW w:w="30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Stock-based compensation expense associated with option grants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3,422,182</w:t>
            </w:r>
          </w:p>
        </w:tc>
        <w:tc>
          <w:tcPr>
            <w:tcW w:w="30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86,494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9, 2012, LFB Group exercised their right to exchange their TG Bio common stock for Company Common Stock. The Company and LFB Group entered into a Securities Exchange Agreement pursuant to which, LFB Group agreed to exchange its 7,500,000 shares of the common stock of TG Bio, for 5,000,000 shares of Company Common Stock, and a warrant to purchase an aggregate of 2,500,000 shares of Company Common Stock at a purchase price of $0.001 per share. Refer to Note 8 – License Agreements for further information.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Accordingly, in connection with the aforementioned Securities Exchange Agreement, TG Bio became a wholly owned subsidiary of the Company. Prior to the execution of the Securities Exchange Agreement LFB Group owned approximately 42.9% of TG Bio. The non-controlling interest in subsidiary balance was approximately $8,479,000 immediately prior to LFB Group exercising their option, which was transferred to equity in connection with the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notes payable: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2012</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Current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current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current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portion,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portion,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portion,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portion, net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net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net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Non-interest Bearing Note Payable, Net</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200,000</w:t>
            </w:r>
          </w:p>
        </w:tc>
        <w:tc>
          <w:tcPr>
            <w:tcW w:w="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200,000</w:t>
            </w:r>
          </w:p>
        </w:tc>
        <w:tc>
          <w:tcPr>
            <w:tcW w:w="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Convertible 5% Notes Payable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2,479,098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2,479,098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3,294,797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3,294,797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ICON Convertible Note</w:t>
            </w:r>
          </w:p>
        </w:tc>
        <w:tc>
          <w:tcPr>
            <w:tcW w:w="1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677,778</w:t>
            </w:r>
          </w:p>
        </w:tc>
        <w:tc>
          <w:tcPr>
            <w:tcW w:w="2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677,778</w:t>
            </w:r>
          </w:p>
        </w:tc>
        <w:tc>
          <w:tcPr>
            <w:tcW w:w="1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677,778</w:t>
            </w:r>
          </w:p>
        </w:tc>
        <w:tc>
          <w:tcPr>
            <w:tcW w:w="2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677,778</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160"/>
              <w:spacing w:after="0" w:line="155" w:lineRule="exact"/>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677,778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2,479,098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3,156,876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877,778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3,294,797</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4,172,575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ind w:firstLine="648"/>
        <w:spacing w:after="0" w:line="264" w:lineRule="auto"/>
        <w:rPr>
          <w:sz w:val="20"/>
          <w:szCs w:val="20"/>
          <w:color w:val="auto"/>
        </w:rPr>
      </w:pPr>
      <w:r>
        <w:rPr>
          <w:rFonts w:ascii="Arial" w:cs="Arial" w:eastAsia="Arial" w:hAnsi="Arial"/>
          <w:sz w:val="18"/>
          <w:szCs w:val="18"/>
          <w:color w:val="auto"/>
        </w:rPr>
        <w:t>We assumed the preceding notes payable as the result of the Exchange Transaction between the Company and TG Therapeutics, Inc. Accordingly, a valuation using the guidance in the accounting literature for business combinations (ASC 805) was performed and these notes have been presented at their fair value on the date of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Bearing Note Payable</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October 2009, Manhattan entered into a Settlement Agreement and Mutual Release with Swiss Pharma Contract LTD (“Swiss Pharma”) pursuant to which Manhattan agreed to pay Swiss Pharma $200,000 and issue to Swiss Pharma an interest free promissory note due on October 27, 2011 in the principal amount of $250,000 in full satisfaction of a September 5, 2008 arbitration award. In November 2011, Manhattan renegotiated the $250,000 promissory note in which the amount of the promissory note was reduced to $200,000 and the maturity date was extended to February 15, 2012. This amount was paid on February 14, 2012 in full settlement of this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the Company, Ariston Pharmaceuticals, Inc., a Delaware corporation ("Ariston") and Ariston Merger Corp., a Delaware corporation and wholly-owned subsidiary of the Company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Manhattan.</w:t>
      </w:r>
    </w:p>
    <w:p>
      <w:pPr>
        <w:spacing w:after="0" w:line="18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is March 8, 2015.</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Exchange Transaction in December 2011, the Company performed a valuation of the assets and liabilities of Manhattan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immediately prior to the transaction. The cumulative liability including accrued and unpaid interest of these notes was approximately $16,876,000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immediately prior to the Exchange Transaction, and $17,727,000 and $16,883,000 at December 31, 2012 and 2011, respectively. As these notes payable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tied directly to net product cash flows derived from the preexisting products of the Company, this note and accrued interest was recorded at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$3,287,700 as of the date of the Exchange Transaction. No payments have been made on these notes as of December 31, 2012. See Note 3 for further details.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connection with the merger with Ariston as discussed above, Ariston satisfied an account payable of $1,275,188 to ICON Clinical Research Limited (“ICON”) through the payment of $275,188 in cash and the issuance of a three-year 5% note payable (the “ICON Note”). The principal was to be repaid in 36 monthly installments of $27,778 commencing in April 2010. Interest was payable monthly in arrears. On March 1, 2011 Ariston entered into an amended and restated convertible promissory note (the “Amended ICON Note”) with ICON. The principal terms of the Amended ICON Note are that monthly payments of principal and interest will be waived for the thirteen month period ended December 31, 2011 (the “Waiver Period”) in exchange for a single payment of $100,000 on March 31, 2011, an increase in the interest on the Amended ICON Note from 5% to 8% per annum during the Waiver Period and a balloon payment on January 31, 2012. The Amended ICON Note is convertible at the option of the holder into the Company’s common stock at the conversion price of $562.50 per share. During the year ended December 31, 2012, the Company recorded $61,571 of interest expense on the Amended ICON Note. As of December 31, 2012 and 2011, the principal amount of the Amended ICON Note was $677,778, of which the entire balance has been classified as current and is reflected as notes payable, current portion, net in the accompanying consolidated balance sheets. Interest payable on the Amended ICON Note was $123,511 and $61,941 as of December 31, 2012 and 2011, respectively, and is reflected as interest payable, current portion, net in the accompanying consolidated balance sheets. This note is currently in default as the Company did not make the balloon payment due on January 31, 2012, or any subsequent payments. The Company is currently attempting to negotiate a settlement or alternative arrangement in satisfaction of this note.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$36,271,000 and $29,408,000 as of December 31, 2012 and 2011, respectively.</w:t>
      </w:r>
    </w:p>
    <w:p>
      <w:pPr>
        <w:spacing w:after="0" w:line="16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of December 31, 2012, we have U.S. net operating loss carryforwards (“NOLs”) of approximately $83,637,000. For income tax purposes, these NOLs will expire in various amounts through 2032. The Tax Reform Act of 1986 contains provisions which limit the ability to utilize net operating loss carryforwards in the case of certain events including significant changes in ownership interests. The Exchange Transaction with TG Bio may have resulted in a “change in ownership” as defined by IRC Section 382 of the Internal Revenue Code of 1986, as amended. Accordingly, a substantial portion of the Company’s NOLs above may be subject to annual limitations in reducing any future year’s taxable income.</w:t>
      </w:r>
    </w:p>
    <w:p>
      <w:pPr>
        <w:spacing w:after="0" w:line="17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2012 and 2011 are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assets (liabilities):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32,190,080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credit</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1,882,238</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Non-cash compensation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3,051,920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Acquired in-process research and development</w:t>
            </w: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(1,202,556)</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Foreign tax credit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19,241</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tax asset, excluding valuation allowance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36,270,923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29,408,000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(36,270,923)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(29,408,000)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Company recorded $330,000 in income tax expense for the year ended December 31, 2012, as a result of South Korean taxes withheld associated with the Ildong sublicense agreement (see Note 8). There was no current or deferred income tax expense for the year ended December 31, 2011. Income tax expense differed from amounts computed by applying the US federal income tax rate of 34% to pretax loss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0"/>
              </w:rPr>
              <w:t>For the 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Loss before income taxes, as reported in the consolidated statements of operations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(25,852,952)</w:t>
            </w:r>
          </w:p>
        </w:tc>
        <w:tc>
          <w:tcPr>
            <w:tcW w:w="4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(889,071)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Computed “expected” tax benefit</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(8,790,003)</w:t>
            </w:r>
          </w:p>
        </w:tc>
        <w:tc>
          <w:tcPr>
            <w:tcW w:w="4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(302,284)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income taxes resulting from:</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Expected expense (benefit) from state and local taxes</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(1,758,001)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Research and development credits</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230,643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Foreign tax withholding</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330,000</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Change in the balance of the valuation allowance for deferred tax assets</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10,392,361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438,018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330,000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5520"/>
              <w:spacing w:after="0"/>
              <w:rPr>
                <w:sz w:val="20"/>
                <w:szCs w:val="20"/>
                <w:color w:val="auto"/>
              </w:rPr>
            </w:pPr>
            <w:r>
              <w:rPr>
                <w:rFonts w:ascii="Arial" w:cs="Arial" w:eastAsia="Arial" w:hAnsi="Arial"/>
                <w:sz w:val="18"/>
                <w:szCs w:val="18"/>
                <w:color w:val="auto"/>
              </w:rPr>
              <w:t>F-20</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84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71" w:name="page72"/>
    <w:bookmarkEnd w:id="71"/>
    <w:p>
      <w:pPr>
        <w:ind w:right="140" w:firstLine="648"/>
        <w:spacing w:after="0" w:line="264" w:lineRule="auto"/>
        <w:rPr>
          <w:sz w:val="20"/>
          <w:szCs w:val="20"/>
          <w:color w:val="auto"/>
        </w:rPr>
      </w:pPr>
      <w:r>
        <w:rPr>
          <w:rFonts w:ascii="Arial" w:cs="Arial" w:eastAsia="Arial" w:hAnsi="Arial"/>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2009. However, NOLs and tax credits generated from those prior years could still be adjusted upon audit.</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Company recognizes interest and penalties to uncertain tax position in income tax expense in the statement of operations. There was no accrual for interest and penalties related to uncertain tax positions for 2012. We do not believe that there will be a material change in our unrecognized tax positions over the next twelve months. All of the unrecognized tax benefits, if recognized, would be offset by the valuation allowance.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April 2011, TG Bio acquired from LFB Biotechnologies, a fully owned subsidiary of France based LFB S.A., an option (the “License Option”) for exclusive worldwide rights (except France/Belgium) to develop and market ublituximab (“TG-1101”), a monoclonal antibody that targets a specific epitope on the B-lymphocyte CD20 antigen. In exchange for the License Option, TG Bio issued 132,000 shares of its common stock to LFB.</w:t>
      </w:r>
    </w:p>
    <w:p>
      <w:pPr>
        <w:spacing w:after="0" w:line="16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January 30, 2012, TG Bio exercised the License Option and entered into an exclusive license agreement with LFB Biotechnologies, GTC Biotherapeutics and LFB/GTC LLC, all wholly-owned subsidiaries of LFB Group, relating to the development of ublituximab (the “License Agreement”). Under the License Agreement, we acquired the exclusive worldwide rights (exclusive of France/Belgium) for the development and commercialization of TG-1101 (ublituximab). To date, we have made no payments to LFB Group, who is eligible to receive payments of up to an aggregate of approximately $31.0 million upon our successful achievement of certain clinical development, regulatory and sales milestones, in addition to royalty payments on net sales of ublituximab. The license will terminate on a country by country basis upon the expiration of the last licensed patent right or 15 years after the first commercial sale of a product in such country, unless the agreement is earlier terminated.</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connection with the License Agreement, our subsidiary TG Bio issued 7,368,000 shares of its common stock to LFB Group, and the Company agreed to contribute $15 million, less applicable fees and expenses associated with the financing, to TG Bio to fund the development of ublituximab under the License Agreement in exchange for 7,500,000 shares of TG Bio common stock. The Company recognized approximately $16,578,000 of noncash research and development expense during the year ended December 31, 2012 in connection with the issuance of these shares. In addition, in connection with this share issuance, the Company and TG Bio provided LFB Group the option to, in its sole discretion, elect to convert its shares of TG Bio common stock into 7,500,000 shares of the Company’s Common Stock. Furthermore, should LFB Group choose to exercise the option for Company Common Stock, the Board of Directors of the Company shall appoint an individual designated by LFB Group to serve as a director of the Company until the next annual meeting of the stockholders and until his or her successor has been duly elected. Thereafter the Board of Directors of the Company shall nominate a designee named by LFB Group for election at each annual meeting of the stockholders until such time as LFB Group owns less than 10% of the outstanding Company Common Stock.</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November 9, 2012, LFB Group exercised their right to exchange their TG Bio common stock for Company Common Stock. The Company and LFB Group entered into a Securities Exchange Agreement pursuant to which, LFB Group agreed to exchange its 7,500,000 shares of the common stock of TG Bio, for 5,000,000 shares of Company Common Stock, and a warrant to purchase an aggregate of 2,500,000 shares of Company Common Stock at a purchase price of $0.001 per share. In addition, upon the occurrence of certain financing conditions, the Securities Exchange Agreement requires LFB Group to purchase at least $750,000 in additional shares of Company Common Stock at a purchase price per share equal to the then current Market Price (as defined therein). In addition on November 9, 2012, in connection with the Securities Exchange Agreement, the Board of Directors (the “Board”) of the Company appointed Dr. Yann Echelard to the Board as LFB Group’s nominee. Dr. Echelard will serve as a director until his term expires at the 2013 annual meeting of stockholders, at which time he will stand for reelection by the Company’s stockholders. Effective November 9, 2012, in connection with the aforementioned Securities Exchange Agreement, TG Bio became a wholly owned subsidiary of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TG-1101 – Ildong Sublicense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8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An upfront payment of $2,000,000, which was received in December 2012 net of $330,000 of income tax withheld,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the Company will have certain ongoing responsibilities under the sublicense agreement. The Company recorded license revenue of approximately $19,000 and $0 for the years ended December 31, 2012 and 2011, respectively, and, at December 31, 2012 and 2011, has deferred revenue of approximately $1,981,000 and $0, respectively, associated with this $2,000,000 payment (approximately $152,000 of which has been classified as a current liability at December 31, 2012).</w:t>
      </w:r>
    </w:p>
    <w:p>
      <w:pPr>
        <w:spacing w:after="0" w:line="165"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Company may receive up to an additional $5.0 million in payments upon the achievement of pre-specified milestones. In addition, upon commercialization, Ildong will make royalty payments to the Company on net sales of TG-1101 in the sublicense territory.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August 15, 2012, the Company and Rhizen Pharmaceuticals S A (“Rhizen”) entered into an exclusive global agreement to collaborate on the development and commercialization of Rhizen’s lead product candidate (the “Collaboration Agreement”), a novel P13K delta inhibitor, (“TGR-1202”) (previously referred to as RP5264). The companies will jointly develop the product on a worldwide basis, excluding India, initially focusing on indications in the area of hematologic malignancies and autoimmune disease. Beyond TGR-1202, Rhizen would contribute backup molecules providing multiple opportunities for TG to develop differentiated therapies against hematologic cancers and autoimmune diseases.</w:t>
      </w:r>
    </w:p>
    <w:p>
      <w:pPr>
        <w:spacing w:after="0" w:line="17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will make up-front licensing payments and milestones based on early clinical development, and will be responsible for the costs of clinical development of the product through Phase II, after which the Company and Rhizen will be jointly responsible for all development costs of the product. The Company and Rhizen will each maintain an exclusive option, exercisable at specific times during development, for the Company to license the rights to TGR-1202, in which case Rhizen would be eligible to receive upfront, development, and commercialization milestone payments in addition to milestone payments and royalties tied to net sales of the product, the aggregate of which could exceed $250 million. Rhizen shall maintain rights to manufacture and supply the product to the Company, and the Company will be responsible for all clinical and regulatory development for TGR-1202 globally.</w:t>
      </w:r>
    </w:p>
    <w:p>
      <w:pPr>
        <w:spacing w:after="0" w:line="16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connection with the Collaboration Agreement, the Company incurred upfront milestone payments of $1,000,000 during the year ended December 31, 2012, which has been included in other research and development expenses in the accompanying consolidated financial statements. Rhizen is eligible to receive additional payments of up to $2,000,000 upon the successful achievement of certain clinical development milestones prior to entering profit and loss sharing for the TGR-1202 development program. Pursuant to the terms of the Collaboration Agreement, should either of the exclusive license options be exercised, Rhizen would be eligible to receive up to an aggregate of $182.5 million upon the successful achievement of certain clinical development, regulatory, and sales based milestones in addition to royalties on net sales of TGR-1202.</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9 – JOINT VENTURE</w:t>
      </w:r>
    </w:p>
    <w:p>
      <w:pPr>
        <w:spacing w:after="0" w:line="229"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On April 19, 2011, H Pharmaceuticals K/S (the “Hedrin JV”), of which the Company was a 15% limited partner at the time, filed a demand for arbitration against Thornton &amp; Ross, LTD. (“T&amp;R”) with respect to alleged breaches by T&amp;R of an Exclusive License Agreement (the “Hedrin License”) dated June 28, 2007, which was originally entered into between the Company and T&amp;R, and which the Company assigned in 2008 to the Hedrin JV, with T&amp;R’s consent. The Hedrin JV is seeking damages from T&amp;R in the amount of approximately $7,000,000. The Company was not a party to the initial arbitration demand.</w:t>
      </w:r>
    </w:p>
    <w:p>
      <w:pPr>
        <w:spacing w:after="0" w:line="18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On May 20, 2011, T&amp;R filed an answer to the arbitration demand in which T&amp;R asserted counterclaims against the Hedrin JV for alleged breaches by the Hedrin JV of the Hedrin License and for declaratory relief that the Hedrin License was properly terminated by T&amp;R. In addition, T&amp;R impleaded an individual (who is not associated with the Company), Nordic Biotech Venture Fund II K/S (an investment fund) and the Company, demanding arbitration against them based on alleged breaches of the Hedrin License and other related claims. In December 2011, the Company was removed by the arbitrator as a party to the arbitration. T&amp;R is seeking damages of approximately $20,000,000.</w:t>
      </w:r>
    </w:p>
    <w:p>
      <w:pPr>
        <w:spacing w:after="0" w:line="17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Hedrin JV and T&amp;R held a mediation session in order to avoid the arbitration process. The mediation process did not produce a result. During 2011 Nordic made an additional capital contribution to the Hedrin JV in order to fund the arbitration. As a result of that capital contribution, as of December 31, 2011, the Company owned 13% interest in the Hedrin JV, and no further information has been available since that date. The arbitration process is ongoing.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December 30, 2011, OPN Capital Markets (“OPNCM”) and its affiliated broker-dealer, National Securities Corporation (“NSC” and collectively with OPNCM, “National”), both affiliates of National Holdings Corporation (“National Holdings”), entered into a Placement Agency Agreement (the “PAA”) with the Company in connection with the initial closing of the 2011 Equity PIPE. Pursuant to the PAA, National acted as the Company’s placement agent for 2011 Equity PIPE.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Until April 2012, Michael S. Weiss was a director and Non-Executive Chairman of the Board of Directors of National Holdings. He is also a stockholder of National Holdings and, when combined with his ownership indirectly through Opus and its affiliates, beneficially owns approximately 6.7% of National Holdings, the parent company of NSC. Mr. Weiss disclaims such beneficial ownership other than to the extent of his pecuniary interest. In addition, at the time, Opus and NSC were parties to a 50/50 joint venture that shared profits from OPNCM, the investment banking division of NSC that was responsible for managing the Offering. This joint venture was dissolved in April 2012.</w:t>
      </w:r>
    </w:p>
    <w:p>
      <w:pPr>
        <w:spacing w:after="0" w:line="188"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As placement agent, National received cash commissions equal to 10% of the gross proceeds of the 2011 Equity PIPE, five-year warrants to purchase shares of Company Preferred Stock equal to 10% of shares sold in the 2011 Equity PIPE, and a non-accountable expense allowance equal to two percent of the gross proceeds of the 2011 Equity PIPE for National’s expenses (not including up to $80,000 of National’s legal expenses and any blue sky fees, both of which the Company also reimbursed). In connection with the dissolution of the joint venture, in January 2013 National waived all rights to and surrendered to Opus the warrants discussed above. In addition to acting as placement agent, National provided advisory services in connection with the Exchange Transaction and received an advisory fee of $150,000 for such services.</w:t>
      </w:r>
    </w:p>
    <w:p>
      <w:pPr>
        <w:spacing w:after="0" w:line="17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Under the terms of the Company’s License Agreement with LFB Group, the Company utilizes LFB Group for certain development and manufacturing services. The Company incurred approximately $1,447,000 and $0 in such expenses during the years ended December 31, 2012 and 2011, respectively, which have been included in other research and development expenses in the accompanying consolidated statements of operations. As of December 31, 2012, the Company has approximately $56,000 recorded in accounts payable related to the aforementioned agreements with LFB Group. In conjunction with the development and manufacturing services discussed above, certain agreements between the Company and LFB Group require payments in advance of services performed or goods delivered. Accordingly, as of December 31, 2012, the Company recorded $1,719,828 in prepaid research and development for such advance payments.</w:t>
      </w:r>
    </w:p>
    <w:p>
      <w:pPr>
        <w:spacing w:after="0" w:line="18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connection with the Collaboration Agreement with Rhizen in August 2012, the Company issued Opus 2,000,000 shares of Company common stock subject to certain vesting provisions based on the progress of the joint venture and future success of the products governed by the Collaboration Agreement. The issuance of the Company Common Stock was exempt from registration under the Securities Act of 1933 pursuant to Regulation D and Rule 506 promulgated thereunder. Accordingly, the securities have not been registered under the Securities Act, and until so registered, these securities may not be offered or sold in the United States absent registration or availability of an applicable exemption from registration. The Company recognized approximately $134,000 of noncash compensation (research and development) expense during the year ended December 31, 2012 in connection with the issuance of these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2013</w:t>
      </w:r>
    </w:p>
    <w:p>
      <w:pPr>
        <w:spacing w:after="0" w:line="200" w:lineRule="exact"/>
        <w:rPr>
          <w:sz w:val="20"/>
          <w:szCs w:val="20"/>
          <w:color w:val="auto"/>
        </w:rPr>
      </w:pPr>
    </w:p>
    <w:p>
      <w:pPr>
        <w:spacing w:after="0" w:line="23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TG THERAPEUTICS, INC.</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Michael S. Weiss</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ICHAEL</w:t>
      </w:r>
      <w:r>
        <w:rPr>
          <w:rFonts w:ascii="Arial" w:cs="Arial" w:eastAsia="Arial" w:hAnsi="Arial"/>
          <w:sz w:val="18"/>
          <w:szCs w:val="18"/>
          <w:b w:val="1"/>
          <w:bCs w:val="1"/>
          <w:color w:val="auto"/>
        </w:rPr>
        <w:t xml:space="preserve"> S. W</w:t>
      </w:r>
      <w:r>
        <w:rPr>
          <w:rFonts w:ascii="Arial" w:cs="Arial" w:eastAsia="Arial" w:hAnsi="Arial"/>
          <w:sz w:val="12"/>
          <w:szCs w:val="12"/>
          <w:b w:val="1"/>
          <w:bCs w:val="1"/>
          <w:color w:val="auto"/>
        </w:rPr>
        <w:t>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HAIRMAN</w:t>
      </w:r>
      <w:r>
        <w:rPr>
          <w:rFonts w:ascii="Arial" w:cs="Arial" w:eastAsia="Arial" w:hAnsi="Arial"/>
          <w:sz w:val="18"/>
          <w:szCs w:val="18"/>
          <w:b w:val="1"/>
          <w:bCs w:val="1"/>
          <w:color w:val="auto"/>
        </w:rPr>
        <w:t>, I</w:t>
      </w:r>
      <w:r>
        <w:rPr>
          <w:rFonts w:ascii="Arial" w:cs="Arial" w:eastAsia="Arial" w:hAnsi="Arial"/>
          <w:sz w:val="12"/>
          <w:szCs w:val="12"/>
          <w:b w:val="1"/>
          <w:bCs w:val="1"/>
          <w:color w:val="auto"/>
        </w:rPr>
        <w:t>NTERIM</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6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by the following persons on behalf of the Registrant on March 21, 2013, and in the capacities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88"/>
              </w:rPr>
              <w:t>Signatures</w:t>
            </w:r>
          </w:p>
        </w:tc>
        <w:tc>
          <w:tcPr>
            <w:tcW w:w="5800" w:type="dxa"/>
            <w:vAlign w:val="bottom"/>
          </w:tcPr>
          <w:p>
            <w:pPr>
              <w:ind w:left="2960"/>
              <w:spacing w:after="0"/>
              <w:rPr>
                <w:sz w:val="20"/>
                <w:szCs w:val="20"/>
                <w:color w:val="auto"/>
              </w:rPr>
            </w:pPr>
            <w:r>
              <w:rPr>
                <w:rFonts w:ascii="Arial" w:cs="Arial" w:eastAsia="Arial" w:hAnsi="Arial"/>
                <w:sz w:val="18"/>
                <w:szCs w:val="18"/>
                <w:color w:val="auto"/>
              </w:rPr>
              <w:t>Title</w:t>
            </w:r>
          </w:p>
        </w:tc>
      </w:tr>
      <w:tr>
        <w:trPr>
          <w:trHeight w:val="43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S. Weiss</w:t>
            </w:r>
          </w:p>
        </w:tc>
        <w:tc>
          <w:tcPr>
            <w:tcW w:w="5800" w:type="dxa"/>
            <w:vAlign w:val="bottom"/>
          </w:tcPr>
          <w:p>
            <w:pPr>
              <w:ind w:left="440"/>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24"/>
        </w:trPr>
        <w:tc>
          <w:tcPr>
            <w:tcW w:w="5620" w:type="dxa"/>
            <w:vAlign w:val="bottom"/>
          </w:tcPr>
          <w:p>
            <w:pPr>
              <w:jc w:val="center"/>
              <w:ind w:right="230"/>
              <w:spacing w:after="0"/>
              <w:rPr>
                <w:sz w:val="20"/>
                <w:szCs w:val="20"/>
                <w:color w:val="auto"/>
              </w:rPr>
            </w:pPr>
            <w:r>
              <w:rPr>
                <w:rFonts w:ascii="Arial" w:cs="Arial" w:eastAsia="Arial" w:hAnsi="Arial"/>
                <w:sz w:val="18"/>
                <w:szCs w:val="18"/>
                <w:color w:val="auto"/>
                <w:w w:val="91"/>
              </w:rPr>
              <w:t>Michael S. Weiss</w:t>
            </w:r>
          </w:p>
        </w:tc>
        <w:tc>
          <w:tcPr>
            <w:tcW w:w="5800" w:type="dxa"/>
            <w:vAlign w:val="bottom"/>
          </w:tcPr>
          <w:p>
            <w:pPr>
              <w:ind w:left="44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Sean A. Power</w:t>
            </w:r>
          </w:p>
        </w:tc>
        <w:tc>
          <w:tcPr>
            <w:tcW w:w="5800" w:type="dxa"/>
            <w:vAlign w:val="bottom"/>
          </w:tcPr>
          <w:p>
            <w:pPr>
              <w:ind w:left="440"/>
              <w:spacing w:after="0"/>
              <w:rPr>
                <w:sz w:val="20"/>
                <w:szCs w:val="20"/>
                <w:color w:val="auto"/>
              </w:rPr>
            </w:pPr>
            <w:r>
              <w:rPr>
                <w:rFonts w:ascii="Arial" w:cs="Arial" w:eastAsia="Arial" w:hAnsi="Arial"/>
                <w:sz w:val="18"/>
                <w:szCs w:val="18"/>
                <w:color w:val="auto"/>
              </w:rPr>
              <w:t>Chief Financial Officer</w:t>
            </w:r>
          </w:p>
        </w:tc>
      </w:tr>
      <w:tr>
        <w:trPr>
          <w:trHeight w:val="224"/>
        </w:trPr>
        <w:tc>
          <w:tcPr>
            <w:tcW w:w="5620" w:type="dxa"/>
            <w:vAlign w:val="bottom"/>
          </w:tcPr>
          <w:p>
            <w:pPr>
              <w:jc w:val="center"/>
              <w:ind w:right="230"/>
              <w:spacing w:after="0"/>
              <w:rPr>
                <w:sz w:val="20"/>
                <w:szCs w:val="20"/>
                <w:color w:val="auto"/>
              </w:rPr>
            </w:pPr>
            <w:r>
              <w:rPr>
                <w:rFonts w:ascii="Arial" w:cs="Arial" w:eastAsia="Arial" w:hAnsi="Arial"/>
                <w:sz w:val="18"/>
                <w:szCs w:val="18"/>
                <w:color w:val="auto"/>
                <w:w w:val="88"/>
              </w:rPr>
              <w:t>Sean A. Power</w:t>
            </w:r>
          </w:p>
        </w:tc>
        <w:tc>
          <w:tcPr>
            <w:tcW w:w="5800" w:type="dxa"/>
            <w:vAlign w:val="bottom"/>
          </w:tcPr>
          <w:p>
            <w:pPr>
              <w:ind w:left="440"/>
              <w:spacing w:after="0"/>
              <w:rPr>
                <w:sz w:val="20"/>
                <w:szCs w:val="20"/>
                <w:color w:val="auto"/>
              </w:rPr>
            </w:pPr>
            <w:r>
              <w:rPr>
                <w:rFonts w:ascii="Arial" w:cs="Arial" w:eastAsia="Arial" w:hAnsi="Arial"/>
                <w:sz w:val="18"/>
                <w:szCs w:val="18"/>
                <w:color w:val="auto"/>
              </w:rPr>
              <w:t>(principal financial and accounting officer)</w:t>
            </w:r>
          </w:p>
        </w:tc>
      </w:tr>
      <w:tr>
        <w:trPr>
          <w:trHeight w:val="41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Laurence N. Charney</w:t>
            </w:r>
          </w:p>
        </w:tc>
        <w:tc>
          <w:tcPr>
            <w:tcW w:w="580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tcPr>
          <w:p>
            <w:pPr>
              <w:jc w:val="center"/>
              <w:ind w:right="230"/>
              <w:spacing w:after="0"/>
              <w:rPr>
                <w:sz w:val="20"/>
                <w:szCs w:val="20"/>
                <w:color w:val="auto"/>
              </w:rPr>
            </w:pPr>
            <w:r>
              <w:rPr>
                <w:rFonts w:ascii="Arial" w:cs="Arial" w:eastAsia="Arial" w:hAnsi="Arial"/>
                <w:sz w:val="18"/>
                <w:szCs w:val="18"/>
                <w:color w:val="auto"/>
                <w:w w:val="89"/>
              </w:rPr>
              <w:t>Laurence N. Charney</w:t>
            </w:r>
          </w:p>
        </w:tc>
        <w:tc>
          <w:tcPr>
            <w:tcW w:w="5800" w:type="dxa"/>
            <w:vAlign w:val="bottom"/>
          </w:tcPr>
          <w:p>
            <w:pPr>
              <w:spacing w:after="0"/>
              <w:rPr>
                <w:sz w:val="19"/>
                <w:szCs w:val="19"/>
                <w:color w:val="auto"/>
              </w:rPr>
            </w:pPr>
          </w:p>
        </w:tc>
      </w:tr>
      <w:tr>
        <w:trPr>
          <w:trHeight w:val="41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Yann Echelard</w:t>
            </w:r>
          </w:p>
        </w:tc>
        <w:tc>
          <w:tcPr>
            <w:tcW w:w="580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tcPr>
          <w:p>
            <w:pPr>
              <w:jc w:val="center"/>
              <w:ind w:right="230"/>
              <w:spacing w:after="0"/>
              <w:rPr>
                <w:sz w:val="20"/>
                <w:szCs w:val="20"/>
                <w:color w:val="auto"/>
              </w:rPr>
            </w:pPr>
            <w:r>
              <w:rPr>
                <w:rFonts w:ascii="Arial" w:cs="Arial" w:eastAsia="Arial" w:hAnsi="Arial"/>
                <w:sz w:val="18"/>
                <w:szCs w:val="18"/>
                <w:color w:val="auto"/>
                <w:w w:val="89"/>
              </w:rPr>
              <w:t>Yann Echelard</w:t>
            </w:r>
          </w:p>
        </w:tc>
        <w:tc>
          <w:tcPr>
            <w:tcW w:w="5800" w:type="dxa"/>
            <w:vAlign w:val="bottom"/>
          </w:tcPr>
          <w:p>
            <w:pPr>
              <w:spacing w:after="0"/>
              <w:rPr>
                <w:sz w:val="19"/>
                <w:szCs w:val="19"/>
                <w:color w:val="auto"/>
              </w:rPr>
            </w:pPr>
          </w:p>
        </w:tc>
      </w:tr>
      <w:tr>
        <w:trPr>
          <w:trHeight w:val="41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Neil Herskowitz</w:t>
            </w:r>
          </w:p>
        </w:tc>
        <w:tc>
          <w:tcPr>
            <w:tcW w:w="580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tcPr>
          <w:p>
            <w:pPr>
              <w:jc w:val="center"/>
              <w:ind w:right="230"/>
              <w:spacing w:after="0"/>
              <w:rPr>
                <w:sz w:val="20"/>
                <w:szCs w:val="20"/>
                <w:color w:val="auto"/>
              </w:rPr>
            </w:pPr>
            <w:r>
              <w:rPr>
                <w:rFonts w:ascii="Arial" w:cs="Arial" w:eastAsia="Arial" w:hAnsi="Arial"/>
                <w:sz w:val="18"/>
                <w:szCs w:val="18"/>
                <w:color w:val="auto"/>
                <w:w w:val="95"/>
              </w:rPr>
              <w:t>Neil Herskowitz</w:t>
            </w:r>
          </w:p>
        </w:tc>
        <w:tc>
          <w:tcPr>
            <w:tcW w:w="5800" w:type="dxa"/>
            <w:vAlign w:val="bottom"/>
          </w:tcPr>
          <w:p>
            <w:pPr>
              <w:spacing w:after="0"/>
              <w:rPr>
                <w:sz w:val="19"/>
                <w:szCs w:val="19"/>
                <w:color w:val="auto"/>
              </w:rPr>
            </w:pPr>
          </w:p>
        </w:tc>
      </w:tr>
      <w:tr>
        <w:trPr>
          <w:trHeight w:val="41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J. Kennedy</w:t>
            </w:r>
          </w:p>
        </w:tc>
        <w:tc>
          <w:tcPr>
            <w:tcW w:w="580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tcPr>
          <w:p>
            <w:pPr>
              <w:jc w:val="center"/>
              <w:ind w:right="230"/>
              <w:spacing w:after="0"/>
              <w:rPr>
                <w:sz w:val="20"/>
                <w:szCs w:val="20"/>
                <w:color w:val="auto"/>
              </w:rPr>
            </w:pPr>
            <w:r>
              <w:rPr>
                <w:rFonts w:ascii="Arial" w:cs="Arial" w:eastAsia="Arial" w:hAnsi="Arial"/>
                <w:sz w:val="18"/>
                <w:szCs w:val="18"/>
                <w:color w:val="auto"/>
                <w:w w:val="92"/>
              </w:rPr>
              <w:t>William J. Kennedy</w:t>
            </w:r>
          </w:p>
        </w:tc>
        <w:tc>
          <w:tcPr>
            <w:tcW w:w="5800" w:type="dxa"/>
            <w:vAlign w:val="bottom"/>
          </w:tcPr>
          <w:p>
            <w:pPr>
              <w:spacing w:after="0"/>
              <w:rPr>
                <w:sz w:val="19"/>
                <w:szCs w:val="19"/>
                <w:color w:val="auto"/>
              </w:rPr>
            </w:pPr>
          </w:p>
        </w:tc>
      </w:tr>
      <w:tr>
        <w:trPr>
          <w:trHeight w:val="41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Schoenebaum, M.D.</w:t>
            </w:r>
          </w:p>
        </w:tc>
        <w:tc>
          <w:tcPr>
            <w:tcW w:w="580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4"/>
        </w:trPr>
        <w:tc>
          <w:tcPr>
            <w:tcW w:w="5620" w:type="dxa"/>
            <w:vAlign w:val="bottom"/>
          </w:tcPr>
          <w:p>
            <w:pPr>
              <w:jc w:val="center"/>
              <w:ind w:right="230"/>
              <w:spacing w:after="0"/>
              <w:rPr>
                <w:sz w:val="20"/>
                <w:szCs w:val="20"/>
                <w:color w:val="auto"/>
              </w:rPr>
            </w:pPr>
            <w:r>
              <w:rPr>
                <w:rFonts w:ascii="Arial" w:cs="Arial" w:eastAsia="Arial" w:hAnsi="Arial"/>
                <w:sz w:val="18"/>
                <w:szCs w:val="18"/>
                <w:color w:val="auto"/>
                <w:w w:val="90"/>
              </w:rPr>
              <w:t>Mark Schoenebaum, M.D.</w:t>
            </w:r>
          </w:p>
        </w:tc>
        <w:tc>
          <w:tcPr>
            <w:tcW w:w="5800" w:type="dxa"/>
            <w:vAlign w:val="bottom"/>
          </w:tcPr>
          <w:p>
            <w:pPr>
              <w:spacing w:after="0"/>
              <w:rPr>
                <w:sz w:val="19"/>
                <w:szCs w:val="19"/>
                <w:color w:val="auto"/>
              </w:rPr>
            </w:pPr>
          </w:p>
        </w:tc>
      </w:tr>
      <w:tr>
        <w:trPr>
          <w:trHeight w:val="850"/>
        </w:trPr>
        <w:tc>
          <w:tcPr>
            <w:tcW w:w="56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5" w:name="page76"/>
    <w:bookmarkEnd w:id="75"/>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Exhibit Description</w:t>
      </w:r>
    </w:p>
    <w:p>
      <w:pPr>
        <w:spacing w:after="0" w:line="211"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Sublicense Agreement between TG Biologics, Inc. and Ildong Pharmaceutical Co. Ltd., dated November 13, 2012.*</w:t>
      </w:r>
    </w:p>
    <w:p>
      <w:pPr>
        <w:spacing w:after="0" w:line="225"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Principal Executive Officer</w:t>
      </w:r>
    </w:p>
    <w:p>
      <w:pPr>
        <w:spacing w:after="0" w:line="225"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Principal Financial Officer</w:t>
      </w:r>
    </w:p>
    <w:p>
      <w:pPr>
        <w:spacing w:after="0" w:line="225"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Certifications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Confidential treatment has been requested with respect to omitted portions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121" w:right="1440" w:bottom="1440" w:gutter="0" w:footer="0" w:header="0"/>
        </w:sectPr>
      </w:pPr>
    </w:p>
    <w:bookmarkStart w:id="76" w:name="page77"/>
    <w:bookmarkEnd w:id="76"/>
    <w:p>
      <w:pPr>
        <w:ind w:right="3800"/>
        <w:spacing w:after="0" w:line="282"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SUBLICENSE AGREEMENT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TG BIOLOGICS,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ILDONG PHARMACEUTICAL CO. LTD.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13, 2012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80" w:type="dxa"/>
            <w:vAlign w:val="bottom"/>
            <w:gridSpan w:val="8"/>
          </w:tcPr>
          <w:p>
            <w:pPr>
              <w:spacing w:after="0"/>
              <w:rPr>
                <w:sz w:val="20"/>
                <w:szCs w:val="20"/>
                <w:color w:val="auto"/>
              </w:rPr>
            </w:pPr>
            <w:r>
              <w:rPr>
                <w:rFonts w:ascii="Arial" w:cs="Arial" w:eastAsia="Arial" w:hAnsi="Arial"/>
                <w:sz w:val="18"/>
                <w:szCs w:val="18"/>
                <w:color w:val="auto"/>
              </w:rPr>
              <w:t>TABLE OF CONTENTS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FFCC"/>
          </w:tcPr>
          <w:p>
            <w:pPr>
              <w:jc w:val="right"/>
              <w:ind w:right="195"/>
              <w:spacing w:after="0"/>
              <w:rPr>
                <w:sz w:val="20"/>
                <w:szCs w:val="20"/>
                <w:color w:val="auto"/>
              </w:rPr>
            </w:pPr>
            <w:r>
              <w:rPr>
                <w:rFonts w:ascii="Arial" w:cs="Arial" w:eastAsia="Arial" w:hAnsi="Arial"/>
                <w:sz w:val="17"/>
                <w:szCs w:val="17"/>
                <w:color w:val="auto"/>
                <w:w w:val="70"/>
              </w:rPr>
              <w:t>1.</w:t>
            </w:r>
          </w:p>
        </w:tc>
        <w:tc>
          <w:tcPr>
            <w:tcW w:w="9860" w:type="dxa"/>
            <w:vAlign w:val="bottom"/>
            <w:gridSpan w:val="31"/>
            <w:shd w:val="clear" w:color="auto" w:fill="CCFFCC"/>
          </w:tcPr>
          <w:p>
            <w:pPr>
              <w:ind w:left="280"/>
              <w:spacing w:after="0"/>
              <w:rPr>
                <w:sz w:val="20"/>
                <w:szCs w:val="20"/>
                <w:color w:val="auto"/>
              </w:rPr>
            </w:pPr>
            <w:r>
              <w:rPr>
                <w:rFonts w:ascii="Arial" w:cs="Arial" w:eastAsia="Arial" w:hAnsi="Arial"/>
                <w:sz w:val="18"/>
                <w:szCs w:val="18"/>
                <w:color w:val="auto"/>
              </w:rPr>
              <w:t>DEFINITIONS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FFCC"/>
          </w:tcPr>
          <w:p>
            <w:pPr>
              <w:jc w:val="right"/>
              <w:ind w:right="195"/>
              <w:spacing w:after="0"/>
              <w:rPr>
                <w:sz w:val="20"/>
                <w:szCs w:val="20"/>
                <w:color w:val="auto"/>
              </w:rPr>
            </w:pPr>
            <w:r>
              <w:rPr>
                <w:rFonts w:ascii="Arial" w:cs="Arial" w:eastAsia="Arial" w:hAnsi="Arial"/>
                <w:sz w:val="17"/>
                <w:szCs w:val="17"/>
                <w:color w:val="auto"/>
                <w:w w:val="70"/>
              </w:rPr>
              <w:t>2.</w:t>
            </w:r>
          </w:p>
        </w:tc>
        <w:tc>
          <w:tcPr>
            <w:tcW w:w="9860" w:type="dxa"/>
            <w:vAlign w:val="bottom"/>
            <w:gridSpan w:val="31"/>
            <w:shd w:val="clear" w:color="auto" w:fill="CCFFCC"/>
          </w:tcPr>
          <w:p>
            <w:pPr>
              <w:ind w:left="280"/>
              <w:spacing w:after="0"/>
              <w:rPr>
                <w:sz w:val="20"/>
                <w:szCs w:val="20"/>
                <w:color w:val="auto"/>
              </w:rPr>
            </w:pPr>
            <w:r>
              <w:rPr>
                <w:rFonts w:ascii="Arial" w:cs="Arial" w:eastAsia="Arial" w:hAnsi="Arial"/>
                <w:sz w:val="18"/>
                <w:szCs w:val="18"/>
                <w:color w:val="auto"/>
              </w:rPr>
              <w:t>LICENSE GRANTS; EXCLUSIVITY</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2.1</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Sublicense</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2.2</w:t>
            </w:r>
          </w:p>
        </w:tc>
        <w:tc>
          <w:tcPr>
            <w:tcW w:w="8900" w:type="dxa"/>
            <w:vAlign w:val="bottom"/>
            <w:gridSpan w:val="30"/>
          </w:tcPr>
          <w:p>
            <w:pPr>
              <w:spacing w:after="0" w:line="176" w:lineRule="exact"/>
              <w:rPr>
                <w:sz w:val="20"/>
                <w:szCs w:val="20"/>
                <w:color w:val="auto"/>
              </w:rPr>
            </w:pPr>
            <w:r>
              <w:rPr>
                <w:rFonts w:ascii="Arial" w:cs="Arial" w:eastAsia="Arial" w:hAnsi="Arial"/>
                <w:sz w:val="18"/>
                <w:szCs w:val="18"/>
                <w:b w:val="1"/>
                <w:bCs w:val="1"/>
                <w:color w:val="auto"/>
              </w:rPr>
              <w:t>Right to Sublicense</w:t>
            </w: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2.3</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No Other Rights</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CCFFCC"/>
            </w:tcBorders>
          </w:tcPr>
          <w:p>
            <w:pPr>
              <w:spacing w:after="0"/>
              <w:rPr>
                <w:sz w:val="15"/>
                <w:szCs w:val="15"/>
                <w:color w:val="auto"/>
              </w:rPr>
            </w:pPr>
          </w:p>
        </w:tc>
        <w:tc>
          <w:tcPr>
            <w:tcW w:w="960" w:type="dxa"/>
            <w:vAlign w:val="bottom"/>
            <w:tcBorders>
              <w:top w:val="single" w:sz="8" w:color="CCFFCC"/>
            </w:tcBorders>
          </w:tcPr>
          <w:p>
            <w:pPr>
              <w:ind w:left="280"/>
              <w:spacing w:after="0" w:line="176" w:lineRule="exact"/>
              <w:rPr>
                <w:sz w:val="20"/>
                <w:szCs w:val="20"/>
                <w:color w:val="auto"/>
              </w:rPr>
            </w:pPr>
            <w:r>
              <w:rPr>
                <w:rFonts w:ascii="Arial" w:cs="Arial" w:eastAsia="Arial" w:hAnsi="Arial"/>
                <w:sz w:val="18"/>
                <w:szCs w:val="18"/>
                <w:b w:val="1"/>
                <w:bCs w:val="1"/>
                <w:color w:val="auto"/>
              </w:rPr>
              <w:t>2.4</w:t>
            </w:r>
          </w:p>
        </w:tc>
        <w:tc>
          <w:tcPr>
            <w:tcW w:w="1280" w:type="dxa"/>
            <w:vAlign w:val="bottom"/>
            <w:tcBorders>
              <w:top w:val="single" w:sz="8" w:color="auto"/>
            </w:tcBorders>
            <w:gridSpan w:val="7"/>
          </w:tcPr>
          <w:p>
            <w:pPr>
              <w:spacing w:after="0" w:line="176" w:lineRule="exact"/>
              <w:rPr>
                <w:sz w:val="20"/>
                <w:szCs w:val="20"/>
                <w:color w:val="auto"/>
              </w:rPr>
            </w:pPr>
            <w:r>
              <w:rPr>
                <w:rFonts w:ascii="Arial" w:cs="Arial" w:eastAsia="Arial" w:hAnsi="Arial"/>
                <w:sz w:val="18"/>
                <w:szCs w:val="18"/>
                <w:b w:val="1"/>
                <w:bCs w:val="1"/>
                <w:color w:val="auto"/>
              </w:rPr>
              <w:t>Exclusivity.</w:t>
            </w:r>
          </w:p>
        </w:tc>
        <w:tc>
          <w:tcPr>
            <w:tcW w:w="7620" w:type="dxa"/>
            <w:vAlign w:val="bottom"/>
            <w:tcBorders>
              <w:top w:val="single" w:sz="8" w:color="CCFFCC"/>
            </w:tcBorders>
            <w:gridSpan w:val="23"/>
          </w:tcPr>
          <w:p>
            <w:pPr>
              <w:spacing w:after="0"/>
              <w:rPr>
                <w:sz w:val="15"/>
                <w:szCs w:val="15"/>
                <w:color w:val="auto"/>
              </w:rPr>
            </w:pPr>
          </w:p>
        </w:tc>
        <w:tc>
          <w:tcPr>
            <w:tcW w:w="114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w w:val="70"/>
              </w:rPr>
              <w:t>3.</w:t>
            </w:r>
          </w:p>
        </w:tc>
        <w:tc>
          <w:tcPr>
            <w:tcW w:w="9860" w:type="dxa"/>
            <w:vAlign w:val="bottom"/>
            <w:gridSpan w:val="31"/>
          </w:tcPr>
          <w:p>
            <w:pPr>
              <w:ind w:left="280"/>
              <w:spacing w:after="0"/>
              <w:rPr>
                <w:sz w:val="20"/>
                <w:szCs w:val="20"/>
                <w:color w:val="auto"/>
              </w:rPr>
            </w:pPr>
            <w:r>
              <w:rPr>
                <w:rFonts w:ascii="Arial" w:cs="Arial" w:eastAsia="Arial" w:hAnsi="Arial"/>
                <w:sz w:val="18"/>
                <w:szCs w:val="18"/>
                <w:color w:val="auto"/>
              </w:rPr>
              <w:t>DEVELOPMENT OF PRODUCTS</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3.1</w:t>
            </w:r>
          </w:p>
        </w:tc>
        <w:tc>
          <w:tcPr>
            <w:tcW w:w="8900" w:type="dxa"/>
            <w:vAlign w:val="bottom"/>
            <w:gridSpan w:val="30"/>
          </w:tcPr>
          <w:p>
            <w:pPr>
              <w:spacing w:after="0" w:line="176" w:lineRule="exact"/>
              <w:rPr>
                <w:sz w:val="20"/>
                <w:szCs w:val="20"/>
                <w:color w:val="auto"/>
              </w:rPr>
            </w:pPr>
            <w:r>
              <w:rPr>
                <w:rFonts w:ascii="Arial" w:cs="Arial" w:eastAsia="Arial" w:hAnsi="Arial"/>
                <w:sz w:val="18"/>
                <w:szCs w:val="18"/>
                <w:b w:val="1"/>
                <w:bCs w:val="1"/>
                <w:color w:val="auto"/>
              </w:rPr>
              <w:t>Development Program</w:t>
            </w: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3.2</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Development Diligence</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3.3</w:t>
            </w:r>
          </w:p>
        </w:tc>
        <w:tc>
          <w:tcPr>
            <w:tcW w:w="8900" w:type="dxa"/>
            <w:vAlign w:val="bottom"/>
            <w:gridSpan w:val="30"/>
          </w:tcPr>
          <w:p>
            <w:pPr>
              <w:spacing w:after="0" w:line="176" w:lineRule="exact"/>
              <w:rPr>
                <w:sz w:val="20"/>
                <w:szCs w:val="20"/>
                <w:color w:val="auto"/>
              </w:rPr>
            </w:pPr>
            <w:r>
              <w:rPr>
                <w:rFonts w:ascii="Arial" w:cs="Arial" w:eastAsia="Arial" w:hAnsi="Arial"/>
                <w:sz w:val="18"/>
                <w:szCs w:val="18"/>
                <w:b w:val="1"/>
                <w:bCs w:val="1"/>
                <w:color w:val="auto"/>
              </w:rPr>
              <w:t>Preparation of Development Plan</w:t>
            </w: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3.4</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Compliance.</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3.5</w:t>
            </w:r>
          </w:p>
        </w:tc>
        <w:tc>
          <w:tcPr>
            <w:tcW w:w="8900" w:type="dxa"/>
            <w:vAlign w:val="bottom"/>
            <w:gridSpan w:val="30"/>
          </w:tcPr>
          <w:p>
            <w:pPr>
              <w:spacing w:after="0" w:line="176" w:lineRule="exact"/>
              <w:rPr>
                <w:sz w:val="20"/>
                <w:szCs w:val="20"/>
                <w:color w:val="auto"/>
              </w:rPr>
            </w:pPr>
            <w:r>
              <w:rPr>
                <w:rFonts w:ascii="Arial" w:cs="Arial" w:eastAsia="Arial" w:hAnsi="Arial"/>
                <w:sz w:val="18"/>
                <w:szCs w:val="18"/>
                <w:b w:val="1"/>
                <w:bCs w:val="1"/>
                <w:color w:val="auto"/>
              </w:rPr>
              <w:t>Supply of Compound(s) or Products(s) for Development</w:t>
            </w: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3.6</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Use of Proprietary Materials</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300" w:type="dxa"/>
            <w:vAlign w:val="bottom"/>
            <w:tcBorders>
              <w:top w:val="single" w:sz="8" w:color="CCFFCC"/>
            </w:tcBorders>
          </w:tcPr>
          <w:p>
            <w:pPr>
              <w:spacing w:after="0"/>
              <w:rPr>
                <w:sz w:val="18"/>
                <w:szCs w:val="18"/>
                <w:color w:val="auto"/>
              </w:rPr>
            </w:pPr>
          </w:p>
        </w:tc>
        <w:tc>
          <w:tcPr>
            <w:tcW w:w="136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FFCC"/>
          </w:tcPr>
          <w:p>
            <w:pPr>
              <w:jc w:val="right"/>
              <w:ind w:right="195"/>
              <w:spacing w:after="0"/>
              <w:rPr>
                <w:sz w:val="20"/>
                <w:szCs w:val="20"/>
                <w:color w:val="auto"/>
              </w:rPr>
            </w:pPr>
            <w:r>
              <w:rPr>
                <w:rFonts w:ascii="Arial" w:cs="Arial" w:eastAsia="Arial" w:hAnsi="Arial"/>
                <w:sz w:val="17"/>
                <w:szCs w:val="17"/>
                <w:color w:val="auto"/>
                <w:w w:val="70"/>
              </w:rPr>
              <w:t>4.</w:t>
            </w:r>
          </w:p>
        </w:tc>
        <w:tc>
          <w:tcPr>
            <w:tcW w:w="9860" w:type="dxa"/>
            <w:vAlign w:val="bottom"/>
            <w:gridSpan w:val="31"/>
            <w:shd w:val="clear" w:color="auto" w:fill="CCFFCC"/>
          </w:tcPr>
          <w:p>
            <w:pPr>
              <w:ind w:left="280"/>
              <w:spacing w:after="0"/>
              <w:rPr>
                <w:sz w:val="20"/>
                <w:szCs w:val="20"/>
                <w:color w:val="auto"/>
              </w:rPr>
            </w:pPr>
            <w:r>
              <w:rPr>
                <w:rFonts w:ascii="Arial" w:cs="Arial" w:eastAsia="Arial" w:hAnsi="Arial"/>
                <w:sz w:val="18"/>
                <w:szCs w:val="18"/>
                <w:color w:val="auto"/>
              </w:rPr>
              <w:t>REGULATORY ACTIVITIES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4.1</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Responsibility for Regulatory Filings</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CCFFCC"/>
            </w:tcBorders>
          </w:tcPr>
          <w:p>
            <w:pPr>
              <w:spacing w:after="0"/>
              <w:rPr>
                <w:sz w:val="15"/>
                <w:szCs w:val="15"/>
                <w:color w:val="auto"/>
              </w:rPr>
            </w:pPr>
          </w:p>
        </w:tc>
        <w:tc>
          <w:tcPr>
            <w:tcW w:w="960" w:type="dxa"/>
            <w:vAlign w:val="bottom"/>
            <w:tcBorders>
              <w:top w:val="single" w:sz="8" w:color="CCFFCC"/>
            </w:tcBorders>
          </w:tcPr>
          <w:p>
            <w:pPr>
              <w:ind w:left="280"/>
              <w:spacing w:after="0" w:line="176" w:lineRule="exact"/>
              <w:rPr>
                <w:sz w:val="20"/>
                <w:szCs w:val="20"/>
                <w:color w:val="auto"/>
              </w:rPr>
            </w:pPr>
            <w:r>
              <w:rPr>
                <w:rFonts w:ascii="Arial" w:cs="Arial" w:eastAsia="Arial" w:hAnsi="Arial"/>
                <w:sz w:val="18"/>
                <w:szCs w:val="18"/>
                <w:b w:val="1"/>
                <w:bCs w:val="1"/>
                <w:color w:val="auto"/>
              </w:rPr>
              <w:t>4.2</w:t>
            </w:r>
          </w:p>
        </w:tc>
        <w:tc>
          <w:tcPr>
            <w:tcW w:w="2840" w:type="dxa"/>
            <w:vAlign w:val="bottom"/>
            <w:tcBorders>
              <w:top w:val="single" w:sz="8" w:color="auto"/>
            </w:tcBorders>
            <w:gridSpan w:val="20"/>
          </w:tcPr>
          <w:p>
            <w:pPr>
              <w:spacing w:after="0" w:line="176" w:lineRule="exact"/>
              <w:rPr>
                <w:sz w:val="20"/>
                <w:szCs w:val="20"/>
                <w:color w:val="auto"/>
              </w:rPr>
            </w:pPr>
            <w:r>
              <w:rPr>
                <w:rFonts w:ascii="Arial" w:cs="Arial" w:eastAsia="Arial" w:hAnsi="Arial"/>
                <w:sz w:val="18"/>
                <w:szCs w:val="18"/>
                <w:b w:val="1"/>
                <w:bCs w:val="1"/>
                <w:color w:val="auto"/>
              </w:rPr>
              <w:t>Disclosure; Right of Access</w:t>
            </w:r>
            <w:r>
              <w:rPr>
                <w:rFonts w:ascii="Arial" w:cs="Arial" w:eastAsia="Arial" w:hAnsi="Arial"/>
                <w:sz w:val="18"/>
                <w:szCs w:val="18"/>
                <w:color w:val="auto"/>
              </w:rPr>
              <w:t>.</w:t>
            </w:r>
          </w:p>
        </w:tc>
        <w:tc>
          <w:tcPr>
            <w:tcW w:w="6060" w:type="dxa"/>
            <w:vAlign w:val="bottom"/>
            <w:tcBorders>
              <w:top w:val="single" w:sz="8" w:color="CCFFCC"/>
            </w:tcBorders>
            <w:gridSpan w:val="10"/>
          </w:tcPr>
          <w:p>
            <w:pPr>
              <w:spacing w:after="0"/>
              <w:rPr>
                <w:sz w:val="15"/>
                <w:szCs w:val="15"/>
                <w:color w:val="auto"/>
              </w:rPr>
            </w:pPr>
          </w:p>
        </w:tc>
        <w:tc>
          <w:tcPr>
            <w:tcW w:w="114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4.3</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Disclosure of Certain Events</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4.4</w:t>
            </w:r>
          </w:p>
        </w:tc>
        <w:tc>
          <w:tcPr>
            <w:tcW w:w="8900" w:type="dxa"/>
            <w:vAlign w:val="bottom"/>
            <w:gridSpan w:val="30"/>
          </w:tcPr>
          <w:p>
            <w:pPr>
              <w:spacing w:after="0" w:line="176" w:lineRule="exact"/>
              <w:rPr>
                <w:sz w:val="20"/>
                <w:szCs w:val="20"/>
                <w:color w:val="auto"/>
              </w:rPr>
            </w:pPr>
            <w:r>
              <w:rPr>
                <w:rFonts w:ascii="Arial" w:cs="Arial" w:eastAsia="Arial" w:hAnsi="Arial"/>
                <w:sz w:val="18"/>
                <w:szCs w:val="18"/>
                <w:b w:val="1"/>
                <w:bCs w:val="1"/>
                <w:color w:val="auto"/>
              </w:rPr>
              <w:t>Communication with Regulatory Authorities in the SUBLICENSOR Commercialization Territory</w:t>
            </w: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w w:val="70"/>
              </w:rPr>
              <w:t>5.</w:t>
            </w:r>
          </w:p>
        </w:tc>
        <w:tc>
          <w:tcPr>
            <w:tcW w:w="9860" w:type="dxa"/>
            <w:vAlign w:val="bottom"/>
            <w:gridSpan w:val="31"/>
          </w:tcPr>
          <w:p>
            <w:pPr>
              <w:ind w:left="280"/>
              <w:spacing w:after="0"/>
              <w:rPr>
                <w:sz w:val="20"/>
                <w:szCs w:val="20"/>
                <w:color w:val="auto"/>
              </w:rPr>
            </w:pPr>
            <w:r>
              <w:rPr>
                <w:rFonts w:ascii="Arial" w:cs="Arial" w:eastAsia="Arial" w:hAnsi="Arial"/>
                <w:sz w:val="18"/>
                <w:szCs w:val="18"/>
                <w:color w:val="auto"/>
              </w:rPr>
              <w:t>COMMERCIALIZATION OF PRODUCTS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5.1</w:t>
            </w:r>
          </w:p>
        </w:tc>
        <w:tc>
          <w:tcPr>
            <w:tcW w:w="8900" w:type="dxa"/>
            <w:vAlign w:val="bottom"/>
            <w:gridSpan w:val="30"/>
          </w:tcPr>
          <w:p>
            <w:pPr>
              <w:spacing w:after="0" w:line="176" w:lineRule="exact"/>
              <w:rPr>
                <w:sz w:val="20"/>
                <w:szCs w:val="20"/>
                <w:color w:val="auto"/>
              </w:rPr>
            </w:pPr>
            <w:r>
              <w:rPr>
                <w:rFonts w:ascii="Arial" w:cs="Arial" w:eastAsia="Arial" w:hAnsi="Arial"/>
                <w:sz w:val="18"/>
                <w:szCs w:val="18"/>
                <w:b w:val="1"/>
                <w:bCs w:val="1"/>
                <w:color w:val="auto"/>
              </w:rPr>
              <w:t>Commercialization Plan</w:t>
            </w: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5.2</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Responsibility for Commercialization of Products</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CCFFCC"/>
            </w:tcBorders>
          </w:tcPr>
          <w:p>
            <w:pPr>
              <w:spacing w:after="0"/>
              <w:rPr>
                <w:sz w:val="15"/>
                <w:szCs w:val="15"/>
                <w:color w:val="auto"/>
              </w:rPr>
            </w:pPr>
          </w:p>
        </w:tc>
        <w:tc>
          <w:tcPr>
            <w:tcW w:w="960" w:type="dxa"/>
            <w:vAlign w:val="bottom"/>
            <w:tcBorders>
              <w:top w:val="single" w:sz="8" w:color="CCFFCC"/>
            </w:tcBorders>
          </w:tcPr>
          <w:p>
            <w:pPr>
              <w:ind w:left="280"/>
              <w:spacing w:after="0" w:line="176" w:lineRule="exact"/>
              <w:rPr>
                <w:sz w:val="20"/>
                <w:szCs w:val="20"/>
                <w:color w:val="auto"/>
              </w:rPr>
            </w:pPr>
            <w:r>
              <w:rPr>
                <w:rFonts w:ascii="Arial" w:cs="Arial" w:eastAsia="Arial" w:hAnsi="Arial"/>
                <w:sz w:val="18"/>
                <w:szCs w:val="18"/>
                <w:b w:val="1"/>
                <w:bCs w:val="1"/>
                <w:color w:val="auto"/>
              </w:rPr>
              <w:t>5.3</w:t>
            </w:r>
          </w:p>
        </w:tc>
        <w:tc>
          <w:tcPr>
            <w:tcW w:w="3800" w:type="dxa"/>
            <w:vAlign w:val="bottom"/>
            <w:tcBorders>
              <w:top w:val="single" w:sz="8" w:color="auto"/>
            </w:tcBorders>
            <w:gridSpan w:val="23"/>
          </w:tcPr>
          <w:p>
            <w:pPr>
              <w:spacing w:after="0" w:line="176" w:lineRule="exact"/>
              <w:rPr>
                <w:sz w:val="20"/>
                <w:szCs w:val="20"/>
                <w:color w:val="auto"/>
              </w:rPr>
            </w:pPr>
            <w:r>
              <w:rPr>
                <w:rFonts w:ascii="Arial" w:cs="Arial" w:eastAsia="Arial" w:hAnsi="Arial"/>
                <w:sz w:val="18"/>
                <w:szCs w:val="18"/>
                <w:b w:val="1"/>
                <w:bCs w:val="1"/>
                <w:color w:val="auto"/>
              </w:rPr>
              <w:t>Commercialization Diligence</w:t>
            </w:r>
            <w:r>
              <w:rPr>
                <w:rFonts w:ascii="Arial" w:cs="Arial" w:eastAsia="Arial" w:hAnsi="Arial"/>
                <w:sz w:val="18"/>
                <w:szCs w:val="18"/>
                <w:color w:val="auto"/>
              </w:rPr>
              <w:t>.</w:t>
            </w:r>
          </w:p>
        </w:tc>
        <w:tc>
          <w:tcPr>
            <w:tcW w:w="5100" w:type="dxa"/>
            <w:vAlign w:val="bottom"/>
            <w:tcBorders>
              <w:top w:val="single" w:sz="8" w:color="CCFFCC"/>
            </w:tcBorders>
            <w:gridSpan w:val="7"/>
          </w:tcPr>
          <w:p>
            <w:pPr>
              <w:spacing w:after="0"/>
              <w:rPr>
                <w:sz w:val="15"/>
                <w:szCs w:val="15"/>
                <w:color w:val="auto"/>
              </w:rPr>
            </w:pPr>
          </w:p>
        </w:tc>
        <w:tc>
          <w:tcPr>
            <w:tcW w:w="114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5.4</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Failure to Satisfy Commercialization Diligence Obligations.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CCFFCC"/>
            </w:tcBorders>
          </w:tcPr>
          <w:p>
            <w:pPr>
              <w:spacing w:after="0"/>
              <w:rPr>
                <w:sz w:val="15"/>
                <w:szCs w:val="15"/>
                <w:color w:val="auto"/>
              </w:rPr>
            </w:pPr>
          </w:p>
        </w:tc>
        <w:tc>
          <w:tcPr>
            <w:tcW w:w="960" w:type="dxa"/>
            <w:vAlign w:val="bottom"/>
            <w:tcBorders>
              <w:top w:val="single" w:sz="8" w:color="CCFFCC"/>
            </w:tcBorders>
          </w:tcPr>
          <w:p>
            <w:pPr>
              <w:ind w:left="280"/>
              <w:spacing w:after="0" w:line="176" w:lineRule="exact"/>
              <w:rPr>
                <w:sz w:val="20"/>
                <w:szCs w:val="20"/>
                <w:color w:val="auto"/>
              </w:rPr>
            </w:pPr>
            <w:r>
              <w:rPr>
                <w:rFonts w:ascii="Arial" w:cs="Arial" w:eastAsia="Arial" w:hAnsi="Arial"/>
                <w:sz w:val="18"/>
                <w:szCs w:val="18"/>
                <w:b w:val="1"/>
                <w:bCs w:val="1"/>
                <w:color w:val="auto"/>
              </w:rPr>
              <w:t>5.5</w:t>
            </w:r>
          </w:p>
        </w:tc>
        <w:tc>
          <w:tcPr>
            <w:tcW w:w="4520" w:type="dxa"/>
            <w:vAlign w:val="bottom"/>
            <w:tcBorders>
              <w:top w:val="single" w:sz="8" w:color="auto"/>
            </w:tcBorders>
            <w:gridSpan w:val="26"/>
          </w:tcPr>
          <w:p>
            <w:pPr>
              <w:spacing w:after="0" w:line="176" w:lineRule="exact"/>
              <w:rPr>
                <w:sz w:val="20"/>
                <w:szCs w:val="20"/>
                <w:color w:val="auto"/>
              </w:rPr>
            </w:pPr>
            <w:r>
              <w:rPr>
                <w:rFonts w:ascii="Arial" w:cs="Arial" w:eastAsia="Arial" w:hAnsi="Arial"/>
                <w:sz w:val="18"/>
                <w:szCs w:val="18"/>
                <w:b w:val="1"/>
                <w:bCs w:val="1"/>
                <w:color w:val="auto"/>
              </w:rPr>
              <w:t>Failure to achieve Sales Targets</w:t>
            </w:r>
          </w:p>
        </w:tc>
        <w:tc>
          <w:tcPr>
            <w:tcW w:w="4380" w:type="dxa"/>
            <w:vAlign w:val="bottom"/>
            <w:tcBorders>
              <w:top w:val="single" w:sz="8" w:color="CCFFCC"/>
            </w:tcBorders>
            <w:gridSpan w:val="4"/>
          </w:tcPr>
          <w:p>
            <w:pPr>
              <w:spacing w:after="0"/>
              <w:rPr>
                <w:sz w:val="15"/>
                <w:szCs w:val="15"/>
                <w:color w:val="auto"/>
              </w:rPr>
            </w:pPr>
          </w:p>
        </w:tc>
        <w:tc>
          <w:tcPr>
            <w:tcW w:w="114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5.6</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Compliance</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5.7</w:t>
            </w:r>
          </w:p>
        </w:tc>
        <w:tc>
          <w:tcPr>
            <w:tcW w:w="8900" w:type="dxa"/>
            <w:vAlign w:val="bottom"/>
            <w:gridSpan w:val="30"/>
          </w:tcPr>
          <w:p>
            <w:pPr>
              <w:spacing w:after="0" w:line="176" w:lineRule="exact"/>
              <w:rPr>
                <w:sz w:val="20"/>
                <w:szCs w:val="20"/>
                <w:color w:val="auto"/>
              </w:rPr>
            </w:pPr>
            <w:r>
              <w:rPr>
                <w:rFonts w:ascii="Arial" w:cs="Arial" w:eastAsia="Arial" w:hAnsi="Arial"/>
                <w:sz w:val="18"/>
                <w:szCs w:val="18"/>
                <w:b w:val="1"/>
                <w:bCs w:val="1"/>
                <w:color w:val="auto"/>
              </w:rPr>
              <w:t>No Unauthorized Sales.</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5.8</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Records; Reports</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5.9</w:t>
            </w:r>
          </w:p>
        </w:tc>
        <w:tc>
          <w:tcPr>
            <w:tcW w:w="8900" w:type="dxa"/>
            <w:vAlign w:val="bottom"/>
            <w:gridSpan w:val="30"/>
          </w:tcPr>
          <w:p>
            <w:pPr>
              <w:spacing w:after="0" w:line="176" w:lineRule="exact"/>
              <w:rPr>
                <w:sz w:val="20"/>
                <w:szCs w:val="20"/>
                <w:color w:val="auto"/>
              </w:rPr>
            </w:pPr>
            <w:r>
              <w:rPr>
                <w:rFonts w:ascii="Arial" w:cs="Arial" w:eastAsia="Arial" w:hAnsi="Arial"/>
                <w:sz w:val="18"/>
                <w:szCs w:val="18"/>
                <w:b w:val="1"/>
                <w:bCs w:val="1"/>
                <w:color w:val="auto"/>
              </w:rPr>
              <w:t>Supply of Product for Commercialization.</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5.10</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Product Recalls</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300" w:type="dxa"/>
            <w:vAlign w:val="bottom"/>
            <w:tcBorders>
              <w:top w:val="single" w:sz="8" w:color="CCFFCC"/>
            </w:tcBorders>
          </w:tcPr>
          <w:p>
            <w:pPr>
              <w:spacing w:after="0"/>
              <w:rPr>
                <w:sz w:val="18"/>
                <w:szCs w:val="18"/>
                <w:color w:val="auto"/>
              </w:rPr>
            </w:pPr>
          </w:p>
        </w:tc>
        <w:tc>
          <w:tcPr>
            <w:tcW w:w="1360" w:type="dxa"/>
            <w:vAlign w:val="bottom"/>
            <w:tcBorders>
              <w:top w:val="single" w:sz="8" w:color="CCFFCC"/>
            </w:tcBorders>
          </w:tcPr>
          <w:p>
            <w:pPr>
              <w:spacing w:after="0"/>
              <w:rPr>
                <w:sz w:val="18"/>
                <w:szCs w:val="18"/>
                <w:color w:val="auto"/>
              </w:rPr>
            </w:pPr>
          </w:p>
        </w:tc>
        <w:tc>
          <w:tcPr>
            <w:tcW w:w="114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FFCC"/>
          </w:tcPr>
          <w:p>
            <w:pPr>
              <w:jc w:val="right"/>
              <w:ind w:right="195"/>
              <w:spacing w:after="0"/>
              <w:rPr>
                <w:sz w:val="20"/>
                <w:szCs w:val="20"/>
                <w:color w:val="auto"/>
              </w:rPr>
            </w:pPr>
            <w:r>
              <w:rPr>
                <w:rFonts w:ascii="Arial" w:cs="Arial" w:eastAsia="Arial" w:hAnsi="Arial"/>
                <w:sz w:val="17"/>
                <w:szCs w:val="17"/>
                <w:color w:val="auto"/>
                <w:w w:val="70"/>
              </w:rPr>
              <w:t>6.</w:t>
            </w:r>
          </w:p>
        </w:tc>
        <w:tc>
          <w:tcPr>
            <w:tcW w:w="9860" w:type="dxa"/>
            <w:vAlign w:val="bottom"/>
            <w:gridSpan w:val="31"/>
            <w:shd w:val="clear" w:color="auto" w:fill="CCFFCC"/>
          </w:tcPr>
          <w:p>
            <w:pPr>
              <w:ind w:left="280"/>
              <w:spacing w:after="0"/>
              <w:rPr>
                <w:sz w:val="20"/>
                <w:szCs w:val="20"/>
                <w:color w:val="auto"/>
              </w:rPr>
            </w:pPr>
            <w:r>
              <w:rPr>
                <w:rFonts w:ascii="Arial" w:cs="Arial" w:eastAsia="Arial" w:hAnsi="Arial"/>
                <w:sz w:val="18"/>
                <w:szCs w:val="18"/>
                <w:color w:val="auto"/>
              </w:rPr>
              <w:t>SUPPLY OF THE COMPOUND AND/OR PRODUCT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6.1</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Supply of LFB-R603 for Development and Commercialization</w:t>
            </w:r>
            <w:r>
              <w:rPr>
                <w:rFonts w:ascii="Arial" w:cs="Arial" w:eastAsia="Arial" w:hAnsi="Arial"/>
                <w:sz w:val="18"/>
                <w:szCs w:val="18"/>
                <w:color w:val="auto"/>
              </w:rPr>
              <w:t>.</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CCFFCC"/>
            </w:tcBorders>
          </w:tcPr>
          <w:p>
            <w:pPr>
              <w:spacing w:after="0"/>
              <w:rPr>
                <w:sz w:val="15"/>
                <w:szCs w:val="15"/>
                <w:color w:val="auto"/>
              </w:rPr>
            </w:pPr>
          </w:p>
        </w:tc>
        <w:tc>
          <w:tcPr>
            <w:tcW w:w="960" w:type="dxa"/>
            <w:vAlign w:val="bottom"/>
            <w:tcBorders>
              <w:top w:val="single" w:sz="8" w:color="CCFFCC"/>
            </w:tcBorders>
          </w:tcPr>
          <w:p>
            <w:pPr>
              <w:ind w:left="280"/>
              <w:spacing w:after="0" w:line="176" w:lineRule="exact"/>
              <w:rPr>
                <w:sz w:val="20"/>
                <w:szCs w:val="20"/>
                <w:color w:val="auto"/>
              </w:rPr>
            </w:pPr>
            <w:r>
              <w:rPr>
                <w:rFonts w:ascii="Arial" w:cs="Arial" w:eastAsia="Arial" w:hAnsi="Arial"/>
                <w:sz w:val="18"/>
                <w:szCs w:val="18"/>
                <w:b w:val="1"/>
                <w:bCs w:val="1"/>
                <w:color w:val="auto"/>
              </w:rPr>
              <w:t>6.2</w:t>
            </w:r>
          </w:p>
        </w:tc>
        <w:tc>
          <w:tcPr>
            <w:tcW w:w="4820" w:type="dxa"/>
            <w:vAlign w:val="bottom"/>
            <w:tcBorders>
              <w:top w:val="single" w:sz="8" w:color="auto"/>
            </w:tcBorders>
            <w:gridSpan w:val="27"/>
          </w:tcPr>
          <w:p>
            <w:pPr>
              <w:spacing w:after="0" w:line="176" w:lineRule="exact"/>
              <w:rPr>
                <w:sz w:val="20"/>
                <w:szCs w:val="20"/>
                <w:color w:val="auto"/>
              </w:rPr>
            </w:pPr>
            <w:r>
              <w:rPr>
                <w:rFonts w:ascii="Arial" w:cs="Arial" w:eastAsia="Arial" w:hAnsi="Arial"/>
                <w:sz w:val="18"/>
                <w:szCs w:val="18"/>
                <w:b w:val="1"/>
                <w:bCs w:val="1"/>
                <w:color w:val="auto"/>
                <w:w w:val="98"/>
              </w:rPr>
              <w:t>Supply of TG20 for Development and Commercialization.</w:t>
            </w:r>
          </w:p>
        </w:tc>
        <w:tc>
          <w:tcPr>
            <w:tcW w:w="4080" w:type="dxa"/>
            <w:vAlign w:val="bottom"/>
            <w:tcBorders>
              <w:top w:val="single" w:sz="8" w:color="CCFFCC"/>
            </w:tcBorders>
            <w:gridSpan w:val="3"/>
          </w:tcPr>
          <w:p>
            <w:pPr>
              <w:spacing w:after="0"/>
              <w:rPr>
                <w:sz w:val="15"/>
                <w:szCs w:val="15"/>
                <w:color w:val="auto"/>
              </w:rPr>
            </w:pPr>
          </w:p>
        </w:tc>
        <w:tc>
          <w:tcPr>
            <w:tcW w:w="114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w w:val="70"/>
              </w:rPr>
              <w:t>7.</w:t>
            </w:r>
          </w:p>
        </w:tc>
        <w:tc>
          <w:tcPr>
            <w:tcW w:w="9860" w:type="dxa"/>
            <w:vAlign w:val="bottom"/>
            <w:gridSpan w:val="31"/>
          </w:tcPr>
          <w:p>
            <w:pPr>
              <w:ind w:left="280"/>
              <w:spacing w:after="0"/>
              <w:rPr>
                <w:sz w:val="20"/>
                <w:szCs w:val="20"/>
                <w:color w:val="auto"/>
              </w:rPr>
            </w:pPr>
            <w:r>
              <w:rPr>
                <w:rFonts w:ascii="Arial" w:cs="Arial" w:eastAsia="Arial" w:hAnsi="Arial"/>
                <w:sz w:val="18"/>
                <w:szCs w:val="18"/>
                <w:color w:val="auto"/>
              </w:rPr>
              <w:t>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3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7.1</w:t>
            </w:r>
          </w:p>
        </w:tc>
        <w:tc>
          <w:tcPr>
            <w:tcW w:w="8900" w:type="dxa"/>
            <w:vAlign w:val="bottom"/>
            <w:gridSpan w:val="30"/>
          </w:tcPr>
          <w:p>
            <w:pPr>
              <w:spacing w:after="0" w:line="176" w:lineRule="exact"/>
              <w:rPr>
                <w:sz w:val="20"/>
                <w:szCs w:val="20"/>
                <w:color w:val="auto"/>
              </w:rPr>
            </w:pPr>
            <w:r>
              <w:rPr>
                <w:rFonts w:ascii="Arial" w:cs="Arial" w:eastAsia="Arial" w:hAnsi="Arial"/>
                <w:sz w:val="18"/>
                <w:szCs w:val="18"/>
                <w:b w:val="1"/>
                <w:bCs w:val="1"/>
                <w:color w:val="auto"/>
              </w:rPr>
              <w:t>Upfront Payment.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960" w:type="dxa"/>
            <w:vAlign w:val="bottom"/>
            <w:shd w:val="clear" w:color="auto" w:fill="CCFFCC"/>
          </w:tcPr>
          <w:p>
            <w:pPr>
              <w:ind w:left="280"/>
              <w:spacing w:after="0" w:line="176" w:lineRule="exact"/>
              <w:rPr>
                <w:sz w:val="20"/>
                <w:szCs w:val="20"/>
                <w:color w:val="auto"/>
              </w:rPr>
            </w:pPr>
            <w:r>
              <w:rPr>
                <w:rFonts w:ascii="Arial" w:cs="Arial" w:eastAsia="Arial" w:hAnsi="Arial"/>
                <w:sz w:val="18"/>
                <w:szCs w:val="18"/>
                <w:b w:val="1"/>
                <w:bCs w:val="1"/>
                <w:color w:val="auto"/>
              </w:rPr>
              <w:t>7.2</w:t>
            </w:r>
          </w:p>
        </w:tc>
        <w:tc>
          <w:tcPr>
            <w:tcW w:w="8900" w:type="dxa"/>
            <w:vAlign w:val="bottom"/>
            <w:gridSpan w:val="3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Sales Milestones.</w:t>
            </w:r>
          </w:p>
        </w:tc>
        <w:tc>
          <w:tcPr>
            <w:tcW w:w="114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ind w:left="280"/>
              <w:spacing w:after="0" w:line="176" w:lineRule="exact"/>
              <w:rPr>
                <w:sz w:val="20"/>
                <w:szCs w:val="20"/>
                <w:color w:val="auto"/>
              </w:rPr>
            </w:pPr>
            <w:r>
              <w:rPr>
                <w:rFonts w:ascii="Arial" w:cs="Arial" w:eastAsia="Arial" w:hAnsi="Arial"/>
                <w:sz w:val="18"/>
                <w:szCs w:val="18"/>
                <w:b w:val="1"/>
                <w:bCs w:val="1"/>
                <w:color w:val="auto"/>
              </w:rPr>
              <w:t>7.3</w:t>
            </w:r>
          </w:p>
        </w:tc>
        <w:tc>
          <w:tcPr>
            <w:tcW w:w="8900" w:type="dxa"/>
            <w:vAlign w:val="bottom"/>
            <w:gridSpan w:val="30"/>
          </w:tcPr>
          <w:p>
            <w:pPr>
              <w:spacing w:after="0" w:line="176" w:lineRule="exact"/>
              <w:rPr>
                <w:sz w:val="20"/>
                <w:szCs w:val="20"/>
                <w:color w:val="auto"/>
              </w:rPr>
            </w:pPr>
            <w:r>
              <w:rPr>
                <w:rFonts w:ascii="Arial" w:cs="Arial" w:eastAsia="Arial" w:hAnsi="Arial"/>
                <w:sz w:val="18"/>
                <w:szCs w:val="18"/>
                <w:b w:val="1"/>
                <w:bCs w:val="1"/>
                <w:color w:val="auto"/>
              </w:rPr>
              <w:t>Payment of Royalties; Royalty Rates; Accounting and Records</w:t>
            </w:r>
            <w:r>
              <w:rPr>
                <w:rFonts w:ascii="Arial" w:cs="Arial" w:eastAsia="Arial" w:hAnsi="Arial"/>
                <w:sz w:val="18"/>
                <w:szCs w:val="18"/>
                <w:color w:val="auto"/>
              </w:rPr>
              <w:t>.</w:t>
            </w: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8.</w:t>
            </w:r>
          </w:p>
        </w:tc>
        <w:tc>
          <w:tcPr>
            <w:tcW w:w="8200" w:type="dxa"/>
            <w:vAlign w:val="bottom"/>
            <w:gridSpan w:val="34"/>
            <w:shd w:val="clear" w:color="auto" w:fill="CCFFCC"/>
          </w:tcPr>
          <w:p>
            <w:pPr>
              <w:ind w:left="240"/>
              <w:spacing w:after="0"/>
              <w:rPr>
                <w:sz w:val="20"/>
                <w:szCs w:val="20"/>
                <w:color w:val="auto"/>
              </w:rPr>
            </w:pPr>
            <w:r>
              <w:rPr>
                <w:rFonts w:ascii="Arial" w:cs="Arial" w:eastAsia="Arial" w:hAnsi="Arial"/>
                <w:sz w:val="18"/>
                <w:szCs w:val="18"/>
                <w:color w:val="auto"/>
              </w:rPr>
              <w:t>TREATMENT OF CONFIDENTIAL INFORMATION; PUBLICITY</w:t>
            </w:r>
          </w:p>
        </w:tc>
        <w:tc>
          <w:tcPr>
            <w:tcW w:w="2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8.1</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Confidentiality.</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ind w:left="240"/>
              <w:spacing w:after="0" w:line="176" w:lineRule="exact"/>
              <w:rPr>
                <w:sz w:val="20"/>
                <w:szCs w:val="20"/>
                <w:color w:val="auto"/>
              </w:rPr>
            </w:pPr>
            <w:r>
              <w:rPr>
                <w:rFonts w:ascii="Arial" w:cs="Arial" w:eastAsia="Arial" w:hAnsi="Arial"/>
                <w:sz w:val="18"/>
                <w:szCs w:val="18"/>
                <w:b w:val="1"/>
                <w:bCs w:val="1"/>
                <w:color w:val="auto"/>
              </w:rPr>
              <w:t>8.2</w:t>
            </w:r>
          </w:p>
        </w:tc>
        <w:tc>
          <w:tcPr>
            <w:tcW w:w="1200" w:type="dxa"/>
            <w:vAlign w:val="bottom"/>
            <w:tcBorders>
              <w:top w:val="single" w:sz="8" w:color="auto"/>
            </w:tcBorders>
            <w:gridSpan w:val="11"/>
          </w:tcPr>
          <w:p>
            <w:pPr>
              <w:spacing w:after="0" w:line="176" w:lineRule="exact"/>
              <w:rPr>
                <w:sz w:val="20"/>
                <w:szCs w:val="20"/>
                <w:color w:val="auto"/>
              </w:rPr>
            </w:pPr>
            <w:r>
              <w:rPr>
                <w:rFonts w:ascii="Arial" w:cs="Arial" w:eastAsia="Arial" w:hAnsi="Arial"/>
                <w:sz w:val="18"/>
                <w:szCs w:val="18"/>
                <w:b w:val="1"/>
                <w:bCs w:val="1"/>
                <w:color w:val="auto"/>
              </w:rPr>
              <w:t>Publicity</w:t>
            </w:r>
            <w:r>
              <w:rPr>
                <w:rFonts w:ascii="Arial" w:cs="Arial" w:eastAsia="Arial" w:hAnsi="Arial"/>
                <w:sz w:val="18"/>
                <w:szCs w:val="18"/>
                <w:color w:val="auto"/>
              </w:rPr>
              <w:t>.</w:t>
            </w:r>
          </w:p>
        </w:tc>
        <w:tc>
          <w:tcPr>
            <w:tcW w:w="6080" w:type="dxa"/>
            <w:vAlign w:val="bottom"/>
            <w:tcBorders>
              <w:top w:val="single" w:sz="8" w:color="CCFFCC"/>
            </w:tcBorders>
            <w:gridSpan w:val="22"/>
          </w:tcPr>
          <w:p>
            <w:pPr>
              <w:spacing w:after="0"/>
              <w:rPr>
                <w:sz w:val="15"/>
                <w:szCs w:val="15"/>
                <w:color w:val="auto"/>
              </w:rPr>
            </w:pPr>
          </w:p>
        </w:tc>
        <w:tc>
          <w:tcPr>
            <w:tcW w:w="27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8.3</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No Use of Name</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920" w:type="dxa"/>
            <w:vAlign w:val="bottom"/>
            <w:tcBorders>
              <w:top w:val="single" w:sz="8" w:color="CCFFC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3500" w:type="dxa"/>
            <w:vAlign w:val="bottom"/>
            <w:tcBorders>
              <w:top w:val="single" w:sz="8" w:color="CCFFCC"/>
            </w:tcBorders>
          </w:tcPr>
          <w:p>
            <w:pPr>
              <w:spacing w:after="0"/>
              <w:rPr>
                <w:sz w:val="18"/>
                <w:szCs w:val="18"/>
                <w:color w:val="auto"/>
              </w:rPr>
            </w:pPr>
          </w:p>
        </w:tc>
        <w:tc>
          <w:tcPr>
            <w:tcW w:w="276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9.</w:t>
            </w:r>
          </w:p>
        </w:tc>
        <w:tc>
          <w:tcPr>
            <w:tcW w:w="8200" w:type="dxa"/>
            <w:vAlign w:val="bottom"/>
            <w:gridSpan w:val="34"/>
            <w:shd w:val="clear" w:color="auto" w:fill="CCFFCC"/>
          </w:tcPr>
          <w:p>
            <w:pPr>
              <w:ind w:left="240"/>
              <w:spacing w:after="0"/>
              <w:rPr>
                <w:sz w:val="20"/>
                <w:szCs w:val="20"/>
                <w:color w:val="auto"/>
              </w:rPr>
            </w:pPr>
            <w:r>
              <w:rPr>
                <w:rFonts w:ascii="Arial" w:cs="Arial" w:eastAsia="Arial" w:hAnsi="Arial"/>
                <w:sz w:val="18"/>
                <w:szCs w:val="18"/>
                <w:color w:val="auto"/>
              </w:rPr>
              <w:t>INTELLECTUAL PROPERTY RIGHTS</w:t>
            </w:r>
          </w:p>
        </w:tc>
        <w:tc>
          <w:tcPr>
            <w:tcW w:w="2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9.1</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SUBLICENSOR Intellectual Property Rights</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ind w:left="240"/>
              <w:spacing w:after="0" w:line="176" w:lineRule="exact"/>
              <w:rPr>
                <w:sz w:val="20"/>
                <w:szCs w:val="20"/>
                <w:color w:val="auto"/>
              </w:rPr>
            </w:pPr>
            <w:r>
              <w:rPr>
                <w:rFonts w:ascii="Arial" w:cs="Arial" w:eastAsia="Arial" w:hAnsi="Arial"/>
                <w:sz w:val="18"/>
                <w:szCs w:val="18"/>
                <w:b w:val="1"/>
                <w:bCs w:val="1"/>
                <w:color w:val="auto"/>
              </w:rPr>
              <w:t>9.2</w:t>
            </w:r>
          </w:p>
        </w:tc>
        <w:tc>
          <w:tcPr>
            <w:tcW w:w="3480" w:type="dxa"/>
            <w:vAlign w:val="bottom"/>
            <w:tcBorders>
              <w:top w:val="single" w:sz="8" w:color="auto"/>
            </w:tcBorders>
            <w:gridSpan w:val="30"/>
          </w:tcPr>
          <w:p>
            <w:pPr>
              <w:spacing w:after="0" w:line="176" w:lineRule="exact"/>
              <w:rPr>
                <w:sz w:val="20"/>
                <w:szCs w:val="20"/>
                <w:color w:val="auto"/>
              </w:rPr>
            </w:pPr>
            <w:r>
              <w:rPr>
                <w:rFonts w:ascii="Arial" w:cs="Arial" w:eastAsia="Arial" w:hAnsi="Arial"/>
                <w:sz w:val="18"/>
                <w:szCs w:val="18"/>
                <w:b w:val="1"/>
                <w:bCs w:val="1"/>
                <w:color w:val="auto"/>
              </w:rPr>
              <w:t>Improvement</w:t>
            </w:r>
          </w:p>
        </w:tc>
        <w:tc>
          <w:tcPr>
            <w:tcW w:w="3800" w:type="dxa"/>
            <w:vAlign w:val="bottom"/>
            <w:tcBorders>
              <w:top w:val="single" w:sz="8" w:color="CCFFCC"/>
            </w:tcBorders>
            <w:gridSpan w:val="3"/>
          </w:tcPr>
          <w:p>
            <w:pPr>
              <w:spacing w:after="0"/>
              <w:rPr>
                <w:sz w:val="15"/>
                <w:szCs w:val="15"/>
                <w:color w:val="auto"/>
              </w:rPr>
            </w:pPr>
          </w:p>
        </w:tc>
        <w:tc>
          <w:tcPr>
            <w:tcW w:w="27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9.3</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Joint Improvement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240"/>
              <w:spacing w:after="0" w:line="176" w:lineRule="exact"/>
              <w:rPr>
                <w:sz w:val="20"/>
                <w:szCs w:val="20"/>
                <w:color w:val="auto"/>
              </w:rPr>
            </w:pPr>
            <w:r>
              <w:rPr>
                <w:rFonts w:ascii="Arial" w:cs="Arial" w:eastAsia="Arial" w:hAnsi="Arial"/>
                <w:sz w:val="18"/>
                <w:szCs w:val="18"/>
                <w:b w:val="1"/>
                <w:bCs w:val="1"/>
                <w:color w:val="auto"/>
              </w:rPr>
              <w:t>9.4</w:t>
            </w:r>
          </w:p>
        </w:tc>
        <w:tc>
          <w:tcPr>
            <w:tcW w:w="7280" w:type="dxa"/>
            <w:vAlign w:val="bottom"/>
            <w:gridSpan w:val="33"/>
          </w:tcPr>
          <w:p>
            <w:pPr>
              <w:spacing w:after="0" w:line="176" w:lineRule="exact"/>
              <w:rPr>
                <w:sz w:val="20"/>
                <w:szCs w:val="20"/>
                <w:color w:val="auto"/>
              </w:rPr>
            </w:pPr>
            <w:r>
              <w:rPr>
                <w:rFonts w:ascii="Arial" w:cs="Arial" w:eastAsia="Arial" w:hAnsi="Arial"/>
                <w:sz w:val="18"/>
                <w:szCs w:val="18"/>
                <w:b w:val="1"/>
                <w:bCs w:val="1"/>
                <w:color w:val="auto"/>
              </w:rPr>
              <w:t>Patent Coordinators</w:t>
            </w:r>
            <w:r>
              <w:rPr>
                <w:rFonts w:ascii="Arial" w:cs="Arial" w:eastAsia="Arial" w:hAnsi="Arial"/>
                <w:sz w:val="18"/>
                <w:szCs w:val="18"/>
                <w:color w:val="auto"/>
              </w:rPr>
              <w:t>.</w:t>
            </w:r>
          </w:p>
        </w:tc>
        <w:tc>
          <w:tcPr>
            <w:tcW w:w="276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9.5</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Notice; Inventorship</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920" w:type="dxa"/>
            <w:vAlign w:val="bottom"/>
            <w:tcBorders>
              <w:top w:val="single" w:sz="8" w:color="CCFFC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3500" w:type="dxa"/>
            <w:vAlign w:val="bottom"/>
            <w:tcBorders>
              <w:top w:val="single" w:sz="8" w:color="CCFFCC"/>
            </w:tcBorders>
          </w:tcPr>
          <w:p>
            <w:pPr>
              <w:spacing w:after="0"/>
              <w:rPr>
                <w:sz w:val="18"/>
                <w:szCs w:val="18"/>
                <w:color w:val="auto"/>
              </w:rPr>
            </w:pPr>
          </w:p>
        </w:tc>
        <w:tc>
          <w:tcPr>
            <w:tcW w:w="276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10.</w:t>
            </w:r>
          </w:p>
        </w:tc>
        <w:tc>
          <w:tcPr>
            <w:tcW w:w="8200" w:type="dxa"/>
            <w:vAlign w:val="bottom"/>
            <w:gridSpan w:val="34"/>
            <w:shd w:val="clear" w:color="auto" w:fill="CCFFCC"/>
          </w:tcPr>
          <w:p>
            <w:pPr>
              <w:ind w:left="240"/>
              <w:spacing w:after="0"/>
              <w:rPr>
                <w:sz w:val="20"/>
                <w:szCs w:val="20"/>
                <w:color w:val="auto"/>
              </w:rPr>
            </w:pPr>
            <w:r>
              <w:rPr>
                <w:rFonts w:ascii="Arial" w:cs="Arial" w:eastAsia="Arial" w:hAnsi="Arial"/>
                <w:sz w:val="18"/>
                <w:szCs w:val="18"/>
                <w:color w:val="auto"/>
              </w:rPr>
              <w:t>FILING, PROSECUTION AND MAINTENANCE OF PATENT RIGHTS</w:t>
            </w:r>
          </w:p>
        </w:tc>
        <w:tc>
          <w:tcPr>
            <w:tcW w:w="2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10.1</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Patent Filing, Prosecution and Maintenance.</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240"/>
              <w:spacing w:after="0" w:line="176" w:lineRule="exact"/>
              <w:rPr>
                <w:sz w:val="20"/>
                <w:szCs w:val="20"/>
                <w:color w:val="auto"/>
              </w:rPr>
            </w:pPr>
            <w:r>
              <w:rPr>
                <w:rFonts w:ascii="Arial" w:cs="Arial" w:eastAsia="Arial" w:hAnsi="Arial"/>
                <w:sz w:val="18"/>
                <w:szCs w:val="18"/>
                <w:b w:val="1"/>
                <w:bCs w:val="1"/>
                <w:color w:val="auto"/>
              </w:rPr>
              <w:t>10.2</w:t>
            </w:r>
          </w:p>
        </w:tc>
        <w:tc>
          <w:tcPr>
            <w:tcW w:w="7280" w:type="dxa"/>
            <w:vAlign w:val="bottom"/>
            <w:gridSpan w:val="33"/>
          </w:tcPr>
          <w:p>
            <w:pPr>
              <w:spacing w:after="0" w:line="176" w:lineRule="exact"/>
              <w:rPr>
                <w:sz w:val="20"/>
                <w:szCs w:val="20"/>
                <w:color w:val="auto"/>
              </w:rPr>
            </w:pPr>
            <w:r>
              <w:rPr>
                <w:rFonts w:ascii="Arial" w:cs="Arial" w:eastAsia="Arial" w:hAnsi="Arial"/>
                <w:sz w:val="18"/>
                <w:szCs w:val="18"/>
                <w:b w:val="1"/>
                <w:bCs w:val="1"/>
                <w:color w:val="auto"/>
              </w:rPr>
              <w:t>Enforcement and Defense</w:t>
            </w:r>
            <w:r>
              <w:rPr>
                <w:rFonts w:ascii="Arial" w:cs="Arial" w:eastAsia="Arial" w:hAnsi="Arial"/>
                <w:sz w:val="18"/>
                <w:szCs w:val="18"/>
                <w:color w:val="auto"/>
              </w:rPr>
              <w:t>.</w:t>
            </w:r>
          </w:p>
        </w:tc>
        <w:tc>
          <w:tcPr>
            <w:tcW w:w="276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10.3</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Trademark Prosecution and Registration</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FFCC"/>
            </w:tcBorders>
          </w:tcPr>
          <w:p>
            <w:pPr>
              <w:spacing w:after="0"/>
              <w:rPr>
                <w:sz w:val="18"/>
                <w:szCs w:val="18"/>
                <w:color w:val="auto"/>
              </w:rPr>
            </w:pPr>
          </w:p>
        </w:tc>
        <w:tc>
          <w:tcPr>
            <w:tcW w:w="920" w:type="dxa"/>
            <w:vAlign w:val="bottom"/>
            <w:tcBorders>
              <w:top w:val="single" w:sz="8" w:color="CCFFC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3500" w:type="dxa"/>
            <w:vAlign w:val="bottom"/>
            <w:tcBorders>
              <w:top w:val="single" w:sz="8" w:color="CCFFCC"/>
            </w:tcBorders>
          </w:tcPr>
          <w:p>
            <w:pPr>
              <w:spacing w:after="0"/>
              <w:rPr>
                <w:sz w:val="18"/>
                <w:szCs w:val="18"/>
                <w:color w:val="auto"/>
              </w:rPr>
            </w:pPr>
          </w:p>
        </w:tc>
        <w:tc>
          <w:tcPr>
            <w:tcW w:w="276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11.</w:t>
            </w:r>
          </w:p>
        </w:tc>
        <w:tc>
          <w:tcPr>
            <w:tcW w:w="8200" w:type="dxa"/>
            <w:vAlign w:val="bottom"/>
            <w:gridSpan w:val="34"/>
            <w:shd w:val="clear" w:color="auto" w:fill="CCFFCC"/>
          </w:tcPr>
          <w:p>
            <w:pPr>
              <w:ind w:left="240"/>
              <w:spacing w:after="0"/>
              <w:rPr>
                <w:sz w:val="20"/>
                <w:szCs w:val="20"/>
                <w:color w:val="auto"/>
              </w:rPr>
            </w:pPr>
            <w:r>
              <w:rPr>
                <w:rFonts w:ascii="Arial" w:cs="Arial" w:eastAsia="Arial" w:hAnsi="Arial"/>
                <w:sz w:val="18"/>
                <w:szCs w:val="18"/>
                <w:color w:val="auto"/>
              </w:rPr>
              <w:t>TERM AND TERMINATION</w:t>
            </w:r>
          </w:p>
        </w:tc>
        <w:tc>
          <w:tcPr>
            <w:tcW w:w="2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11.1</w:t>
            </w:r>
          </w:p>
        </w:tc>
        <w:tc>
          <w:tcPr>
            <w:tcW w:w="7280" w:type="dxa"/>
            <w:vAlign w:val="bottom"/>
            <w:gridSpan w:val="33"/>
            <w:shd w:val="clear" w:color="auto" w:fill="CCFFCC"/>
          </w:tcPr>
          <w:p>
            <w:pPr>
              <w:spacing w:after="0"/>
              <w:rPr>
                <w:sz w:val="20"/>
                <w:szCs w:val="20"/>
                <w:color w:val="auto"/>
              </w:rPr>
            </w:pPr>
            <w:r>
              <w:rPr>
                <w:rFonts w:ascii="Arial" w:cs="Arial" w:eastAsia="Arial" w:hAnsi="Arial"/>
                <w:sz w:val="18"/>
                <w:szCs w:val="18"/>
                <w:b w:val="1"/>
                <w:bCs w:val="1"/>
                <w:color w:val="auto"/>
              </w:rPr>
              <w:t>Term</w:t>
            </w:r>
            <w:r>
              <w:rPr>
                <w:rFonts w:ascii="Arial" w:cs="Arial" w:eastAsia="Arial" w:hAnsi="Arial"/>
                <w:sz w:val="18"/>
                <w:szCs w:val="18"/>
                <w:color w:val="auto"/>
              </w:rPr>
              <w:t>.</w:t>
            </w:r>
          </w:p>
        </w:tc>
        <w:tc>
          <w:tcPr>
            <w:tcW w:w="2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240"/>
              <w:spacing w:after="0" w:line="176" w:lineRule="exact"/>
              <w:rPr>
                <w:sz w:val="20"/>
                <w:szCs w:val="20"/>
                <w:color w:val="auto"/>
              </w:rPr>
            </w:pPr>
            <w:r>
              <w:rPr>
                <w:rFonts w:ascii="Arial" w:cs="Arial" w:eastAsia="Arial" w:hAnsi="Arial"/>
                <w:sz w:val="18"/>
                <w:szCs w:val="18"/>
                <w:b w:val="1"/>
                <w:bCs w:val="1"/>
                <w:color w:val="auto"/>
              </w:rPr>
              <w:t>11.2</w:t>
            </w:r>
          </w:p>
        </w:tc>
        <w:tc>
          <w:tcPr>
            <w:tcW w:w="7280" w:type="dxa"/>
            <w:vAlign w:val="bottom"/>
            <w:gridSpan w:val="33"/>
          </w:tcPr>
          <w:p>
            <w:pPr>
              <w:spacing w:after="0" w:line="176" w:lineRule="exact"/>
              <w:rPr>
                <w:sz w:val="20"/>
                <w:szCs w:val="20"/>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tc>
        <w:tc>
          <w:tcPr>
            <w:tcW w:w="276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11.3</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Consequences of Termination of Agreement</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ind w:left="240"/>
              <w:spacing w:after="0" w:line="176" w:lineRule="exact"/>
              <w:rPr>
                <w:sz w:val="20"/>
                <w:szCs w:val="20"/>
                <w:color w:val="auto"/>
              </w:rPr>
            </w:pPr>
            <w:r>
              <w:rPr>
                <w:rFonts w:ascii="Arial" w:cs="Arial" w:eastAsia="Arial" w:hAnsi="Arial"/>
                <w:sz w:val="18"/>
                <w:szCs w:val="18"/>
                <w:b w:val="1"/>
                <w:bCs w:val="1"/>
                <w:color w:val="auto"/>
              </w:rPr>
              <w:t>11.4</w:t>
            </w:r>
          </w:p>
        </w:tc>
        <w:tc>
          <w:tcPr>
            <w:tcW w:w="3360" w:type="dxa"/>
            <w:vAlign w:val="bottom"/>
            <w:tcBorders>
              <w:top w:val="single" w:sz="8" w:color="auto"/>
            </w:tcBorders>
            <w:gridSpan w:val="28"/>
          </w:tcPr>
          <w:p>
            <w:pPr>
              <w:spacing w:after="0" w:line="176" w:lineRule="exact"/>
              <w:rPr>
                <w:sz w:val="20"/>
                <w:szCs w:val="20"/>
                <w:color w:val="auto"/>
              </w:rPr>
            </w:pPr>
            <w:r>
              <w:rPr>
                <w:rFonts w:ascii="Arial" w:cs="Arial" w:eastAsia="Arial" w:hAnsi="Arial"/>
                <w:sz w:val="18"/>
                <w:szCs w:val="18"/>
                <w:b w:val="1"/>
                <w:bCs w:val="1"/>
                <w:color w:val="auto"/>
              </w:rPr>
              <w:t>Surviving Provisions</w:t>
            </w:r>
            <w:r>
              <w:rPr>
                <w:rFonts w:ascii="Arial" w:cs="Arial" w:eastAsia="Arial" w:hAnsi="Arial"/>
                <w:sz w:val="18"/>
                <w:szCs w:val="18"/>
                <w:color w:val="auto"/>
              </w:rPr>
              <w:t>.</w:t>
            </w:r>
          </w:p>
        </w:tc>
        <w:tc>
          <w:tcPr>
            <w:tcW w:w="3920" w:type="dxa"/>
            <w:vAlign w:val="bottom"/>
            <w:tcBorders>
              <w:top w:val="single" w:sz="8" w:color="CCFFCC"/>
            </w:tcBorders>
            <w:gridSpan w:val="5"/>
          </w:tcPr>
          <w:p>
            <w:pPr>
              <w:spacing w:after="0"/>
              <w:rPr>
                <w:sz w:val="15"/>
                <w:szCs w:val="15"/>
                <w:color w:val="auto"/>
              </w:rPr>
            </w:pPr>
          </w:p>
        </w:tc>
        <w:tc>
          <w:tcPr>
            <w:tcW w:w="27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500" w:type="dxa"/>
            <w:vAlign w:val="bottom"/>
            <w:shd w:val="clear" w:color="auto" w:fill="CCFFCC"/>
          </w:tcPr>
          <w:p>
            <w:pPr>
              <w:spacing w:after="0"/>
              <w:rPr>
                <w:sz w:val="18"/>
                <w:szCs w:val="18"/>
                <w:color w:val="auto"/>
              </w:rPr>
            </w:pPr>
          </w:p>
        </w:tc>
        <w:tc>
          <w:tcPr>
            <w:tcW w:w="27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12.</w:t>
            </w:r>
          </w:p>
        </w:tc>
        <w:tc>
          <w:tcPr>
            <w:tcW w:w="8200" w:type="dxa"/>
            <w:vAlign w:val="bottom"/>
            <w:gridSpan w:val="34"/>
          </w:tcPr>
          <w:p>
            <w:pPr>
              <w:ind w:left="240"/>
              <w:spacing w:after="0"/>
              <w:rPr>
                <w:sz w:val="20"/>
                <w:szCs w:val="20"/>
                <w:color w:val="auto"/>
              </w:rPr>
            </w:pPr>
            <w:r>
              <w:rPr>
                <w:rFonts w:ascii="Arial" w:cs="Arial" w:eastAsia="Arial" w:hAnsi="Arial"/>
                <w:sz w:val="18"/>
                <w:szCs w:val="18"/>
                <w:color w:val="auto"/>
              </w:rPr>
              <w:t>REPRESENTATIONS AND WARRANTIES</w:t>
            </w:r>
          </w:p>
        </w:tc>
        <w:tc>
          <w:tcPr>
            <w:tcW w:w="27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500" w:type="dxa"/>
            <w:vAlign w:val="bottom"/>
            <w:shd w:val="clear" w:color="auto" w:fill="CCFFCC"/>
          </w:tcPr>
          <w:p>
            <w:pPr>
              <w:spacing w:after="0"/>
              <w:rPr>
                <w:sz w:val="18"/>
                <w:szCs w:val="18"/>
                <w:color w:val="auto"/>
              </w:rPr>
            </w:pPr>
          </w:p>
        </w:tc>
        <w:tc>
          <w:tcPr>
            <w:tcW w:w="27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240"/>
              <w:spacing w:after="0" w:line="176" w:lineRule="exact"/>
              <w:rPr>
                <w:sz w:val="20"/>
                <w:szCs w:val="20"/>
                <w:color w:val="auto"/>
              </w:rPr>
            </w:pPr>
            <w:r>
              <w:rPr>
                <w:rFonts w:ascii="Arial" w:cs="Arial" w:eastAsia="Arial" w:hAnsi="Arial"/>
                <w:sz w:val="18"/>
                <w:szCs w:val="18"/>
                <w:b w:val="1"/>
                <w:bCs w:val="1"/>
                <w:color w:val="auto"/>
              </w:rPr>
              <w:t>12.1</w:t>
            </w:r>
          </w:p>
        </w:tc>
        <w:tc>
          <w:tcPr>
            <w:tcW w:w="7280" w:type="dxa"/>
            <w:vAlign w:val="bottom"/>
            <w:gridSpan w:val="33"/>
          </w:tcPr>
          <w:p>
            <w:pPr>
              <w:spacing w:after="0" w:line="176" w:lineRule="exact"/>
              <w:rPr>
                <w:sz w:val="20"/>
                <w:szCs w:val="20"/>
                <w:color w:val="auto"/>
              </w:rPr>
            </w:pPr>
            <w:r>
              <w:rPr>
                <w:rFonts w:ascii="Arial" w:cs="Arial" w:eastAsia="Arial" w:hAnsi="Arial"/>
                <w:sz w:val="18"/>
                <w:szCs w:val="18"/>
                <w:b w:val="1"/>
                <w:bCs w:val="1"/>
                <w:color w:val="auto"/>
              </w:rPr>
              <w:t>Mutual Representations and Warranties.</w:t>
            </w:r>
          </w:p>
        </w:tc>
        <w:tc>
          <w:tcPr>
            <w:tcW w:w="276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12.2</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Additional Representations of SUBLICENSOR</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ind w:left="240"/>
              <w:spacing w:after="0" w:line="176" w:lineRule="exact"/>
              <w:rPr>
                <w:sz w:val="20"/>
                <w:szCs w:val="20"/>
                <w:color w:val="auto"/>
              </w:rPr>
            </w:pPr>
            <w:r>
              <w:rPr>
                <w:rFonts w:ascii="Arial" w:cs="Arial" w:eastAsia="Arial" w:hAnsi="Arial"/>
                <w:sz w:val="18"/>
                <w:szCs w:val="18"/>
                <w:b w:val="1"/>
                <w:bCs w:val="1"/>
                <w:color w:val="auto"/>
              </w:rPr>
              <w:t>12.3</w:t>
            </w:r>
          </w:p>
        </w:tc>
        <w:tc>
          <w:tcPr>
            <w:tcW w:w="3640" w:type="dxa"/>
            <w:vAlign w:val="bottom"/>
            <w:tcBorders>
              <w:top w:val="single" w:sz="8" w:color="auto"/>
            </w:tcBorders>
            <w:gridSpan w:val="31"/>
          </w:tcPr>
          <w:p>
            <w:pPr>
              <w:spacing w:after="0" w:line="176" w:lineRule="exact"/>
              <w:rPr>
                <w:sz w:val="20"/>
                <w:szCs w:val="20"/>
                <w:color w:val="auto"/>
              </w:rPr>
            </w:pPr>
            <w:r>
              <w:rPr>
                <w:rFonts w:ascii="Arial" w:cs="Arial" w:eastAsia="Arial" w:hAnsi="Arial"/>
                <w:sz w:val="18"/>
                <w:szCs w:val="18"/>
                <w:b w:val="1"/>
                <w:bCs w:val="1"/>
                <w:color w:val="auto"/>
              </w:rPr>
              <w:t>Additional Representations of ILDONG</w:t>
            </w:r>
            <w:r>
              <w:rPr>
                <w:rFonts w:ascii="Arial" w:cs="Arial" w:eastAsia="Arial" w:hAnsi="Arial"/>
                <w:sz w:val="18"/>
                <w:szCs w:val="18"/>
                <w:color w:val="auto"/>
              </w:rPr>
              <w:t>.</w:t>
            </w:r>
          </w:p>
        </w:tc>
        <w:tc>
          <w:tcPr>
            <w:tcW w:w="3640" w:type="dxa"/>
            <w:vAlign w:val="bottom"/>
            <w:tcBorders>
              <w:top w:val="single" w:sz="8" w:color="CCFFCC"/>
            </w:tcBorders>
            <w:gridSpan w:val="2"/>
          </w:tcPr>
          <w:p>
            <w:pPr>
              <w:spacing w:after="0"/>
              <w:rPr>
                <w:sz w:val="15"/>
                <w:szCs w:val="15"/>
                <w:color w:val="auto"/>
              </w:rPr>
            </w:pPr>
          </w:p>
        </w:tc>
        <w:tc>
          <w:tcPr>
            <w:tcW w:w="27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500" w:type="dxa"/>
            <w:vAlign w:val="bottom"/>
            <w:shd w:val="clear" w:color="auto" w:fill="CCFFCC"/>
          </w:tcPr>
          <w:p>
            <w:pPr>
              <w:spacing w:after="0"/>
              <w:rPr>
                <w:sz w:val="18"/>
                <w:szCs w:val="18"/>
                <w:color w:val="auto"/>
              </w:rPr>
            </w:pPr>
          </w:p>
        </w:tc>
        <w:tc>
          <w:tcPr>
            <w:tcW w:w="27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13.</w:t>
            </w:r>
          </w:p>
        </w:tc>
        <w:tc>
          <w:tcPr>
            <w:tcW w:w="8200" w:type="dxa"/>
            <w:vAlign w:val="bottom"/>
            <w:gridSpan w:val="34"/>
          </w:tcPr>
          <w:p>
            <w:pPr>
              <w:ind w:left="240"/>
              <w:spacing w:after="0"/>
              <w:rPr>
                <w:sz w:val="20"/>
                <w:szCs w:val="20"/>
                <w:color w:val="auto"/>
              </w:rPr>
            </w:pPr>
            <w:r>
              <w:rPr>
                <w:rFonts w:ascii="Arial" w:cs="Arial" w:eastAsia="Arial" w:hAnsi="Arial"/>
                <w:sz w:val="18"/>
                <w:szCs w:val="18"/>
                <w:color w:val="auto"/>
              </w:rPr>
              <w:t>INDEMNIFICATION; INSURANCE</w:t>
            </w:r>
          </w:p>
        </w:tc>
        <w:tc>
          <w:tcPr>
            <w:tcW w:w="27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500" w:type="dxa"/>
            <w:vAlign w:val="bottom"/>
            <w:shd w:val="clear" w:color="auto" w:fill="CCFFCC"/>
          </w:tcPr>
          <w:p>
            <w:pPr>
              <w:spacing w:after="0"/>
              <w:rPr>
                <w:sz w:val="18"/>
                <w:szCs w:val="18"/>
                <w:color w:val="auto"/>
              </w:rPr>
            </w:pPr>
          </w:p>
        </w:tc>
        <w:tc>
          <w:tcPr>
            <w:tcW w:w="27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240"/>
              <w:spacing w:after="0" w:line="176" w:lineRule="exact"/>
              <w:rPr>
                <w:sz w:val="20"/>
                <w:szCs w:val="20"/>
                <w:color w:val="auto"/>
              </w:rPr>
            </w:pPr>
            <w:r>
              <w:rPr>
                <w:rFonts w:ascii="Arial" w:cs="Arial" w:eastAsia="Arial" w:hAnsi="Arial"/>
                <w:sz w:val="18"/>
                <w:szCs w:val="18"/>
                <w:b w:val="1"/>
                <w:bCs w:val="1"/>
                <w:color w:val="auto"/>
              </w:rPr>
              <w:t>13.1</w:t>
            </w:r>
          </w:p>
        </w:tc>
        <w:tc>
          <w:tcPr>
            <w:tcW w:w="7280" w:type="dxa"/>
            <w:vAlign w:val="bottom"/>
            <w:gridSpan w:val="33"/>
          </w:tcPr>
          <w:p>
            <w:pPr>
              <w:spacing w:after="0" w:line="176" w:lineRule="exact"/>
              <w:rPr>
                <w:sz w:val="20"/>
                <w:szCs w:val="20"/>
                <w:color w:val="auto"/>
              </w:rPr>
            </w:pPr>
            <w:r>
              <w:rPr>
                <w:rFonts w:ascii="Arial" w:cs="Arial" w:eastAsia="Arial" w:hAnsi="Arial"/>
                <w:sz w:val="18"/>
                <w:szCs w:val="18"/>
                <w:b w:val="1"/>
                <w:bCs w:val="1"/>
                <w:color w:val="auto"/>
              </w:rPr>
              <w:t>Indemnification of SUBLICENSOR by ILDONG</w:t>
            </w:r>
            <w:r>
              <w:rPr>
                <w:rFonts w:ascii="Arial" w:cs="Arial" w:eastAsia="Arial" w:hAnsi="Arial"/>
                <w:sz w:val="18"/>
                <w:szCs w:val="18"/>
                <w:color w:val="auto"/>
              </w:rPr>
              <w:t>.</w:t>
            </w:r>
          </w:p>
        </w:tc>
        <w:tc>
          <w:tcPr>
            <w:tcW w:w="276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13.2</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Indemnification of ILDONG by SUBLICENSOR</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ind w:left="240"/>
              <w:spacing w:after="0" w:line="176" w:lineRule="exact"/>
              <w:rPr>
                <w:sz w:val="20"/>
                <w:szCs w:val="20"/>
                <w:color w:val="auto"/>
              </w:rPr>
            </w:pPr>
            <w:r>
              <w:rPr>
                <w:rFonts w:ascii="Arial" w:cs="Arial" w:eastAsia="Arial" w:hAnsi="Arial"/>
                <w:sz w:val="18"/>
                <w:szCs w:val="18"/>
                <w:b w:val="1"/>
                <w:bCs w:val="1"/>
                <w:color w:val="auto"/>
              </w:rPr>
              <w:t>13.3</w:t>
            </w:r>
          </w:p>
        </w:tc>
        <w:tc>
          <w:tcPr>
            <w:tcW w:w="3780" w:type="dxa"/>
            <w:vAlign w:val="bottom"/>
            <w:tcBorders>
              <w:top w:val="single" w:sz="8" w:color="auto"/>
            </w:tcBorders>
            <w:gridSpan w:val="32"/>
          </w:tcPr>
          <w:p>
            <w:pPr>
              <w:spacing w:after="0" w:line="176" w:lineRule="exact"/>
              <w:rPr>
                <w:sz w:val="20"/>
                <w:szCs w:val="20"/>
                <w:color w:val="auto"/>
              </w:rPr>
            </w:pPr>
            <w:r>
              <w:rPr>
                <w:rFonts w:ascii="Arial" w:cs="Arial" w:eastAsia="Arial" w:hAnsi="Arial"/>
                <w:sz w:val="18"/>
                <w:szCs w:val="18"/>
                <w:b w:val="1"/>
                <w:bCs w:val="1"/>
                <w:color w:val="auto"/>
              </w:rPr>
              <w:t>Conditions to Indemnification</w:t>
            </w:r>
            <w:r>
              <w:rPr>
                <w:rFonts w:ascii="Arial" w:cs="Arial" w:eastAsia="Arial" w:hAnsi="Arial"/>
                <w:sz w:val="18"/>
                <w:szCs w:val="18"/>
                <w:color w:val="auto"/>
              </w:rPr>
              <w:t>.</w:t>
            </w:r>
          </w:p>
        </w:tc>
        <w:tc>
          <w:tcPr>
            <w:tcW w:w="3500" w:type="dxa"/>
            <w:vAlign w:val="bottom"/>
            <w:tcBorders>
              <w:top w:val="single" w:sz="8" w:color="CCFFCC"/>
            </w:tcBorders>
          </w:tcPr>
          <w:p>
            <w:pPr>
              <w:spacing w:after="0"/>
              <w:rPr>
                <w:sz w:val="15"/>
                <w:szCs w:val="15"/>
                <w:color w:val="auto"/>
              </w:rPr>
            </w:pPr>
          </w:p>
        </w:tc>
        <w:tc>
          <w:tcPr>
            <w:tcW w:w="27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13.4</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240"/>
              <w:spacing w:after="0" w:line="176" w:lineRule="exact"/>
              <w:rPr>
                <w:sz w:val="20"/>
                <w:szCs w:val="20"/>
                <w:color w:val="auto"/>
              </w:rPr>
            </w:pPr>
            <w:r>
              <w:rPr>
                <w:rFonts w:ascii="Arial" w:cs="Arial" w:eastAsia="Arial" w:hAnsi="Arial"/>
                <w:sz w:val="18"/>
                <w:szCs w:val="18"/>
                <w:b w:val="1"/>
                <w:bCs w:val="1"/>
                <w:color w:val="auto"/>
              </w:rPr>
              <w:t>13.5</w:t>
            </w:r>
          </w:p>
        </w:tc>
        <w:tc>
          <w:tcPr>
            <w:tcW w:w="7280" w:type="dxa"/>
            <w:vAlign w:val="bottom"/>
            <w:gridSpan w:val="33"/>
          </w:tcPr>
          <w:p>
            <w:pPr>
              <w:spacing w:after="0" w:line="176" w:lineRule="exact"/>
              <w:rPr>
                <w:sz w:val="20"/>
                <w:szCs w:val="20"/>
                <w:color w:val="auto"/>
              </w:rPr>
            </w:pPr>
            <w:r>
              <w:rPr>
                <w:rFonts w:ascii="Arial" w:cs="Arial" w:eastAsia="Arial" w:hAnsi="Arial"/>
                <w:sz w:val="18"/>
                <w:szCs w:val="18"/>
                <w:b w:val="1"/>
                <w:bCs w:val="1"/>
                <w:color w:val="auto"/>
              </w:rPr>
              <w:t>Warranty Disclaimer</w:t>
            </w:r>
            <w:r>
              <w:rPr>
                <w:rFonts w:ascii="Arial" w:cs="Arial" w:eastAsia="Arial" w:hAnsi="Arial"/>
                <w:sz w:val="18"/>
                <w:szCs w:val="18"/>
                <w:color w:val="auto"/>
              </w:rPr>
              <w:t>.</w:t>
            </w:r>
          </w:p>
        </w:tc>
        <w:tc>
          <w:tcPr>
            <w:tcW w:w="276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13.6</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No Warranty of Success</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ind w:left="240"/>
              <w:spacing w:after="0" w:line="176" w:lineRule="exact"/>
              <w:rPr>
                <w:sz w:val="20"/>
                <w:szCs w:val="20"/>
                <w:color w:val="auto"/>
              </w:rPr>
            </w:pPr>
            <w:r>
              <w:rPr>
                <w:rFonts w:ascii="Arial" w:cs="Arial" w:eastAsia="Arial" w:hAnsi="Arial"/>
                <w:sz w:val="18"/>
                <w:szCs w:val="18"/>
                <w:b w:val="1"/>
                <w:bCs w:val="1"/>
                <w:color w:val="auto"/>
              </w:rPr>
              <w:t>13.7</w:t>
            </w:r>
          </w:p>
        </w:tc>
        <w:tc>
          <w:tcPr>
            <w:tcW w:w="1860" w:type="dxa"/>
            <w:vAlign w:val="bottom"/>
            <w:tcBorders>
              <w:top w:val="single" w:sz="8" w:color="auto"/>
            </w:tcBorders>
            <w:gridSpan w:val="21"/>
          </w:tcPr>
          <w:p>
            <w:pPr>
              <w:spacing w:after="0" w:line="176" w:lineRule="exact"/>
              <w:rPr>
                <w:sz w:val="20"/>
                <w:szCs w:val="20"/>
                <w:color w:val="auto"/>
              </w:rPr>
            </w:pPr>
            <w:r>
              <w:rPr>
                <w:rFonts w:ascii="Arial" w:cs="Arial" w:eastAsia="Arial" w:hAnsi="Arial"/>
                <w:sz w:val="18"/>
                <w:szCs w:val="18"/>
                <w:b w:val="1"/>
                <w:bCs w:val="1"/>
                <w:color w:val="auto"/>
              </w:rPr>
              <w:t>Limited Liability</w:t>
            </w:r>
            <w:r>
              <w:rPr>
                <w:rFonts w:ascii="Arial" w:cs="Arial" w:eastAsia="Arial" w:hAnsi="Arial"/>
                <w:sz w:val="18"/>
                <w:szCs w:val="18"/>
                <w:color w:val="auto"/>
              </w:rPr>
              <w:t>.</w:t>
            </w:r>
          </w:p>
        </w:tc>
        <w:tc>
          <w:tcPr>
            <w:tcW w:w="5420" w:type="dxa"/>
            <w:vAlign w:val="bottom"/>
            <w:tcBorders>
              <w:top w:val="single" w:sz="8" w:color="CCFFCC"/>
            </w:tcBorders>
            <w:gridSpan w:val="12"/>
          </w:tcPr>
          <w:p>
            <w:pPr>
              <w:spacing w:after="0"/>
              <w:rPr>
                <w:sz w:val="15"/>
                <w:szCs w:val="15"/>
                <w:color w:val="auto"/>
              </w:rPr>
            </w:pPr>
          </w:p>
        </w:tc>
        <w:tc>
          <w:tcPr>
            <w:tcW w:w="27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500" w:type="dxa"/>
            <w:vAlign w:val="bottom"/>
            <w:shd w:val="clear" w:color="auto" w:fill="CCFFCC"/>
          </w:tcPr>
          <w:p>
            <w:pPr>
              <w:spacing w:after="0"/>
              <w:rPr>
                <w:sz w:val="18"/>
                <w:szCs w:val="18"/>
                <w:color w:val="auto"/>
              </w:rPr>
            </w:pPr>
          </w:p>
        </w:tc>
        <w:tc>
          <w:tcPr>
            <w:tcW w:w="27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14.</w:t>
            </w:r>
          </w:p>
        </w:tc>
        <w:tc>
          <w:tcPr>
            <w:tcW w:w="8200" w:type="dxa"/>
            <w:vAlign w:val="bottom"/>
            <w:gridSpan w:val="34"/>
          </w:tcPr>
          <w:p>
            <w:pPr>
              <w:ind w:left="240"/>
              <w:spacing w:after="0"/>
              <w:rPr>
                <w:sz w:val="20"/>
                <w:szCs w:val="20"/>
                <w:color w:val="auto"/>
              </w:rPr>
            </w:pPr>
            <w:r>
              <w:rPr>
                <w:rFonts w:ascii="Arial" w:cs="Arial" w:eastAsia="Arial" w:hAnsi="Arial"/>
                <w:sz w:val="18"/>
                <w:szCs w:val="18"/>
                <w:color w:val="auto"/>
              </w:rPr>
              <w:t>MISCELLANEOUS</w:t>
            </w:r>
          </w:p>
        </w:tc>
        <w:tc>
          <w:tcPr>
            <w:tcW w:w="27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500" w:type="dxa"/>
            <w:vAlign w:val="bottom"/>
            <w:shd w:val="clear" w:color="auto" w:fill="CCFFCC"/>
          </w:tcPr>
          <w:p>
            <w:pPr>
              <w:spacing w:after="0"/>
              <w:rPr>
                <w:sz w:val="18"/>
                <w:szCs w:val="18"/>
                <w:color w:val="auto"/>
              </w:rPr>
            </w:pPr>
          </w:p>
        </w:tc>
        <w:tc>
          <w:tcPr>
            <w:tcW w:w="27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240"/>
              <w:spacing w:after="0" w:line="176" w:lineRule="exact"/>
              <w:rPr>
                <w:sz w:val="20"/>
                <w:szCs w:val="20"/>
                <w:color w:val="auto"/>
              </w:rPr>
            </w:pPr>
            <w:r>
              <w:rPr>
                <w:rFonts w:ascii="Arial" w:cs="Arial" w:eastAsia="Arial" w:hAnsi="Arial"/>
                <w:sz w:val="18"/>
                <w:szCs w:val="18"/>
                <w:b w:val="1"/>
                <w:bCs w:val="1"/>
                <w:color w:val="auto"/>
              </w:rPr>
              <w:t>14.1</w:t>
            </w:r>
          </w:p>
        </w:tc>
        <w:tc>
          <w:tcPr>
            <w:tcW w:w="7280" w:type="dxa"/>
            <w:vAlign w:val="bottom"/>
            <w:gridSpan w:val="33"/>
          </w:tcPr>
          <w:p>
            <w:pPr>
              <w:spacing w:after="0" w:line="176" w:lineRule="exact"/>
              <w:rPr>
                <w:sz w:val="20"/>
                <w:szCs w:val="20"/>
                <w:color w:val="auto"/>
              </w:rPr>
            </w:pPr>
            <w:r>
              <w:rPr>
                <w:rFonts w:ascii="Arial" w:cs="Arial" w:eastAsia="Arial" w:hAnsi="Arial"/>
                <w:sz w:val="18"/>
                <w:szCs w:val="18"/>
                <w:b w:val="1"/>
                <w:bCs w:val="1"/>
                <w:color w:val="auto"/>
              </w:rPr>
              <w:t>Disputes; Consent to Jurisdiction</w:t>
            </w:r>
            <w:r>
              <w:rPr>
                <w:rFonts w:ascii="Arial" w:cs="Arial" w:eastAsia="Arial" w:hAnsi="Arial"/>
                <w:sz w:val="18"/>
                <w:szCs w:val="18"/>
                <w:color w:val="auto"/>
              </w:rPr>
              <w:t>.</w:t>
            </w:r>
          </w:p>
        </w:tc>
        <w:tc>
          <w:tcPr>
            <w:tcW w:w="276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14.2</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240"/>
              <w:spacing w:after="0" w:line="176" w:lineRule="exact"/>
              <w:rPr>
                <w:sz w:val="20"/>
                <w:szCs w:val="20"/>
                <w:color w:val="auto"/>
              </w:rPr>
            </w:pPr>
            <w:r>
              <w:rPr>
                <w:rFonts w:ascii="Arial" w:cs="Arial" w:eastAsia="Arial" w:hAnsi="Arial"/>
                <w:sz w:val="18"/>
                <w:szCs w:val="18"/>
                <w:b w:val="1"/>
                <w:bCs w:val="1"/>
                <w:color w:val="auto"/>
              </w:rPr>
              <w:t>14.3</w:t>
            </w:r>
          </w:p>
        </w:tc>
        <w:tc>
          <w:tcPr>
            <w:tcW w:w="7280" w:type="dxa"/>
            <w:vAlign w:val="bottom"/>
            <w:gridSpan w:val="33"/>
          </w:tcPr>
          <w:p>
            <w:pPr>
              <w:spacing w:after="0" w:line="176" w:lineRule="exact"/>
              <w:rPr>
                <w:sz w:val="20"/>
                <w:szCs w:val="20"/>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p>
        </w:tc>
        <w:tc>
          <w:tcPr>
            <w:tcW w:w="276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14.4</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Competition Law</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top w:val="single" w:sz="8" w:color="CCFFCC"/>
            </w:tcBorders>
          </w:tcPr>
          <w:p>
            <w:pPr>
              <w:spacing w:after="0"/>
              <w:rPr>
                <w:sz w:val="15"/>
                <w:szCs w:val="15"/>
                <w:color w:val="auto"/>
              </w:rPr>
            </w:pPr>
          </w:p>
        </w:tc>
        <w:tc>
          <w:tcPr>
            <w:tcW w:w="920" w:type="dxa"/>
            <w:vAlign w:val="bottom"/>
            <w:tcBorders>
              <w:top w:val="single" w:sz="8" w:color="CCFFCC"/>
            </w:tcBorders>
          </w:tcPr>
          <w:p>
            <w:pPr>
              <w:ind w:left="240"/>
              <w:spacing w:after="0" w:line="176" w:lineRule="exact"/>
              <w:rPr>
                <w:sz w:val="20"/>
                <w:szCs w:val="20"/>
                <w:color w:val="auto"/>
              </w:rPr>
            </w:pPr>
            <w:r>
              <w:rPr>
                <w:rFonts w:ascii="Arial" w:cs="Arial" w:eastAsia="Arial" w:hAnsi="Arial"/>
                <w:sz w:val="18"/>
                <w:szCs w:val="18"/>
                <w:b w:val="1"/>
                <w:bCs w:val="1"/>
                <w:color w:val="auto"/>
              </w:rPr>
              <w:t>14.5</w:t>
            </w:r>
          </w:p>
        </w:tc>
        <w:tc>
          <w:tcPr>
            <w:tcW w:w="1360" w:type="dxa"/>
            <w:vAlign w:val="bottom"/>
            <w:tcBorders>
              <w:top w:val="single" w:sz="8" w:color="auto"/>
            </w:tcBorders>
            <w:gridSpan w:val="15"/>
          </w:tcPr>
          <w:p>
            <w:pPr>
              <w:spacing w:after="0" w:line="176" w:lineRule="exact"/>
              <w:rPr>
                <w:sz w:val="20"/>
                <w:szCs w:val="20"/>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w:t>
            </w:r>
          </w:p>
        </w:tc>
        <w:tc>
          <w:tcPr>
            <w:tcW w:w="5920" w:type="dxa"/>
            <w:vAlign w:val="bottom"/>
            <w:tcBorders>
              <w:top w:val="single" w:sz="8" w:color="CCFFCC"/>
            </w:tcBorders>
            <w:gridSpan w:val="18"/>
          </w:tcPr>
          <w:p>
            <w:pPr>
              <w:spacing w:after="0"/>
              <w:rPr>
                <w:sz w:val="15"/>
                <w:szCs w:val="15"/>
                <w:color w:val="auto"/>
              </w:rPr>
            </w:pPr>
          </w:p>
        </w:tc>
        <w:tc>
          <w:tcPr>
            <w:tcW w:w="27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14.6</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240"/>
              <w:spacing w:after="0" w:line="176" w:lineRule="exact"/>
              <w:rPr>
                <w:sz w:val="20"/>
                <w:szCs w:val="20"/>
                <w:color w:val="auto"/>
              </w:rPr>
            </w:pPr>
            <w:r>
              <w:rPr>
                <w:rFonts w:ascii="Arial" w:cs="Arial" w:eastAsia="Arial" w:hAnsi="Arial"/>
                <w:sz w:val="18"/>
                <w:szCs w:val="18"/>
                <w:b w:val="1"/>
                <w:bCs w:val="1"/>
                <w:color w:val="auto"/>
              </w:rPr>
              <w:t>14.7</w:t>
            </w:r>
          </w:p>
        </w:tc>
        <w:tc>
          <w:tcPr>
            <w:tcW w:w="7280" w:type="dxa"/>
            <w:vAlign w:val="bottom"/>
            <w:gridSpan w:val="33"/>
          </w:tcPr>
          <w:p>
            <w:pPr>
              <w:spacing w:after="0" w:line="176" w:lineRule="exact"/>
              <w:rPr>
                <w:sz w:val="20"/>
                <w:szCs w:val="20"/>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w:t>
            </w:r>
          </w:p>
        </w:tc>
        <w:tc>
          <w:tcPr>
            <w:tcW w:w="276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920" w:type="dxa"/>
            <w:vAlign w:val="bottom"/>
            <w:shd w:val="clear" w:color="auto" w:fill="CCFFCC"/>
          </w:tcPr>
          <w:p>
            <w:pPr>
              <w:ind w:left="240"/>
              <w:spacing w:after="0" w:line="176" w:lineRule="exact"/>
              <w:rPr>
                <w:sz w:val="20"/>
                <w:szCs w:val="20"/>
                <w:color w:val="auto"/>
              </w:rPr>
            </w:pPr>
            <w:r>
              <w:rPr>
                <w:rFonts w:ascii="Arial" w:cs="Arial" w:eastAsia="Arial" w:hAnsi="Arial"/>
                <w:sz w:val="18"/>
                <w:szCs w:val="18"/>
                <w:b w:val="1"/>
                <w:bCs w:val="1"/>
                <w:color w:val="auto"/>
              </w:rPr>
              <w:t>14.8</w:t>
            </w:r>
          </w:p>
        </w:tc>
        <w:tc>
          <w:tcPr>
            <w:tcW w:w="7280" w:type="dxa"/>
            <w:vAlign w:val="bottom"/>
            <w:gridSpan w:val="3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Amendment; Waiver</w:t>
            </w:r>
            <w:r>
              <w:rPr>
                <w:rFonts w:ascii="Arial" w:cs="Arial" w:eastAsia="Arial" w:hAnsi="Arial"/>
                <w:sz w:val="18"/>
                <w:szCs w:val="18"/>
                <w:color w:val="auto"/>
              </w:rPr>
              <w:t>.</w:t>
            </w:r>
          </w:p>
        </w:tc>
        <w:tc>
          <w:tcPr>
            <w:tcW w:w="27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60" w:type="dxa"/>
            <w:vAlign w:val="bottom"/>
            <w:shd w:val="clear" w:color="auto" w:fill="CCFFCC"/>
          </w:tcPr>
          <w:p>
            <w:pPr>
              <w:ind w:left="680"/>
              <w:spacing w:after="0"/>
              <w:rPr>
                <w:sz w:val="20"/>
                <w:szCs w:val="20"/>
                <w:color w:val="auto"/>
              </w:rPr>
            </w:pPr>
            <w:r>
              <w:rPr>
                <w:rFonts w:ascii="Arial" w:cs="Arial" w:eastAsia="Arial" w:hAnsi="Arial"/>
                <w:sz w:val="18"/>
                <w:szCs w:val="18"/>
                <w:b w:val="1"/>
                <w:bCs w:val="1"/>
                <w:color w:val="auto"/>
              </w:rPr>
              <w:t>14.9</w:t>
            </w:r>
          </w:p>
        </w:tc>
        <w:tc>
          <w:tcPr>
            <w:tcW w:w="6880" w:type="dxa"/>
            <w:vAlign w:val="bottom"/>
            <w:gridSpan w:val="8"/>
            <w:shd w:val="clear" w:color="auto" w:fill="CCFFCC"/>
          </w:tcPr>
          <w:p>
            <w:pPr>
              <w:spacing w:after="0"/>
              <w:rPr>
                <w:sz w:val="20"/>
                <w:szCs w:val="20"/>
                <w:color w:val="auto"/>
              </w:rPr>
            </w:pPr>
            <w:r>
              <w:rPr>
                <w:rFonts w:ascii="Arial" w:cs="Arial" w:eastAsia="Arial" w:hAnsi="Arial"/>
                <w:sz w:val="18"/>
                <w:szCs w:val="18"/>
                <w:b w:val="1"/>
                <w:bCs w:val="1"/>
                <w:color w:val="auto"/>
              </w:rPr>
              <w:t>No Third Party Beneficiaries.</w:t>
            </w:r>
          </w:p>
        </w:tc>
        <w:tc>
          <w:tcPr>
            <w:tcW w:w="3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FFCC"/>
            </w:tcBorders>
          </w:tcPr>
          <w:p>
            <w:pPr>
              <w:ind w:left="680"/>
              <w:spacing w:after="0" w:line="176" w:lineRule="exact"/>
              <w:rPr>
                <w:sz w:val="20"/>
                <w:szCs w:val="20"/>
                <w:color w:val="auto"/>
              </w:rPr>
            </w:pPr>
            <w:r>
              <w:rPr>
                <w:rFonts w:ascii="Arial" w:cs="Arial" w:eastAsia="Arial" w:hAnsi="Arial"/>
                <w:sz w:val="18"/>
                <w:szCs w:val="18"/>
                <w:b w:val="1"/>
                <w:bCs w:val="1"/>
                <w:color w:val="auto"/>
              </w:rPr>
              <w:t>14.10</w:t>
            </w:r>
          </w:p>
        </w:tc>
        <w:tc>
          <w:tcPr>
            <w:tcW w:w="2240" w:type="dxa"/>
            <w:vAlign w:val="bottom"/>
            <w:tcBorders>
              <w:top w:val="single" w:sz="8" w:color="auto"/>
            </w:tcBorders>
            <w:gridSpan w:val="7"/>
          </w:tcPr>
          <w:p>
            <w:pPr>
              <w:spacing w:after="0" w:line="176" w:lineRule="exact"/>
              <w:rPr>
                <w:sz w:val="20"/>
                <w:szCs w:val="20"/>
                <w:color w:val="auto"/>
              </w:rPr>
            </w:pPr>
            <w:r>
              <w:rPr>
                <w:rFonts w:ascii="Arial" w:cs="Arial" w:eastAsia="Arial" w:hAnsi="Arial"/>
                <w:sz w:val="18"/>
                <w:szCs w:val="18"/>
                <w:b w:val="1"/>
                <w:bCs w:val="1"/>
                <w:color w:val="auto"/>
              </w:rPr>
              <w:t>Purposes and Scope</w:t>
            </w:r>
            <w:r>
              <w:rPr>
                <w:rFonts w:ascii="Arial" w:cs="Arial" w:eastAsia="Arial" w:hAnsi="Arial"/>
                <w:sz w:val="18"/>
                <w:szCs w:val="18"/>
                <w:color w:val="auto"/>
              </w:rPr>
              <w:t>.</w:t>
            </w:r>
          </w:p>
        </w:tc>
        <w:tc>
          <w:tcPr>
            <w:tcW w:w="4640" w:type="dxa"/>
            <w:vAlign w:val="bottom"/>
            <w:tcBorders>
              <w:top w:val="single" w:sz="8" w:color="CCFFCC"/>
            </w:tcBorders>
          </w:tcPr>
          <w:p>
            <w:pPr>
              <w:spacing w:after="0"/>
              <w:rPr>
                <w:sz w:val="15"/>
                <w:szCs w:val="15"/>
                <w:color w:val="auto"/>
              </w:rPr>
            </w:pPr>
          </w:p>
        </w:tc>
        <w:tc>
          <w:tcPr>
            <w:tcW w:w="31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FFCC"/>
          </w:tcPr>
          <w:p>
            <w:pPr>
              <w:ind w:left="680"/>
              <w:spacing w:after="0" w:line="176" w:lineRule="exact"/>
              <w:rPr>
                <w:sz w:val="20"/>
                <w:szCs w:val="20"/>
                <w:color w:val="auto"/>
              </w:rPr>
            </w:pPr>
            <w:r>
              <w:rPr>
                <w:rFonts w:ascii="Arial" w:cs="Arial" w:eastAsia="Arial" w:hAnsi="Arial"/>
                <w:sz w:val="18"/>
                <w:szCs w:val="18"/>
                <w:b w:val="1"/>
                <w:bCs w:val="1"/>
                <w:color w:val="auto"/>
              </w:rPr>
              <w:t>14.11</w:t>
            </w:r>
          </w:p>
        </w:tc>
        <w:tc>
          <w:tcPr>
            <w:tcW w:w="6880" w:type="dxa"/>
            <w:vAlign w:val="bottom"/>
            <w:gridSpan w:val="8"/>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Assignment and Successors</w:t>
            </w:r>
            <w:r>
              <w:rPr>
                <w:rFonts w:ascii="Arial" w:cs="Arial" w:eastAsia="Arial" w:hAnsi="Arial"/>
                <w:sz w:val="18"/>
                <w:szCs w:val="18"/>
                <w:color w:val="auto"/>
              </w:rPr>
              <w:t>.</w:t>
            </w:r>
          </w:p>
        </w:tc>
        <w:tc>
          <w:tcPr>
            <w:tcW w:w="31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FFCC"/>
            </w:tcBorders>
          </w:tcPr>
          <w:p>
            <w:pPr>
              <w:ind w:left="680"/>
              <w:spacing w:after="0" w:line="176" w:lineRule="exact"/>
              <w:rPr>
                <w:sz w:val="20"/>
                <w:szCs w:val="20"/>
                <w:color w:val="auto"/>
              </w:rPr>
            </w:pPr>
            <w:r>
              <w:rPr>
                <w:rFonts w:ascii="Arial" w:cs="Arial" w:eastAsia="Arial" w:hAnsi="Arial"/>
                <w:sz w:val="18"/>
                <w:szCs w:val="18"/>
                <w:b w:val="1"/>
                <w:bCs w:val="1"/>
                <w:color w:val="auto"/>
              </w:rPr>
              <w:t>14.12</w:t>
            </w:r>
          </w:p>
        </w:tc>
        <w:tc>
          <w:tcPr>
            <w:tcW w:w="2100" w:type="dxa"/>
            <w:vAlign w:val="bottom"/>
            <w:tcBorders>
              <w:top w:val="single" w:sz="8" w:color="auto"/>
            </w:tcBorders>
            <w:gridSpan w:val="6"/>
          </w:tcPr>
          <w:p>
            <w:pPr>
              <w:spacing w:after="0" w:line="176" w:lineRule="exact"/>
              <w:rPr>
                <w:sz w:val="20"/>
                <w:szCs w:val="20"/>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w:t>
            </w:r>
          </w:p>
        </w:tc>
        <w:tc>
          <w:tcPr>
            <w:tcW w:w="4780" w:type="dxa"/>
            <w:vAlign w:val="bottom"/>
            <w:tcBorders>
              <w:top w:val="single" w:sz="8" w:color="CCFFCC"/>
            </w:tcBorders>
            <w:gridSpan w:val="2"/>
          </w:tcPr>
          <w:p>
            <w:pPr>
              <w:spacing w:after="0"/>
              <w:rPr>
                <w:sz w:val="15"/>
                <w:szCs w:val="15"/>
                <w:color w:val="auto"/>
              </w:rPr>
            </w:pPr>
          </w:p>
        </w:tc>
        <w:tc>
          <w:tcPr>
            <w:tcW w:w="3160" w:type="dxa"/>
            <w:vAlign w:val="bottom"/>
            <w:tcBorders>
              <w:top w:val="single" w:sz="8" w:color="CCFFCC"/>
            </w:tcBorders>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shd w:val="clear" w:color="auto" w:fill="CCFFCC"/>
          </w:tcPr>
          <w:p>
            <w:pPr>
              <w:ind w:left="680"/>
              <w:spacing w:after="0" w:line="176" w:lineRule="exact"/>
              <w:rPr>
                <w:sz w:val="20"/>
                <w:szCs w:val="20"/>
                <w:color w:val="auto"/>
              </w:rPr>
            </w:pPr>
            <w:r>
              <w:rPr>
                <w:rFonts w:ascii="Arial" w:cs="Arial" w:eastAsia="Arial" w:hAnsi="Arial"/>
                <w:sz w:val="18"/>
                <w:szCs w:val="18"/>
                <w:b w:val="1"/>
                <w:bCs w:val="1"/>
                <w:color w:val="auto"/>
              </w:rPr>
              <w:t>14.13</w:t>
            </w:r>
          </w:p>
        </w:tc>
        <w:tc>
          <w:tcPr>
            <w:tcW w:w="6880" w:type="dxa"/>
            <w:vAlign w:val="bottom"/>
            <w:gridSpan w:val="8"/>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w:t>
            </w:r>
          </w:p>
        </w:tc>
        <w:tc>
          <w:tcPr>
            <w:tcW w:w="31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640" w:type="dxa"/>
            <w:vAlign w:val="bottom"/>
            <w:tcBorders>
              <w:top w:val="single" w:sz="8" w:color="CCFFCC"/>
            </w:tcBorders>
            <w:shd w:val="clear" w:color="auto" w:fill="CCFFCC"/>
          </w:tcPr>
          <w:p>
            <w:pPr>
              <w:spacing w:after="0" w:line="20" w:lineRule="exact"/>
              <w:rPr>
                <w:sz w:val="1"/>
                <w:szCs w:val="1"/>
                <w:color w:val="auto"/>
              </w:rPr>
            </w:pPr>
          </w:p>
        </w:tc>
        <w:tc>
          <w:tcPr>
            <w:tcW w:w="3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tcPr>
          <w:p>
            <w:pPr>
              <w:ind w:left="680"/>
              <w:spacing w:after="0" w:line="176" w:lineRule="exact"/>
              <w:rPr>
                <w:sz w:val="20"/>
                <w:szCs w:val="20"/>
                <w:color w:val="auto"/>
              </w:rPr>
            </w:pPr>
            <w:r>
              <w:rPr>
                <w:rFonts w:ascii="Arial" w:cs="Arial" w:eastAsia="Arial" w:hAnsi="Arial"/>
                <w:sz w:val="18"/>
                <w:szCs w:val="18"/>
                <w:b w:val="1"/>
                <w:bCs w:val="1"/>
                <w:color w:val="auto"/>
              </w:rPr>
              <w:t>14.14</w:t>
            </w:r>
          </w:p>
        </w:tc>
        <w:tc>
          <w:tcPr>
            <w:tcW w:w="6880" w:type="dxa"/>
            <w:vAlign w:val="bottom"/>
            <w:gridSpan w:val="8"/>
          </w:tcPr>
          <w:p>
            <w:pPr>
              <w:spacing w:after="0" w:line="176" w:lineRule="exact"/>
              <w:rPr>
                <w:sz w:val="20"/>
                <w:szCs w:val="20"/>
                <w:color w:val="auto"/>
              </w:rPr>
            </w:pPr>
            <w:r>
              <w:rPr>
                <w:rFonts w:ascii="Arial" w:cs="Arial" w:eastAsia="Arial" w:hAnsi="Arial"/>
                <w:sz w:val="18"/>
                <w:szCs w:val="18"/>
                <w:b w:val="1"/>
                <w:bCs w:val="1"/>
                <w:color w:val="auto"/>
              </w:rPr>
              <w:t>Integration; Severability</w:t>
            </w:r>
            <w:r>
              <w:rPr>
                <w:rFonts w:ascii="Arial" w:cs="Arial" w:eastAsia="Arial" w:hAnsi="Arial"/>
                <w:sz w:val="18"/>
                <w:szCs w:val="18"/>
                <w:color w:val="auto"/>
              </w:rPr>
              <w:t>.</w:t>
            </w:r>
          </w:p>
        </w:tc>
        <w:tc>
          <w:tcPr>
            <w:tcW w:w="316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shd w:val="clear" w:color="auto" w:fill="CCFFCC"/>
          </w:tcPr>
          <w:p>
            <w:pPr>
              <w:ind w:left="680"/>
              <w:spacing w:after="0" w:line="176" w:lineRule="exact"/>
              <w:rPr>
                <w:sz w:val="20"/>
                <w:szCs w:val="20"/>
                <w:color w:val="auto"/>
              </w:rPr>
            </w:pPr>
            <w:r>
              <w:rPr>
                <w:rFonts w:ascii="Arial" w:cs="Arial" w:eastAsia="Arial" w:hAnsi="Arial"/>
                <w:sz w:val="18"/>
                <w:szCs w:val="18"/>
                <w:b w:val="1"/>
                <w:bCs w:val="1"/>
                <w:color w:val="auto"/>
              </w:rPr>
              <w:t>14.15</w:t>
            </w:r>
          </w:p>
        </w:tc>
        <w:tc>
          <w:tcPr>
            <w:tcW w:w="6880" w:type="dxa"/>
            <w:vAlign w:val="bottom"/>
            <w:gridSpan w:val="8"/>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Further Assurances</w:t>
            </w:r>
            <w:r>
              <w:rPr>
                <w:rFonts w:ascii="Arial" w:cs="Arial" w:eastAsia="Arial" w:hAnsi="Arial"/>
                <w:sz w:val="18"/>
                <w:szCs w:val="18"/>
                <w:color w:val="auto"/>
              </w:rPr>
              <w:t>.</w:t>
            </w:r>
          </w:p>
        </w:tc>
        <w:tc>
          <w:tcPr>
            <w:tcW w:w="31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640" w:type="dxa"/>
            <w:vAlign w:val="bottom"/>
            <w:tcBorders>
              <w:top w:val="single" w:sz="8" w:color="CCFFCC"/>
            </w:tcBorders>
            <w:shd w:val="clear" w:color="auto" w:fill="CCFFCC"/>
          </w:tcPr>
          <w:p>
            <w:pPr>
              <w:spacing w:after="0" w:line="20" w:lineRule="exact"/>
              <w:rPr>
                <w:sz w:val="1"/>
                <w:szCs w:val="1"/>
                <w:color w:val="auto"/>
              </w:rPr>
            </w:pPr>
          </w:p>
        </w:tc>
        <w:tc>
          <w:tcPr>
            <w:tcW w:w="3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260" w:type="dxa"/>
            <w:vAlign w:val="bottom"/>
            <w:gridSpan w:val="10"/>
          </w:tcPr>
          <w:p>
            <w:pPr>
              <w:spacing w:after="0"/>
              <w:rPr>
                <w:sz w:val="20"/>
                <w:szCs w:val="20"/>
                <w:color w:val="auto"/>
              </w:rPr>
            </w:pPr>
            <w:r>
              <w:rPr>
                <w:rFonts w:ascii="Arial" w:cs="Arial" w:eastAsia="Arial" w:hAnsi="Arial"/>
                <w:sz w:val="18"/>
                <w:szCs w:val="18"/>
                <w:b w:val="1"/>
                <w:bCs w:val="1"/>
                <w:color w:val="auto"/>
              </w:rPr>
              <w:t>List of Exhibits and Schedules</w:t>
            </w: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6880" w:type="dxa"/>
            <w:vAlign w:val="bottom"/>
            <w:gridSpan w:val="8"/>
          </w:tcPr>
          <w:p>
            <w:pPr>
              <w:spacing w:after="0"/>
              <w:rPr>
                <w:sz w:val="20"/>
                <w:szCs w:val="20"/>
                <w:color w:val="auto"/>
              </w:rPr>
            </w:pPr>
            <w:r>
              <w:rPr>
                <w:rFonts w:ascii="Arial" w:cs="Arial" w:eastAsia="Arial" w:hAnsi="Arial"/>
                <w:sz w:val="18"/>
                <w:szCs w:val="18"/>
                <w:color w:val="auto"/>
              </w:rPr>
              <w:t>Commercial Supply Agreement(s)</w:t>
            </w: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Schedule 2</w:t>
            </w:r>
          </w:p>
        </w:tc>
        <w:tc>
          <w:tcPr>
            <w:tcW w:w="6880" w:type="dxa"/>
            <w:vAlign w:val="bottom"/>
            <w:gridSpan w:val="8"/>
          </w:tcPr>
          <w:p>
            <w:pPr>
              <w:spacing w:after="0"/>
              <w:rPr>
                <w:sz w:val="20"/>
                <w:szCs w:val="20"/>
                <w:color w:val="auto"/>
              </w:rPr>
            </w:pPr>
            <w:r>
              <w:rPr>
                <w:rFonts w:ascii="Arial" w:cs="Arial" w:eastAsia="Arial" w:hAnsi="Arial"/>
                <w:sz w:val="18"/>
                <w:szCs w:val="18"/>
                <w:color w:val="auto"/>
              </w:rPr>
              <w:t>Commercialization Plan</w:t>
            </w: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Schedule 3</w:t>
            </w:r>
          </w:p>
        </w:tc>
        <w:tc>
          <w:tcPr>
            <w:tcW w:w="6880" w:type="dxa"/>
            <w:vAlign w:val="bottom"/>
            <w:gridSpan w:val="8"/>
          </w:tcPr>
          <w:p>
            <w:pPr>
              <w:spacing w:after="0"/>
              <w:rPr>
                <w:sz w:val="20"/>
                <w:szCs w:val="20"/>
                <w:color w:val="auto"/>
              </w:rPr>
            </w:pPr>
            <w:r>
              <w:rPr>
                <w:rFonts w:ascii="Arial" w:cs="Arial" w:eastAsia="Arial" w:hAnsi="Arial"/>
                <w:sz w:val="18"/>
                <w:szCs w:val="18"/>
                <w:color w:val="auto"/>
              </w:rPr>
              <w:t>Description of LFB-R603</w:t>
            </w: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Schedule 4</w:t>
            </w:r>
          </w:p>
        </w:tc>
        <w:tc>
          <w:tcPr>
            <w:tcW w:w="6880" w:type="dxa"/>
            <w:vAlign w:val="bottom"/>
            <w:gridSpan w:val="8"/>
          </w:tcPr>
          <w:p>
            <w:pPr>
              <w:spacing w:after="0"/>
              <w:rPr>
                <w:sz w:val="20"/>
                <w:szCs w:val="20"/>
                <w:color w:val="auto"/>
              </w:rPr>
            </w:pPr>
            <w:r>
              <w:rPr>
                <w:rFonts w:ascii="Arial" w:cs="Arial" w:eastAsia="Arial" w:hAnsi="Arial"/>
                <w:sz w:val="18"/>
                <w:szCs w:val="18"/>
                <w:color w:val="auto"/>
              </w:rPr>
              <w:t>Licensed Patent Rights and Background Patent Rights</w:t>
            </w: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Schedule 5</w:t>
            </w:r>
          </w:p>
        </w:tc>
        <w:tc>
          <w:tcPr>
            <w:tcW w:w="6880" w:type="dxa"/>
            <w:vAlign w:val="bottom"/>
            <w:gridSpan w:val="8"/>
          </w:tcPr>
          <w:p>
            <w:pPr>
              <w:spacing w:after="0"/>
              <w:rPr>
                <w:sz w:val="20"/>
                <w:szCs w:val="20"/>
                <w:color w:val="auto"/>
              </w:rPr>
            </w:pPr>
            <w:r>
              <w:rPr>
                <w:rFonts w:ascii="Arial" w:cs="Arial" w:eastAsia="Arial" w:hAnsi="Arial"/>
                <w:sz w:val="18"/>
                <w:szCs w:val="18"/>
                <w:color w:val="auto"/>
              </w:rPr>
              <w:t>Description of TG20</w:t>
            </w: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Schedule 6</w:t>
            </w:r>
          </w:p>
        </w:tc>
        <w:tc>
          <w:tcPr>
            <w:tcW w:w="6880" w:type="dxa"/>
            <w:vAlign w:val="bottom"/>
            <w:gridSpan w:val="8"/>
          </w:tcPr>
          <w:p>
            <w:pPr>
              <w:spacing w:after="0"/>
              <w:rPr>
                <w:sz w:val="20"/>
                <w:szCs w:val="20"/>
                <w:color w:val="auto"/>
              </w:rPr>
            </w:pPr>
            <w:r>
              <w:rPr>
                <w:rFonts w:ascii="Arial" w:cs="Arial" w:eastAsia="Arial" w:hAnsi="Arial"/>
                <w:sz w:val="18"/>
                <w:szCs w:val="18"/>
                <w:color w:val="auto"/>
              </w:rPr>
              <w:t>Press Release</w:t>
            </w: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Schedule 7</w:t>
            </w:r>
          </w:p>
        </w:tc>
        <w:tc>
          <w:tcPr>
            <w:tcW w:w="6880" w:type="dxa"/>
            <w:vAlign w:val="bottom"/>
            <w:gridSpan w:val="8"/>
          </w:tcPr>
          <w:p>
            <w:pPr>
              <w:spacing w:after="0"/>
              <w:rPr>
                <w:sz w:val="20"/>
                <w:szCs w:val="20"/>
                <w:color w:val="auto"/>
              </w:rPr>
            </w:pPr>
            <w:r>
              <w:rPr>
                <w:rFonts w:ascii="Arial" w:cs="Arial" w:eastAsia="Arial" w:hAnsi="Arial"/>
                <w:sz w:val="18"/>
                <w:szCs w:val="18"/>
                <w:color w:val="auto"/>
              </w:rPr>
              <w:t>Licensed Trademarks</w:t>
            </w: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SUBLICENSE AGREEMENT</w:t>
      </w:r>
    </w:p>
    <w:p>
      <w:pPr>
        <w:spacing w:after="0" w:line="22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This SUBLICENSE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November 13, 2012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TG Biologics, Inc., a Delaware corporation with a principal place of business at 787 Seventh Avenue, 48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10019 (</w:t>
      </w:r>
      <w:r>
        <w:rPr>
          <w:rFonts w:ascii="Arial" w:cs="Arial" w:eastAsia="Arial" w:hAnsi="Arial"/>
          <w:sz w:val="18"/>
          <w:szCs w:val="18"/>
          <w:b w:val="1"/>
          <w:bCs w:val="1"/>
          <w:color w:val="auto"/>
        </w:rPr>
        <w:t>“TG”</w:t>
      </w:r>
      <w:r>
        <w:rPr>
          <w:rFonts w:ascii="Arial" w:cs="Arial" w:eastAsia="Arial" w:hAnsi="Arial"/>
          <w:sz w:val="18"/>
          <w:szCs w:val="18"/>
          <w:color w:val="auto"/>
        </w:rPr>
        <w:t xml:space="preserve"> or </w:t>
      </w:r>
      <w:r>
        <w:rPr>
          <w:rFonts w:ascii="Arial" w:cs="Arial" w:eastAsia="Arial" w:hAnsi="Arial"/>
          <w:sz w:val="18"/>
          <w:szCs w:val="18"/>
          <w:b w:val="1"/>
          <w:bCs w:val="1"/>
          <w:color w:val="auto"/>
        </w:rPr>
        <w:t>SUBLICENSOR”</w:t>
      </w:r>
      <w:r>
        <w:rPr>
          <w:rFonts w:ascii="Arial" w:cs="Arial" w:eastAsia="Arial" w:hAnsi="Arial"/>
          <w:sz w:val="18"/>
          <w:szCs w:val="18"/>
          <w:color w:val="auto"/>
        </w:rPr>
        <w:t>) and Ildong Pharmaceutical Co. Ltd., a Korean limited company with a principal place of business at 60 Yangjae-dong, Seocho-ku, Seoul</w:t>
      </w:r>
      <w:r>
        <w:rPr>
          <w:rFonts w:ascii="Arial" w:cs="Arial" w:eastAsia="Arial" w:hAnsi="Arial"/>
          <w:sz w:val="18"/>
          <w:szCs w:val="18"/>
          <w:b w:val="1"/>
          <w:bCs w:val="1"/>
          <w:color w:val="auto"/>
        </w:rPr>
        <w:t xml:space="preserve"> </w:t>
      </w:r>
      <w:r>
        <w:rPr>
          <w:rFonts w:ascii="Arial" w:cs="Arial" w:eastAsia="Arial" w:hAnsi="Arial"/>
          <w:sz w:val="18"/>
          <w:szCs w:val="18"/>
          <w:color w:val="auto"/>
        </w:rPr>
        <w:t>137-733 KOREA (“</w:t>
      </w:r>
      <w:r>
        <w:rPr>
          <w:rFonts w:ascii="Arial" w:cs="Arial" w:eastAsia="Arial" w:hAnsi="Arial"/>
          <w:sz w:val="18"/>
          <w:szCs w:val="18"/>
          <w:b w:val="1"/>
          <w:bCs w:val="1"/>
          <w:color w:val="auto"/>
        </w:rPr>
        <w:t>ILDONG</w:t>
      </w:r>
      <w:r>
        <w:rPr>
          <w:rFonts w:ascii="Arial" w:cs="Arial" w:eastAsia="Arial" w:hAnsi="Arial"/>
          <w:sz w:val="18"/>
          <w:szCs w:val="18"/>
          <w:color w:val="auto"/>
        </w:rPr>
        <w:t xml:space="preserve">”). Each of ILDONG and SUBLICENSOR is sometimes referred to individually herein as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SUBLICENSOR is clinical-stage biopharmaceutical company focused on the acquisition, development and commercialization of innovative and medically important pharmaceutical products for the treatment of cancer and other underserved therapeutic needs;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ILDONG is a pharmaceutical company engaged in producing pharmaceutical specialties, pharmaceutical raw materials and environmental products;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WHEREAS, prior to the signature of the present Agreement, SUBLICENSOR has entered into an exclusive license agreement (the </w:t>
      </w:r>
      <w:r>
        <w:rPr>
          <w:rFonts w:ascii="Arial" w:cs="Arial" w:eastAsia="Arial" w:hAnsi="Arial"/>
          <w:sz w:val="17"/>
          <w:szCs w:val="17"/>
          <w:b w:val="1"/>
          <w:bCs w:val="1"/>
          <w:color w:val="auto"/>
        </w:rPr>
        <w:t>“LFB/GTC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w:t>
      </w:r>
      <w:r>
        <w:rPr>
          <w:rFonts w:ascii="Arial" w:cs="Arial" w:eastAsia="Arial" w:hAnsi="Arial"/>
          <w:sz w:val="17"/>
          <w:szCs w:val="17"/>
          <w:color w:val="auto"/>
        </w:rPr>
        <w:t>) with LFB Biotechnologies SAS, LFB/GTC LLC, and GTC Biotherapeutics Inc dated on 30th of January, 2012. (collectively the</w:t>
      </w:r>
      <w:r>
        <w:rPr>
          <w:rFonts w:ascii="Arial" w:cs="Arial" w:eastAsia="Arial" w:hAnsi="Arial"/>
          <w:sz w:val="17"/>
          <w:szCs w:val="17"/>
          <w:b w:val="1"/>
          <w:bCs w:val="1"/>
          <w:color w:val="auto"/>
        </w:rPr>
        <w:t xml:space="preserve"> “Senior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Licensors”</w:t>
      </w:r>
      <w:r>
        <w:rPr>
          <w:rFonts w:ascii="Arial" w:cs="Arial" w:eastAsia="Arial" w:hAnsi="Arial"/>
          <w:sz w:val="18"/>
          <w:szCs w:val="18"/>
          <w:color w:val="auto"/>
        </w:rPr>
        <w:t>) related to the Compounds (as such term is defined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pursuant to the terms of the LFB/GTC License, SUBLICENSOR has acquired rights to certain license agreements related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Compounds, including:</w:t>
      </w:r>
    </w:p>
    <w:p>
      <w:pPr>
        <w:spacing w:after="0" w:line="211" w:lineRule="exact"/>
        <w:rPr>
          <w:sz w:val="20"/>
          <w:szCs w:val="20"/>
          <w:color w:val="auto"/>
        </w:rPr>
      </w:pPr>
    </w:p>
    <w:p>
      <w:pPr>
        <w:ind w:left="980" w:right="20" w:hanging="324"/>
        <w:spacing w:after="0" w:line="25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license agreement with Dr. Hadam on an anti CD 20 monoclonal antibody, CAT 13.6.E12 and the hybridoma cell-line producing such murine antibody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license agreement with Pharming on the casein promoter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license agreement with Start/Viagen on the cloning and nuclear transfer technology;</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pursuant to Article 2.2 of the LFB/GTC License, SUBLICENSOR retains full rights to grant sublicense to certain patents, technology and material related to the Compounds;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pursuant to that executed term sheet between SUBLICENSOR and ILDONG, dated June 13, 2012, the Parties have agreed to enter into a license on the terms and subject to the conditions set forth in this Agreement;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in furtherance of such transaction, SUBLICENSOR and ILDONG have also agreed to enter into a Commercial Supply Agreement on the terms described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1" w:name="page82"/>
    <w:bookmarkEnd w:id="81"/>
    <w:p>
      <w:pPr>
        <w:ind w:firstLine="700"/>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Parties hereto, intending to be legally bound, hereby agree as follows:</w:t>
      </w:r>
    </w:p>
    <w:p>
      <w:pPr>
        <w:spacing w:after="0" w:line="166" w:lineRule="exact"/>
        <w:rPr>
          <w:sz w:val="20"/>
          <w:szCs w:val="20"/>
          <w:color w:val="auto"/>
        </w:rPr>
      </w:pPr>
    </w:p>
    <w:p>
      <w:pPr>
        <w:ind w:left="5320" w:hanging="404"/>
        <w:spacing w:after="0"/>
        <w:tabs>
          <w:tab w:leader="none" w:pos="53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Whenever used in this Agreement with an initial capital letter, the terms defined in this Article 1 shall have the meanings specified.</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Acceptance</w:t>
      </w:r>
      <w:r>
        <w:rPr>
          <w:rFonts w:ascii="Arial" w:cs="Arial" w:eastAsia="Arial" w:hAnsi="Arial"/>
          <w:sz w:val="18"/>
          <w:szCs w:val="18"/>
          <w:color w:val="auto"/>
        </w:rPr>
        <w:t>” means, with respect to a Drug Approval Application filed for a Product, the acceptance of such filing by the applicable Regulatory Authority in any country within the Territory.</w:t>
      </w:r>
    </w:p>
    <w:p>
      <w:pPr>
        <w:spacing w:after="0" w:line="16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1.2 “</w:t>
      </w:r>
      <w:r>
        <w:rPr>
          <w:rFonts w:ascii="Arial" w:cs="Arial" w:eastAsia="Arial" w:hAnsi="Arial"/>
          <w:sz w:val="17"/>
          <w:szCs w:val="17"/>
          <w:b w:val="1"/>
          <w:bCs w:val="1"/>
          <w:color w:val="auto"/>
        </w:rPr>
        <w:t>Adverse Event</w:t>
      </w:r>
      <w:r>
        <w:rPr>
          <w:rFonts w:ascii="Arial" w:cs="Arial" w:eastAsia="Arial" w:hAnsi="Arial"/>
          <w:sz w:val="17"/>
          <w:szCs w:val="17"/>
          <w:color w:val="auto"/>
        </w:rPr>
        <w:t>” means any untoward medical occurrence in a human clinical trial subject or in a patient who is administered a Compound or Product, whether or not considered related to the compound or product, including any undesirable sign (including abnormal laboratory findings of clinical concern), symptom or disease associated with the use of a Compound or Product, as defined more fully in 21 CFR §312.32.</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controls, or is controlled by, or is under common control with, such Person. For purposes of this definition, “control” means (a) ownership of more than fifty percent (50%) of the shares of stock entitled to vote for the election of directors in the case of a corporation, or more than fifty percent (50%) of the equity interests in the case of any other type of legal entity, (or such lesser maximum percentage permitted in those jurisdictions where majority ownership by foreign entities is prohibited); (b) status as a general partner in any partnership; or (c) any other arrangement whereby a Person controls or has the right to control the board of directors of a corporation or equivalent governing body of an entity other than a corporation.</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sublicense agreement and its Exhibits and Schedules listed in the table of contents.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Net Sales</w:t>
      </w:r>
      <w:r>
        <w:rPr>
          <w:rFonts w:ascii="Arial" w:cs="Arial" w:eastAsia="Arial" w:hAnsi="Arial"/>
          <w:sz w:val="16"/>
          <w:szCs w:val="16"/>
          <w:color w:val="auto"/>
        </w:rPr>
        <w:t>” means, with respect to any Calendar Year, the aggregate amount of Net Sales for such Calendar Year.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Anticipated Date of Receipt of Marketing Authorization</w:t>
      </w:r>
      <w:r>
        <w:rPr>
          <w:rFonts w:ascii="Arial" w:cs="Arial" w:eastAsia="Arial" w:hAnsi="Arial"/>
          <w:sz w:val="18"/>
          <w:szCs w:val="18"/>
          <w:color w:val="auto"/>
        </w:rPr>
        <w:t>” means, the date of receipt of Marketing Authorization from the applicable regulatory agency set forth in the Development Plan (Schedule 1)</w:t>
      </w:r>
    </w:p>
    <w:p>
      <w:pPr>
        <w:spacing w:after="0" w:line="1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API</w:t>
      </w:r>
      <w:r>
        <w:rPr>
          <w:rFonts w:ascii="Arial" w:cs="Arial" w:eastAsia="Arial" w:hAnsi="Arial"/>
          <w:sz w:val="16"/>
          <w:szCs w:val="16"/>
          <w:color w:val="auto"/>
        </w:rPr>
        <w:t>” means the active pharmaceutical ingredient that is intended to be used in the Manufacture of any Product.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2" w:name="page83"/>
    <w:bookmarkEnd w:id="82"/>
    <w:p>
      <w:pPr>
        <w:jc w:val="both"/>
        <w:ind w:firstLine="648"/>
        <w:spacing w:after="0" w:line="261"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Applicable Laws</w:t>
      </w:r>
      <w:r>
        <w:rPr>
          <w:rFonts w:ascii="Arial" w:cs="Arial" w:eastAsia="Arial" w:hAnsi="Arial"/>
          <w:sz w:val="18"/>
          <w:szCs w:val="18"/>
          <w:color w:val="auto"/>
        </w:rPr>
        <w:t>” means any national, international, federal, state or local laws, treaties, statutes, ordinances, rules and regulations, including any rules, regulations, guidance or guidelines of Regulatory Authorities having the binding effect of law, or of any national securities exchanges or securities listing organizations or other government authorities other than Regulatory Authorities, that are in effect from time to time during the Term and applicable to a particular activity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Background Patent Rights</w:t>
      </w:r>
      <w:r>
        <w:rPr>
          <w:rFonts w:ascii="Arial" w:cs="Arial" w:eastAsia="Arial" w:hAnsi="Arial"/>
          <w:sz w:val="18"/>
          <w:szCs w:val="18"/>
          <w:color w:val="auto"/>
        </w:rPr>
        <w:t xml:space="preserve">” means any Patent Rights that are Controlled by SUBLICENSOR, other than Licensed Patent Rights, containing one or more claims that could Cover any Compound or Product (including its Manufacture or its formulation or a method of its delivery or of its use). For the sake of clarity, the Background Patent Rights existing as of the Effective Date are listed on </w:t>
      </w:r>
      <w:r>
        <w:rPr>
          <w:rFonts w:ascii="Arial" w:cs="Arial" w:eastAsia="Arial" w:hAnsi="Arial"/>
          <w:sz w:val="18"/>
          <w:szCs w:val="18"/>
          <w:u w:val="single" w:color="auto"/>
          <w:color w:val="auto"/>
        </w:rPr>
        <w:t>Schedule 4.</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b w:val="1"/>
          <w:bCs w:val="1"/>
          <w:color w:val="auto"/>
        </w:rPr>
        <w:t>“BLA”</w:t>
      </w:r>
      <w:r>
        <w:rPr>
          <w:rFonts w:ascii="Arial" w:cs="Arial" w:eastAsia="Arial" w:hAnsi="Arial"/>
          <w:sz w:val="17"/>
          <w:szCs w:val="17"/>
          <w:color w:val="auto"/>
        </w:rPr>
        <w:t xml:space="preserve"> means (a) any Biologic License Application, as defined in the FDCA and regulations promulgated thereunder, or any successor application or procedure required to market and sell a Product in the Territory; and (b) all supplements and amendments to the foregoing</w:t>
      </w:r>
      <w:r>
        <w:rPr>
          <w:rFonts w:ascii="Arial" w:cs="Arial" w:eastAsia="Arial" w:hAnsi="Arial"/>
          <w:sz w:val="17"/>
          <w:szCs w:val="17"/>
          <w:b w:val="1"/>
          <w:bCs w:val="1"/>
          <w:color w:val="auto"/>
        </w:rPr>
        <w:t>.</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Branding</w:t>
      </w:r>
      <w:r>
        <w:rPr>
          <w:rFonts w:ascii="Arial" w:cs="Arial" w:eastAsia="Arial" w:hAnsi="Arial"/>
          <w:sz w:val="18"/>
          <w:szCs w:val="18"/>
          <w:color w:val="auto"/>
        </w:rPr>
        <w:t>” means all matters relating to the branding of any Product, including any matters related to the selection of any trademarks, brand names, product logos, branding colors, trade dress, positioning and key messages to be incorporated into Promotional Materials used for any Product in the Territory.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on which banking institutions in New York, New York, USA or Seoul, Korea are open for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Calendar Quarter</w:t>
      </w:r>
      <w:r>
        <w:rPr>
          <w:rFonts w:ascii="Arial" w:cs="Arial" w:eastAsia="Arial" w:hAnsi="Arial"/>
          <w:sz w:val="18"/>
          <w:szCs w:val="18"/>
          <w:color w:val="auto"/>
        </w:rPr>
        <w:t>” means the period beginning on the Effective Date and ending on the last day of the calendar quarter in which the Effective Date falls, and thereafter each successive period of three (3) consecutive calendar months ending on March 31, June 30, September 30 or December 31; provided, that, the final Calendar Quarter shall end on the last day of the Term.</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Calendar Year</w:t>
      </w:r>
      <w:r>
        <w:rPr>
          <w:rFonts w:ascii="Arial" w:cs="Arial" w:eastAsia="Arial" w:hAnsi="Arial"/>
          <w:sz w:val="18"/>
          <w:szCs w:val="18"/>
          <w:color w:val="auto"/>
        </w:rPr>
        <w:t>” means the period beginning on the Effective Date and ending on December 31 of the calendar year in which the Effective Date falls, and thereafter each successive period of twelve (12) months commencing on January 1 and ending on December 31; provided, that, the final Calendar Year shall end on the last day of the Term.</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“Challenge”</w:t>
      </w:r>
      <w:r>
        <w:rPr>
          <w:rFonts w:ascii="Arial" w:cs="Arial" w:eastAsia="Arial" w:hAnsi="Arial"/>
          <w:sz w:val="18"/>
          <w:szCs w:val="18"/>
          <w:color w:val="auto"/>
        </w:rPr>
        <w:t xml:space="preserve"> means any challenge to the validity or enforceability of any of the Licensed Patent Rights before any administrative, judicial or other governmental authority, court, tribunal or arbitration panel, including by (a) filing a declaratory judgment action in which any of the Licensed Patent Rights is alleged to be invalid or unenforceable; (b) citing prior art pursuant to 35 U.S.C. §301, filing a request for re-examination of any of the Licensed Patent Rights pursuant to 35 U.S.C. §302 and/or §311, or provoking or becoming a party to an interference with an application for any of the Licensed Patent Rights pursuant to 35 U.S.C. §135; or (c) filing or commencing any re-examination, opposition, cancellation, nullity or similar proceedings against any of the Licensed Patent Rights in any country.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83" w:name="page84"/>
    <w:bookmarkEnd w:id="83"/>
    <w:p>
      <w:pPr>
        <w:jc w:val="both"/>
        <w:ind w:firstLine="648"/>
        <w:spacing w:after="0" w:line="271"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Change of Control</w:t>
      </w:r>
      <w:r>
        <w:rPr>
          <w:rFonts w:ascii="Arial" w:cs="Arial" w:eastAsia="Arial" w:hAnsi="Arial"/>
          <w:sz w:val="17"/>
          <w:szCs w:val="17"/>
          <w:color w:val="auto"/>
        </w:rPr>
        <w:t>” means, with respect to ILDONG, a transaction or series of related transactions (including any merger, consolidation, share exchange, reorganization or combination) involving ILDONG and any Third Party that results in (a) the holders of outstanding voting securities of ILDONG immediately prior to such transaction ceasing to represent at least fifty percent (50%) of the combined outstanding voting power of ILDONG or of the surviving or continuing entity immediately after such transaction or series of transactions; (b) any Third Party (other than a trustee or other fiduciary holding securities under an employee benefit plan) becoming the beneficial owner of fifty percent (50%) or more of the combined voting power of the outstanding securities of ILDONG (including as a single Third Party all persons who in concert or act together as a “group” for purposes of acquiring shares of ILDONG, in accordance with Section 13(d) of the Securities Act of 1934) (other than an investment transaction by an entity not engaged in the pharmaceutical or biotechnology business, the purpose of which is to raise capital for ILDONG); or (c) the sale or other disposition to a Third Party of all or substantially all of ILDONG’s assets or business to which this Agreement relates.</w:t>
      </w:r>
    </w:p>
    <w:p>
      <w:pPr>
        <w:spacing w:after="0" w:line="17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Clinical Data</w:t>
      </w:r>
      <w:r>
        <w:rPr>
          <w:rFonts w:ascii="Arial" w:cs="Arial" w:eastAsia="Arial" w:hAnsi="Arial"/>
          <w:sz w:val="17"/>
          <w:szCs w:val="17"/>
          <w:color w:val="auto"/>
        </w:rPr>
        <w:t>” means any and all data (together with all Clinical Trial reports and the results of analyses thereof) derived or generated from any Clinical Trial of a Compound or Product or from testing of subjects or the analysis of samples used in any such Clinical Trial.</w:t>
      </w:r>
    </w:p>
    <w:p>
      <w:pPr>
        <w:spacing w:after="0" w:line="13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Trial</w:t>
      </w:r>
      <w:r>
        <w:rPr>
          <w:rFonts w:ascii="Arial" w:cs="Arial" w:eastAsia="Arial" w:hAnsi="Arial"/>
          <w:sz w:val="16"/>
          <w:szCs w:val="16"/>
          <w:color w:val="auto"/>
        </w:rPr>
        <w:t>” means, collectively, any Phase 1 Clinical Trial, Phase 2 Clinical Trial, Phase 3 Clinical Trial, as applicable.</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b w:val="1"/>
          <w:bCs w:val="1"/>
          <w:color w:val="auto"/>
        </w:rPr>
        <w:t>“Combination Product”</w:t>
      </w:r>
      <w:r>
        <w:rPr>
          <w:rFonts w:ascii="Arial" w:cs="Arial" w:eastAsia="Arial" w:hAnsi="Arial"/>
          <w:sz w:val="16"/>
          <w:szCs w:val="16"/>
          <w:color w:val="auto"/>
        </w:rPr>
        <w:t xml:space="preserve"> means a single product that includes, in combination with a Product, one or more therapeutically-active ingredients other than a Product that are sold in a single package or as a unit at a single price either as a fixed dosage form or as separate dosage forms.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b w:val="1"/>
          <w:bCs w:val="1"/>
          <w:color w:val="auto"/>
        </w:rPr>
        <w:t>Commercialization</w:t>
      </w:r>
      <w:r>
        <w:rPr>
          <w:rFonts w:ascii="Arial" w:cs="Arial" w:eastAsia="Arial" w:hAnsi="Arial"/>
          <w:sz w:val="17"/>
          <w:szCs w:val="17"/>
          <w:color w:val="auto"/>
        </w:rPr>
        <w:t>” or “</w:t>
      </w:r>
      <w:r>
        <w:rPr>
          <w:rFonts w:ascii="Arial" w:cs="Arial" w:eastAsia="Arial" w:hAnsi="Arial"/>
          <w:sz w:val="17"/>
          <w:szCs w:val="17"/>
          <w:b w:val="1"/>
          <w:bCs w:val="1"/>
          <w:color w:val="auto"/>
        </w:rPr>
        <w:t>Commercialize</w:t>
      </w:r>
      <w:r>
        <w:rPr>
          <w:rFonts w:ascii="Arial" w:cs="Arial" w:eastAsia="Arial" w:hAnsi="Arial"/>
          <w:sz w:val="17"/>
          <w:szCs w:val="17"/>
          <w:color w:val="auto"/>
        </w:rPr>
        <w:t>” means any and all activities directed to the offering for sale and sale of a Product after Marketing Authorization has been obtained with respect to such Product, including, (a) activities directed to marketing, promoting, detailing, distributing, Manufacturing, importing, selling and offering to sell such Product; (b) interacting with Regulatory Authorities regarding any of the foregoing; and (c) seeking Pricing Approvals and Reimbursement Approvals for such Product (d) Post Approval Clinical Trials. When used as a verb, “</w:t>
      </w:r>
      <w:r>
        <w:rPr>
          <w:rFonts w:ascii="Arial" w:cs="Arial" w:eastAsia="Arial" w:hAnsi="Arial"/>
          <w:sz w:val="17"/>
          <w:szCs w:val="17"/>
          <w:b w:val="1"/>
          <w:bCs w:val="1"/>
          <w:color w:val="auto"/>
        </w:rPr>
        <w:t>to Commercialize</w:t>
      </w:r>
      <w:r>
        <w:rPr>
          <w:rFonts w:ascii="Arial" w:cs="Arial" w:eastAsia="Arial" w:hAnsi="Arial"/>
          <w:sz w:val="17"/>
          <w:szCs w:val="17"/>
          <w:color w:val="auto"/>
        </w:rPr>
        <w:t>” and “</w:t>
      </w:r>
      <w:r>
        <w:rPr>
          <w:rFonts w:ascii="Arial" w:cs="Arial" w:eastAsia="Arial" w:hAnsi="Arial"/>
          <w:sz w:val="17"/>
          <w:szCs w:val="17"/>
          <w:b w:val="1"/>
          <w:bCs w:val="1"/>
          <w:color w:val="auto"/>
        </w:rPr>
        <w:t>Commercializing</w:t>
      </w:r>
      <w:r>
        <w:rPr>
          <w:rFonts w:ascii="Arial" w:cs="Arial" w:eastAsia="Arial" w:hAnsi="Arial"/>
          <w:sz w:val="17"/>
          <w:szCs w:val="17"/>
          <w:color w:val="auto"/>
        </w:rPr>
        <w:t xml:space="preserve">” means to engage in Commercialization and </w:t>
      </w:r>
      <w:r>
        <w:rPr>
          <w:rFonts w:ascii="Arial" w:cs="Arial" w:eastAsia="Arial" w:hAnsi="Arial"/>
          <w:sz w:val="17"/>
          <w:szCs w:val="17"/>
          <w:b w:val="1"/>
          <w:bCs w:val="1"/>
          <w:color w:val="auto"/>
        </w:rPr>
        <w:t>“Commercialized”</w:t>
      </w:r>
      <w:r>
        <w:rPr>
          <w:rFonts w:ascii="Arial" w:cs="Arial" w:eastAsia="Arial" w:hAnsi="Arial"/>
          <w:sz w:val="17"/>
          <w:szCs w:val="17"/>
          <w:color w:val="auto"/>
        </w:rPr>
        <w:t xml:space="preserve"> has a corresponding meaning.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4" w:name="page85"/>
    <w:bookmarkEnd w:id="84"/>
    <w:p>
      <w:pPr>
        <w:jc w:val="both"/>
        <w:ind w:firstLine="648"/>
        <w:spacing w:after="0" w:line="289"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b w:val="1"/>
          <w:bCs w:val="1"/>
          <w:color w:val="auto"/>
        </w:rPr>
        <w:t>Commercialization Plan</w:t>
      </w:r>
      <w:r>
        <w:rPr>
          <w:rFonts w:ascii="Arial" w:cs="Arial" w:eastAsia="Arial" w:hAnsi="Arial"/>
          <w:sz w:val="16"/>
          <w:szCs w:val="16"/>
          <w:color w:val="auto"/>
        </w:rPr>
        <w:t xml:space="preserve">” means, with respect to any Product, the written report prepared by ILDONG pursuant to Section 5.1 and submitted to SUBLICENSOR for its review that (a) describes the Commercialization activities that ILDONG reasonably expects to conduct with respect to such Product in the Territory, and (b) sets forth (i) a non-binding estimate of projected sales of such Product in the Territory, and (ii) a summary of all actual sales of such Product in the Territory, as such report may be amended or updated by ILDONG from time to time. Without limiting the foregoing, each Commercialization Plan shall include, without limitation, (a) demographics and market dynamics, market strategies, a marketing plan (including advertising, detailing forecasts, Pricing strategies pertaining to discounts and sales forecasts) for the Territory; (b) specific Commercialization and marketing objectives, projected milestones, resource allocation requirements and activities to be performed over such period (including all anticipated Clinical Trials) (collectively, the </w:t>
      </w:r>
      <w:r>
        <w:rPr>
          <w:rFonts w:ascii="Arial" w:cs="Arial" w:eastAsia="Arial" w:hAnsi="Arial"/>
          <w:sz w:val="16"/>
          <w:szCs w:val="16"/>
          <w:b w:val="1"/>
          <w:bCs w:val="1"/>
          <w:color w:val="auto"/>
        </w:rPr>
        <w:t>“Commercialization Targets”</w:t>
      </w:r>
      <w:r>
        <w:rPr>
          <w:rFonts w:ascii="Arial" w:cs="Arial" w:eastAsia="Arial" w:hAnsi="Arial"/>
          <w:sz w:val="16"/>
          <w:szCs w:val="16"/>
          <w:color w:val="auto"/>
        </w:rPr>
        <w:t>); (c) a timeline for such activities, including the estimated launch date(s) in the Territory; (d) a sales and expense forecast (including at least five (5) years of estimated sales and expenses in terms of both volume and value) for the Territory; (e) Manufacturing plans and the expected product profile; and (f) the expected Regulatory Filings to be required and prepared, and the expected timetable for making such Regulatory Filings.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the activities of ILDONG, and/or its Affiliates, Sublicensees, Distributors, in the Development or Commercialization, as the case may be, of a particular Compound and/or Product, the level of efforts and resources typically used and expected from a pharmaceutical company of similar size for the development or commercialization of products of comparable market potential, taking into account all relevant factors including, as applicable, the stage of development, observed efficacy and safety of the Product and relative to Competitive Products in the marketplace, actual or anticipated Regulatory Authority approved labeling, the nature and extent of market exclusivity (including patent coverage, regulatory exclusivity and competitiveness of alternative products), the cost and likelihood of obtaining Marketing Authorization, the actual or projected profitability, and the reasonably expected and actual pricing, reimbursement and formulary status. For purposes of clarity, Commercially Reasonable Efforts shall be determined on a market-by-market and Indication-by-Indication basis for a particular Compound and/or Product, and it is anticipated that the level of effort may be different for different markets and may change over time, reflecting changes in the status of the Compound or Product and the market(s) involved.</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“Competitive Entity”</w:t>
      </w:r>
      <w:r>
        <w:rPr>
          <w:rFonts w:ascii="Arial" w:cs="Arial" w:eastAsia="Arial" w:hAnsi="Arial"/>
          <w:sz w:val="18"/>
          <w:szCs w:val="18"/>
          <w:color w:val="auto"/>
        </w:rPr>
        <w:t xml:space="preserve"> means any Third Party that (a) together with its Affiliates and subsidiaries, collectively had worldwide sales of ethical pharmaceutical products, in the Calendar Year that preceded the Change of Control, of at least One Billion Dollars (USD $1,000,000,000), and (b) on the date of such Change of Control is actively working on any research program involving the expenditure of funds or the application of full time equivalents in the aggregate amount of at least $500,000 per Calendar Year involving a Competitive Program.</w:t>
      </w:r>
    </w:p>
    <w:p>
      <w:pPr>
        <w:spacing w:after="0" w:line="18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Competitive Products</w:t>
      </w:r>
      <w:r>
        <w:rPr>
          <w:rFonts w:ascii="Arial" w:cs="Arial" w:eastAsia="Arial" w:hAnsi="Arial"/>
          <w:sz w:val="16"/>
          <w:szCs w:val="16"/>
          <w:color w:val="auto"/>
        </w:rPr>
        <w:t>” means any anti CD 20 monoclonal antibody for use in the Field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Competitive Program</w:t>
      </w:r>
      <w:r>
        <w:rPr>
          <w:rFonts w:ascii="Arial" w:cs="Arial" w:eastAsia="Arial" w:hAnsi="Arial"/>
          <w:sz w:val="18"/>
          <w:szCs w:val="18"/>
          <w:color w:val="auto"/>
        </w:rPr>
        <w:t>” means any program that involves the research, development or commercialization of any (a) transgenically-derived chimeric monoclonal antibody or (b) cell-product anti CD 20 monoclonal antibody for use in the Field.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5" w:name="page86"/>
    <w:bookmarkEnd w:id="85"/>
    <w:p>
      <w:pPr>
        <w:jc w:val="both"/>
        <w:ind w:firstLine="648"/>
        <w:spacing w:after="0" w:line="2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“Completion”</w:t>
      </w:r>
      <w:r>
        <w:rPr>
          <w:rFonts w:ascii="Arial" w:cs="Arial" w:eastAsia="Arial" w:hAnsi="Arial"/>
          <w:sz w:val="18"/>
          <w:szCs w:val="18"/>
          <w:color w:val="auto"/>
        </w:rPr>
        <w:t xml:space="preserve"> means, with respect to any Clinical Trial, the date on which all material data reasonably expected to be derived therefrom has been generated and the final study report with respect thereto has been finalized.</w:t>
      </w:r>
    </w:p>
    <w:p>
      <w:pPr>
        <w:spacing w:after="0" w:line="16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Compounds</w:t>
      </w:r>
      <w:r>
        <w:rPr>
          <w:rFonts w:ascii="Arial" w:cs="Arial" w:eastAsia="Arial" w:hAnsi="Arial"/>
          <w:sz w:val="16"/>
          <w:szCs w:val="16"/>
          <w:color w:val="auto"/>
        </w:rPr>
        <w:t>” means ublituximab, collectively, (i) TG20 and/or (b) LFB-R603.</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1.28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with respect to each Party, all information, Technology and Proprietary Materials that is (i) ILDONG Background Technology, in the case of ILDONG and (ii) Licensed Technology, in the case of SUBLICENSOR, and, that, in any case, is disclosed or provided by or on behalf of such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to the other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or to any of the Receiving Party’s employees, consultants, Affiliates or sublicensees; provided, that, none of the foregoing shall be Confidential Information if: (A) as of the date of disclosure, it is known to the Receiving Party or its Affiliates as demonstrated by contemporaneous written documentation maintained in the ordinary course of business, other than by virtue of a prior confidential disclosure to such Receiving Party; (B) as of the date of disclosure it is in the public domain, or it subsequently enters the public domain through no fault of the Receiving Party; (C) it is obtained by the Receiving Party from a Third Party having a lawful right to make such disclosure free from any obligation of confidentiality to the Disclosing Party; or (D) it is independently developed by or for the Receiving Party without reference to or use of any Confidential Information of the Disclosing Party as demonstrated by contemporaneous written documentation maintained in the ordinary course of business. For purposes of clarity, (a) unless excluded from Confidential Information pursuant to the preceding sentence, any scientific, technical, manufacturing or financial information of a Party that is disclosed through any report (including any audit report) shall constitute Confidential Information of the Disclosing Party; (b) all Clinical Data produced by ILDONG in connection with the Development of a Compound or Product and/or in the conduct of Clinical Trials shall be Confidential Information of ILDONG; and (c)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1.29 “</w:t>
      </w:r>
      <w:r>
        <w:rPr>
          <w:rFonts w:ascii="Arial" w:cs="Arial" w:eastAsia="Arial" w:hAnsi="Arial"/>
          <w:sz w:val="17"/>
          <w:szCs w:val="17"/>
          <w:b w:val="1"/>
          <w:bCs w:val="1"/>
          <w:color w:val="auto"/>
        </w:rPr>
        <w:t>Control</w:t>
      </w:r>
      <w:r>
        <w:rPr>
          <w:rFonts w:ascii="Arial" w:cs="Arial" w:eastAsia="Arial" w:hAnsi="Arial"/>
          <w:sz w:val="17"/>
          <w:szCs w:val="17"/>
          <w:color w:val="auto"/>
        </w:rPr>
        <w:t>” or “</w:t>
      </w:r>
      <w:r>
        <w:rPr>
          <w:rFonts w:ascii="Arial" w:cs="Arial" w:eastAsia="Arial" w:hAnsi="Arial"/>
          <w:sz w:val="17"/>
          <w:szCs w:val="17"/>
          <w:b w:val="1"/>
          <w:bCs w:val="1"/>
          <w:color w:val="auto"/>
        </w:rPr>
        <w:t>Controlled</w:t>
      </w:r>
      <w:r>
        <w:rPr>
          <w:rFonts w:ascii="Arial" w:cs="Arial" w:eastAsia="Arial" w:hAnsi="Arial"/>
          <w:sz w:val="17"/>
          <w:szCs w:val="17"/>
          <w:color w:val="auto"/>
        </w:rPr>
        <w:t>” means (a) with respect to Technology (other than Proprietary Materials) or Patent Rights, the possession by a Party (or an Affiliate of such Party, as applicable) of the right to grant a license or sublicense to such Technology or Patent Rights as provided herein without violating the terms of any agreement or arrangement with, infringing the Patent Rights of, or misappropriating the proprietary or trade secret information of, any Third Party and without violating any Applicable Laws and (b) with respect to Proprietary Materials, the possession by a Party of the right to supply such Proprietary Materials to the other Party as provided herein without violating the terms of any agreement or arrangement with any Third Party and without violating any Applicable Laws. Notwithstanding the foregoing, no Party (or Affiliate of a Party, as applicable) shall be deemed to Control any Technology, Proprietary Materials or Patent Rights solely by virtue of the license grants set forth in this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6" w:name="page87"/>
    <w:bookmarkEnd w:id="86"/>
    <w:p>
      <w:pPr>
        <w:jc w:val="both"/>
        <w:ind w:firstLine="648"/>
        <w:spacing w:after="0" w:line="282"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Cover</w:t>
      </w:r>
      <w:r>
        <w:rPr>
          <w:rFonts w:ascii="Arial" w:cs="Arial" w:eastAsia="Arial" w:hAnsi="Arial"/>
          <w:sz w:val="18"/>
          <w:szCs w:val="18"/>
          <w:color w:val="auto"/>
        </w:rPr>
        <w:t>” or “</w:t>
      </w:r>
      <w:r>
        <w:rPr>
          <w:rFonts w:ascii="Arial" w:cs="Arial" w:eastAsia="Arial" w:hAnsi="Arial"/>
          <w:sz w:val="18"/>
          <w:szCs w:val="18"/>
          <w:b w:val="1"/>
          <w:bCs w:val="1"/>
          <w:color w:val="auto"/>
        </w:rPr>
        <w:t>Covered</w:t>
      </w:r>
      <w:r>
        <w:rPr>
          <w:rFonts w:ascii="Arial" w:cs="Arial" w:eastAsia="Arial" w:hAnsi="Arial"/>
          <w:sz w:val="18"/>
          <w:szCs w:val="18"/>
          <w:color w:val="auto"/>
        </w:rPr>
        <w:t>” means, with respect to a Product, that the manufacture, use or sale of such Product in a particular country by an unlicensed Third Party would infringe a Valid Claim.</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b w:val="1"/>
          <w:bCs w:val="1"/>
          <w:color w:val="auto"/>
        </w:rPr>
        <w:t>Development</w:t>
      </w:r>
      <w:r>
        <w:rPr>
          <w:rFonts w:ascii="Arial" w:cs="Arial" w:eastAsia="Arial" w:hAnsi="Arial"/>
          <w:sz w:val="17"/>
          <w:szCs w:val="17"/>
          <w:color w:val="auto"/>
        </w:rPr>
        <w:t>” or “</w:t>
      </w:r>
      <w:r>
        <w:rPr>
          <w:rFonts w:ascii="Arial" w:cs="Arial" w:eastAsia="Arial" w:hAnsi="Arial"/>
          <w:sz w:val="17"/>
          <w:szCs w:val="17"/>
          <w:b w:val="1"/>
          <w:bCs w:val="1"/>
          <w:color w:val="auto"/>
        </w:rPr>
        <w:t>Develop</w:t>
      </w:r>
      <w:r>
        <w:rPr>
          <w:rFonts w:ascii="Arial" w:cs="Arial" w:eastAsia="Arial" w:hAnsi="Arial"/>
          <w:sz w:val="17"/>
          <w:szCs w:val="17"/>
          <w:color w:val="auto"/>
        </w:rPr>
        <w:t>” means, with respect to a Product, (a) all non-clinical and clinical drug development activities that are undertaken after the Effective Date up to and including the date of obtaining of Marketing Authorization of such Product to obtain including (i) the conduct of Clinical Trials, toxicology and pharmacology testing, test method development and stability testing, process development (including the Manufacture of validation and engineering batches), formulation development, delivery system development, quality assurance and quality control development, analytical method development, human clinical studies and regulatory affairs activities and statistical analysis and report writing; (ii) the preparation of Clinical Trial design and operations; (iii) preparing and filing Drug Approval Applications, and (b) all activities related to Manufacturing Development and (c) any and all other activities that may be necessary or useful to obtain Regulatory Approval, Pricing Approval, or Reimbursement Approval. When used as a verb, “</w:t>
      </w:r>
      <w:r>
        <w:rPr>
          <w:rFonts w:ascii="Arial" w:cs="Arial" w:eastAsia="Arial" w:hAnsi="Arial"/>
          <w:sz w:val="17"/>
          <w:szCs w:val="17"/>
          <w:b w:val="1"/>
          <w:bCs w:val="1"/>
          <w:color w:val="auto"/>
        </w:rPr>
        <w:t>Developing</w:t>
      </w:r>
      <w:r>
        <w:rPr>
          <w:rFonts w:ascii="Arial" w:cs="Arial" w:eastAsia="Arial" w:hAnsi="Arial"/>
          <w:sz w:val="17"/>
          <w:szCs w:val="17"/>
          <w:color w:val="auto"/>
        </w:rPr>
        <w:t>” means to engage in Development and “</w:t>
      </w:r>
      <w:r>
        <w:rPr>
          <w:rFonts w:ascii="Arial" w:cs="Arial" w:eastAsia="Arial" w:hAnsi="Arial"/>
          <w:sz w:val="17"/>
          <w:szCs w:val="17"/>
          <w:b w:val="1"/>
          <w:bCs w:val="1"/>
          <w:color w:val="auto"/>
        </w:rPr>
        <w:t>Developed</w:t>
      </w:r>
      <w:r>
        <w:rPr>
          <w:rFonts w:ascii="Arial" w:cs="Arial" w:eastAsia="Arial" w:hAnsi="Arial"/>
          <w:sz w:val="17"/>
          <w:szCs w:val="17"/>
          <w:color w:val="auto"/>
        </w:rPr>
        <w:t>” has a corresponding meaning.</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color w:val="auto"/>
        </w:rPr>
        <w:t>“Development Plan”</w:t>
      </w:r>
      <w:r>
        <w:rPr>
          <w:rFonts w:ascii="Arial" w:cs="Arial" w:eastAsia="Arial" w:hAnsi="Arial"/>
          <w:sz w:val="17"/>
          <w:szCs w:val="17"/>
          <w:color w:val="auto"/>
        </w:rPr>
        <w:t xml:space="preserve"> means, with respect to the Compound and/or any Product, the non-binding written plan for, and estimated budget applicable to, the Development activities anticipated to be conducted by ILDONG for the Compound and/or Product, as such written plan may be amended, modified or updated in accordance with Section 3.1.3. Topics that may be covered in the plan, (a) the Clinical Trials (including investigator-initiated clinical trials) that are expected to be conducted and the expected timeline for conducting such Clinical Trials; (b) the expected Drug Approval Applications to be required and prepared, and the expected timetable for making such Drug Approval Applications;</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“Development Program</w:t>
      </w:r>
      <w:r>
        <w:rPr>
          <w:rFonts w:ascii="Arial" w:cs="Arial" w:eastAsia="Arial" w:hAnsi="Arial"/>
          <w:sz w:val="18"/>
          <w:szCs w:val="18"/>
          <w:color w:val="auto"/>
        </w:rPr>
        <w:t>” means (a) the Development activities to be conducted by ILDONG during the Term with respect to the Compounds and (b) the Development activities to be conducted by SUBLICENSOR during the Term under the Development Services and Manufacturing Agreement as set forth in the Development Plan and defined in 3.1.2.</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Distributor</w:t>
      </w:r>
      <w:r>
        <w:rPr>
          <w:rFonts w:ascii="Arial" w:cs="Arial" w:eastAsia="Arial" w:hAnsi="Arial"/>
          <w:sz w:val="18"/>
          <w:szCs w:val="18"/>
          <w:color w:val="auto"/>
        </w:rPr>
        <w:t>” means any Person that purchases Product from ILDONG or any of ILDONG’s Affiliates or Sublicensees for purposes of resale of Product to end users in the Territory (including any wholesalers, pharmacists or hospitals).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7" w:name="page88"/>
    <w:bookmarkEnd w:id="87"/>
    <w:p>
      <w:pPr>
        <w:jc w:val="both"/>
        <w:ind w:firstLine="648"/>
        <w:spacing w:after="0" w:line="290"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b w:val="1"/>
          <w:bCs w:val="1"/>
          <w:color w:val="auto"/>
        </w:rPr>
        <w:t>“Divest”</w:t>
      </w:r>
      <w:r>
        <w:rPr>
          <w:rFonts w:ascii="Arial" w:cs="Arial" w:eastAsia="Arial" w:hAnsi="Arial"/>
          <w:sz w:val="16"/>
          <w:szCs w:val="16"/>
          <w:color w:val="auto"/>
        </w:rPr>
        <w:t xml:space="preserve"> means, with respect to a Competitive Program, a divestiture of such Competitive Program to a Third Party by sale, license or otherwise; provided, that, if such divestiture is made by ILDONG by way of one or more licenses or sublicenses, (a) ILDONG and its Affiliates shall not hold or retain any rights with respect to such Competitive Program other than (i) the right to receive license fees, milestone payments and royalties on sales of products (or other sources of revenue, including with respect to Manufacturing) with respect to such Competitive Program, (ii) the right to defend claims of infringement, (iii) the right to assert claims of infringement against Persons who may infringe its intellectual property rights with respect to products with respect to such Competitive Program and (iv) the right to otherwise control filings and patent term extensions connected with any licensed or sublicensed Patent Rights, and (b) ILDONG and its Affiliates are not consulted with respect to, and do not otherwise participate in, any decisions (other than those described in clauses (ii), (iii) and (iv) above), or otherwise collaborate with any Third Party, with respect to (x) the commercialization of products with respect to such Competitive Program or (y) the commercial strategy with respect to products with respect to such Competitive Program.</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Drug Approval Application</w:t>
      </w:r>
      <w:r>
        <w:rPr>
          <w:rFonts w:ascii="Arial" w:cs="Arial" w:eastAsia="Arial" w:hAnsi="Arial"/>
          <w:sz w:val="18"/>
          <w:szCs w:val="18"/>
          <w:color w:val="auto"/>
        </w:rPr>
        <w:t>” means, with respect to a Product in the Territory, an application for Marketing Authorization for such Product in the Territory. For purposes of clarity, Drug Approval Application shall include, without limitation (a) a counterpart of an NDA or BLA (as in the US), sNDA or sBLA (as in the US), or MAA (as in Europe) in any country or region in the Territory; and (b) and all supplements and amendments to the foregoing.</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“Excluded Application”</w:t>
      </w:r>
      <w:r>
        <w:rPr>
          <w:rFonts w:ascii="Arial" w:cs="Arial" w:eastAsia="Arial" w:hAnsi="Arial"/>
          <w:sz w:val="18"/>
          <w:szCs w:val="18"/>
          <w:color w:val="auto"/>
        </w:rPr>
        <w:t xml:space="preserve"> means (a) any application involving the determination or monitoring of (i) the presence or absence of a disease; (ii) the stage, progression or severity of a disease or (iii) the effect on a disease of a particular treatment; (b) any application involving the selection of patients for a particular treatment; and (c) any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applications or uses.</w:t>
      </w:r>
    </w:p>
    <w:p>
      <w:pPr>
        <w:spacing w:after="0" w:line="17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b w:val="1"/>
          <w:bCs w:val="1"/>
          <w:color w:val="auto"/>
        </w:rPr>
        <w:t xml:space="preserve">“Executive Officer” </w:t>
      </w:r>
      <w:r>
        <w:rPr>
          <w:rFonts w:ascii="Arial" w:cs="Arial" w:eastAsia="Arial" w:hAnsi="Arial"/>
          <w:sz w:val="16"/>
          <w:szCs w:val="16"/>
          <w:color w:val="auto"/>
        </w:rPr>
        <w:t>means the Chief Executive Officer of SUBLICENSOR and the Chief Executive Officer of ILDONG.</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or any successor agency or authority thereto.</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FDCA</w:t>
      </w:r>
      <w:r>
        <w:rPr>
          <w:rFonts w:ascii="Arial" w:cs="Arial" w:eastAsia="Arial" w:hAnsi="Arial"/>
          <w:sz w:val="16"/>
          <w:szCs w:val="16"/>
          <w:color w:val="auto"/>
        </w:rPr>
        <w:t>” means the United States Federal Food, Drug, and Cosmetic Act, as amended.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b w:val="1"/>
          <w:bCs w:val="1"/>
          <w:color w:val="auto"/>
        </w:rPr>
        <w:t>Field</w:t>
      </w:r>
      <w:r>
        <w:rPr>
          <w:rFonts w:ascii="Arial" w:cs="Arial" w:eastAsia="Arial" w:hAnsi="Arial"/>
          <w:sz w:val="18"/>
          <w:szCs w:val="18"/>
          <w:color w:val="auto"/>
        </w:rPr>
        <w:t xml:space="preserve">” means the treatment, control, mitigation, prevention and/or cure of all human therapeutic Indications. For purpose of clarity, the definition of </w:t>
      </w:r>
      <w:r>
        <w:rPr>
          <w:rFonts w:ascii="Arial" w:cs="Arial" w:eastAsia="Arial" w:hAnsi="Arial"/>
          <w:sz w:val="18"/>
          <w:szCs w:val="18"/>
          <w:b w:val="1"/>
          <w:bCs w:val="1"/>
          <w:color w:val="auto"/>
        </w:rPr>
        <w:t>“Field”</w:t>
      </w:r>
      <w:r>
        <w:rPr>
          <w:rFonts w:ascii="Arial" w:cs="Arial" w:eastAsia="Arial" w:hAnsi="Arial"/>
          <w:sz w:val="18"/>
          <w:szCs w:val="18"/>
          <w:color w:val="auto"/>
        </w:rPr>
        <w:t xml:space="preserve"> shall not include any Excluded Application.</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1.42 “</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with respect to a Product in the Territory, the first sale, transfer or disposition for value to an end user of such Product in the Territory after Marketing Authorization for such Product has been received in the Territory; provided, that, a First Commercial Sale shall not include: (a) any sale to an Affiliate, Sublicensee or Distributor (unless the Affiliate, Sublicensee or Distributor is the last entity in the distribution chain of the Product), (b) any use of a Product in Clinical Trials, pre-clinical studies or other research or development activities, or (c) the disposal or transfer of Products for a bona fide charitable purpose, including compassionate use or named patient use.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8" w:name="page89"/>
    <w:bookmarkEnd w:id="88"/>
    <w:p>
      <w:pPr>
        <w:jc w:val="both"/>
        <w:ind w:firstLine="648"/>
        <w:spacing w:after="0" w:line="303" w:lineRule="auto"/>
        <w:rPr>
          <w:sz w:val="20"/>
          <w:szCs w:val="20"/>
          <w:color w:val="auto"/>
        </w:rPr>
      </w:pPr>
      <w:r>
        <w:rPr>
          <w:rFonts w:ascii="Arial" w:cs="Arial" w:eastAsia="Arial" w:hAnsi="Arial"/>
          <w:sz w:val="16"/>
          <w:szCs w:val="16"/>
          <w:color w:val="auto"/>
        </w:rPr>
        <w:t>1.43 “</w:t>
      </w:r>
      <w:r>
        <w:rPr>
          <w:rFonts w:ascii="Arial" w:cs="Arial" w:eastAsia="Arial" w:hAnsi="Arial"/>
          <w:sz w:val="16"/>
          <w:szCs w:val="16"/>
          <w:b w:val="1"/>
          <w:bCs w:val="1"/>
          <w:color w:val="auto"/>
        </w:rPr>
        <w:t>Force Majeure</w:t>
      </w:r>
      <w:r>
        <w:rPr>
          <w:rFonts w:ascii="Arial" w:cs="Arial" w:eastAsia="Arial" w:hAnsi="Arial"/>
          <w:sz w:val="16"/>
          <w:szCs w:val="16"/>
          <w:color w:val="auto"/>
        </w:rPr>
        <w:t>” means any occurrence beyond the reasonable control of a Party that (a) prevents or substantially interferes with the performance by such Party of any of its obligations hereunder and (b) occurs by reason of any act of God, flood, fire, explosion, earthquake, strike, lockout, labor dispute, casualty or accident, or war, revolution, civil commotion, act of terrorism, blockage or embargo, or any injunction, law, order, proclamation, regulation, ordinance, demand or requirement of any government or of any subdivision, authority or representative of any such government.</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color w:val="auto"/>
        </w:rPr>
        <w:t>GLP</w:t>
      </w:r>
      <w:r>
        <w:rPr>
          <w:rFonts w:ascii="Arial" w:cs="Arial" w:eastAsia="Arial" w:hAnsi="Arial"/>
          <w:sz w:val="18"/>
          <w:szCs w:val="18"/>
          <w:color w:val="auto"/>
        </w:rPr>
        <w:t>” means the then-current Good Laboratory Practice Standards promulgated or endorsed by the FDA or, in the case of foreign jurisdictions, comparable regulatory standards promulgated or endorsed by the applicable Regulatory Authority.</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1.45 “</w:t>
      </w:r>
      <w:r>
        <w:rPr>
          <w:rFonts w:ascii="Arial" w:cs="Arial" w:eastAsia="Arial" w:hAnsi="Arial"/>
          <w:sz w:val="17"/>
          <w:szCs w:val="17"/>
          <w:b w:val="1"/>
          <w:bCs w:val="1"/>
          <w:color w:val="auto"/>
        </w:rPr>
        <w:t>GMP</w:t>
      </w:r>
      <w:r>
        <w:rPr>
          <w:rFonts w:ascii="Arial" w:cs="Arial" w:eastAsia="Arial" w:hAnsi="Arial"/>
          <w:sz w:val="17"/>
          <w:szCs w:val="17"/>
          <w:color w:val="auto"/>
        </w:rPr>
        <w:t>” means current Good Manufacturing Practices that apply to the Manufacture of API and/or the clinical or commercial supply of Products, including, without limitation, the United States regulations set forth under Title 21 of the United States Code of Federal Regulations, parts 210 and 211, as amended from time-to-time, as well as all applicable guidance published from time-to-time by the FDA or, in the case of foreign jurisdictions, comparable regulatory standards promoted or endorsed by the applicable Regulatory Authority and the International Conference on Harmonization Guidelines ICHQ7A Good Manufacturing Practice Guidance for API or the principles and guidelines of Good Manufacturing Practices for Medicinal Products as defined with EC Directive 2003/94/EC and associated EC Guide to Good Manufacturing Practice.</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Good Clinical Practice</w:t>
      </w:r>
      <w:r>
        <w:rPr>
          <w:rFonts w:ascii="Arial" w:cs="Arial" w:eastAsia="Arial" w:hAnsi="Arial"/>
          <w:sz w:val="18"/>
          <w:szCs w:val="18"/>
          <w:color w:val="auto"/>
        </w:rPr>
        <w:t>” or “</w:t>
      </w:r>
      <w:r>
        <w:rPr>
          <w:rFonts w:ascii="Arial" w:cs="Arial" w:eastAsia="Arial" w:hAnsi="Arial"/>
          <w:sz w:val="18"/>
          <w:szCs w:val="18"/>
          <w:b w:val="1"/>
          <w:bCs w:val="1"/>
          <w:color w:val="auto"/>
        </w:rPr>
        <w:t>GCP</w:t>
      </w:r>
      <w:r>
        <w:rPr>
          <w:rFonts w:ascii="Arial" w:cs="Arial" w:eastAsia="Arial" w:hAnsi="Arial"/>
          <w:sz w:val="18"/>
          <w:szCs w:val="18"/>
          <w:color w:val="auto"/>
        </w:rPr>
        <w:t>” means the applicable regulations or guidance relating to the design, conduct, recording, and reporting of Clinical Trials that involve the participation of human subjects, when generating Clinical Trial data intended to be submitted to Regulatory Authorities, as set forth in the FDCA and any regulations or guidance documents promulgated thereunder, including but not limited to the ICH E6 consolidated guidance on Good Clinical Practice.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1.47 “</w:t>
      </w:r>
      <w:r>
        <w:rPr>
          <w:rFonts w:ascii="Arial" w:cs="Arial" w:eastAsia="Arial" w:hAnsi="Arial"/>
          <w:sz w:val="18"/>
          <w:szCs w:val="18"/>
          <w:b w:val="1"/>
          <w:bCs w:val="1"/>
          <w:color w:val="auto"/>
        </w:rPr>
        <w:t>Hadam License Agreement</w:t>
      </w:r>
      <w:r>
        <w:rPr>
          <w:rFonts w:ascii="Arial" w:cs="Arial" w:eastAsia="Arial" w:hAnsi="Arial"/>
          <w:sz w:val="18"/>
          <w:szCs w:val="18"/>
          <w:color w:val="auto"/>
        </w:rPr>
        <w:t>” means that certain License Agreement, dated August 15, 2006, by and between LFB Biotechnologies (“LFB”) and Dr. Martin Hadam and licensed to SUBLICENSOR pursuant to the LFB/GTC License.</w:t>
      </w:r>
    </w:p>
    <w:p>
      <w:pPr>
        <w:spacing w:after="0" w:line="16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b w:val="1"/>
          <w:bCs w:val="1"/>
          <w:color w:val="auto"/>
        </w:rPr>
        <w:t>“Hatch-Waxman Act</w:t>
      </w:r>
      <w:r>
        <w:rPr>
          <w:rFonts w:ascii="Arial" w:cs="Arial" w:eastAsia="Arial" w:hAnsi="Arial"/>
          <w:sz w:val="16"/>
          <w:szCs w:val="16"/>
          <w:color w:val="auto"/>
        </w:rPr>
        <w:t>” means the Drug Price Competition and Patent Term Restoration Act of 1984,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b w:val="1"/>
          <w:bCs w:val="1"/>
          <w:color w:val="auto"/>
        </w:rPr>
        <w:t>IND</w:t>
      </w:r>
      <w:r>
        <w:rPr>
          <w:rFonts w:ascii="Arial" w:cs="Arial" w:eastAsia="Arial" w:hAnsi="Arial"/>
          <w:sz w:val="18"/>
          <w:szCs w:val="18"/>
          <w:color w:val="auto"/>
        </w:rPr>
        <w:t>” means: (a) an Investigational New Drug Application, as defined in the FDCA and regulations promulgated thereunder, or any counterpart, successor application, or procedure required to initiate clinical testing of a Product in humans in the Territory; and (b) all supplements and amendments to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b w:val="1"/>
          <w:bCs w:val="1"/>
          <w:color w:val="auto"/>
        </w:rPr>
        <w:t>Indication</w:t>
      </w:r>
      <w:r>
        <w:rPr>
          <w:rFonts w:ascii="Arial" w:cs="Arial" w:eastAsia="Arial" w:hAnsi="Arial"/>
          <w:sz w:val="18"/>
          <w:szCs w:val="18"/>
          <w:color w:val="auto"/>
        </w:rPr>
        <w:t>” means each separate and distinct disease, illness and/or condition in humans including without limitation Non-Hodgkin's Lymphoma, Chronic Lymphocytic Leukemia, Lupus, and Rheumatoid Arthritis, for which Regulatory Approval is being sought.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9" w:name="page90"/>
    <w:bookmarkEnd w:id="89"/>
    <w:p>
      <w:pPr>
        <w:jc w:val="both"/>
        <w:ind w:right="20" w:firstLine="648"/>
        <w:spacing w:after="0" w:line="282"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“Investigator’s Brochure</w:t>
      </w:r>
      <w:r>
        <w:rPr>
          <w:rFonts w:ascii="Arial" w:cs="Arial" w:eastAsia="Arial" w:hAnsi="Arial"/>
          <w:sz w:val="18"/>
          <w:szCs w:val="18"/>
          <w:color w:val="auto"/>
        </w:rPr>
        <w:t>” means a compilation of preclinical and clinical data with respect to a new investigational drug that is proposed for filing with a Regulatory Authority and used to provide information to clinical investigators and Regulatory Authorities.</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1.52 “</w:t>
      </w:r>
      <w:r>
        <w:rPr>
          <w:rFonts w:ascii="Arial" w:cs="Arial" w:eastAsia="Arial" w:hAnsi="Arial"/>
          <w:sz w:val="17"/>
          <w:szCs w:val="17"/>
          <w:b w:val="1"/>
          <w:bCs w:val="1"/>
          <w:color w:val="auto"/>
        </w:rPr>
        <w:t>Joint Improvement</w:t>
      </w:r>
      <w:r>
        <w:rPr>
          <w:rFonts w:ascii="Arial" w:cs="Arial" w:eastAsia="Arial" w:hAnsi="Arial"/>
          <w:sz w:val="17"/>
          <w:szCs w:val="17"/>
          <w:color w:val="auto"/>
        </w:rPr>
        <w:t>” means any Program Technology that is (a) jointly conceived, developed or reduced to practice by one or more employees of, or consultants to, ILDONG and/or its Affiliates, Sublicensees, Distributors and one or more employees of, or consultants to, SUBLICENSOR or (b) conceived , developed, or reduced to practice solely by one or more employees of, or consultants to ILDONG resulting from the use by ILDONG in any material respect of the Licensed Technology, Licensed Patent Rights, Background Patent Right or SUBLICENSOR Materials.</w:t>
      </w:r>
    </w:p>
    <w:p>
      <w:pPr>
        <w:spacing w:after="0" w:line="16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Patent rights</w:t>
      </w:r>
      <w:r>
        <w:rPr>
          <w:rFonts w:ascii="Arial" w:cs="Arial" w:eastAsia="Arial" w:hAnsi="Arial"/>
          <w:sz w:val="16"/>
          <w:szCs w:val="16"/>
          <w:color w:val="auto"/>
        </w:rPr>
        <w:t>” means any Patent Rights related to Joint Improvements.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b w:val="1"/>
          <w:bCs w:val="1"/>
          <w:color w:val="auto"/>
        </w:rPr>
        <w:t>Knowledge</w:t>
      </w:r>
      <w:r>
        <w:rPr>
          <w:rFonts w:ascii="Arial" w:cs="Arial" w:eastAsia="Arial" w:hAnsi="Arial"/>
          <w:sz w:val="18"/>
          <w:szCs w:val="18"/>
          <w:color w:val="auto"/>
        </w:rPr>
        <w:t xml:space="preserve">” </w:t>
      </w:r>
      <w:r>
        <w:rPr>
          <w:rFonts w:ascii="Arial" w:cs="Arial" w:eastAsia="Arial" w:hAnsi="Arial"/>
          <w:sz w:val="18"/>
          <w:szCs w:val="18"/>
          <w:b w:val="1"/>
          <w:b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Known</w:t>
      </w:r>
      <w:r>
        <w:rPr>
          <w:rFonts w:ascii="Arial" w:cs="Arial" w:eastAsia="Arial" w:hAnsi="Arial"/>
          <w:sz w:val="18"/>
          <w:szCs w:val="18"/>
          <w:color w:val="auto"/>
        </w:rPr>
        <w:t>” means, with respect to a Party, the actual knowledge of the Executive Officer or of any executive officer (as defined for purposes of Section 14 of the Securities Exchange Act of 1934, as amended) of such Party.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color w:val="auto"/>
        </w:rPr>
        <w:t>“LFB-R603”</w:t>
      </w:r>
      <w:r>
        <w:rPr>
          <w:rFonts w:ascii="Arial" w:cs="Arial" w:eastAsia="Arial" w:hAnsi="Arial"/>
          <w:sz w:val="18"/>
          <w:szCs w:val="18"/>
          <w:color w:val="auto"/>
        </w:rPr>
        <w:t xml:space="preserve"> means the cell-culture produced chimeric monoclonal antibody described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attached hereto and incorporated herein by reference.</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1.56 “</w:t>
      </w:r>
      <w:r>
        <w:rPr>
          <w:rFonts w:ascii="Arial" w:cs="Arial" w:eastAsia="Arial" w:hAnsi="Arial"/>
          <w:sz w:val="16"/>
          <w:szCs w:val="16"/>
          <w:b w:val="1"/>
          <w:bCs w:val="1"/>
          <w:color w:val="auto"/>
        </w:rPr>
        <w:t>Licensed Patent Rights</w:t>
      </w:r>
      <w:r>
        <w:rPr>
          <w:rFonts w:ascii="Arial" w:cs="Arial" w:eastAsia="Arial" w:hAnsi="Arial"/>
          <w:sz w:val="16"/>
          <w:szCs w:val="16"/>
          <w:color w:val="auto"/>
        </w:rPr>
        <w:t xml:space="preserve">” means any Patent Rights that are Controlled by SUBLICENSOR during the Term and that (a) contain one or more claims that Cover any Compound or Product; and (b) are necessary or useful for ILDONG to Develop and/or Commercialize any Compound or Product in the Field and in the Territory. For purposes of clarity, (a) the Licensed Patent Rights existing as of the Effective Date are listed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attached hereto and (b)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shall be updated by SUBLICENSOR by written notice to ILDONG on an annual basis during the Term to include any additional patents and patent applications not previously listed; provided, that, the exclusion of a patent or patent application from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shall not be deemed to be a conclusive indication of whether that patent or application is or should be considered a “Licensed Patent Right” for purposes of this Agreement.</w:t>
      </w:r>
    </w:p>
    <w:p>
      <w:pPr>
        <w:spacing w:after="0" w:line="15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1.57 “</w:t>
      </w:r>
      <w:r>
        <w:rPr>
          <w:rFonts w:ascii="Arial" w:cs="Arial" w:eastAsia="Arial" w:hAnsi="Arial"/>
          <w:sz w:val="16"/>
          <w:szCs w:val="16"/>
          <w:b w:val="1"/>
          <w:bCs w:val="1"/>
          <w:color w:val="auto"/>
        </w:rPr>
        <w:t>Licensed Technology</w:t>
      </w:r>
      <w:r>
        <w:rPr>
          <w:rFonts w:ascii="Arial" w:cs="Arial" w:eastAsia="Arial" w:hAnsi="Arial"/>
          <w:sz w:val="16"/>
          <w:szCs w:val="16"/>
          <w:color w:val="auto"/>
        </w:rPr>
        <w:t>” means any Technology that is Controlled by SUBLICENSOR during the Term and that (a) relates to any Compound or Product and (b) is necessary or useful for ILDONG to Develop, and/or Commercialize any Compound or Product in the Field and in the Territory.</w:t>
      </w:r>
    </w:p>
    <w:p>
      <w:pPr>
        <w:spacing w:after="0" w:line="11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color w:val="auto"/>
        </w:rPr>
        <w:t>Licensed Trademark</w:t>
      </w:r>
      <w:r>
        <w:rPr>
          <w:rFonts w:ascii="Arial" w:cs="Arial" w:eastAsia="Arial" w:hAnsi="Arial"/>
          <w:sz w:val="18"/>
          <w:szCs w:val="18"/>
          <w:color w:val="auto"/>
        </w:rPr>
        <w:t>” shall mean the registered trademarks listed in Schedule 7 hereto which are owned or controlled by SUBLICENSOR and which may be used by ILDONG in connection with the sale and marketing of the product in the Territory.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0" w:name="page91"/>
    <w:bookmarkEnd w:id="90"/>
    <w:p>
      <w:pPr>
        <w:jc w:val="both"/>
        <w:ind w:firstLine="648"/>
        <w:spacing w:after="0" w:line="282"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b w:val="1"/>
          <w:bCs w:val="1"/>
          <w:color w:val="auto"/>
        </w:rPr>
        <w:t>“SUBLICENSOR Materials”</w:t>
      </w:r>
      <w:r>
        <w:rPr>
          <w:rFonts w:ascii="Arial" w:cs="Arial" w:eastAsia="Arial" w:hAnsi="Arial"/>
          <w:sz w:val="18"/>
          <w:szCs w:val="18"/>
          <w:color w:val="auto"/>
        </w:rPr>
        <w:t xml:space="preserve"> means any Proprietary Materials that are Controlled by SUBLICENSOR and used by SUBLICENSOR, or provided by SUBLICENSOR for use, in the Development Program.</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1.60 </w:t>
      </w:r>
      <w:r>
        <w:rPr>
          <w:rFonts w:ascii="Arial" w:cs="Arial" w:eastAsia="Arial" w:hAnsi="Arial"/>
          <w:sz w:val="18"/>
          <w:szCs w:val="18"/>
          <w:b w:val="1"/>
          <w:bCs w:val="1"/>
          <w:color w:val="auto"/>
        </w:rPr>
        <w:t>“SUBLICENSOR Improvement</w:t>
      </w:r>
      <w:r>
        <w:rPr>
          <w:rFonts w:ascii="Arial" w:cs="Arial" w:eastAsia="Arial" w:hAnsi="Arial"/>
          <w:sz w:val="18"/>
          <w:szCs w:val="18"/>
          <w:color w:val="auto"/>
        </w:rPr>
        <w:t>” means any Program Technology that is conceived or first reduced to practice by employees of, or consultants to, SUBLICENSOR alone or jointly with any Third Party, without the use, in any material respect, of any ILDONG Materials or Joint Improvement.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1.61 “</w:t>
      </w:r>
      <w:r>
        <w:rPr>
          <w:rFonts w:ascii="Arial" w:cs="Arial" w:eastAsia="Arial" w:hAnsi="Arial"/>
          <w:sz w:val="18"/>
          <w:szCs w:val="18"/>
          <w:b w:val="1"/>
          <w:bCs w:val="1"/>
          <w:color w:val="auto"/>
        </w:rPr>
        <w:t>Manufacture</w:t>
      </w:r>
      <w:r>
        <w:rPr>
          <w:rFonts w:ascii="Arial" w:cs="Arial" w:eastAsia="Arial" w:hAnsi="Arial"/>
          <w:sz w:val="18"/>
          <w:szCs w:val="18"/>
          <w:color w:val="auto"/>
        </w:rPr>
        <w:t>” or “</w:t>
      </w:r>
      <w:r>
        <w:rPr>
          <w:rFonts w:ascii="Arial" w:cs="Arial" w:eastAsia="Arial" w:hAnsi="Arial"/>
          <w:sz w:val="18"/>
          <w:szCs w:val="18"/>
          <w:b w:val="1"/>
          <w:bCs w:val="1"/>
          <w:color w:val="auto"/>
        </w:rPr>
        <w:t>Manufacturing</w:t>
      </w:r>
      <w:r>
        <w:rPr>
          <w:rFonts w:ascii="Arial" w:cs="Arial" w:eastAsia="Arial" w:hAnsi="Arial"/>
          <w:sz w:val="18"/>
          <w:szCs w:val="18"/>
          <w:color w:val="auto"/>
        </w:rPr>
        <w:t>” or “</w:t>
      </w:r>
      <w:r>
        <w:rPr>
          <w:rFonts w:ascii="Arial" w:cs="Arial" w:eastAsia="Arial" w:hAnsi="Arial"/>
          <w:sz w:val="18"/>
          <w:szCs w:val="18"/>
          <w:b w:val="1"/>
          <w:bCs w:val="1"/>
          <w:color w:val="auto"/>
        </w:rPr>
        <w:t>Manufactured</w:t>
      </w:r>
      <w:r>
        <w:rPr>
          <w:rFonts w:ascii="Arial" w:cs="Arial" w:eastAsia="Arial" w:hAnsi="Arial"/>
          <w:sz w:val="18"/>
          <w:szCs w:val="18"/>
          <w:color w:val="auto"/>
        </w:rPr>
        <w:t>” means all activities related to the production of any API or Product, including the manufacture, receipt, inspection, storage and handling of materials, and the manufacture, processing, purification, packaging, labeling, warehousing, quality control testing (including in-process release and stability testing), shipping and release of API or Product.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1.62 “</w:t>
      </w:r>
      <w:r>
        <w:rPr>
          <w:rFonts w:ascii="Arial" w:cs="Arial" w:eastAsia="Arial" w:hAnsi="Arial"/>
          <w:sz w:val="18"/>
          <w:szCs w:val="18"/>
          <w:b w:val="1"/>
          <w:bCs w:val="1"/>
          <w:color w:val="auto"/>
        </w:rPr>
        <w:t>Manufacturing Development</w:t>
      </w:r>
      <w:r>
        <w:rPr>
          <w:rFonts w:ascii="Arial" w:cs="Arial" w:eastAsia="Arial" w:hAnsi="Arial"/>
          <w:sz w:val="18"/>
          <w:szCs w:val="18"/>
          <w:color w:val="auto"/>
        </w:rPr>
        <w:t>” means, with respect to any API or Product, all activities related to the optimization of a commercial-grade Manufacturing process for the Manufacture of such API or Product including, test method development and stability testing, formulation, validation, productivity, trouble shooting and next generation formulation, process development, Manufacturing scale-up, strain improvements, development-stage Manufacturing, and quality assurance/quality control development.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1.63 “</w:t>
      </w:r>
      <w:r>
        <w:rPr>
          <w:rFonts w:ascii="Arial" w:cs="Arial" w:eastAsia="Arial" w:hAnsi="Arial"/>
          <w:sz w:val="18"/>
          <w:szCs w:val="18"/>
          <w:b w:val="1"/>
          <w:bCs w:val="1"/>
          <w:color w:val="auto"/>
        </w:rPr>
        <w:t>Marketing Authorization</w:t>
      </w:r>
      <w:r>
        <w:rPr>
          <w:rFonts w:ascii="Arial" w:cs="Arial" w:eastAsia="Arial" w:hAnsi="Arial"/>
          <w:sz w:val="18"/>
          <w:szCs w:val="18"/>
          <w:color w:val="auto"/>
        </w:rPr>
        <w:t>” means, with respect to any Product, the Regulatory Approval required by Applicable Laws to market and sell such Product for use for any Indication including without limitation Non-Hodgkin's Lymphoma, Chronic Lymphocytic Leukemia, Lupus, and Rheumatoid Arthritis for humans in the Territory.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b w:val="1"/>
          <w:bCs w:val="1"/>
          <w:color w:val="auto"/>
        </w:rPr>
        <w:t>NADA</w:t>
      </w:r>
      <w:r>
        <w:rPr>
          <w:rFonts w:ascii="Arial" w:cs="Arial" w:eastAsia="Arial" w:hAnsi="Arial"/>
          <w:sz w:val="18"/>
          <w:szCs w:val="18"/>
          <w:color w:val="auto"/>
        </w:rPr>
        <w:t>” means a New Animal Drug Application required by the US Food and Drug Administration for the use of any genetically engineered animal in which the gene coding for the API is stably integrated in the genome of the animal.</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b w:val="1"/>
          <w:bCs w:val="1"/>
          <w:color w:val="auto"/>
        </w:rPr>
        <w:t>“NDA”</w:t>
      </w:r>
      <w:r>
        <w:rPr>
          <w:rFonts w:ascii="Arial" w:cs="Arial" w:eastAsia="Arial" w:hAnsi="Arial"/>
          <w:sz w:val="17"/>
          <w:szCs w:val="17"/>
          <w:color w:val="auto"/>
        </w:rPr>
        <w:t xml:space="preserve"> means (a) any New Drug Application, as defined in the FDCA and regulations promulgated thereunder, or any counterpart, successor application, or procedure required to market and sell a Product in the Territory; and (b) all supplements and amendments to the foregoing</w:t>
      </w:r>
      <w:r>
        <w:rPr>
          <w:rFonts w:ascii="Arial" w:cs="Arial" w:eastAsia="Arial" w:hAnsi="Arial"/>
          <w:sz w:val="17"/>
          <w:szCs w:val="17"/>
          <w:b w:val="1"/>
          <w:bCs w:val="1"/>
          <w:color w:val="auto"/>
        </w:rPr>
        <w:t>.</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1.66 “</w:t>
      </w:r>
      <w:r>
        <w:rPr>
          <w:rFonts w:ascii="Arial" w:cs="Arial" w:eastAsia="Arial" w:hAnsi="Arial"/>
          <w:sz w:val="18"/>
          <w:szCs w:val="18"/>
          <w:b w:val="1"/>
          <w:bCs w:val="1"/>
          <w:color w:val="auto"/>
        </w:rPr>
        <w:t>Net Sales</w:t>
      </w:r>
      <w:r>
        <w:rPr>
          <w:rFonts w:ascii="Arial" w:cs="Arial" w:eastAsia="Arial" w:hAnsi="Arial"/>
          <w:sz w:val="18"/>
          <w:szCs w:val="18"/>
          <w:color w:val="auto"/>
        </w:rPr>
        <w:t>” means the gross amount billed or invoiced by ILDONG or any of its Affiliates, Sublicensees or Distributors (each, a “</w:t>
      </w:r>
      <w:r>
        <w:rPr>
          <w:rFonts w:ascii="Arial" w:cs="Arial" w:eastAsia="Arial" w:hAnsi="Arial"/>
          <w:sz w:val="18"/>
          <w:szCs w:val="18"/>
          <w:b w:val="1"/>
          <w:bCs w:val="1"/>
          <w:color w:val="auto"/>
        </w:rPr>
        <w:t>Seller</w:t>
      </w:r>
      <w:r>
        <w:rPr>
          <w:rFonts w:ascii="Arial" w:cs="Arial" w:eastAsia="Arial" w:hAnsi="Arial"/>
          <w:sz w:val="18"/>
          <w:szCs w:val="18"/>
          <w:color w:val="auto"/>
        </w:rPr>
        <w:t>”) to Third Parties in the Territory for sales or other dispositions or transfers for value of Products less (a) allowances for trade, quantity and cash discounts actually allowed and taken; (b) freight, transportation, insurance, postage charges and customs duties included on a Seller’s bill or invoice or as a separate item; (c) credits, rebates, allowances, and amounts repaid due to returns, recalls or government regulations, including allowances for uncollectible amounts and/or bad debts on previously sold Products; (d) retroactive price reductions that are actually allowed or granted; (e) sales taxes, excise taxes, value-added taxes and other taxes (other than income taxes) levied on the invoiced amount; and (f) duties, tariffs and other governmental charges. In addition, Net Sales are subject to the following: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1" w:name="page92"/>
    <w:bookmarkEnd w:id="91"/>
    <w:p>
      <w:pPr>
        <w:ind w:firstLine="1305"/>
        <w:spacing w:after="0" w:line="277" w:lineRule="auto"/>
        <w:tabs>
          <w:tab w:leader="none" w:pos="18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Sales shall not include sales or transfers between ILDONG and any of its Affiliates, Sublicensees or Distributors unless such Affiliate, Sublicensee or Distributor is the end user of the Product.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9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Seller effects a sale, disposition or transfer of a Product to a Third Party in a particular country other than on customary commercial terms or for non-monetary consideration, the Net Sales of such Product to such Third Party shall be deemed to be “the fair market value” of such Product. For purposes of this subsection (ii), “fair market value” means the value that would have been derived had such Product been sold as a separate product to another customer in the country concerned on customary commercial terms.</w:t>
      </w:r>
    </w:p>
    <w:p>
      <w:pPr>
        <w:spacing w:after="0" w:line="186" w:lineRule="exact"/>
        <w:rPr>
          <w:rFonts w:ascii="Arial" w:cs="Arial" w:eastAsia="Arial" w:hAnsi="Arial"/>
          <w:sz w:val="18"/>
          <w:szCs w:val="18"/>
          <w:color w:val="auto"/>
        </w:rPr>
      </w:pPr>
    </w:p>
    <w:p>
      <w:pPr>
        <w:jc w:val="both"/>
        <w:ind w:firstLine="1305"/>
        <w:spacing w:after="0" w:line="257" w:lineRule="auto"/>
        <w:tabs>
          <w:tab w:leader="none" w:pos="18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purposes of this Agreement, “sale” shall mean any transfer or other distribution or disposition, but shall not include transfers or other distributions or dispositions of Product at no charge for academic research, preclinical, clinical, or regulatory purposes (including the use of a Product in Clinical Trials) or in connection with patient assistance programs or other charitable purposes or to physicians or hospitals for promotional purposes (including free samples to a level and in an amount which is customary in the industry and/or which is reasonably proportional to the market for such Product).</w:t>
      </w:r>
    </w:p>
    <w:p>
      <w:pPr>
        <w:spacing w:after="0" w:line="188" w:lineRule="exact"/>
        <w:rPr>
          <w:rFonts w:ascii="Arial" w:cs="Arial" w:eastAsia="Arial" w:hAnsi="Arial"/>
          <w:sz w:val="18"/>
          <w:szCs w:val="18"/>
          <w:color w:val="auto"/>
        </w:rPr>
      </w:pPr>
    </w:p>
    <w:p>
      <w:pPr>
        <w:jc w:val="both"/>
        <w:ind w:firstLine="1305"/>
        <w:spacing w:after="0" w:line="287" w:lineRule="auto"/>
        <w:tabs>
          <w:tab w:leader="none" w:pos="18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the purposes of determining royalty rates and the royalties payable on Combination Products, Net Sales of Product shall be calculated by multiplying the Net Sales of the Combination Product by the fraction A/A+B, where A is the average selling price, during the royalty paying period in question, of the Product sold separately in the country in which the sale of the Combination Product is made, and B is the average selling price, during the royalty period in question, of the other active ingredients or components sold separately. In the event that such average selling price cannot be determined for both Product and all other active ingredients and components included in the Combination Product, Net Sales for purposes of determining payments under this Agreement shall be calculated by multiplying the Net Sales of the Combination Product by the fraction C/(C+D) where C is the standard fully-absorbed cost of the Product portion of the combination, and D is the standard fully-absorbed cost of the other active ingredient or component included in the Combination Product, as determined by ILDONG using its standard accounting procedures consistently applied. In the event that the standard fully-absorbed cost of the Product and/or the other active ingredients or components included in such Combination Product cannot be determined, for the purposes of determining royalties payable hereunder, the Parties shall negotiate in good faith to determine an appropriate commercial value for all the components in the Combination Product and calculate Net Sales of such Combination Product accordingly.</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b w:val="1"/>
          <w:bCs w:val="1"/>
          <w:color w:val="auto"/>
        </w:rPr>
        <w:t>Patent Rights</w:t>
      </w:r>
      <w:r>
        <w:rPr>
          <w:rFonts w:ascii="Arial" w:cs="Arial" w:eastAsia="Arial" w:hAnsi="Arial"/>
          <w:sz w:val="18"/>
          <w:szCs w:val="18"/>
          <w:color w:val="auto"/>
        </w:rPr>
        <w:t>” means the rights and interests in and to issued patents and pending patent applications (which, for purposes of this Agreement, include certificates of invention, applications for certificates of invention and priority rights) in any country or region, including all provisional applications, substitutions, continuations, continuations-in-part, divisions, renewals, all letters patent granted thereon, and all reissues, re-examinations and extensions thereof, and all foreign counterparts of any of the foregoing.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jc w:val="both"/>
        <w:ind w:firstLine="648"/>
        <w:spacing w:after="0" w:line="266" w:lineRule="auto"/>
        <w:rPr>
          <w:sz w:val="20"/>
          <w:szCs w:val="20"/>
          <w:color w:val="auto"/>
        </w:rPr>
      </w:pPr>
      <w:r>
        <w:rPr>
          <w:rFonts w:ascii="Arial" w:cs="Arial" w:eastAsia="Arial" w:hAnsi="Arial"/>
          <w:sz w:val="18"/>
          <w:szCs w:val="18"/>
          <w:color w:val="auto"/>
        </w:rPr>
        <w:t>1.68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department or agency of a government.</w:t>
      </w:r>
    </w:p>
    <w:p>
      <w:pPr>
        <w:spacing w:after="0" w:line="17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1 Clinical Trial</w:t>
      </w:r>
      <w:r>
        <w:rPr>
          <w:rFonts w:ascii="Arial" w:cs="Arial" w:eastAsia="Arial" w:hAnsi="Arial"/>
          <w:sz w:val="16"/>
          <w:szCs w:val="16"/>
          <w:color w:val="auto"/>
        </w:rPr>
        <w:t>” means a human clinical trial conducted for a Product in any country that would satisfy the requirements of 21 CFR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312.21(a), as amended (or its foreign equivalent).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1.70 “</w:t>
      </w:r>
      <w:r>
        <w:rPr>
          <w:rFonts w:ascii="Arial" w:cs="Arial" w:eastAsia="Arial" w:hAnsi="Arial"/>
          <w:sz w:val="18"/>
          <w:szCs w:val="18"/>
          <w:b w:val="1"/>
          <w:bCs w:val="1"/>
          <w:color w:val="auto"/>
        </w:rPr>
        <w:t>Phase 2 Clinical Trial</w:t>
      </w:r>
      <w:r>
        <w:rPr>
          <w:rFonts w:ascii="Arial" w:cs="Arial" w:eastAsia="Arial" w:hAnsi="Arial"/>
          <w:sz w:val="18"/>
          <w:szCs w:val="18"/>
          <w:color w:val="auto"/>
        </w:rPr>
        <w:t>” means a human clinical trial conducted for a Product for any Indication that would satisfy the requirements of 21 CFR 312.21(b), as amended (or its foreign equivalent) and is intended to explore one or more doses, dose response, and duration of effect, and to generate initial evidence of clinical activity and safety for such Product in the target patient population.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1.71 “</w:t>
      </w:r>
      <w:r>
        <w:rPr>
          <w:rFonts w:ascii="Arial" w:cs="Arial" w:eastAsia="Arial" w:hAnsi="Arial"/>
          <w:sz w:val="18"/>
          <w:szCs w:val="18"/>
          <w:b w:val="1"/>
          <w:bCs w:val="1"/>
          <w:color w:val="auto"/>
        </w:rPr>
        <w:t>Phase 3 Clinical Trial</w:t>
      </w:r>
      <w:r>
        <w:rPr>
          <w:rFonts w:ascii="Arial" w:cs="Arial" w:eastAsia="Arial" w:hAnsi="Arial"/>
          <w:sz w:val="18"/>
          <w:szCs w:val="18"/>
          <w:color w:val="auto"/>
        </w:rPr>
        <w:t>” means a pivotal human clinical trial conducted for a Product for any Indication that would satisfy the requirements of 21 CFR 312.21(c), as amended (or its foreign equivalent) and is intended to confirm with statistical significance the efficacy and safety of such Product with respect to a particular Indication, and is performed to obtain Marketing Authorization.</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1.72 “</w:t>
      </w:r>
      <w:r>
        <w:rPr>
          <w:rFonts w:ascii="Arial" w:cs="Arial" w:eastAsia="Arial" w:hAnsi="Arial"/>
          <w:sz w:val="17"/>
          <w:szCs w:val="17"/>
          <w:b w:val="1"/>
          <w:bCs w:val="1"/>
          <w:color w:val="auto"/>
        </w:rPr>
        <w:t>Pivotal Clinical Trial</w:t>
      </w:r>
      <w:r>
        <w:rPr>
          <w:rFonts w:ascii="Arial" w:cs="Arial" w:eastAsia="Arial" w:hAnsi="Arial"/>
          <w:sz w:val="17"/>
          <w:szCs w:val="17"/>
          <w:color w:val="auto"/>
        </w:rPr>
        <w:t>” means (a) a Phase 3 Clinical Trial or, (b) a Phase 2 Clinical Trial to the extent: (i) in the United States, the protocol for that Phase 2 Clinical Trial shall have been reviewed by the FDA under its current Special Protocol Assessment Guidelines (or equivalent guidelines issued in the future), and any comments from the FDA on that protocol are incorporated in the final protocol for that Phase 2 Clinical Trial or are resolved to the FDA’s satisfaction as evidenced by further written communications from the FDA; or (ii) a process with a comparable result – acceptance of a Phase 2 Clinical Trial protocol as “potentially pivotal” – has occurred with the EMA/CHMP in the European Union; or (iii) based on the results of that Phase 2 Clinical Trial, either the FDA, EMA, or corresponding Regulatory Authority in the Territory has determined that the Phase 2 Clinical Trial can be considered as a pivotal clinical trial for purposes of obtaining Marketing Authorization.</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b w:val="1"/>
          <w:bCs w:val="1"/>
          <w:color w:val="auto"/>
        </w:rPr>
        <w:t>Post Approval Clinical Trials</w:t>
      </w:r>
      <w:r>
        <w:rPr>
          <w:rFonts w:ascii="Arial" w:cs="Arial" w:eastAsia="Arial" w:hAnsi="Arial"/>
          <w:sz w:val="18"/>
          <w:szCs w:val="18"/>
          <w:color w:val="auto"/>
        </w:rPr>
        <w:t>” means any Phase 4 clinical trial and/or any clinical trial undertaken after any Marketing Approval is granted such as Investigator sponsored study.</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b w:val="1"/>
          <w:bCs w:val="1"/>
          <w:color w:val="auto"/>
        </w:rPr>
        <w:t>“Pricing”</w:t>
      </w:r>
      <w:r>
        <w:rPr>
          <w:rFonts w:ascii="Arial" w:cs="Arial" w:eastAsia="Arial" w:hAnsi="Arial"/>
          <w:sz w:val="17"/>
          <w:szCs w:val="17"/>
          <w:color w:val="auto"/>
        </w:rPr>
        <w:t xml:space="preserve"> means the determination of Product pricing at all levels, including the Product list price (also referred to as Wholesale Acquisition Cost) and the net price in which the Product is offered to purchasers and payers (including both private sector and government entities).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3" w:name="page94"/>
    <w:bookmarkEnd w:id="93"/>
    <w:p>
      <w:pPr>
        <w:jc w:val="both"/>
        <w:ind w:firstLine="648"/>
        <w:spacing w:after="0" w:line="282" w:lineRule="auto"/>
        <w:rPr>
          <w:sz w:val="20"/>
          <w:szCs w:val="20"/>
          <w:color w:val="auto"/>
        </w:rPr>
      </w:pPr>
      <w:r>
        <w:rPr>
          <w:rFonts w:ascii="Arial" w:cs="Arial" w:eastAsia="Arial" w:hAnsi="Arial"/>
          <w:sz w:val="18"/>
          <w:szCs w:val="18"/>
          <w:color w:val="auto"/>
        </w:rPr>
        <w:t>1.75 “</w:t>
      </w:r>
      <w:r>
        <w:rPr>
          <w:rFonts w:ascii="Arial" w:cs="Arial" w:eastAsia="Arial" w:hAnsi="Arial"/>
          <w:sz w:val="18"/>
          <w:szCs w:val="18"/>
          <w:b w:val="1"/>
          <w:bCs w:val="1"/>
          <w:color w:val="auto"/>
        </w:rPr>
        <w:t>Pricing Approval</w:t>
      </w:r>
      <w:r>
        <w:rPr>
          <w:rFonts w:ascii="Arial" w:cs="Arial" w:eastAsia="Arial" w:hAnsi="Arial"/>
          <w:sz w:val="18"/>
          <w:szCs w:val="18"/>
          <w:color w:val="auto"/>
        </w:rPr>
        <w:t>” means, with respect to a Product in the Territory, any pricing and reimbursement approvals, guidance or recommendations reasonably necessary to market such Product in the Territory.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b w:val="1"/>
          <w:bCs w:val="1"/>
          <w:color w:val="auto"/>
        </w:rPr>
        <w:t>Product</w:t>
      </w:r>
      <w:r>
        <w:rPr>
          <w:rFonts w:ascii="Arial" w:cs="Arial" w:eastAsia="Arial" w:hAnsi="Arial"/>
          <w:sz w:val="18"/>
          <w:szCs w:val="18"/>
          <w:color w:val="auto"/>
        </w:rPr>
        <w:t>” shall mean any pharmaceutical or medicinal item, substance, formulation or dosage that is comprised of, or contains, a Compound (whether or not such Compound is the sole active ingredient).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“Product Improvement”</w:t>
      </w:r>
      <w:r>
        <w:rPr>
          <w:rFonts w:ascii="Arial" w:cs="Arial" w:eastAsia="Arial" w:hAnsi="Arial"/>
          <w:sz w:val="18"/>
          <w:szCs w:val="18"/>
          <w:color w:val="auto"/>
        </w:rPr>
        <w:t xml:space="preserve"> means any Program Technology related to or concerning the Product and/or Licensed Technology, whether or not patentable, copyrightable or otherwise protectable under any intellectual property rights.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1.78 “</w:t>
      </w:r>
      <w:r>
        <w:rPr>
          <w:rFonts w:ascii="Arial" w:cs="Arial" w:eastAsia="Arial" w:hAnsi="Arial"/>
          <w:sz w:val="18"/>
          <w:szCs w:val="18"/>
          <w:b w:val="1"/>
          <w:bCs w:val="1"/>
          <w:color w:val="auto"/>
        </w:rPr>
        <w:t>Program Technology</w:t>
      </w:r>
      <w:r>
        <w:rPr>
          <w:rFonts w:ascii="Arial" w:cs="Arial" w:eastAsia="Arial" w:hAnsi="Arial"/>
          <w:sz w:val="18"/>
          <w:szCs w:val="18"/>
          <w:color w:val="auto"/>
        </w:rPr>
        <w:t>” means any Technology or Proprietary Material that is conceived and first reduced to practice (actually or constructively), by ILDONG and/or its Affiliates or jointly by the Parties, or by any Sublicensee or by any Distributors, whether or not patentable, in the conduct of the Development Program and/or in connection with the Commercialization of Products.</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1.79 “</w:t>
      </w:r>
      <w:r>
        <w:rPr>
          <w:rFonts w:ascii="Arial" w:cs="Arial" w:eastAsia="Arial" w:hAnsi="Arial"/>
          <w:sz w:val="16"/>
          <w:szCs w:val="16"/>
          <w:b w:val="1"/>
          <w:bCs w:val="1"/>
          <w:color w:val="auto"/>
        </w:rPr>
        <w:t>Proprietary Materials</w:t>
      </w:r>
      <w:r>
        <w:rPr>
          <w:rFonts w:ascii="Arial" w:cs="Arial" w:eastAsia="Arial" w:hAnsi="Arial"/>
          <w:sz w:val="16"/>
          <w:szCs w:val="16"/>
          <w:color w:val="auto"/>
        </w:rPr>
        <w:t>” means any tangible chemical, biological or physical materials that (a) are furnished by or on behalf of one Party to the other Party in connection with this Agreement, whether or not specifically designated as proprietary by such Transferring Party, or (b) that are otherwise conceived or reduced to practice by ILDONG in the conduct of the Development Program and/or in connection with the Commercialization of Products.</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1.80 “</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with respect to the Territory, any approval, product and establishment license, registration or authorization of any Regulatory Authority required for the Manufacture, use, storage, importation, exportation, transport or distribution of a Product in the Territory, including any Marketing Authorization.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national, international, regional, state or local regulatory agency, department, bureau, commission, council or other governmental entity with authority over the distribution, importation, exportation, Manufacture, production, use, storage, transport, clinical testing, marketing, Pricing or sale of a Product in the Territory.</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1.82 “</w:t>
      </w:r>
      <w:r>
        <w:rPr>
          <w:rFonts w:ascii="Arial" w:cs="Arial" w:eastAsia="Arial" w:hAnsi="Arial"/>
          <w:sz w:val="18"/>
          <w:szCs w:val="18"/>
          <w:b w:val="1"/>
          <w:bCs w:val="1"/>
          <w:color w:val="auto"/>
        </w:rPr>
        <w:t>Regulatory Filings</w:t>
      </w:r>
      <w:r>
        <w:rPr>
          <w:rFonts w:ascii="Arial" w:cs="Arial" w:eastAsia="Arial" w:hAnsi="Arial"/>
          <w:sz w:val="18"/>
          <w:szCs w:val="18"/>
          <w:color w:val="auto"/>
        </w:rPr>
        <w:t>” means, collectively: (a) all INDs, NDAs, BLAs, NADAs, MAAs establishment license applications, Drug Master Files, and all other similar filings (including, without limitation, counterparts of any of the foregoing in the Territory); (b) all supplements and amendments to any of the foregoing; (c) all data and other information contained in, and correspondence relating to, any of the foregoing; and (d) any and all orphan drug applications.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1.83 “</w:t>
      </w:r>
      <w:r>
        <w:rPr>
          <w:rFonts w:ascii="Arial" w:cs="Arial" w:eastAsia="Arial" w:hAnsi="Arial"/>
          <w:sz w:val="18"/>
          <w:szCs w:val="18"/>
          <w:b w:val="1"/>
          <w:bCs w:val="1"/>
          <w:color w:val="auto"/>
        </w:rPr>
        <w:t>Reimbursement Approval</w:t>
      </w:r>
      <w:r>
        <w:rPr>
          <w:rFonts w:ascii="Arial" w:cs="Arial" w:eastAsia="Arial" w:hAnsi="Arial"/>
          <w:sz w:val="18"/>
          <w:szCs w:val="18"/>
          <w:color w:val="auto"/>
        </w:rPr>
        <w:t>” means, with respect to a Product in the Territory, any pricing reimbursement registration or listing on formularies and all approval necessary to an optimal introduction of the Product on the market.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4" w:name="page95"/>
    <w:bookmarkEnd w:id="94"/>
    <w:p>
      <w:pPr>
        <w:jc w:val="both"/>
        <w:ind w:firstLine="648"/>
        <w:spacing w:after="0" w:line="261" w:lineRule="auto"/>
        <w:rPr>
          <w:sz w:val="20"/>
          <w:szCs w:val="20"/>
          <w:color w:val="auto"/>
        </w:rPr>
      </w:pPr>
      <w:r>
        <w:rPr>
          <w:rFonts w:ascii="Arial" w:cs="Arial" w:eastAsia="Arial" w:hAnsi="Arial"/>
          <w:sz w:val="18"/>
          <w:szCs w:val="18"/>
          <w:color w:val="auto"/>
        </w:rPr>
        <w:t>1.84 “</w:t>
      </w:r>
      <w:r>
        <w:rPr>
          <w:rFonts w:ascii="Arial" w:cs="Arial" w:eastAsia="Arial" w:hAnsi="Arial"/>
          <w:sz w:val="18"/>
          <w:szCs w:val="18"/>
          <w:b w:val="1"/>
          <w:bCs w:val="1"/>
          <w:color w:val="auto"/>
        </w:rPr>
        <w:t>Royalty Term</w:t>
      </w:r>
      <w:r>
        <w:rPr>
          <w:rFonts w:ascii="Arial" w:cs="Arial" w:eastAsia="Arial" w:hAnsi="Arial"/>
          <w:sz w:val="18"/>
          <w:szCs w:val="18"/>
          <w:color w:val="auto"/>
        </w:rPr>
        <w:t>” means with respect to each Product in each country in the Territory, the period beginning on the date of First Commercial Sale of such Product in such country and ending on the later of (a) the expiration of the last to expire Valid Claim of the Licensed Patent Rights or ILDONG Program Patent Rights in such country that Covers the composition of matter, Manufacture, use or sale of such Product, and (b) fifteen (15) years from the date of the First Commercial Sale of such Product in such country.</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“Sales Target”</w:t>
      </w:r>
      <w:r>
        <w:rPr>
          <w:rFonts w:ascii="Arial" w:cs="Arial" w:eastAsia="Arial" w:hAnsi="Arial"/>
          <w:sz w:val="18"/>
          <w:szCs w:val="18"/>
          <w:color w:val="auto"/>
        </w:rPr>
        <w:t xml:space="preserve"> means that proportion of the total patient market for the Product provided to Sublicensor by ILDONG and expressed as either a percentage or calculated number of vials of the Product as set forth in Schedule 3.</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1.86 “</w:t>
      </w:r>
      <w:r>
        <w:rPr>
          <w:rFonts w:ascii="Arial" w:cs="Arial" w:eastAsia="Arial" w:hAnsi="Arial"/>
          <w:sz w:val="18"/>
          <w:szCs w:val="18"/>
          <w:b w:val="1"/>
          <w:bCs w:val="1"/>
          <w:color w:val="auto"/>
        </w:rPr>
        <w:t>Serious Adverse Event</w:t>
      </w:r>
      <w:r>
        <w:rPr>
          <w:rFonts w:ascii="Arial" w:cs="Arial" w:eastAsia="Arial" w:hAnsi="Arial"/>
          <w:sz w:val="18"/>
          <w:szCs w:val="18"/>
          <w:color w:val="auto"/>
        </w:rPr>
        <w:t>” means any untoward medical occurrence that, at any dose, results in death, is life-threatening, requires inpatient hospitalization or prolongation of existing hospitalization, results in persistent or significant disability/incapacity, or is a congenital anomaly/birth defect, as more full defined in 21 CFR § 312.32.</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1.87 “</w:t>
      </w:r>
      <w:r>
        <w:rPr>
          <w:rFonts w:ascii="Arial" w:cs="Arial" w:eastAsia="Arial" w:hAnsi="Arial"/>
          <w:sz w:val="16"/>
          <w:szCs w:val="16"/>
          <w:b w:val="1"/>
          <w:bCs w:val="1"/>
          <w:color w:val="auto"/>
        </w:rPr>
        <w:t>Significant Development Event</w:t>
      </w:r>
      <w:r>
        <w:rPr>
          <w:rFonts w:ascii="Arial" w:cs="Arial" w:eastAsia="Arial" w:hAnsi="Arial"/>
          <w:sz w:val="16"/>
          <w:szCs w:val="16"/>
          <w:color w:val="auto"/>
        </w:rPr>
        <w:t>” means any of the following material Development events, a summary of which shall be included in any Development Report: (a) any material interaction and/or written correspondence between ILDONG and any Regulatory Authority with respect to the Compound or a Product; (b) any material event with respect to any Clinical Trial involving the Compound and/or a Product, including any such event that is ongoing as of the date of the applicable Development Report, or is reasonably expected to occur or be initiated within twelve (12) months of the date of the applicable Development Report; and (c) any material result obtained in the conduct of any Clinical Trial involving the Compound and/or a Product during the period covered by the Development Report. For purposes of clarity, all information provided to SUBLICENSOR with respect to Significant Development Events, shall be deemed to be Confidential Information of ILDONG. For purposes of this definition, “material” shall be defined as any event and/or result which have had or may have a significant impact on the activities and timelines defined in the Development plan of each Product.</w:t>
      </w:r>
    </w:p>
    <w:p>
      <w:pPr>
        <w:spacing w:after="0" w:line="16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b w:val="1"/>
          <w:bCs w:val="1"/>
          <w:color w:val="auto"/>
        </w:rPr>
        <w:t>“sBLA</w:t>
      </w:r>
      <w:r>
        <w:rPr>
          <w:rFonts w:ascii="Arial" w:cs="Arial" w:eastAsia="Arial" w:hAnsi="Arial"/>
          <w:sz w:val="16"/>
          <w:szCs w:val="16"/>
          <w:color w:val="auto"/>
        </w:rPr>
        <w:t>” means a Supplemental Biologic License Application, as defined in the FDCA and applicable regulations promulgated thereunder.</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sNDA</w:t>
      </w:r>
      <w:r>
        <w:rPr>
          <w:rFonts w:ascii="Arial" w:cs="Arial" w:eastAsia="Arial" w:hAnsi="Arial"/>
          <w:sz w:val="16"/>
          <w:szCs w:val="16"/>
          <w:color w:val="auto"/>
        </w:rPr>
        <w:t>” means a Supplemental New Drug Application, as defined in the FDCA and applicable regulations promulgated thereunder.</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means any Third Party to which ILDONG grants a sublicense in accordance with Section 2.2.</w:t>
      </w:r>
    </w:p>
    <w:p>
      <w:pPr>
        <w:spacing w:after="0" w:line="22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 Agreement</w:t>
      </w:r>
      <w:r>
        <w:rPr>
          <w:rFonts w:ascii="Arial" w:cs="Arial" w:eastAsia="Arial" w:hAnsi="Arial"/>
          <w:sz w:val="16"/>
          <w:szCs w:val="16"/>
          <w:color w:val="auto"/>
        </w:rPr>
        <w:t>” means any agreement by and between a Party and a Sublicensee which is entered into in accordance with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1.92 “</w:t>
      </w:r>
      <w:r>
        <w:rPr>
          <w:rFonts w:ascii="Arial" w:cs="Arial" w:eastAsia="Arial" w:hAnsi="Arial"/>
          <w:sz w:val="18"/>
          <w:szCs w:val="18"/>
          <w:b w:val="1"/>
          <w:bCs w:val="1"/>
          <w:color w:val="auto"/>
        </w:rPr>
        <w:t>Technology</w:t>
      </w:r>
      <w:r>
        <w:rPr>
          <w:rFonts w:ascii="Arial" w:cs="Arial" w:eastAsia="Arial" w:hAnsi="Arial"/>
          <w:sz w:val="18"/>
          <w:szCs w:val="18"/>
          <w:color w:val="auto"/>
        </w:rPr>
        <w:t>” means, collectively, all inventions, discoveries, improvements, trade secrets and proprietary information and methods, whether or not patentable or patented, including without limitation: (a) methods of Manufacture or use of, and structural and functional information pertaining to, chemical compounds; (b) compositions of matter, data, formulations, processes, techniques, know-how and results (including any negative results) and (c) results of clinical trials, pre-clinical trials and other Development activities.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95" w:name="page96"/>
    <w:bookmarkEnd w:id="95"/>
    <w:p>
      <w:pPr>
        <w:ind w:left="660"/>
        <w:spacing w:after="0"/>
        <w:tabs>
          <w:tab w:leader="none" w:pos="122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South Korea, Taiwan, Singapore, Indonesia, Malaysia, Thailand, Philippines, Vietnam, and Myanmar.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color w:val="auto"/>
        </w:rPr>
        <w:t>“TG20”</w:t>
      </w:r>
      <w:r>
        <w:rPr>
          <w:rFonts w:ascii="Arial" w:cs="Arial" w:eastAsia="Arial" w:hAnsi="Arial"/>
          <w:sz w:val="18"/>
          <w:szCs w:val="18"/>
          <w:color w:val="auto"/>
        </w:rPr>
        <w:t xml:space="preserve"> means the transgenic-derived chimeric monoclonal antibody described more fully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attached hereto and incorporated herein by reference.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1.95 “</w:t>
      </w:r>
      <w:r>
        <w:rPr>
          <w:rFonts w:ascii="Arial" w:cs="Arial" w:eastAsia="Arial" w:hAnsi="Arial"/>
          <w:sz w:val="18"/>
          <w:szCs w:val="18"/>
          <w:b w:val="1"/>
          <w:bCs w:val="1"/>
          <w:color w:val="auto"/>
        </w:rPr>
        <w:t>ILDONG Materials</w:t>
      </w:r>
      <w:r>
        <w:rPr>
          <w:rFonts w:ascii="Arial" w:cs="Arial" w:eastAsia="Arial" w:hAnsi="Arial"/>
          <w:sz w:val="18"/>
          <w:szCs w:val="18"/>
          <w:color w:val="auto"/>
        </w:rPr>
        <w:t>” means any Proprietary Materials that are Controlled by ILDONG and used by ILDONG, or provided by ILDONG for use, in the Development Program.</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1.96 “</w:t>
      </w:r>
      <w:r>
        <w:rPr>
          <w:rFonts w:ascii="Arial" w:cs="Arial" w:eastAsia="Arial" w:hAnsi="Arial"/>
          <w:sz w:val="18"/>
          <w:szCs w:val="18"/>
          <w:b w:val="1"/>
          <w:bCs w:val="1"/>
          <w:color w:val="auto"/>
        </w:rPr>
        <w:t>Third Party</w:t>
      </w:r>
      <w:r>
        <w:rPr>
          <w:rFonts w:ascii="Arial" w:cs="Arial" w:eastAsia="Arial" w:hAnsi="Arial"/>
          <w:sz w:val="18"/>
          <w:szCs w:val="18"/>
          <w:color w:val="auto"/>
        </w:rPr>
        <w:t>” means (a) with respect to ILDONG, any Person other than ILDONG and its respective Affiliates, Sublicensees and Distributors and (b) with respect to SUBLICENSOR, any Person other than its Affiliates.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1.97 “</w:t>
      </w:r>
      <w:r>
        <w:rPr>
          <w:rFonts w:ascii="Arial" w:cs="Arial" w:eastAsia="Arial" w:hAnsi="Arial"/>
          <w:sz w:val="18"/>
          <w:szCs w:val="18"/>
          <w:b w:val="1"/>
          <w:bCs w:val="1"/>
          <w:color w:val="auto"/>
        </w:rPr>
        <w:t>Valid Claim</w:t>
      </w:r>
      <w:r>
        <w:rPr>
          <w:rFonts w:ascii="Arial" w:cs="Arial" w:eastAsia="Arial" w:hAnsi="Arial"/>
          <w:sz w:val="18"/>
          <w:szCs w:val="18"/>
          <w:color w:val="auto"/>
        </w:rPr>
        <w:t>” means any claim of (a) an issued unexpired patent that (i) has not been finally cancelled, withdrawn, abandoned or rejected by any administrative agency or other body of competent jurisdiction, (ii) has not been permanently revoked, held invalid, or declared unpatentable or unenforceable in a decision of a court or other body of competent jurisdiction that is unappealable or unappealed within the time allowed for appeal, (iii) has not been rendered unenforceable through terminal disclaimer or otherwise, and (iv) is not lost through an interference proceeding that is unappealable or unappealed within the time allowed for appeal; or (b) a claim of a pending Patent application, which claim has not been abandoned or finally disallowed without the possibility of appeal.</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auto"/>
        </w:rPr>
        <w:t>Additional Definitions</w:t>
      </w:r>
      <w:r>
        <w:rPr>
          <w:rFonts w:ascii="Arial" w:cs="Arial" w:eastAsia="Arial" w:hAnsi="Arial"/>
          <w:sz w:val="18"/>
          <w:szCs w:val="18"/>
          <w:color w:val="auto"/>
        </w:rPr>
        <w:t>. In addition, each of the following definitions shall have the respective meanings set forth in the section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Definition</w:t>
            </w:r>
          </w:p>
        </w:tc>
        <w:tc>
          <w:tcPr>
            <w:tcW w:w="2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Section</w:t>
            </w:r>
          </w:p>
        </w:tc>
        <w:tc>
          <w:tcPr>
            <w:tcW w:w="2460" w:type="dxa"/>
            <w:vAlign w:val="bottom"/>
          </w:tcPr>
          <w:p>
            <w:pPr>
              <w:spacing w:after="0"/>
              <w:rPr>
                <w:sz w:val="20"/>
                <w:szCs w:val="20"/>
                <w:color w:val="auto"/>
              </w:rPr>
            </w:pPr>
          </w:p>
        </w:tc>
      </w:tr>
      <w:tr>
        <w:trPr>
          <w:trHeight w:val="418"/>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Action</w:t>
            </w: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10.2.1(a)(ii)</w:t>
            </w:r>
          </w:p>
        </w:tc>
        <w:tc>
          <w:tcPr>
            <w:tcW w:w="2460" w:type="dxa"/>
            <w:vAlign w:val="bottom"/>
          </w:tcPr>
          <w:p>
            <w:pPr>
              <w:spacing w:after="0"/>
              <w:rPr>
                <w:sz w:val="24"/>
                <w:szCs w:val="24"/>
                <w:color w:val="auto"/>
              </w:rPr>
            </w:pPr>
          </w:p>
        </w:tc>
      </w:tr>
      <w:tr>
        <w:trPr>
          <w:trHeight w:val="216"/>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Anticipated Approval Notice</w:t>
            </w:r>
          </w:p>
        </w:tc>
        <w:tc>
          <w:tcPr>
            <w:tcW w:w="2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5.11.1(a)</w:t>
            </w:r>
          </w:p>
        </w:tc>
        <w:tc>
          <w:tcPr>
            <w:tcW w:w="2460" w:type="dxa"/>
            <w:vAlign w:val="bottom"/>
          </w:tcPr>
          <w:p>
            <w:pPr>
              <w:spacing w:after="0"/>
              <w:rPr>
                <w:sz w:val="18"/>
                <w:szCs w:val="18"/>
                <w:color w:val="auto"/>
              </w:rPr>
            </w:pPr>
          </w:p>
        </w:tc>
      </w:tr>
      <w:tr>
        <w:trPr>
          <w:trHeight w:val="216"/>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Claims</w:t>
            </w:r>
          </w:p>
        </w:tc>
        <w:tc>
          <w:tcPr>
            <w:tcW w:w="4180" w:type="dxa"/>
            <w:vAlign w:val="bottom"/>
            <w:gridSpan w:val="3"/>
          </w:tcPr>
          <w:p>
            <w:pPr>
              <w:ind w:left="2420"/>
              <w:spacing w:after="0"/>
              <w:rPr>
                <w:sz w:val="20"/>
                <w:szCs w:val="20"/>
                <w:color w:val="auto"/>
              </w:rPr>
            </w:pPr>
            <w:r>
              <w:rPr>
                <w:rFonts w:ascii="Arial" w:cs="Arial" w:eastAsia="Arial" w:hAnsi="Arial"/>
                <w:sz w:val="18"/>
                <w:szCs w:val="18"/>
                <w:color w:val="auto"/>
              </w:rPr>
              <w:t>13.1</w:t>
            </w:r>
          </w:p>
        </w:tc>
        <w:tc>
          <w:tcPr>
            <w:tcW w:w="2460" w:type="dxa"/>
            <w:vAlign w:val="bottom"/>
          </w:tcPr>
          <w:p>
            <w:pPr>
              <w:spacing w:after="0"/>
              <w:rPr>
                <w:sz w:val="18"/>
                <w:szCs w:val="18"/>
                <w:color w:val="auto"/>
              </w:rPr>
            </w:pPr>
          </w:p>
        </w:tc>
      </w:tr>
      <w:tr>
        <w:trPr>
          <w:trHeight w:val="216"/>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Commercialization Report</w:t>
            </w:r>
          </w:p>
        </w:tc>
        <w:tc>
          <w:tcPr>
            <w:tcW w:w="4180" w:type="dxa"/>
            <w:vAlign w:val="bottom"/>
            <w:gridSpan w:val="3"/>
          </w:tcPr>
          <w:p>
            <w:pPr>
              <w:ind w:left="2420"/>
              <w:spacing w:after="0"/>
              <w:rPr>
                <w:sz w:val="20"/>
                <w:szCs w:val="20"/>
                <w:color w:val="auto"/>
              </w:rPr>
            </w:pPr>
            <w:r>
              <w:rPr>
                <w:rFonts w:ascii="Arial" w:cs="Arial" w:eastAsia="Arial" w:hAnsi="Arial"/>
                <w:sz w:val="18"/>
                <w:szCs w:val="18"/>
                <w:color w:val="auto"/>
              </w:rPr>
              <w:t>5.8</w:t>
            </w:r>
          </w:p>
        </w:tc>
        <w:tc>
          <w:tcPr>
            <w:tcW w:w="2460" w:type="dxa"/>
            <w:vAlign w:val="bottom"/>
          </w:tcPr>
          <w:p>
            <w:pPr>
              <w:spacing w:after="0"/>
              <w:rPr>
                <w:sz w:val="18"/>
                <w:szCs w:val="18"/>
                <w:color w:val="auto"/>
              </w:rPr>
            </w:pPr>
          </w:p>
        </w:tc>
      </w:tr>
      <w:tr>
        <w:trPr>
          <w:trHeight w:val="216"/>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Competitive Program Transaction</w:t>
            </w:r>
          </w:p>
        </w:tc>
        <w:tc>
          <w:tcPr>
            <w:tcW w:w="2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2.4.2(a)</w:t>
            </w:r>
          </w:p>
        </w:tc>
        <w:tc>
          <w:tcPr>
            <w:tcW w:w="2460" w:type="dxa"/>
            <w:vAlign w:val="bottom"/>
          </w:tcPr>
          <w:p>
            <w:pPr>
              <w:spacing w:after="0"/>
              <w:rPr>
                <w:sz w:val="18"/>
                <w:szCs w:val="18"/>
                <w:color w:val="auto"/>
              </w:rPr>
            </w:pPr>
          </w:p>
        </w:tc>
      </w:tr>
      <w:tr>
        <w:trPr>
          <w:trHeight w:val="216"/>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Competitive Program Transaction Notice</w:t>
            </w:r>
          </w:p>
        </w:tc>
        <w:tc>
          <w:tcPr>
            <w:tcW w:w="2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2.4.2(a)</w:t>
            </w:r>
          </w:p>
        </w:tc>
        <w:tc>
          <w:tcPr>
            <w:tcW w:w="2460" w:type="dxa"/>
            <w:vAlign w:val="bottom"/>
          </w:tcPr>
          <w:p>
            <w:pPr>
              <w:spacing w:after="0"/>
              <w:rPr>
                <w:sz w:val="18"/>
                <w:szCs w:val="18"/>
                <w:color w:val="auto"/>
              </w:rPr>
            </w:pPr>
          </w:p>
        </w:tc>
      </w:tr>
      <w:tr>
        <w:trPr>
          <w:trHeight w:val="216"/>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Development Report</w:t>
            </w:r>
          </w:p>
        </w:tc>
        <w:tc>
          <w:tcPr>
            <w:tcW w:w="4180" w:type="dxa"/>
            <w:vAlign w:val="bottom"/>
            <w:gridSpan w:val="3"/>
          </w:tcPr>
          <w:p>
            <w:pPr>
              <w:ind w:left="2420"/>
              <w:spacing w:after="0"/>
              <w:rPr>
                <w:sz w:val="20"/>
                <w:szCs w:val="20"/>
                <w:color w:val="auto"/>
              </w:rPr>
            </w:pPr>
            <w:r>
              <w:rPr>
                <w:rFonts w:ascii="Arial" w:cs="Arial" w:eastAsia="Arial" w:hAnsi="Arial"/>
                <w:sz w:val="18"/>
                <w:szCs w:val="18"/>
                <w:color w:val="auto"/>
              </w:rPr>
              <w:t>3.4.1</w:t>
            </w:r>
          </w:p>
        </w:tc>
        <w:tc>
          <w:tcPr>
            <w:tcW w:w="2460" w:type="dxa"/>
            <w:vAlign w:val="bottom"/>
          </w:tcPr>
          <w:p>
            <w:pPr>
              <w:spacing w:after="0"/>
              <w:rPr>
                <w:sz w:val="18"/>
                <w:szCs w:val="18"/>
                <w:color w:val="auto"/>
              </w:rPr>
            </w:pPr>
          </w:p>
        </w:tc>
      </w:tr>
      <w:tr>
        <w:trPr>
          <w:trHeight w:val="216"/>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Diligence Failure Notice</w:t>
            </w:r>
          </w:p>
        </w:tc>
        <w:tc>
          <w:tcPr>
            <w:tcW w:w="4180" w:type="dxa"/>
            <w:vAlign w:val="bottom"/>
            <w:gridSpan w:val="3"/>
          </w:tcPr>
          <w:p>
            <w:pPr>
              <w:ind w:left="2420"/>
              <w:spacing w:after="0"/>
              <w:rPr>
                <w:sz w:val="20"/>
                <w:szCs w:val="20"/>
                <w:color w:val="auto"/>
              </w:rPr>
            </w:pPr>
            <w:r>
              <w:rPr>
                <w:rFonts w:ascii="Arial" w:cs="Arial" w:eastAsia="Arial" w:hAnsi="Arial"/>
                <w:sz w:val="18"/>
                <w:szCs w:val="18"/>
                <w:color w:val="auto"/>
              </w:rPr>
              <w:t>5.4</w:t>
            </w:r>
          </w:p>
        </w:tc>
        <w:tc>
          <w:tcPr>
            <w:tcW w:w="2460" w:type="dxa"/>
            <w:vAlign w:val="bottom"/>
          </w:tcPr>
          <w:p>
            <w:pPr>
              <w:spacing w:after="0"/>
              <w:rPr>
                <w:sz w:val="18"/>
                <w:szCs w:val="18"/>
                <w:color w:val="auto"/>
              </w:rPr>
            </w:pPr>
          </w:p>
        </w:tc>
      </w:tr>
      <w:tr>
        <w:trPr>
          <w:trHeight w:val="216"/>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Disclosing Party</w:t>
            </w:r>
          </w:p>
        </w:tc>
        <w:tc>
          <w:tcPr>
            <w:tcW w:w="4180" w:type="dxa"/>
            <w:vAlign w:val="bottom"/>
            <w:gridSpan w:val="3"/>
          </w:tcPr>
          <w:p>
            <w:pPr>
              <w:ind w:left="2420"/>
              <w:spacing w:after="0"/>
              <w:rPr>
                <w:sz w:val="20"/>
                <w:szCs w:val="20"/>
                <w:color w:val="auto"/>
              </w:rPr>
            </w:pPr>
            <w:r>
              <w:rPr>
                <w:rFonts w:ascii="Arial" w:cs="Arial" w:eastAsia="Arial" w:hAnsi="Arial"/>
                <w:sz w:val="18"/>
                <w:szCs w:val="18"/>
                <w:color w:val="auto"/>
              </w:rPr>
              <w:t>1.28</w:t>
            </w:r>
          </w:p>
        </w:tc>
        <w:tc>
          <w:tcPr>
            <w:tcW w:w="2460" w:type="dxa"/>
            <w:vAlign w:val="bottom"/>
          </w:tcPr>
          <w:p>
            <w:pPr>
              <w:spacing w:after="0"/>
              <w:rPr>
                <w:sz w:val="18"/>
                <w:szCs w:val="18"/>
                <w:color w:val="auto"/>
              </w:rPr>
            </w:pPr>
          </w:p>
        </w:tc>
      </w:tr>
      <w:tr>
        <w:trPr>
          <w:trHeight w:val="216"/>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Dispute</w:t>
            </w:r>
          </w:p>
        </w:tc>
        <w:tc>
          <w:tcPr>
            <w:tcW w:w="4180" w:type="dxa"/>
            <w:vAlign w:val="bottom"/>
            <w:gridSpan w:val="3"/>
          </w:tcPr>
          <w:p>
            <w:pPr>
              <w:ind w:left="2420"/>
              <w:spacing w:after="0"/>
              <w:rPr>
                <w:sz w:val="20"/>
                <w:szCs w:val="20"/>
                <w:color w:val="auto"/>
              </w:rPr>
            </w:pPr>
            <w:r>
              <w:rPr>
                <w:rFonts w:ascii="Arial" w:cs="Arial" w:eastAsia="Arial" w:hAnsi="Arial"/>
                <w:sz w:val="18"/>
                <w:szCs w:val="18"/>
                <w:color w:val="auto"/>
              </w:rPr>
              <w:t>14.1</w:t>
            </w:r>
          </w:p>
        </w:tc>
        <w:tc>
          <w:tcPr>
            <w:tcW w:w="2460" w:type="dxa"/>
            <w:vAlign w:val="bottom"/>
          </w:tcPr>
          <w:p>
            <w:pPr>
              <w:spacing w:after="0"/>
              <w:rPr>
                <w:sz w:val="18"/>
                <w:szCs w:val="18"/>
                <w:color w:val="auto"/>
              </w:rPr>
            </w:pPr>
          </w:p>
        </w:tc>
      </w:tr>
      <w:tr>
        <w:trPr>
          <w:trHeight w:val="216"/>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Effective Date</w:t>
            </w:r>
          </w:p>
        </w:tc>
        <w:tc>
          <w:tcPr>
            <w:tcW w:w="2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Preamble</w:t>
            </w:r>
          </w:p>
        </w:tc>
        <w:tc>
          <w:tcPr>
            <w:tcW w:w="2460" w:type="dxa"/>
            <w:vAlign w:val="bottom"/>
          </w:tcPr>
          <w:p>
            <w:pPr>
              <w:spacing w:after="0"/>
              <w:rPr>
                <w:sz w:val="18"/>
                <w:szCs w:val="18"/>
                <w:color w:val="auto"/>
              </w:rPr>
            </w:pPr>
          </w:p>
        </w:tc>
      </w:tr>
      <w:tr>
        <w:trPr>
          <w:trHeight w:val="230"/>
        </w:trPr>
        <w:tc>
          <w:tcPr>
            <w:tcW w:w="4780" w:type="dxa"/>
            <w:vAlign w:val="bottom"/>
            <w:gridSpan w:val="2"/>
          </w:tcPr>
          <w:p>
            <w:pPr>
              <w:ind w:left="980"/>
              <w:spacing w:after="0"/>
              <w:rPr>
                <w:sz w:val="20"/>
                <w:szCs w:val="20"/>
                <w:color w:val="auto"/>
              </w:rPr>
            </w:pPr>
            <w:r>
              <w:rPr>
                <w:rFonts w:ascii="Arial" w:cs="Arial" w:eastAsia="Arial" w:hAnsi="Arial"/>
                <w:sz w:val="18"/>
                <w:szCs w:val="18"/>
                <w:color w:val="auto"/>
              </w:rPr>
              <w:t>Filing Party</w:t>
            </w:r>
          </w:p>
        </w:tc>
        <w:tc>
          <w:tcPr>
            <w:tcW w:w="4180" w:type="dxa"/>
            <w:vAlign w:val="bottom"/>
            <w:gridSpan w:val="3"/>
          </w:tcPr>
          <w:p>
            <w:pPr>
              <w:ind w:left="2420"/>
              <w:spacing w:after="0"/>
              <w:rPr>
                <w:sz w:val="20"/>
                <w:szCs w:val="20"/>
                <w:color w:val="auto"/>
              </w:rPr>
            </w:pPr>
            <w:r>
              <w:rPr>
                <w:rFonts w:ascii="Arial" w:cs="Arial" w:eastAsia="Arial" w:hAnsi="Arial"/>
                <w:sz w:val="18"/>
                <w:szCs w:val="18"/>
                <w:color w:val="auto"/>
              </w:rPr>
              <w:t>10.1.4</w:t>
            </w:r>
          </w:p>
        </w:tc>
        <w:tc>
          <w:tcPr>
            <w:tcW w:w="2460" w:type="dxa"/>
            <w:vAlign w:val="bottom"/>
          </w:tcPr>
          <w:p>
            <w:pPr>
              <w:spacing w:after="0"/>
              <w:rPr>
                <w:sz w:val="20"/>
                <w:szCs w:val="20"/>
                <w:color w:val="auto"/>
              </w:rPr>
            </w:pPr>
          </w:p>
        </w:tc>
      </w:tr>
      <w:tr>
        <w:trPr>
          <w:trHeight w:val="648"/>
        </w:trPr>
        <w:tc>
          <w:tcPr>
            <w:tcW w:w="9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96" w:name="page97"/>
    <w:bookmarkEnd w:id="96"/>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Definition</w:t>
            </w:r>
          </w:p>
        </w:tc>
        <w:tc>
          <w:tcPr>
            <w:tcW w:w="2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Section</w:t>
            </w:r>
          </w:p>
        </w:tc>
      </w:tr>
      <w:tr>
        <w:trPr>
          <w:trHeight w:val="418"/>
        </w:trPr>
        <w:tc>
          <w:tcPr>
            <w:tcW w:w="3460" w:type="dxa"/>
            <w:vAlign w:val="bottom"/>
          </w:tcPr>
          <w:p>
            <w:pPr>
              <w:spacing w:after="0"/>
              <w:rPr>
                <w:sz w:val="20"/>
                <w:szCs w:val="20"/>
                <w:color w:val="auto"/>
              </w:rPr>
            </w:pPr>
            <w:r>
              <w:rPr>
                <w:rFonts w:ascii="Arial" w:cs="Arial" w:eastAsia="Arial" w:hAnsi="Arial"/>
                <w:sz w:val="18"/>
                <w:szCs w:val="18"/>
                <w:color w:val="auto"/>
              </w:rPr>
              <w:t>LFB</w:t>
            </w: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LFB/GTC</w:t>
            </w: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SUBLICENSOR</w:t>
            </w: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SUBLICENSOR Indemnities</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13.1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ICH</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3.4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Indemnified Party</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13.3</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Indemnifying Party</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13.3</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Infringement</w:t>
            </w: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10.2.1(a)(i)</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Infringement Notice</w:t>
            </w: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10.2.1(a)(i)</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Losses</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13.1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Option</w:t>
            </w: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Option Agreement</w:t>
            </w: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Party/Parties</w:t>
            </w: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Patent Coordinator</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9.4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Recall</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5.10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Receiving Party</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1.28</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Recipient Party</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3.6</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ILDONG</w:t>
            </w:r>
          </w:p>
        </w:tc>
        <w:tc>
          <w:tcPr>
            <w:tcW w:w="2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ILDONG Diligence Failure Notice</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5.4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ILDONG Indemnities</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13.2</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Term</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11.1</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Transferring Party</w:t>
            </w:r>
          </w:p>
        </w:tc>
        <w:tc>
          <w:tcPr>
            <w:tcW w:w="4520" w:type="dxa"/>
            <w:vAlign w:val="bottom"/>
            <w:gridSpan w:val="4"/>
          </w:tcPr>
          <w:p>
            <w:pPr>
              <w:ind w:left="2760"/>
              <w:spacing w:after="0"/>
              <w:rPr>
                <w:sz w:val="20"/>
                <w:szCs w:val="20"/>
                <w:color w:val="auto"/>
              </w:rPr>
            </w:pPr>
            <w:r>
              <w:rPr>
                <w:rFonts w:ascii="Arial" w:cs="Arial" w:eastAsia="Arial" w:hAnsi="Arial"/>
                <w:sz w:val="18"/>
                <w:szCs w:val="18"/>
                <w:color w:val="auto"/>
              </w:rPr>
              <w:t>3.6</w:t>
            </w:r>
          </w:p>
        </w:tc>
      </w:tr>
      <w:tr>
        <w:trPr>
          <w:trHeight w:val="392"/>
        </w:trPr>
        <w:tc>
          <w:tcPr>
            <w:tcW w:w="3460" w:type="dxa"/>
            <w:vAlign w:val="bottom"/>
          </w:tcPr>
          <w:p>
            <w:pPr>
              <w:ind w:left="3060"/>
              <w:spacing w:after="0"/>
              <w:rPr>
                <w:sz w:val="20"/>
                <w:szCs w:val="20"/>
                <w:color w:val="auto"/>
              </w:rPr>
            </w:pPr>
            <w:r>
              <w:rPr>
                <w:rFonts w:ascii="Arial" w:cs="Arial" w:eastAsia="Arial" w:hAnsi="Arial"/>
                <w:sz w:val="18"/>
                <w:szCs w:val="18"/>
                <w:b w:val="1"/>
                <w:bCs w:val="1"/>
                <w:color w:val="auto"/>
              </w:rPr>
              <w:t>2.</w:t>
            </w:r>
          </w:p>
        </w:tc>
        <w:tc>
          <w:tcPr>
            <w:tcW w:w="4520" w:type="dxa"/>
            <w:vAlign w:val="bottom"/>
            <w:gridSpan w:val="4"/>
          </w:tcPr>
          <w:p>
            <w:pPr>
              <w:spacing w:after="0"/>
              <w:rPr>
                <w:sz w:val="20"/>
                <w:szCs w:val="20"/>
                <w:color w:val="auto"/>
              </w:rPr>
            </w:pPr>
            <w:r>
              <w:rPr>
                <w:rFonts w:ascii="Arial" w:cs="Arial" w:eastAsia="Arial" w:hAnsi="Arial"/>
                <w:sz w:val="18"/>
                <w:szCs w:val="18"/>
                <w:b w:val="1"/>
                <w:bCs w:val="1"/>
                <w:color w:val="auto"/>
              </w:rPr>
              <w:t>LICENSE GRANTS; EXCLUSIVITY</w:t>
            </w:r>
          </w:p>
        </w:tc>
      </w:tr>
      <w:tr>
        <w:trPr>
          <w:trHeight w:val="20"/>
        </w:trPr>
        <w:tc>
          <w:tcPr>
            <w:tcW w:w="346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u w:val="single" w:color="auto"/>
          <w:color w:val="auto"/>
        </w:rPr>
        <w:t>Sublicense</w:t>
      </w:r>
      <w:r>
        <w:rPr>
          <w:rFonts w:ascii="Arial" w:cs="Arial" w:eastAsia="Arial" w:hAnsi="Arial"/>
          <w:sz w:val="15"/>
          <w:szCs w:val="15"/>
          <w:color w:val="auto"/>
        </w:rPr>
        <w:t>.</w:t>
      </w:r>
    </w:p>
    <w:p>
      <w:pPr>
        <w:spacing w:after="0" w:line="22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Grant of Sublicense to ILDONG</w:t>
      </w:r>
      <w:r>
        <w:rPr>
          <w:rFonts w:ascii="Arial" w:cs="Arial" w:eastAsia="Arial" w:hAnsi="Arial"/>
          <w:sz w:val="18"/>
          <w:szCs w:val="18"/>
          <w:color w:val="auto"/>
        </w:rPr>
        <w:t>. Subject to the terms and conditions of this Agreement, SUBLICENSOR hereby grants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ILDONG, a royalty-bearing, exclusive within the Territory, license or sublicense (with respect to Licensed Technology and/or Licensed Patent Rights licensed by Third Parties to SUBLICENSOR), including the right to grant sublicenses as provided in Section 2.2, under the Licensed Technology and Licensed Patent Rights to Develop the Compounds or Products as part of the Development Program and to Commercialize, use, have used, supply, sell, offer to sell, import, have imported, market, and otherwise Commercialize Products in the Field in the Territory.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SUBLICENSOR hereby grants to ILDONG a non-exclusive, fully paid up license or sublicense, including the right to grant sublicenses as provided in Section 2.2, under the Background Patent Rights to Develop the Compounds or Products as part of the Development Program and to Commercialize, use, have used, and supply, sell, offer to sell, import, have imported, market, and otherwise Commercialize Products in the Field in the Territory.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7" w:name="page98"/>
    <w:bookmarkEnd w:id="97"/>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2.1.2 </w:t>
      </w:r>
      <w:r>
        <w:rPr>
          <w:rFonts w:ascii="Arial" w:cs="Arial" w:eastAsia="Arial" w:hAnsi="Arial"/>
          <w:sz w:val="17"/>
          <w:szCs w:val="17"/>
          <w:b w:val="1"/>
          <w:bCs w:val="1"/>
          <w:u w:val="single" w:color="auto"/>
          <w:color w:val="auto"/>
        </w:rPr>
        <w:t>Reversion.</w:t>
      </w:r>
      <w:r>
        <w:rPr>
          <w:rFonts w:ascii="Arial" w:cs="Arial" w:eastAsia="Arial" w:hAnsi="Arial"/>
          <w:sz w:val="17"/>
          <w:szCs w:val="17"/>
          <w:b w:val="1"/>
          <w:bCs w:val="1"/>
          <w:color w:val="auto"/>
        </w:rPr>
        <w:t xml:space="preserve"> </w:t>
      </w:r>
      <w:r>
        <w:rPr>
          <w:rFonts w:ascii="Arial" w:cs="Arial" w:eastAsia="Arial" w:hAnsi="Arial"/>
          <w:sz w:val="17"/>
          <w:szCs w:val="17"/>
          <w:color w:val="auto"/>
        </w:rPr>
        <w:t>Should ILDONG or its Sublicensee(s) stop the Commercialization of any Product, any and all license granted to</w:t>
      </w:r>
      <w:r>
        <w:rPr>
          <w:rFonts w:ascii="Arial" w:cs="Arial" w:eastAsia="Arial" w:hAnsi="Arial"/>
          <w:sz w:val="17"/>
          <w:szCs w:val="17"/>
          <w:b w:val="1"/>
          <w:bCs w:val="1"/>
          <w:color w:val="auto"/>
        </w:rPr>
        <w:t xml:space="preserve"> </w:t>
      </w:r>
      <w:r>
        <w:rPr>
          <w:rFonts w:ascii="Arial" w:cs="Arial" w:eastAsia="Arial" w:hAnsi="Arial"/>
          <w:sz w:val="17"/>
          <w:szCs w:val="17"/>
          <w:color w:val="auto"/>
        </w:rPr>
        <w:t>ILDONG by SUBLICENSOR in respect of such Product shall automatically revert back to SUBLICENSOR (including licenses granted according to Sections 2.1.1 and 2.1.4). In such case, ILDONG commits to grant to SUBLICENSOR an exclusive, royalty free license or sublicense (with respect to Rights licensed by Third Parties to ILDONG), including the right to grant sublicenses, under all Patent Rights Controlled by ILDONG, Joint Improvement and Joint Patent Right necessary or useful for SUBLICENSOR to Develop such Compounds or Product and/or use, have used, supply, sell, offer to sell, import, have imported, market, and otherwise Commercialize such Products in the Field and in the Territory.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avoidance of doubt, the Commercialization of a Product shall be considered as stopped if, after all Regulatory Approvals and Reimbursement Approvals have been granted in South Korea when:</w:t>
      </w:r>
    </w:p>
    <w:p>
      <w:pPr>
        <w:spacing w:after="0" w:line="17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34"/>
          <w:szCs w:val="34"/>
          <w:b w:val="1"/>
          <w:bCs w:val="1"/>
          <w:color w:val="auto"/>
          <w:vertAlign w:val="superscript"/>
        </w:rPr>
      </w:pPr>
      <w:r>
        <w:rPr>
          <w:rFonts w:ascii="Arial" w:cs="Arial" w:eastAsia="Arial" w:hAnsi="Arial"/>
          <w:sz w:val="17"/>
          <w:szCs w:val="17"/>
          <w:color w:val="auto"/>
        </w:rPr>
        <w:t>the aggregate amount spent by ILDONG or its Sublicensee(s) on the Commercialization activities is less than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per year for such Product; and</w:t>
      </w:r>
    </w:p>
    <w:p>
      <w:pPr>
        <w:spacing w:after="0" w:line="77" w:lineRule="exact"/>
        <w:rPr>
          <w:rFonts w:ascii="Arial" w:cs="Arial" w:eastAsia="Arial" w:hAnsi="Arial"/>
          <w:sz w:val="34"/>
          <w:szCs w:val="34"/>
          <w:b w:val="1"/>
          <w:bCs w:val="1"/>
          <w:color w:val="auto"/>
          <w:vertAlign w:val="superscript"/>
        </w:rPr>
      </w:pPr>
    </w:p>
    <w:p>
      <w:pPr>
        <w:ind w:left="660" w:hanging="328"/>
        <w:spacing w:after="0" w:line="229" w:lineRule="auto"/>
        <w:tabs>
          <w:tab w:leader="none" w:pos="660" w:val="left"/>
        </w:tabs>
        <w:numPr>
          <w:ilvl w:val="0"/>
          <w:numId w:val="43"/>
        </w:numPr>
        <w:rPr>
          <w:rFonts w:ascii="Arial" w:cs="Arial" w:eastAsia="Arial" w:hAnsi="Arial"/>
          <w:sz w:val="36"/>
          <w:szCs w:val="36"/>
          <w:color w:val="auto"/>
          <w:vertAlign w:val="superscript"/>
        </w:rPr>
      </w:pPr>
      <w:r>
        <w:rPr>
          <w:rFonts w:ascii="Arial" w:cs="Arial" w:eastAsia="Arial" w:hAnsi="Arial"/>
          <w:sz w:val="18"/>
          <w:szCs w:val="18"/>
          <w:color w:val="auto"/>
        </w:rPr>
        <w:t>or, a minimum of thirty percent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 Sales Target has not been recorded for over a period of more than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t>
      </w:r>
      <w:r>
        <w:rPr>
          <w:rFonts w:ascii="Arial" w:cs="Arial" w:eastAsia="Arial" w:hAnsi="Arial"/>
          <w:sz w:val="30"/>
          <w:szCs w:val="30"/>
          <w:color w:val="auto"/>
          <w:vertAlign w:val="superscript"/>
        </w:rPr>
        <w:t>*</w:t>
      </w:r>
      <w:r>
        <w:rPr>
          <w:rFonts w:ascii="Arial" w:cs="Arial" w:eastAsia="Arial" w:hAnsi="Arial"/>
          <w:sz w:val="18"/>
          <w:szCs w:val="18"/>
          <w:color w:val="auto"/>
        </w:rPr>
        <w:t>) years;</w:t>
      </w:r>
    </w:p>
    <w:p>
      <w:pPr>
        <w:spacing w:after="0" w:line="78"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u w:val="single" w:color="auto"/>
          <w:color w:val="auto"/>
        </w:rPr>
        <w:t>Disclosure of Technology</w:t>
      </w:r>
      <w:r>
        <w:rPr>
          <w:rFonts w:ascii="Arial" w:cs="Arial" w:eastAsia="Arial" w:hAnsi="Arial"/>
          <w:sz w:val="18"/>
          <w:szCs w:val="18"/>
          <w:color w:val="auto"/>
        </w:rPr>
        <w:t>. SUBLICENSOR shall provide prompt written notice to ILDONG of all Licensed Patent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Technology Controlled by SUBLICENSOR and their respective Affiliates that come under the Control of SUBLICENSOR or their respective Affiliates after the Effective Date during the Term.</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Grant of License to Licensed Trademark.</w:t>
      </w:r>
    </w:p>
    <w:p>
      <w:pPr>
        <w:spacing w:after="0" w:line="225" w:lineRule="exact"/>
        <w:rPr>
          <w:sz w:val="20"/>
          <w:szCs w:val="20"/>
          <w:color w:val="auto"/>
        </w:rPr>
      </w:pPr>
    </w:p>
    <w:p>
      <w:pPr>
        <w:jc w:val="both"/>
        <w:ind w:firstLine="1953"/>
        <w:spacing w:after="0" w:line="261" w:lineRule="auto"/>
        <w:tabs>
          <w:tab w:leader="none" w:pos="2509" w:val="left"/>
        </w:tabs>
        <w:numPr>
          <w:ilvl w:val="1"/>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Ownership of Trademarks</w:t>
      </w:r>
      <w:r>
        <w:rPr>
          <w:rFonts w:ascii="Arial" w:cs="Arial" w:eastAsia="Arial" w:hAnsi="Arial"/>
          <w:sz w:val="18"/>
          <w:szCs w:val="18"/>
          <w:color w:val="auto"/>
        </w:rPr>
        <w:t>. ILDONG hereby acknowledges that SUBLICENSOR has already performed a Trademarks</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has registered the Licensed Trademarks. However, ILDONG is entitled to use and register any other trademarks, on SUBLICENSOR behalf, and at ILDONG’S own cost, for Development and Commercialization purposes ILDONG agrees that it will not apply for the registration of the Licensed Trademark (or any mark confusingly similar thereto) anywhere in the world.</w:t>
      </w:r>
    </w:p>
    <w:p>
      <w:pPr>
        <w:spacing w:after="0" w:line="180" w:lineRule="exact"/>
        <w:rPr>
          <w:rFonts w:ascii="Arial" w:cs="Arial" w:eastAsia="Arial" w:hAnsi="Arial"/>
          <w:sz w:val="18"/>
          <w:szCs w:val="18"/>
          <w:color w:val="auto"/>
        </w:rPr>
      </w:pPr>
    </w:p>
    <w:p>
      <w:pPr>
        <w:jc w:val="both"/>
        <w:ind w:firstLine="1953"/>
        <w:spacing w:after="0" w:line="289" w:lineRule="auto"/>
        <w:tabs>
          <w:tab w:leader="none" w:pos="2506" w:val="left"/>
        </w:tabs>
        <w:numPr>
          <w:ilvl w:val="1"/>
          <w:numId w:val="44"/>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 of License</w:t>
      </w:r>
      <w:r>
        <w:rPr>
          <w:rFonts w:ascii="Arial" w:cs="Arial" w:eastAsia="Arial" w:hAnsi="Arial"/>
          <w:sz w:val="17"/>
          <w:szCs w:val="17"/>
          <w:color w:val="auto"/>
        </w:rPr>
        <w:t>. Subject to the terms and conditions of this Agreement, SUBLICENSOR hereby grants to ILDONG a</w:t>
      </w:r>
      <w:r>
        <w:rPr>
          <w:rFonts w:ascii="Arial" w:cs="Arial" w:eastAsia="Arial" w:hAnsi="Arial"/>
          <w:sz w:val="17"/>
          <w:szCs w:val="17"/>
          <w:b w:val="1"/>
          <w:bCs w:val="1"/>
          <w:color w:val="auto"/>
        </w:rPr>
        <w:t xml:space="preserve"> </w:t>
      </w:r>
      <w:r>
        <w:rPr>
          <w:rFonts w:ascii="Arial" w:cs="Arial" w:eastAsia="Arial" w:hAnsi="Arial"/>
          <w:sz w:val="17"/>
          <w:szCs w:val="17"/>
          <w:color w:val="auto"/>
        </w:rPr>
        <w:t>royalty bearing, sublicense to use the Licensed Trademark solely for the purpose of registering, using, Commercializing, importing, exporting, selling, offering for sale, and having sold the Product in the Field in the Territory on the terms and subject to the conditions set forth in this Agreement.</w:t>
      </w:r>
    </w:p>
    <w:p>
      <w:pPr>
        <w:spacing w:after="0" w:line="19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8097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8" w:name="page99"/>
    <w:bookmarkEnd w:id="98"/>
    <w:p>
      <w:pPr>
        <w:jc w:val="both"/>
        <w:ind w:firstLine="1953"/>
        <w:spacing w:after="0" w:line="273" w:lineRule="auto"/>
        <w:tabs>
          <w:tab w:leader="none" w:pos="2482" w:val="left"/>
        </w:tabs>
        <w:numPr>
          <w:ilvl w:val="0"/>
          <w:numId w:val="45"/>
        </w:numPr>
        <w:rPr>
          <w:rFonts w:ascii="Arial" w:cs="Arial" w:eastAsia="Arial" w:hAnsi="Arial"/>
          <w:sz w:val="17"/>
          <w:szCs w:val="17"/>
          <w:color w:val="auto"/>
        </w:rPr>
      </w:pPr>
      <w:r>
        <w:rPr>
          <w:rFonts w:ascii="Arial" w:cs="Arial" w:eastAsia="Arial" w:hAnsi="Arial"/>
          <w:sz w:val="17"/>
          <w:szCs w:val="17"/>
          <w:b w:val="1"/>
          <w:bCs w:val="1"/>
          <w:u w:val="single" w:color="auto"/>
          <w:color w:val="auto"/>
        </w:rPr>
        <w:t>Covenants of ILDONG</w:t>
      </w:r>
      <w:r>
        <w:rPr>
          <w:rFonts w:ascii="Arial" w:cs="Arial" w:eastAsia="Arial" w:hAnsi="Arial"/>
          <w:sz w:val="17"/>
          <w:szCs w:val="17"/>
          <w:color w:val="auto"/>
        </w:rPr>
        <w:t>. ILDONG hereby agrees that all use of the Licensed Trademark by ILDONG, and any goodwill</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the use of the Licensed Trademark by ILDONG, shall inure to the benefit of SUBLICENSOR. ILDONG hereby agrees that nothing in this Agreement shall give ILDONG any right, title or interest in the Licensed Trademark other than the right to use the Licensed Trademark in accordance with this Agreement. ILDONG further agrees that it will not: (i) oppose or assist any Third Party in opposing any application for registration, re-registration or renewal of the Licensed Trademark; ii) apply for or otherwise seek (or assist any Third Party in applying for or otherwise seeking) complete or partial revocation, cancellation, invalidation or removal of the Licensed Trademark from any register or (iii) challenge or bring (or assist any Third Party in challenging or bringing) any proceeding or action in relation to the use or ownership of the Licensed Trademark.</w:t>
      </w:r>
    </w:p>
    <w:p>
      <w:pPr>
        <w:spacing w:after="0" w:line="172" w:lineRule="exact"/>
        <w:rPr>
          <w:rFonts w:ascii="Arial" w:cs="Arial" w:eastAsia="Arial" w:hAnsi="Arial"/>
          <w:sz w:val="17"/>
          <w:szCs w:val="17"/>
          <w:color w:val="auto"/>
        </w:rPr>
      </w:pPr>
    </w:p>
    <w:p>
      <w:pPr>
        <w:jc w:val="both"/>
        <w:ind w:firstLine="1953"/>
        <w:spacing w:after="0" w:line="261" w:lineRule="auto"/>
        <w:tabs>
          <w:tab w:leader="none" w:pos="2479"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of Licensed Trademark</w:t>
      </w:r>
      <w:r>
        <w:rPr>
          <w:rFonts w:ascii="Arial" w:cs="Arial" w:eastAsia="Arial" w:hAnsi="Arial"/>
          <w:sz w:val="18"/>
          <w:szCs w:val="18"/>
          <w:color w:val="auto"/>
        </w:rPr>
        <w:t>. SUBLICENSOR shall have the sole right to apply for registration of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in the Territory to the extent such registration has not already been obtained by SUBLICENSOR at the Effective Date and for paying all applicable fees, including all registration and application fees and renewal fees. SUBLICENSOR shall update attached the Schedule 7 for ILDONG’s use of the Licensed trademarks in the Territory prior to the NDA in each country..</w:t>
      </w:r>
    </w:p>
    <w:p>
      <w:pPr>
        <w:spacing w:after="0" w:line="180" w:lineRule="exact"/>
        <w:rPr>
          <w:rFonts w:ascii="Arial" w:cs="Arial" w:eastAsia="Arial" w:hAnsi="Arial"/>
          <w:sz w:val="18"/>
          <w:szCs w:val="18"/>
          <w:color w:val="auto"/>
        </w:rPr>
      </w:pPr>
    </w:p>
    <w:p>
      <w:pPr>
        <w:jc w:val="both"/>
        <w:ind w:firstLine="1953"/>
        <w:spacing w:after="0" w:line="255" w:lineRule="auto"/>
        <w:tabs>
          <w:tab w:leader="none" w:pos="2604"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Use of Licensed Trademark</w:t>
      </w:r>
      <w:r>
        <w:rPr>
          <w:rFonts w:ascii="Arial" w:cs="Arial" w:eastAsia="Arial" w:hAnsi="Arial"/>
          <w:sz w:val="18"/>
          <w:szCs w:val="18"/>
          <w:b w:val="1"/>
          <w:bCs w:val="1"/>
          <w:color w:val="auto"/>
        </w:rPr>
        <w:t xml:space="preserve">. </w:t>
      </w:r>
      <w:r>
        <w:rPr>
          <w:rFonts w:ascii="Arial" w:cs="Arial" w:eastAsia="Arial" w:hAnsi="Arial"/>
          <w:sz w:val="18"/>
          <w:szCs w:val="18"/>
          <w:color w:val="auto"/>
        </w:rPr>
        <w:t>ILDONG shall use the Licensed Trademark solely (i) in the manner specified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(ii) in connection with the Product and not for any other goods or services. ILDONG agrees not to use any other trademark or service mark in combination with the Licensed Trademark without the prior written consent of SUBLICENSOR. ILDONG, at its sole cost and expense, will provide to SUBLICENSOR representative samples of all products, product packaging, literature, brochures, signs, and advertising materials prepared by ILDONG which bear, display, or include any reference to the Licensed Trademark, and ILDONG shall obtain the written approval of SUBLICENSOR with respect to all such materials prior to the use thereof. ILDONG will not distribute or otherwise use any samples or materials or other media bearing or displaying the Licensed Trademark unless and until SUBLICENSOR has notified ILDONG in writing of SUBLICENSOR’s approval, which approval shall not be reasonably withheld.</w:t>
      </w:r>
    </w:p>
    <w:p>
      <w:pPr>
        <w:spacing w:after="0" w:line="185" w:lineRule="exact"/>
        <w:rPr>
          <w:rFonts w:ascii="Arial" w:cs="Arial" w:eastAsia="Arial" w:hAnsi="Arial"/>
          <w:sz w:val="18"/>
          <w:szCs w:val="18"/>
          <w:color w:val="auto"/>
        </w:rPr>
      </w:pPr>
    </w:p>
    <w:p>
      <w:pPr>
        <w:jc w:val="both"/>
        <w:ind w:firstLine="1953"/>
        <w:spacing w:after="0" w:line="256" w:lineRule="auto"/>
        <w:tabs>
          <w:tab w:leader="none" w:pos="2408"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ILDONG shall promptly notify SUBLICENSOR (i) of any claim, threat, lawsuit, filing, or other notice or allegation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infringement of which it is aware regarding ILDONG’s use of the Licensed Trademark and/or (ii) if it becomes aware of the existence of any Third Party applications to register anywhere in the world any mark or name which consists of or incorporates the Licensed Trademark. SUBLICENSOR shall have the sole right, but not the obligation, to bring infringement, unfair competition, or other claims or proceedings involving the Licensed Trademark and ILDONG hereby acknowledges and agrees that it shall have no such right. If requested by SUBLICENSOR, ILDONG shall cooperate with SUBLICENSOR in connection with any such 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9" w:name="page100"/>
    <w:bookmarkEnd w:id="99"/>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u w:val="single" w:color="auto"/>
          <w:color w:val="auto"/>
        </w:rPr>
        <w:t>Right to Sublicense</w:t>
      </w:r>
      <w:r>
        <w:rPr>
          <w:rFonts w:ascii="Arial" w:cs="Arial" w:eastAsia="Arial" w:hAnsi="Arial"/>
          <w:sz w:val="15"/>
          <w:szCs w:val="15"/>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b w:val="1"/>
          <w:bCs w:val="1"/>
          <w:u w:val="single" w:color="auto"/>
          <w:color w:val="auto"/>
        </w:rPr>
        <w:t>Sublicense</w:t>
      </w:r>
      <w:r>
        <w:rPr>
          <w:rFonts w:ascii="Arial" w:cs="Arial" w:eastAsia="Arial" w:hAnsi="Arial"/>
          <w:sz w:val="18"/>
          <w:szCs w:val="18"/>
          <w:color w:val="auto"/>
        </w:rPr>
        <w:t>. ILDONG shall have the right to grant sublicenses under the licenses granted to it under Section 2.1.1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with SUBLICENSOR prior written notification provided, that, (a) the terms of each such sublicense shall be consistent with the rights and obligations of ILDONG under the Agreement; (b) it shall be a condition of any such sublicense that such Sublicensee agrees to be bound by the terms of this Agreement applicable to the Development and Commercialization of Products in the Field in the Territory; (c) ILDONG shall provide SUBLICENSOR with a copy of any such Sublicense Agreement within ten (10) days of the execution of each such Sublicense Agreement; and (d) ILDONG shall not be relieved of its obligations pursuant to this Agreement as a result of such sublicense, except to the extent such obligations are satisfactorily performed by any such sublicense.</w:t>
      </w:r>
    </w:p>
    <w:p>
      <w:pPr>
        <w:spacing w:after="0" w:line="189"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b w:val="1"/>
          <w:bCs w:val="1"/>
          <w:u w:val="single" w:color="auto"/>
          <w:color w:val="auto"/>
        </w:rPr>
        <w:t>Grant of Rights to Distributors</w:t>
      </w:r>
      <w:r>
        <w:rPr>
          <w:rFonts w:ascii="Arial" w:cs="Arial" w:eastAsia="Arial" w:hAnsi="Arial"/>
          <w:sz w:val="18"/>
          <w:szCs w:val="18"/>
          <w:color w:val="auto"/>
        </w:rPr>
        <w:t>. ILDONG or any of its Affiliates and Sublicensees shall have the right, with SUBLICENSOR</w:t>
      </w:r>
      <w:r>
        <w:rPr>
          <w:rFonts w:ascii="Arial" w:cs="Arial" w:eastAsia="Arial" w:hAnsi="Arial"/>
          <w:sz w:val="18"/>
          <w:szCs w:val="18"/>
          <w:b w:val="1"/>
          <w:bCs w:val="1"/>
          <w:color w:val="auto"/>
        </w:rPr>
        <w:t xml:space="preserve"> </w:t>
      </w:r>
      <w:r>
        <w:rPr>
          <w:rFonts w:ascii="Arial" w:cs="Arial" w:eastAsia="Arial" w:hAnsi="Arial"/>
          <w:sz w:val="18"/>
          <w:szCs w:val="18"/>
          <w:color w:val="auto"/>
        </w:rPr>
        <w:t>prior written notification, to appoint one or more Distributors for Products in the Territory. ILDONG shall provide SUBLICENSOR with a copy of each such agreement with any Distributor within ten (10) days of execution of such agreement.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No Other Rights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7"/>
        <w:spacing w:after="0" w:line="266"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ILDONG shall have no rights to use or otherwise exploit Licensed Technology, Licensed Patent Rights, or SUBLICENSOR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Materials, and SUBLICENSOR shall have no rights to use or otherwise exploit ILDONG Technology, ILDONG Patent Rights or ILDONG Proprietary Materials, in each case, except as expressly set forth in this Agreement.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u w:val="single" w:color="auto"/>
          <w:color w:val="auto"/>
        </w:rPr>
        <w:t>Exclusivity</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b w:val="1"/>
          <w:bCs w:val="1"/>
          <w:color w:val="auto"/>
        </w:rPr>
        <w:t xml:space="preserve">2.4.1 </w:t>
      </w:r>
      <w:r>
        <w:rPr>
          <w:rFonts w:ascii="Arial" w:cs="Arial" w:eastAsia="Arial" w:hAnsi="Arial"/>
          <w:sz w:val="16"/>
          <w:szCs w:val="16"/>
          <w:b w:val="1"/>
          <w:bCs w:val="1"/>
          <w:u w:val="single" w:color="auto"/>
          <w:color w:val="auto"/>
        </w:rPr>
        <w:t>Exclusivity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of this Agreement, ILDONG shall not, and shall cause each of its Affiliates to not,</w:t>
      </w:r>
      <w:r>
        <w:rPr>
          <w:rFonts w:ascii="Arial" w:cs="Arial" w:eastAsia="Arial" w:hAnsi="Arial"/>
          <w:sz w:val="16"/>
          <w:szCs w:val="16"/>
          <w:b w:val="1"/>
          <w:bCs w:val="1"/>
          <w:color w:val="auto"/>
        </w:rPr>
        <w:t xml:space="preserve"> </w:t>
      </w:r>
      <w:r>
        <w:rPr>
          <w:rFonts w:ascii="Arial" w:cs="Arial" w:eastAsia="Arial" w:hAnsi="Arial"/>
          <w:sz w:val="16"/>
          <w:szCs w:val="16"/>
          <w:color w:val="auto"/>
        </w:rPr>
        <w:t>conduct any activity, either on its own, or with, for the benefit of, or sponsored by, any Third Party, that, in any case, involves the research, development or commercialization of any other anti CD 20 monoclonal antibody, or any compound that embodies or is derived from any anti CD 20 monoclonal antibody, for use in the Field that is competitive with or adversely affects the Development or Commercialization of any of the Compounds or Products, except hereunder in connection with the research, Development and/or the Commercialization of the Compounds and Products. Notwithstanding the foregoing, at ILDONG’s request, SUBLICENSOR may allow ILDONG to Develop and Commercialize all combinations with the Compounds and Products which would be benefit in improving the Development and/or the Commercialization of the Compounds and Products, such consent to not be unreasonably withheld.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0" w:name="page101"/>
    <w:bookmarkEnd w:id="100"/>
    <w:p>
      <w:pPr>
        <w:ind w:left="1300"/>
        <w:spacing w:after="0"/>
        <w:tabs>
          <w:tab w:leader="none" w:pos="194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u w:val="single" w:color="auto"/>
          <w:color w:val="auto"/>
        </w:rPr>
        <w:t>Competitive Program Transaction</w:t>
      </w:r>
      <w:r>
        <w:rPr>
          <w:rFonts w:ascii="Arial" w:cs="Arial" w:eastAsia="Arial" w:hAnsi="Arial"/>
          <w:sz w:val="16"/>
          <w:szCs w:val="16"/>
          <w:color w:val="auto"/>
        </w:rPr>
        <w:t>.</w:t>
      </w:r>
    </w:p>
    <w:p>
      <w:pPr>
        <w:spacing w:after="0" w:line="229" w:lineRule="exact"/>
        <w:rPr>
          <w:sz w:val="20"/>
          <w:szCs w:val="20"/>
          <w:color w:val="auto"/>
        </w:rPr>
      </w:pPr>
    </w:p>
    <w:p>
      <w:pPr>
        <w:jc w:val="both"/>
        <w:ind w:firstLine="1953"/>
        <w:spacing w:after="0" w:line="288" w:lineRule="auto"/>
        <w:tabs>
          <w:tab w:leader="none" w:pos="255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xml:space="preserve">. If at any time during the Term, ILDONG grants a sublicense or other rights to any Third Party to utilize any Technology or Patent Rights Controlled by ILDONG or any of its Affiliates for the Development or Commercialization of any of the Compounds or Products, or ILDONG undergoes a Change of Control, or if ILDONG or any of its Affiliates acquires all or substantially all of the assets or common stock of a Third Party (whether by asset or stock purchase, merger, consolidation, share exchange or other similar transaction) and, in any such case, such Third Party or any of such Third Party’s Affiliates (in the case of a Third Party Sublicensee or a Third Party acquirer of ILDONG), has a Competitive Program (a </w:t>
      </w:r>
      <w:r>
        <w:rPr>
          <w:rFonts w:ascii="Arial" w:cs="Arial" w:eastAsia="Arial" w:hAnsi="Arial"/>
          <w:sz w:val="16"/>
          <w:szCs w:val="16"/>
          <w:b w:val="1"/>
          <w:bCs w:val="1"/>
          <w:color w:val="auto"/>
        </w:rPr>
        <w:t>“Competitive</w:t>
      </w:r>
      <w:r>
        <w:rPr>
          <w:rFonts w:ascii="Arial" w:cs="Arial" w:eastAsia="Arial" w:hAnsi="Arial"/>
          <w:sz w:val="16"/>
          <w:szCs w:val="16"/>
          <w:color w:val="auto"/>
        </w:rPr>
        <w:t xml:space="preserve"> </w:t>
      </w:r>
      <w:r>
        <w:rPr>
          <w:rFonts w:ascii="Arial" w:cs="Arial" w:eastAsia="Arial" w:hAnsi="Arial"/>
          <w:sz w:val="16"/>
          <w:szCs w:val="16"/>
          <w:b w:val="1"/>
          <w:bCs w:val="1"/>
          <w:color w:val="auto"/>
        </w:rPr>
        <w:t>Program Transaction”</w:t>
      </w:r>
      <w:r>
        <w:rPr>
          <w:rFonts w:ascii="Arial" w:cs="Arial" w:eastAsia="Arial" w:hAnsi="Arial"/>
          <w:sz w:val="16"/>
          <w:szCs w:val="16"/>
          <w:color w:val="auto"/>
        </w:rPr>
        <w:t>), ILDONG shall provide SUBLICENSOR with prompt written notice describing such Competitive Program Transaction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reasonable detail which shall include a description of the nature of such Competitive Program (the </w:t>
      </w:r>
      <w:r>
        <w:rPr>
          <w:rFonts w:ascii="Arial" w:cs="Arial" w:eastAsia="Arial" w:hAnsi="Arial"/>
          <w:sz w:val="16"/>
          <w:szCs w:val="16"/>
          <w:b w:val="1"/>
          <w:bCs w:val="1"/>
          <w:color w:val="auto"/>
        </w:rPr>
        <w:t>“Competitive Program Transaction Notice”</w:t>
      </w:r>
      <w:r>
        <w:rPr>
          <w:rFonts w:ascii="Arial" w:cs="Arial" w:eastAsia="Arial" w:hAnsi="Arial"/>
          <w:sz w:val="16"/>
          <w:szCs w:val="16"/>
          <w:color w:val="auto"/>
        </w:rPr>
        <w:t>). Such Competitive Program Transaction Notice shall be provided by ILDONG prior to execution of such agreement, if permitted under Applicable Laws and not prohibited by the terms of any agreement between ILDONG or any of its Affiliates and any Third Party, and otherwise as soon as practicable thereafter and, in any event, not later than promptly following the consummation of the transaction contemplated by such agreement.</w:t>
      </w:r>
    </w:p>
    <w:p>
      <w:pPr>
        <w:spacing w:after="0" w:line="169" w:lineRule="exact"/>
        <w:rPr>
          <w:rFonts w:ascii="Arial" w:cs="Arial" w:eastAsia="Arial" w:hAnsi="Arial"/>
          <w:sz w:val="16"/>
          <w:szCs w:val="16"/>
          <w:color w:val="auto"/>
        </w:rPr>
      </w:pPr>
    </w:p>
    <w:p>
      <w:pPr>
        <w:jc w:val="both"/>
        <w:ind w:firstLine="1953"/>
        <w:spacing w:after="0" w:line="302" w:lineRule="auto"/>
        <w:tabs>
          <w:tab w:leader="none" w:pos="268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Meeting of the Parties</w:t>
      </w:r>
      <w:r>
        <w:rPr>
          <w:rFonts w:ascii="Arial" w:cs="Arial" w:eastAsia="Arial" w:hAnsi="Arial"/>
          <w:sz w:val="16"/>
          <w:szCs w:val="16"/>
          <w:color w:val="auto"/>
        </w:rPr>
        <w:t>. As soon as practicable following SUBLICENSOR’S receipt of any Competitive Program Transaction Notice, the Parties shall meet to discuss whether, notwithstanding any provision hereof, such Competitive Program would continue following such Competitive Program Transaction. In any such meeting the Parties will review any restrictions applicable to such Competitive Program that may prevent its combination with this Agreement, and other issues that may impact the potential combination of such Competitive Program with this Agreement.</w:t>
      </w:r>
    </w:p>
    <w:p>
      <w:pPr>
        <w:spacing w:after="0" w:line="154" w:lineRule="exact"/>
        <w:rPr>
          <w:rFonts w:ascii="Arial" w:cs="Arial" w:eastAsia="Arial" w:hAnsi="Arial"/>
          <w:sz w:val="16"/>
          <w:szCs w:val="16"/>
          <w:color w:val="auto"/>
        </w:rPr>
      </w:pPr>
    </w:p>
    <w:p>
      <w:pPr>
        <w:ind w:left="2440" w:hanging="487"/>
        <w:spacing w:after="0"/>
        <w:tabs>
          <w:tab w:leader="none" w:pos="244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Integration of Competitive Program</w:t>
      </w:r>
      <w:r>
        <w:rPr>
          <w:rFonts w:ascii="Arial" w:cs="Arial" w:eastAsia="Arial" w:hAnsi="Arial"/>
          <w:sz w:val="16"/>
          <w:szCs w:val="16"/>
          <w:color w:val="auto"/>
        </w:rPr>
        <w:t>. If ILDONG and SUBLICENSOR mutually agree that such Competitive Program may</w:t>
      </w:r>
    </w:p>
    <w:p>
      <w:pPr>
        <w:spacing w:after="0" w:line="4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be integrated into this Agreement, then within </w:t>
      </w:r>
      <w:r>
        <w:rPr>
          <w:rFonts w:ascii="Arial" w:cs="Arial" w:eastAsia="Arial" w:hAnsi="Arial"/>
          <w:sz w:val="30"/>
          <w:szCs w:val="30"/>
          <w:color w:val="auto"/>
          <w:vertAlign w:val="superscript"/>
        </w:rPr>
        <w:t>*</w:t>
      </w:r>
      <w:r>
        <w:rPr>
          <w:rFonts w:ascii="Arial" w:cs="Arial" w:eastAsia="Arial" w:hAnsi="Arial"/>
          <w:sz w:val="18"/>
          <w:szCs w:val="18"/>
          <w:color w:val="auto"/>
        </w:rPr>
        <w:t>(</w:t>
      </w:r>
      <w:r>
        <w:rPr>
          <w:rFonts w:ascii="Arial" w:cs="Arial" w:eastAsia="Arial" w:hAnsi="Arial"/>
          <w:sz w:val="30"/>
          <w:szCs w:val="30"/>
          <w:color w:val="auto"/>
          <w:vertAlign w:val="superscript"/>
        </w:rPr>
        <w:t>*</w:t>
      </w:r>
      <w:r>
        <w:rPr>
          <w:rFonts w:ascii="Arial" w:cs="Arial" w:eastAsia="Arial" w:hAnsi="Arial"/>
          <w:sz w:val="18"/>
          <w:szCs w:val="18"/>
          <w:color w:val="auto"/>
        </w:rPr>
        <w:t>) days after such determination the Parties shall agree upon an amendment to this Agreement that will provide either (X) (i) that each compound or product that is part of the Competitive Program would be deemed to be a Compound, whether or not such compound or product meets the standards or criteria hereunder for a Compound and (ii) the Parties’ rights and obligations under this Agreement will apply in all relevant respects to any such deemed Compounds (including the payment of the milestones, and royalties set forth in this Agreement) or (Y) that the Development and Commercialization diligence standards of this Agreement shall be revised to ensure that the effort and resources that the Third Party applies (or ILDONG, if ILDONG is the surviving entity) applied to the Competitive Program shall be equally applied to the Development and Commercialization of the Compounds and Products.</w:t>
      </w:r>
    </w:p>
    <w:p>
      <w:pPr>
        <w:spacing w:after="0" w:line="208" w:lineRule="exact"/>
        <w:rPr>
          <w:sz w:val="20"/>
          <w:szCs w:val="20"/>
          <w:color w:val="auto"/>
        </w:rPr>
      </w:pPr>
    </w:p>
    <w:p>
      <w:pPr>
        <w:ind w:left="2440" w:hanging="487"/>
        <w:spacing w:after="0"/>
        <w:tabs>
          <w:tab w:leader="none" w:pos="244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Termination/Divesting of Competitive Program</w:t>
      </w:r>
      <w:r>
        <w:rPr>
          <w:rFonts w:ascii="Arial" w:cs="Arial" w:eastAsia="Arial" w:hAnsi="Arial"/>
          <w:sz w:val="16"/>
          <w:szCs w:val="16"/>
          <w:color w:val="auto"/>
        </w:rPr>
        <w:t>. If the Parties are unable to reach agreement on the terms pursuant to which</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the integration of any Competitive Program into this Agreement would occur, ILDONG shall have an additional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days during which it shall determine whether to (i) terminate the Competitive Program or (ii) Divest itself of the Competitive Program. If ILDONG notifies SUBLICENSOR in writing that it will terminate such Competitive Program, ILDONG shall promptly terminate such Competitive Program as quickly as possible with due regard for patient safety</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and the rights of any subjects that are participants in any clinical studies relating to such Competitive Program and Applicable Laws, and in any event within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days after its delivery of such written notice to SUBLICENSOR. If ILDONG notifies SUBLICENSOR in writing that it will Divest itself of the</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 xml:space="preserve">Competitive Program, then it shall do so as promptly as practicable but in any event on or before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months from the date of such notice; provided, that, during the period during which such Divestiture is pending, ILDONG shall maintaining separate teams working on such Competitive Program and this</w:t>
      </w:r>
    </w:p>
    <w:p>
      <w:pPr>
        <w:jc w:val="both"/>
        <w:spacing w:after="0" w:line="231" w:lineRule="auto"/>
        <w:rPr>
          <w:sz w:val="20"/>
          <w:szCs w:val="20"/>
          <w:color w:val="auto"/>
        </w:rPr>
      </w:pPr>
      <w:r>
        <w:rPr>
          <w:rFonts w:ascii="Arial" w:cs="Arial" w:eastAsia="Arial" w:hAnsi="Arial"/>
          <w:sz w:val="17"/>
          <w:szCs w:val="17"/>
          <w:color w:val="auto"/>
        </w:rPr>
        <w:t xml:space="preserve">Agreement. If ILDONG does not notify SUBLICENSOR in writing at the conclusion of the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day period provided above that ILDONG will terminate or Divest itself of such Competitive Program, or if ILDONG does so notify SUBLICENSOR but fails to terminate or Divest the Competitive Program within the periods provided above, SUBLICENSOR shall have the right to immediately terminate this Agreement by providing written notice to ILDONG.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8097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7" w:lineRule="exact"/>
        <w:rPr>
          <w:sz w:val="20"/>
          <w:szCs w:val="20"/>
          <w:color w:val="auto"/>
        </w:rPr>
      </w:pPr>
    </w:p>
    <w:p>
      <w:pPr>
        <w:ind w:left="120" w:hanging="112"/>
        <w:spacing w:after="0"/>
        <w:tabs>
          <w:tab w:leader="none" w:pos="120" w:val="left"/>
        </w:tabs>
        <w:numPr>
          <w:ilvl w:val="0"/>
          <w:numId w:val="48"/>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1" w:name="page102"/>
    <w:bookmarkEnd w:id="101"/>
    <w:p>
      <w:pPr>
        <w:ind w:left="4220" w:hanging="403"/>
        <w:spacing w:after="0"/>
        <w:tabs>
          <w:tab w:leader="none" w:pos="42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DEVELOPMENT OF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sake of clarity, in this Section 3, ILDONG means ILDONG, and where applicable, its Affiliates, Sublicensees, and Distributors.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Development Program</w:t>
      </w:r>
      <w:r>
        <w:rPr>
          <w:rFonts w:ascii="Arial" w:cs="Arial" w:eastAsia="Arial" w:hAnsi="Arial"/>
          <w:sz w:val="16"/>
          <w:szCs w:val="16"/>
          <w:u w:val="single" w:color="auto"/>
          <w:color w:val="auto"/>
        </w:rPr>
        <w:t>.</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u w:val="single" w:color="auto"/>
          <w:color w:val="auto"/>
        </w:rPr>
        <w:t>Objective of Development Program</w:t>
      </w:r>
      <w:r>
        <w:rPr>
          <w:rFonts w:ascii="Arial" w:cs="Arial" w:eastAsia="Arial" w:hAnsi="Arial"/>
          <w:sz w:val="18"/>
          <w:szCs w:val="18"/>
          <w:color w:val="auto"/>
        </w:rPr>
        <w:t>. The objective of the Development Program shall be the Development by ILDONG,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Development activities of the SUBLICENSOR, of the Compounds and Products in the Field in order to obtain Marketing Authorization for such Products in the Field in the Territory as promptly as practicable.</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6"/>
          <w:szCs w:val="16"/>
          <w:b w:val="1"/>
          <w:bCs w:val="1"/>
          <w:color w:val="auto"/>
        </w:rPr>
        <w:t xml:space="preserve">3.1.2 </w:t>
      </w:r>
      <w:r>
        <w:rPr>
          <w:rFonts w:ascii="Arial" w:cs="Arial" w:eastAsia="Arial" w:hAnsi="Arial"/>
          <w:sz w:val="16"/>
          <w:szCs w:val="16"/>
          <w:b w:val="1"/>
          <w:bCs w:val="1"/>
          <w:u w:val="single" w:color="auto"/>
          <w:color w:val="auto"/>
        </w:rPr>
        <w:t>Responsibility for Development</w:t>
      </w:r>
      <w:r>
        <w:rPr>
          <w:rFonts w:ascii="Arial" w:cs="Arial" w:eastAsia="Arial" w:hAnsi="Arial"/>
          <w:sz w:val="16"/>
          <w:szCs w:val="16"/>
          <w:color w:val="auto"/>
        </w:rPr>
        <w:t>. ILDONG shall have the sole right and responsibility for, and shall have full control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authority over, at its sole cost and expense (including without limitation all costs attributable to the supply of Product for the conduct of Clinical Trials), the Development of Products in the Territory, including conducting all Development activities (including bridging study(ies), if such study(ies) are necessary due to regulatory gaps) beyond the Development activities being conducted by the SUBLICENSOR outside of the Territory (which should be supportive of obtaining Marketing Authorization by the FDA and/or EMA, but may or may not be sufficient to support the obtaining of Marketing Authorization in the Territory) and establishing the methods and means by which it performs such activities under this Agreement. Should ILDONG, for any regulatory filing, desire to utilize data from any clinical trials or studies conducted in indications outside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w:t>
      </w:r>
      <w:r>
        <w:rPr>
          <w:rFonts w:ascii="Arial" w:cs="Arial" w:eastAsia="Arial" w:hAnsi="Arial"/>
          <w:sz w:val="26"/>
          <w:szCs w:val="26"/>
          <w:color w:val="auto"/>
          <w:vertAlign w:val="superscript"/>
        </w:rPr>
        <w:t>*</w:t>
      </w:r>
      <w:r>
        <w:rPr>
          <w:rFonts w:ascii="Arial" w:cs="Arial" w:eastAsia="Arial" w:hAnsi="Arial"/>
          <w:sz w:val="16"/>
          <w:szCs w:val="16"/>
          <w:color w:val="auto"/>
        </w:rPr>
        <w:t>, which have been fully funded by the SUBLICENSOR,</w:t>
      </w:r>
    </w:p>
    <w:p>
      <w:pPr>
        <w:jc w:val="both"/>
        <w:spacing w:after="0" w:line="224" w:lineRule="auto"/>
        <w:rPr>
          <w:sz w:val="20"/>
          <w:szCs w:val="20"/>
          <w:color w:val="auto"/>
        </w:rPr>
      </w:pPr>
      <w:r>
        <w:rPr>
          <w:rFonts w:ascii="Arial" w:cs="Arial" w:eastAsia="Arial" w:hAnsi="Arial"/>
          <w:sz w:val="18"/>
          <w:szCs w:val="18"/>
          <w:color w:val="auto"/>
        </w:rPr>
        <w:t xml:space="preserve">ILDONG shall pay to the SUBLICENSOR </w:t>
      </w:r>
      <w:r>
        <w:rPr>
          <w:rFonts w:ascii="Arial" w:cs="Arial" w:eastAsia="Arial" w:hAnsi="Arial"/>
          <w:sz w:val="30"/>
          <w:szCs w:val="30"/>
          <w:color w:val="auto"/>
          <w:vertAlign w:val="superscript"/>
        </w:rPr>
        <w:t>*</w:t>
      </w:r>
      <w:r>
        <w:rPr>
          <w:rFonts w:ascii="Arial" w:cs="Arial" w:eastAsia="Arial" w:hAnsi="Arial"/>
          <w:sz w:val="18"/>
          <w:szCs w:val="18"/>
          <w:color w:val="auto"/>
        </w:rPr>
        <w:t>% of the full cost of the trial which produced such data. ILDONG shall have the right to engage Third Party contractors to perform any of its Development activities in the Territory, provided such Third Party contractors are approved by SUBLICENSOR, such approval not to be unreasonably withheld, and subject to the execution by each such Third Party contractor of an agreement containing provisions that are consistent with and comparable in scope to, Articles 7 and 8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8097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3" w:lineRule="exact"/>
        <w:rPr>
          <w:sz w:val="20"/>
          <w:szCs w:val="20"/>
          <w:color w:val="auto"/>
        </w:rPr>
      </w:pPr>
    </w:p>
    <w:p>
      <w:pPr>
        <w:ind w:left="120" w:hanging="112"/>
        <w:spacing w:after="0"/>
        <w:tabs>
          <w:tab w:leader="none" w:pos="12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02" w:name="page103"/>
    <w:bookmarkEnd w:id="102"/>
    <w:p>
      <w:pPr>
        <w:ind w:left="660"/>
        <w:spacing w:after="0"/>
        <w:tabs>
          <w:tab w:leader="none" w:pos="11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u w:val="single" w:color="auto"/>
          <w:color w:val="auto"/>
        </w:rPr>
        <w:t>Development Diligence</w:t>
      </w:r>
      <w:r>
        <w:rPr>
          <w:rFonts w:ascii="Arial" w:cs="Arial" w:eastAsia="Arial" w:hAnsi="Arial"/>
          <w:sz w:val="15"/>
          <w:szCs w:val="15"/>
          <w:color w:val="auto"/>
        </w:rPr>
        <w: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ILDONG, and/or its Affiliates, Sublicensees, and Distributors shall use Commercially Reasonable Efforts during the Term to commit such resources (including employees, consultants, contractors, facilities, equipment and materials) as may be required to support the obtaining of Market Authorization in the Territory as further described in 3.1.2.</w:t>
      </w:r>
    </w:p>
    <w:p>
      <w:pPr>
        <w:spacing w:after="0" w:line="17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Preparation of Development Plan</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Development Plan in the Territory shall be prepared by ILDONG for each Product and discussed with the SUBLICENSOR for its information and clinical development and manufacturing planning purposes no less than annually after the Effective Date. During the period commencing on and after such date and continuing for the remainder of the Term, each party shall prepare and provide to the other party additional Development Plans detailing any amendments, modifications and/or updates to any existing Development Plan, within thirty (30) days of the end of each Calendar Year. ILDONG shall seek health authority scientific advice to determine the pivotal studies deemed necessary for product registration in the Territory at the earliest possible time. The advice received should be reflected in updated Development Plans. In the event of any conflict between the terms of the Development Plan and the terms and conditions of this Agreement, the terms and conditions of this Agreement shall prevail..</w:t>
      </w:r>
    </w:p>
    <w:p>
      <w:pPr>
        <w:spacing w:after="0" w:line="17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Compliance</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Parties shall perform their activities under the Development Program in good scientific manner and in compliance in all material respects with all Applicable Laws. For purposes of clarity, with respect to each Development activity performed that will or would reasonably be expected to be submitted to a Regulatory Authority in support of a Regulatory Filing or Drug Approval Application, ILDONG shall not willfully fail to comply in all material respects with GLPs, GMPs or Good Clinical Practices (or, if and as appropriate under the circumstances, International Conference on Harmonization (“</w:t>
      </w:r>
      <w:r>
        <w:rPr>
          <w:rFonts w:ascii="Arial" w:cs="Arial" w:eastAsia="Arial" w:hAnsi="Arial"/>
          <w:sz w:val="18"/>
          <w:szCs w:val="18"/>
          <w:b w:val="1"/>
          <w:bCs w:val="1"/>
          <w:color w:val="auto"/>
        </w:rPr>
        <w:t>ICH</w:t>
      </w:r>
      <w:r>
        <w:rPr>
          <w:rFonts w:ascii="Arial" w:cs="Arial" w:eastAsia="Arial" w:hAnsi="Arial"/>
          <w:sz w:val="18"/>
          <w:szCs w:val="18"/>
          <w:color w:val="auto"/>
        </w:rPr>
        <w:t>”) guidance or other comparable regulation and guidance of any Regulatory Authority in the Territory).</w:t>
      </w:r>
    </w:p>
    <w:p>
      <w:pPr>
        <w:spacing w:after="0" w:line="18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b w:val="1"/>
          <w:bCs w:val="1"/>
          <w:color w:val="auto"/>
        </w:rPr>
        <w:t xml:space="preserve">3.4.1 </w:t>
      </w:r>
      <w:r>
        <w:rPr>
          <w:rFonts w:ascii="Arial" w:cs="Arial" w:eastAsia="Arial" w:hAnsi="Arial"/>
          <w:sz w:val="16"/>
          <w:szCs w:val="16"/>
          <w:b w:val="1"/>
          <w:bCs w:val="1"/>
          <w:u w:val="single" w:color="auto"/>
          <w:color w:val="auto"/>
        </w:rPr>
        <w:t>Records; Reports</w:t>
      </w:r>
      <w:r>
        <w:rPr>
          <w:rFonts w:ascii="Arial" w:cs="Arial" w:eastAsia="Arial" w:hAnsi="Arial"/>
          <w:sz w:val="16"/>
          <w:szCs w:val="16"/>
          <w:color w:val="auto"/>
        </w:rPr>
        <w:t>. ILDONG and/or its Affiliates, Sublicensees, and Distributors shall (a) maintain records of its activities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Development Program in sufficient detail and in good scientific manner appropriate for patent and regulatory purposes, which shall fully and properly reflect all work performed and results achieved in the performance of the Development Program and (b) ILDONG shall keep SUBLICENSOR regularly informed of the progress of its efforts to Develop Products in the Territory. To facilitate such progress updates, each Party shall provide the other Party with an annual development report (each, a “Development Report”) (to be delivered with each annual update to the Development Plan) that summarizes: (a) significant Development activities conducted during the preceding Calendar Year and results obtained with respect to Compounds and Products (including the status of all Clinical Trials), (b) Significant Development Events applicable to the Compounds and/or Products, (c) a summary of all Program Technology conceived or reduced to practice by the Parties over such period, (d) a non-binding estimate of the expected timing of any milestone events with respect to Products and (e) such other information that each Party has in its possession as may be reasonably requested from time to time by the other party. The Development Plan and each Development Report shall be deemed Confidential Information. Following the commencement of Commercialization, Development Reports will no longer be required and will be replaced by the annual Commercialization Report as described in Section 5.8.</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3" w:name="page104"/>
    <w:bookmarkEnd w:id="103"/>
    <w:p>
      <w:pPr>
        <w:ind w:left="660"/>
        <w:spacing w:after="0"/>
        <w:tabs>
          <w:tab w:leader="none" w:pos="11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Supply of Compound(s) or Products(s) for Development</w:t>
      </w:r>
      <w:r>
        <w:rPr>
          <w:rFonts w:ascii="Arial" w:cs="Arial" w:eastAsia="Arial" w:hAnsi="Arial"/>
          <w:sz w:val="16"/>
          <w:szCs w:val="16"/>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SUBLICENSOR’s and ILDONG’s rights and responsibilities pertaining to the supply of the Compound or the Product for the Development shall be governed by Section 6 below</w:t>
      </w:r>
      <w:r>
        <w:rPr>
          <w:rFonts w:ascii="Arial" w:cs="Arial" w:eastAsia="Arial" w:hAnsi="Arial"/>
          <w:sz w:val="18"/>
          <w:szCs w:val="18"/>
          <w:b w:val="1"/>
          <w:bCs w:val="1"/>
          <w:color w:val="auto"/>
        </w:rPr>
        <w:t>.</w:t>
      </w:r>
    </w:p>
    <w:p>
      <w:pPr>
        <w:spacing w:after="0" w:line="16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u w:val="single" w:color="auto"/>
          <w:color w:val="auto"/>
        </w:rPr>
        <w:t>Use of Proprietary Materials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From time to time during the Term, either Party (the “</w:t>
      </w:r>
      <w:r>
        <w:rPr>
          <w:rFonts w:ascii="Arial" w:cs="Arial" w:eastAsia="Arial" w:hAnsi="Arial"/>
          <w:sz w:val="17"/>
          <w:szCs w:val="17"/>
          <w:b w:val="1"/>
          <w:bCs w:val="1"/>
          <w:color w:val="auto"/>
        </w:rPr>
        <w:t>Transferring Party</w:t>
      </w:r>
      <w:r>
        <w:rPr>
          <w:rFonts w:ascii="Arial" w:cs="Arial" w:eastAsia="Arial" w:hAnsi="Arial"/>
          <w:sz w:val="17"/>
          <w:szCs w:val="17"/>
          <w:color w:val="auto"/>
        </w:rPr>
        <w:t>”) may supply the other Party (the “</w:t>
      </w:r>
      <w:r>
        <w:rPr>
          <w:rFonts w:ascii="Arial" w:cs="Arial" w:eastAsia="Arial" w:hAnsi="Arial"/>
          <w:sz w:val="17"/>
          <w:szCs w:val="17"/>
          <w:b w:val="1"/>
          <w:bCs w:val="1"/>
          <w:color w:val="auto"/>
        </w:rPr>
        <w:t>Recipient Party</w:t>
      </w:r>
      <w:r>
        <w:rPr>
          <w:rFonts w:ascii="Arial" w:cs="Arial" w:eastAsia="Arial" w:hAnsi="Arial"/>
          <w:sz w:val="17"/>
          <w:szCs w:val="17"/>
          <w:color w:val="auto"/>
        </w:rPr>
        <w:t>”) with Proprietary Materials of the Transferring Party for use in the Development Program. In connection therewith, each Recipient Party hereby agrees that (a) it shall not use such Proprietary Materials for any purpose other than exercising its rights or performing its obligations hereunder; (b) it shall use such Proprietary Materials only in compliance with all Applicable Laws; (c) it shall not transfer any such Proprietary Materials to any Third Party without the prior written consent of the Transferring Party, except for the transfer of Products for use in Clinical Trials or as otherwise expressly permitted hereby; (d) the Recipient Party shall not acquire any right, title or interest in or to such Proprietary Materials as a result of such supply by the Transferring Party; and (e) upon the expiration or termination of the Development Program, the Recipient Party shall, if and as instructed by the Transferring Party, either destroy or return any such Proprietary Materials that are not the subject of the grant of a continuing license hereunder.</w:t>
      </w:r>
    </w:p>
    <w:p>
      <w:pPr>
        <w:spacing w:after="0" w:line="172" w:lineRule="exact"/>
        <w:rPr>
          <w:sz w:val="20"/>
          <w:szCs w:val="20"/>
          <w:color w:val="auto"/>
        </w:rPr>
      </w:pPr>
    </w:p>
    <w:p>
      <w:pPr>
        <w:ind w:left="4740" w:hanging="410"/>
        <w:spacing w:after="0"/>
        <w:tabs>
          <w:tab w:leader="none" w:pos="47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REGULATORY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sake of clarity, in this Section 4, ILDONG means ILDONG, and where applicable, its Affiliates, Sublicensees and Distributors.</w:t>
      </w:r>
    </w:p>
    <w:p>
      <w:pPr>
        <w:spacing w:after="0" w:line="22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Responsibility for Regulatory Filings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Subject to the remainder of this Article 4, (a) ILDONG shall have the sole right and responsibility, at its sole cost and expense, for preparing and filing all Regulatory Filings and Drug Approval Applications, Pricing Approval applications, or Reimbursement Approval applications required to Develop Compounds and Commercialize Products in the Territory in its own name; (b) all Regulatory Approvals for Products shall be solely owned by ILDONG; and</w:t>
      </w:r>
    </w:p>
    <w:p>
      <w:pPr>
        <w:jc w:val="both"/>
        <w:ind w:firstLine="8"/>
        <w:spacing w:after="0" w:line="281" w:lineRule="auto"/>
        <w:tabs>
          <w:tab w:leader="none" w:pos="2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ILDONG shall have the sole right and responsibility for (i) maintaining all Regulatory Filings and/or Marketing Authorizations and (ii) reporting to any Regulatory Authority within the Territory all Adverse Events and Serious Adverse Events related to any Product if and to the extent required by Applicable Laws. To maximize market protection of Product, ILDONG may file for any orphan drug designations as appropriate within requisite timeframes prior to the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submission of any Marketing Authorization Application. Firstly, within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months following the QA approval of the Study Report of the last Clinical Trial as per the Development Program, ILDONG shall file, or cause to be filed, before the Regulatory Authority (KFDA) in South Korea, all authorization and registration applications required for the promotion, marketing, distribution and sale of Product in South Korea. ILDONG shall exercise Commercially Reasonable Efforts to obtain Marketing Authorizations with respect to the Product. Failure to meet this obligation will be considered a material breach of the Agreement and SUBLICENSOR shall have the right to terminate the Agreement for breach of ILDONG in accordance with Section 11.2.2.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097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3" w:lineRule="exact"/>
        <w:rPr>
          <w:sz w:val="20"/>
          <w:szCs w:val="20"/>
          <w:color w:val="auto"/>
        </w:rPr>
      </w:pPr>
    </w:p>
    <w:p>
      <w:pPr>
        <w:ind w:left="120" w:hanging="112"/>
        <w:spacing w:after="0"/>
        <w:tabs>
          <w:tab w:leader="none" w:pos="120" w:val="left"/>
        </w:tabs>
        <w:numPr>
          <w:ilvl w:val="0"/>
          <w:numId w:val="53"/>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4" w:name="page105"/>
    <w:bookmarkEnd w:id="104"/>
    <w:p>
      <w:pPr>
        <w:ind w:left="660"/>
        <w:spacing w:after="0"/>
        <w:tabs>
          <w:tab w:leader="none" w:pos="11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u w:val="single" w:color="auto"/>
          <w:color w:val="auto"/>
        </w:rPr>
        <w:t>Disclosure; Right of Access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request from SUBLICENSOR, ILDONG shall promptly provide SUBLICENSOR with (a) a list of all sites at which Clinical Trials with respect to Products are being conducted by or on behalf of ILDONG; (b) copies of all Clinical Trial protocols and Investigator’s Brochures with respect to such Clinical Trials; and (c) access to all data (including non-clinical and Clinical Data), results and information found in ILDONG’s regulatory files produced by or on behalf of ILDONG, or any of its Affiliates or Sublicensees, in connection with the conduct by ILDONG of Development activities in its original format, without translation except that translations shall be provided at no charge where such translations are produced in the ordinary course of business. SUBLICENSOR shall maintain the confidentiality of such data, results and information and shall only have the right and license to use such data (including Clinical Data), results and information provided by ILDONG under this Section 4.2 for the performance of its obligations and exercise of its rights under this Agreement,</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u w:val="single" w:color="auto"/>
          <w:color w:val="auto"/>
        </w:rPr>
        <w:t>Disclosure of Certain Events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Parties hereby agree to report to each other all Adverse Events and/or Serious Adverse Events with respect to the Product (whether occurring in any Clinical Trial conducted with regard to the Product or in connection with the commercialization of the Product in any country), within timeframes consistent with its reporting obligations under Applicable Laws and in any event, if either Party is actively conducting a clinical trial under its own IND or commercializing the Product under its own Marketing Authorization, then the other Party shall report such events no later than three (3) business days for Serious Adverse Event, and quarterly for Adverse Events, which report shall, in each case, include the circumstances and nature of such Serious Adverse Event or Adverse Event as required for reporting under Applicable Laws. In addition, to the extent requested by either Party, the other Party shall promptly provide to the requesting Party any other information or materials that the requesting Party may require to provide to any Regulatory Authority with respect to any such Adverse Event or Serious Adverse Event. All disclosures made under this Section 4.3 shall be deemed Confidential Information of the disclosing Party; provided, that, the Party receiving such disclosures may, upon written notice to the disclosing Party, report the occurrence, circumstances and nature of such Adverse Event and/or Serious Adverse Event to any Regulatory Authority solely insofar as such reporting is required to comply with Applicable Laws.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5" w:name="page106"/>
    <w:bookmarkEnd w:id="105"/>
    <w:p>
      <w:pPr>
        <w:ind w:left="660"/>
        <w:spacing w:after="0"/>
        <w:tabs>
          <w:tab w:leader="none" w:pos="12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u w:val="single" w:color="auto"/>
          <w:color w:val="auto"/>
        </w:rPr>
        <w:t>Communication with Regulatory Authorities in the SUBLICENSOR Commercialization Territory</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4.4.1 </w:t>
      </w:r>
      <w:r>
        <w:rPr>
          <w:rFonts w:ascii="Arial" w:cs="Arial" w:eastAsia="Arial" w:hAnsi="Arial"/>
          <w:sz w:val="18"/>
          <w:szCs w:val="18"/>
          <w:b w:val="1"/>
          <w:bCs w:val="1"/>
          <w:u w:val="single" w:color="auto"/>
          <w:color w:val="auto"/>
        </w:rPr>
        <w:t>Participation in Meetings</w:t>
      </w:r>
      <w:r>
        <w:rPr>
          <w:rFonts w:ascii="Arial" w:cs="Arial" w:eastAsia="Arial" w:hAnsi="Arial"/>
          <w:sz w:val="18"/>
          <w:szCs w:val="18"/>
          <w:color w:val="auto"/>
        </w:rPr>
        <w:t>. ILDONG shall use reasonable efforts to provide SUBLICENSOR with at least thirty (30) days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any official meeting with a Regulatory Authority regarding any Marketing Authorization for any Product in the SUBLICENSOR Commercialization Territory and SUBLICENSOR may elect to send one (1) person reasonably acceptable to ILDONG to participate as an observer (at SUBLICENSOR’S sole cost and expense) in such meeting.</w:t>
      </w:r>
    </w:p>
    <w:p>
      <w:pPr>
        <w:spacing w:after="0" w:line="18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4.4.2 </w:t>
      </w:r>
      <w:r>
        <w:rPr>
          <w:rFonts w:ascii="Arial" w:cs="Arial" w:eastAsia="Arial" w:hAnsi="Arial"/>
          <w:sz w:val="18"/>
          <w:szCs w:val="18"/>
          <w:b w:val="1"/>
          <w:bCs w:val="1"/>
          <w:u w:val="single" w:color="auto"/>
          <w:color w:val="auto"/>
        </w:rPr>
        <w:t>Access; Notice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ILDONG shall use reasonable efforts to provide SUBLICENSOR with at least thirty (30) days’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notice of any official meeting with Regulatory Authority in the SUBLICENSOR Commercialization Territory regarding any Drug Approval Application for Products and/or any such audit or inspection conducted by any Regulatory Authority at any site at which Clinical Trials with respect to Products are being conducted and SUBLICENSOR may elect to send representatives reasonably acceptable to ILDONG to participate as an observer in such meeting at SUBLICENSOR’ sole cost and expense.</w:t>
      </w:r>
    </w:p>
    <w:p>
      <w:pPr>
        <w:spacing w:after="0" w:line="184" w:lineRule="exact"/>
        <w:rPr>
          <w:sz w:val="20"/>
          <w:szCs w:val="20"/>
          <w:color w:val="auto"/>
        </w:rPr>
      </w:pPr>
    </w:p>
    <w:p>
      <w:pPr>
        <w:ind w:left="3880" w:hanging="396"/>
        <w:spacing w:after="0"/>
        <w:tabs>
          <w:tab w:leader="none" w:pos="38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COMMERCIALIZATION OF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sake of clarity, in this Section 5, ILDONG means ILDONG, and where applicable, its Affiliates, Sublicensees and Distributors.</w:t>
      </w:r>
    </w:p>
    <w:p>
      <w:pPr>
        <w:spacing w:after="0" w:line="22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Commercialization Plan</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initial Commercialization Plan in the territory shall be prepared by ILDONG and submitted to SUBLICENSOR for its review as soon as practicable after the submission of the NDA application in South Korea. On and after such date and continuing for the remainder of the Term, additional Commercialization Plans and/or amendments, modifications and/or updates to the Commercialization Plan, shall be prepared by ILDONG and submitted to SUBLICENSOR for its review within thirty (30) days of the end of each Calendar Year.</w:t>
      </w:r>
    </w:p>
    <w:p>
      <w:pPr>
        <w:spacing w:after="0" w:line="18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Responsibility for Commercialization of Products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Subject to Section 5.11 below, ILDONG shall have the primary right and responsibility for, and shall have primary control and authority over, at its sole cost and expense, (a) all aspects of the Commercialization of Products in the Field in the Territory including the sole responsibility for booking sales of Product and for all returns, charge-backs and rebates with respect to Products; and (b) the conduct of all pre-marketing, marketing, Branding, promotion, sales, distribution, import and export activities (including securing pricing, reimbursement, sales and marketing and conducting any post-marketing trials or post-marketing safety surveillance and maintaining databases) applicable to the Commercialization of Products in the Field and in the Territory.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6" w:name="page107"/>
    <w:bookmarkEnd w:id="106"/>
    <w:p>
      <w:pPr>
        <w:ind w:left="660"/>
        <w:spacing w:after="0"/>
        <w:tabs>
          <w:tab w:leader="none" w:pos="11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Commercialization Diligence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ILDONG shall use Commercially Reasonable Efforts during the Term to Commercialize Products for all approved Indications in the Field and in the Territory. Without limiting the foregoing, (a) commencing no later than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days prior to the estimated date of First Commercial Sale of the Product, ILDONG shall conduct pre-marketing activities in the Territory with respect to the Product and (b) following receipt of Marketing Authorization with respect to the Product in the Territory, ILDONG shall initiate and conduct such promotional activities determined by ILDONG as may be required to develop a commercial market for, launch and Commercialize the Product (including through direct conduct with key opinion leaders) in the Territory. In addition, ILDONG, shall establish and maintain a well-trained sales force for the Product, (together with a well-trained support staff) adequate to service all the customers of ILDONG and to keep the sales force knowledgeable and fully informed as to the Product; maintain an effective distribution system for the Product in the Territory; transport and store the Product to preserve its quality in accordance with pre-determined QA requirements; obtain and maintain all licenses, approvals and permits in the Territory necessary for ILDONG to perform its obligations under this Agreement; establish and maintain suitable systems and records to enable a recall of Product in a timely, efficient and accurate manner and otherwise in accordance with applicable laws and regulations in the Territory; abide by all applicable rules and regulations relating to sales, marketing and reimbursement; ensure that no Product shipped by ILDONG is adulterated or misbranded; maintain adequate control over the physical security of the Product; Cause all Affiliates, sublicensees and subcontractors of ILDONG to comply with the above.</w:t>
      </w:r>
    </w:p>
    <w:p>
      <w:pPr>
        <w:spacing w:after="0" w:line="18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Failure to Satisfy Commercialization Diligence Obligations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SUBLICENSOR shall have the right, in its sole discretion, to provide ILDONG with written notice if it reasonably believes ILDONG has failed to satisfy its Commercialization diligence obligations under this Agreement (a “</w:t>
      </w:r>
      <w:r>
        <w:rPr>
          <w:rFonts w:ascii="Arial" w:cs="Arial" w:eastAsia="Arial" w:hAnsi="Arial"/>
          <w:sz w:val="16"/>
          <w:szCs w:val="16"/>
          <w:b w:val="1"/>
          <w:bCs w:val="1"/>
          <w:color w:val="auto"/>
        </w:rPr>
        <w:t>ILDONG Diligence Failure</w:t>
      </w:r>
      <w:r>
        <w:rPr>
          <w:rFonts w:ascii="Arial" w:cs="Arial" w:eastAsia="Arial" w:hAnsi="Arial"/>
          <w:sz w:val="16"/>
          <w:szCs w:val="16"/>
          <w:color w:val="auto"/>
        </w:rPr>
        <w:t>”). Such written notice (a “</w:t>
      </w:r>
      <w:r>
        <w:rPr>
          <w:rFonts w:ascii="Arial" w:cs="Arial" w:eastAsia="Arial" w:hAnsi="Arial"/>
          <w:sz w:val="16"/>
          <w:szCs w:val="16"/>
          <w:b w:val="1"/>
          <w:bCs w:val="1"/>
          <w:color w:val="auto"/>
        </w:rPr>
        <w:t>Diligence Failure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shall set forth in reasonable detail the nature of the alleged failure and shall request written justification, in the form of detailed reasons that would</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the proposition that ILDONG has satisfied such diligence obligations. ILDONG shall provide such written justification to SUBLICENSOR within thirty (30) days after receipt of such Diligence Failure Notice and shall identify any Commercially Reasonable Justifications (as defined below) applicable thereto. If ILDONG fails to provide SUBLICENSOR with a Commercially Reasonable Justification within such thirty (30) day period ILDONG shall have an</w:t>
      </w:r>
    </w:p>
    <w:p>
      <w:pPr>
        <w:spacing w:after="0" w:line="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additional (90) day period to cure such failure. During that period a penalty equal to the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shall accrue on a monthly basis, to the benefit of SUBLICENSOR. Should ILDONG’s failure continue within this additional period, ILDONG shall continue to pay the penalty abovementioned and SUBLICENSOR reserves the right in its discretion to, in addition to all damages caused in relation thereof, convert the licenses and rights granted under any or all of Section 2.1 from exclusive licenses to non-exclusive licenses only as such licenses and rights apply to such Product. Should ILDONG’s failure continue within an additional hundred eighty (180) day period, ILDONG shall continue to pay the penalty abovementioned and SUBLICENSOR reserves the right in its discretion to, in addition to any other remedies it may have as a result of all damages caused in relation thereof, terminate any or all of the licenses and rights granted under Section 2.1 hereof with respect to the Product that is the subject of the Diligence Failure Notice termination or conversion, as the case may be, shall be at the discretion of SUBLICENSOR and be effective immediately upon issuance by SUBLICENSOR of written notice to ILDONG specifying the remedy that SUBLICENSOR is electing to exercise under this Section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097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4" w:lineRule="exact"/>
        <w:rPr>
          <w:sz w:val="20"/>
          <w:szCs w:val="20"/>
          <w:color w:val="auto"/>
        </w:rPr>
      </w:pPr>
    </w:p>
    <w:p>
      <w:pPr>
        <w:ind w:left="120" w:hanging="112"/>
        <w:spacing w:after="0"/>
        <w:tabs>
          <w:tab w:leader="none" w:pos="120"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07" w:name="page108"/>
    <w:bookmarkEnd w:id="107"/>
    <w:p>
      <w:pPr>
        <w:jc w:val="both"/>
        <w:spacing w:after="0" w:line="269" w:lineRule="auto"/>
        <w:rPr>
          <w:sz w:val="20"/>
          <w:szCs w:val="20"/>
          <w:color w:val="auto"/>
        </w:rPr>
      </w:pPr>
      <w:r>
        <w:rPr>
          <w:rFonts w:ascii="Arial" w:cs="Arial" w:eastAsia="Arial" w:hAnsi="Arial"/>
          <w:sz w:val="17"/>
          <w:szCs w:val="17"/>
          <w:color w:val="auto"/>
        </w:rPr>
        <w:t xml:space="preserve">For purposes of this Section 5.4, </w:t>
      </w:r>
      <w:r>
        <w:rPr>
          <w:rFonts w:ascii="Arial" w:cs="Arial" w:eastAsia="Arial" w:hAnsi="Arial"/>
          <w:sz w:val="17"/>
          <w:szCs w:val="17"/>
          <w:b w:val="1"/>
          <w:bCs w:val="1"/>
          <w:color w:val="auto"/>
        </w:rPr>
        <w:t>“Commercially Reasonable Justification”</w:t>
      </w:r>
      <w:r>
        <w:rPr>
          <w:rFonts w:ascii="Arial" w:cs="Arial" w:eastAsia="Arial" w:hAnsi="Arial"/>
          <w:sz w:val="17"/>
          <w:szCs w:val="17"/>
          <w:color w:val="auto"/>
        </w:rPr>
        <w:t xml:space="preserve"> means the existence or occurrence of one or more of the following events or justifications: (i) the occurrence of an event of Force Majeure; (ii) the adoption by a Regulatory Authority of any one or more regulations that become effective after the Effective Date and that materially affect the Development or clinical testing of the Product or the process for obtaining any Regulatory Approval, Pricing Approval, or Reimbursement Approval for the Product; and (iii) the occurrence of any event, condition or circumstance (including an event, condition or circumstance related to the manufacture or supply of the Product (or any material component thereof) for clinical studies or a regulatory action by any Regulatory Authority) with respect to the Product (or any material component thereof) that (A) involves the safety, toxicity, efficacy or pharmacokinetics of the Product or (B) prevents the use of the Product in humans (including, without limitation, as a result of patent or other blocking rights) and, in the case of clauses (A) or (B) above, is not attributable to (1) a breach by ILDONG of any obligation under this Agreement, (2) the failure of ILDONG to comply with any protocol, development plan or Applicable Laws with respect to the development of the Product, or (3) any grossly negligent or willful act or omission of ILDONG; or (C) that the ILDONG Diligence Failure is caused by ILDONG’s failure to take actions that would be in excess of Commercially Reasonable Efforts; provided, that, in any such case, ILDONG shall use Commercially Reasonable Efforts to mitigate the effect and duration of any such acceptable delay with respect to the Product that is the subject of the Diligence Failure Notice.</w:t>
      </w:r>
    </w:p>
    <w:p>
      <w:pPr>
        <w:spacing w:after="0" w:line="18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u w:val="single" w:color="auto"/>
          <w:color w:val="auto"/>
        </w:rPr>
        <w:t>Failure to achieve Sales Targets</w:t>
      </w:r>
    </w:p>
    <w:p>
      <w:pPr>
        <w:spacing w:after="0" w:line="233" w:lineRule="exact"/>
        <w:rPr>
          <w:sz w:val="20"/>
          <w:szCs w:val="20"/>
          <w:color w:val="auto"/>
        </w:rPr>
      </w:pPr>
    </w:p>
    <w:p>
      <w:pPr>
        <w:jc w:val="both"/>
        <w:ind w:firstLine="1297"/>
        <w:spacing w:after="0" w:line="195" w:lineRule="auto"/>
        <w:rPr>
          <w:sz w:val="20"/>
          <w:szCs w:val="20"/>
          <w:color w:val="auto"/>
        </w:rPr>
      </w:pPr>
      <w:r>
        <w:rPr>
          <w:rFonts w:ascii="Arial" w:cs="Arial" w:eastAsia="Arial" w:hAnsi="Arial"/>
          <w:sz w:val="17"/>
          <w:szCs w:val="17"/>
          <w:b w:val="1"/>
          <w:bCs w:val="1"/>
          <w:color w:val="auto"/>
        </w:rPr>
        <w:t xml:space="preserve">5.5.1 </w:t>
      </w:r>
      <w:r>
        <w:rPr>
          <w:rFonts w:ascii="Arial" w:cs="Arial" w:eastAsia="Arial" w:hAnsi="Arial"/>
          <w:sz w:val="17"/>
          <w:szCs w:val="17"/>
          <w:b w:val="1"/>
          <w:bCs w:val="1"/>
          <w:u w:val="single" w:color="auto"/>
          <w:color w:val="auto"/>
        </w:rPr>
        <w:t>Initial Period.</w:t>
      </w:r>
      <w:r>
        <w:rPr>
          <w:rFonts w:ascii="Arial" w:cs="Arial" w:eastAsia="Arial" w:hAnsi="Arial"/>
          <w:sz w:val="17"/>
          <w:szCs w:val="17"/>
          <w:b w:val="1"/>
          <w:bCs w:val="1"/>
          <w:color w:val="auto"/>
        </w:rPr>
        <w:t xml:space="preserve"> </w:t>
      </w:r>
      <w:r>
        <w:rPr>
          <w:rFonts w:ascii="Arial" w:cs="Arial" w:eastAsia="Arial" w:hAnsi="Arial"/>
          <w:sz w:val="17"/>
          <w:szCs w:val="17"/>
          <w:color w:val="auto"/>
        </w:rPr>
        <w:t>For the</w:t>
      </w:r>
      <w:r>
        <w:rPr>
          <w:rFonts w:ascii="Arial" w:cs="Arial" w:eastAsia="Arial" w:hAnsi="Arial"/>
          <w:sz w:val="17"/>
          <w:szCs w:val="17"/>
          <w:b w:val="1"/>
          <w:bCs w:val="1"/>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date of First Commercial Sale (the "Initial Period") ILDONG shall achieve the Sales Target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If ILDONG fails to achieve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percent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 the Sales Target by completion of the Initial Period, ILDONG shall, within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t>
      </w:r>
      <w:r>
        <w:rPr>
          <w:rFonts w:ascii="Arial" w:cs="Arial" w:eastAsia="Arial" w:hAnsi="Arial"/>
          <w:sz w:val="28"/>
          <w:szCs w:val="28"/>
          <w:color w:val="auto"/>
          <w:vertAlign w:val="superscript"/>
        </w:rPr>
        <w:t>*</w:t>
      </w:r>
      <w:r>
        <w:rPr>
          <w:rFonts w:ascii="Arial" w:cs="Arial" w:eastAsia="Arial" w:hAnsi="Arial"/>
          <w:sz w:val="17"/>
          <w:szCs w:val="17"/>
          <w:color w:val="auto"/>
        </w:rPr>
        <w:t>, pay to SUBLICENSORS a</w:t>
      </w:r>
    </w:p>
    <w:p>
      <w:pPr>
        <w:spacing w:after="0" w:line="2" w:lineRule="exact"/>
        <w:rPr>
          <w:sz w:val="20"/>
          <w:szCs w:val="20"/>
          <w:color w:val="auto"/>
        </w:rPr>
      </w:pPr>
    </w:p>
    <w:p>
      <w:pPr>
        <w:jc w:val="both"/>
        <w:ind w:right="20"/>
        <w:spacing w:after="0" w:line="204" w:lineRule="auto"/>
        <w:rPr>
          <w:sz w:val="20"/>
          <w:szCs w:val="20"/>
          <w:color w:val="auto"/>
        </w:rPr>
      </w:pPr>
      <w:r>
        <w:rPr>
          <w:rFonts w:ascii="Arial" w:cs="Arial" w:eastAsia="Arial" w:hAnsi="Arial"/>
          <w:sz w:val="18"/>
          <w:szCs w:val="18"/>
          <w:color w:val="auto"/>
        </w:rPr>
        <w:t xml:space="preserve">sum equal to the </w:t>
      </w:r>
      <w:r>
        <w:rPr>
          <w:rFonts w:ascii="Arial" w:cs="Arial" w:eastAsia="Arial" w:hAnsi="Arial"/>
          <w:sz w:val="30"/>
          <w:szCs w:val="30"/>
          <w:color w:val="auto"/>
          <w:vertAlign w:val="superscript"/>
        </w:rPr>
        <w:t>*</w:t>
      </w:r>
      <w:r>
        <w:rPr>
          <w:rFonts w:ascii="Arial" w:cs="Arial" w:eastAsia="Arial" w:hAnsi="Arial"/>
          <w:sz w:val="18"/>
          <w:szCs w:val="18"/>
          <w:color w:val="auto"/>
        </w:rPr>
        <w:t>. For purposes of this Agreement, “Commercial Years” means the period commencing on the date of First Commercial Sale of a Product and ending on the anniversary thereof and thereafter each successive period of twelve (12) months.</w:t>
      </w:r>
    </w:p>
    <w:p>
      <w:pPr>
        <w:spacing w:after="0" w:line="200" w:lineRule="exact"/>
        <w:rPr>
          <w:sz w:val="20"/>
          <w:szCs w:val="20"/>
          <w:color w:val="auto"/>
        </w:rPr>
      </w:pPr>
    </w:p>
    <w:p>
      <w:pPr>
        <w:jc w:val="both"/>
        <w:ind w:firstLine="1297"/>
        <w:spacing w:after="0" w:line="232" w:lineRule="auto"/>
        <w:rPr>
          <w:sz w:val="20"/>
          <w:szCs w:val="20"/>
          <w:color w:val="auto"/>
        </w:rPr>
      </w:pPr>
      <w:r>
        <w:rPr>
          <w:rFonts w:ascii="Arial" w:cs="Arial" w:eastAsia="Arial" w:hAnsi="Arial"/>
          <w:sz w:val="18"/>
          <w:szCs w:val="18"/>
          <w:b w:val="1"/>
          <w:bCs w:val="1"/>
          <w:color w:val="auto"/>
        </w:rPr>
        <w:t xml:space="preserve">5.5.2 </w:t>
      </w:r>
      <w:r>
        <w:rPr>
          <w:rFonts w:ascii="Arial" w:cs="Arial" w:eastAsia="Arial" w:hAnsi="Arial"/>
          <w:sz w:val="18"/>
          <w:szCs w:val="18"/>
          <w:b w:val="1"/>
          <w:bCs w:val="1"/>
          <w:u w:val="single" w:color="auto"/>
          <w:color w:val="auto"/>
        </w:rPr>
        <w:t>Subsequent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For Commercial Years subsequent to the Initial Period ILDONG shall achieve the Sales Target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ILDONG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fails to achieve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percent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 the Sales Target for any Commercial Year subject to the Initial Period, ILDONG shall, within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pay to SUBLICENSOR a sum equal to the </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8097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 w:lineRule="exact"/>
        <w:rPr>
          <w:sz w:val="20"/>
          <w:szCs w:val="20"/>
          <w:color w:val="auto"/>
        </w:rPr>
      </w:pPr>
    </w:p>
    <w:p>
      <w:pPr>
        <w:ind w:left="120" w:hanging="112"/>
        <w:spacing w:after="0"/>
        <w:tabs>
          <w:tab w:leader="none" w:pos="120" w:val="left"/>
        </w:tabs>
        <w:numPr>
          <w:ilvl w:val="0"/>
          <w:numId w:val="56"/>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8" w:name="page109"/>
    <w:bookmarkEnd w:id="108"/>
    <w:p>
      <w:pPr>
        <w:jc w:val="both"/>
        <w:ind w:firstLine="648"/>
        <w:spacing w:after="0" w:line="209" w:lineRule="auto"/>
        <w:rPr>
          <w:sz w:val="20"/>
          <w:szCs w:val="20"/>
          <w:color w:val="auto"/>
        </w:rPr>
      </w:pPr>
      <w:r>
        <w:rPr>
          <w:rFonts w:ascii="Arial" w:cs="Arial" w:eastAsia="Arial" w:hAnsi="Arial"/>
          <w:sz w:val="16"/>
          <w:szCs w:val="16"/>
          <w:color w:val="auto"/>
        </w:rPr>
        <w:t xml:space="preserve">In addition to the above, if ILDONG fails to achieve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percent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of the Sales Target for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SUBLICENSOR shall have the right to terminate this Agreement with respect to each country within the Territory where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were not achieved. In the case where SUBLICENSOR exercises its rights to terminate this Agreement, SUBLICENSOR shall provide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months prior notice of termination and purchase back any Product stock held by ILDONG valued at the</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18"/>
          <w:szCs w:val="18"/>
          <w:color w:val="auto"/>
        </w:rPr>
        <w:t xml:space="preserve">commercial price. If during the above mentioned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month period, ILDONG achieves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such six-month period, then ILDONG shall be deemed to have cured the breach and the termination shall be null and void.</w:t>
      </w:r>
    </w:p>
    <w:p>
      <w:pPr>
        <w:spacing w:after="0" w:line="20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u w:val="single" w:color="auto"/>
          <w:color w:val="auto"/>
        </w:rPr>
        <w:t>Compliance</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ILDONG shall use its Commercially Reasonable Efforts to Commercialize the Products in compliance in all material respects with all Applicable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u w:val="single" w:color="auto"/>
          <w:color w:val="auto"/>
        </w:rPr>
        <w:t>No Unauthorized Sales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ILDONG shall not, and shall not permit its Affiliates and not permit Sublicensees or Distributors to, distribute, market, promote, offer for sale or sell the Product to any Third Party in any country in the Territory that ILDONG, or its Affiliates, Sublicensees or Distributors, as applicable, reasonably believes is reasonably likely to engage in an unauthorized distribution, marketing, promotion, or sale of the Product outside the country of purchase.</w:t>
      </w:r>
    </w:p>
    <w:p>
      <w:pPr>
        <w:spacing w:after="0" w:line="1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u w:val="single" w:color="auto"/>
          <w:color w:val="auto"/>
        </w:rPr>
        <w:t>Records; Reports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ILDONG shall (a) maintain records of its Commercialization activities under this Article 5 in sufficient detail, which shall fully and properly reflect all work done and results achieved in the Commercialization of Products and (b) following the commencement of Commercialization of the Products provide SUBLICENSOR with annual written reports (each, a “</w:t>
      </w:r>
      <w:r>
        <w:rPr>
          <w:rFonts w:ascii="Arial" w:cs="Arial" w:eastAsia="Arial" w:hAnsi="Arial"/>
          <w:sz w:val="17"/>
          <w:szCs w:val="17"/>
          <w:b w:val="1"/>
          <w:bCs w:val="1"/>
          <w:color w:val="auto"/>
        </w:rPr>
        <w:t>Commercialization Report</w:t>
      </w:r>
      <w:r>
        <w:rPr>
          <w:rFonts w:ascii="Arial" w:cs="Arial" w:eastAsia="Arial" w:hAnsi="Arial"/>
          <w:sz w:val="17"/>
          <w:szCs w:val="17"/>
          <w:color w:val="auto"/>
        </w:rPr>
        <w:t>”) which shall (i) summarize ILDONG’s efforts to Commercialize Products, (ii) identify the Regulatory Filings and Drug Approval Applications with respect to such Product that ILDONG or any of its Affiliates or Sublicensees have filed, sought or obtained in the prior twelve (12) month period or reasonably expect to make, seek or attempt to obtain in the following twelve (12) month period and (iii) summarize all Clinical Data generated by ILDONG with respect to Products. Commencing no later than ninety (90) days from the date of receipt by ILDONG of the first Marketing Authorization for each Product and on each anniversary thereof until the expiration of the Royalty Term applicable to such Product, each such Commercialization Report shall also include (i) an outline of the key sales and marketing activities that ILDONG reasonably expects to conduct with respect to Product in the Territory, (ii) a non-binding estimate of projected sales of Product in the Territory for the subsequent three (3) Calendar Year period and (iii) such additional information that it has in its possession as may be reasonably requested by SUBLICENSOR regarding the Commercialization of any Product, which request shall not be made more than once each Calendar Year. The Commercialization Plan and Commercialization Report can be provided as one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57"/>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109" w:name="page110"/>
    <w:bookmarkEnd w:id="109"/>
    <w:p>
      <w:pPr>
        <w:ind w:left="660"/>
        <w:spacing w:after="0"/>
        <w:tabs>
          <w:tab w:leader="none" w:pos="11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Supply of Product for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-7620</wp:posOffset>
            </wp:positionV>
            <wp:extent cx="16783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78305" cy="889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SUBLICENSOR’s and ILDONG’s rights and responsibilities pertaining the supply of the Compound for the Commercialization shall be governed by Section 6 below.</w:t>
      </w:r>
    </w:p>
    <w:p>
      <w:pPr>
        <w:spacing w:after="0" w:line="16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u w:val="single" w:color="auto"/>
          <w:color w:val="auto"/>
        </w:rPr>
        <w:t>Product Recalls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the event that any Regulatory Authority issues or requests a recall or takes similar action in connection with a Product in the Territory, or in the event ILDONG reasonably believes that an event, incident or circumstance has occurred that may result in the need for a recall, market withdrawal or other corrective action regarding a Product in the Territory (each, a </w:t>
      </w:r>
      <w:r>
        <w:rPr>
          <w:rFonts w:ascii="Arial" w:cs="Arial" w:eastAsia="Arial" w:hAnsi="Arial"/>
          <w:sz w:val="18"/>
          <w:szCs w:val="18"/>
          <w:b w:val="1"/>
          <w:bCs w:val="1"/>
          <w:color w:val="auto"/>
        </w:rPr>
        <w:t>“Recall”</w:t>
      </w:r>
      <w:r>
        <w:rPr>
          <w:rFonts w:ascii="Arial" w:cs="Arial" w:eastAsia="Arial" w:hAnsi="Arial"/>
          <w:sz w:val="18"/>
          <w:szCs w:val="18"/>
          <w:color w:val="auto"/>
        </w:rPr>
        <w:t>), ILDONG shall promptly advise SUBLICENSOR thereof by e-mail, telephone or facsimile. Following such notification, ILDONG shall have the sole right to decide, and have control of, whether to conduct a recall or market withdrawal (except in the event of a recall or market withdrawal mandated by a Regulatory Authority, in which case it shall be required) or to take other corrective action in the Territory and the manner in which any such recall, market withdrawal or corrective action shall be conducted; provided, that, ILDONG shall keep SUBLICENSOR reasonably informed regarding any such Recall. All expenses incurred by ILDONG in connection with any such Recall (including, without limitation, expenses for notification, destruction and return of the affected Product and any refund to customers of amounts paid for such Product) shall be the sole responsibility of ILDONG.</w:t>
      </w:r>
    </w:p>
    <w:p>
      <w:pPr>
        <w:spacing w:after="0" w:line="193" w:lineRule="exact"/>
        <w:rPr>
          <w:sz w:val="20"/>
          <w:szCs w:val="20"/>
          <w:color w:val="auto"/>
        </w:rPr>
      </w:pPr>
    </w:p>
    <w:p>
      <w:pPr>
        <w:ind w:left="3800" w:hanging="398"/>
        <w:spacing w:after="0"/>
        <w:tabs>
          <w:tab w:leader="none" w:pos="38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 OF THE COMPOUND AND/OR PRODUCT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Supply of LFB-R603 for Development and Commercialization</w:t>
      </w:r>
      <w:r>
        <w:rPr>
          <w:rFonts w:ascii="Arial" w:cs="Arial" w:eastAsia="Arial" w:hAnsi="Arial"/>
          <w:sz w:val="18"/>
          <w:szCs w:val="18"/>
          <w:color w:val="auto"/>
        </w:rPr>
        <w: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SUBLICENSOR shall use its Commercially Reasonable Effort to provide supply of LFB-R603 as required for the Development and Commercialization of LFB-R603 when and as required by ILDONG for the Development of Products in the Territory. All supplies of Compound and Product for Clinical Trials supplied by SUBLICENSOR shall be billed to ILDONG at a cost equal to </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5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sake of clarity, SUBLICENSOR and its affiliates shall have the exclusive right and responsibility to provide supply of LFB-R603 as required for Development and Commercialization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59"/>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0" w:name="page111"/>
    <w:bookmarkEnd w:id="110"/>
    <w:p>
      <w:pPr>
        <w:ind w:left="660"/>
        <w:spacing w:after="0"/>
        <w:tabs>
          <w:tab w:leader="none" w:pos="11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Supply of TG20 for Development and Commercialization.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Provided that TG20 has satisfactorily completed non-clinical development, as defined by the acceptance of an IND by the US FDA, SUBLICENSOR shall use its Commercially Reasonable Effort to provide supply of TG20 as required for the Development and Commercialization of TG20 when and as required by ILDONG for the Development and Commercialization of Products in the Territory. All supplies of Compound and Product for Clinical Trials supplied by SUBLICENSOR shall be billed to ILDONG at a cost equal to </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sake of clarity, SUBLICENSOR and its affiliates shall have the exclusive right and responsibility to provide supply of TG20 as required for Development and Commercialization in the Territory. Nothing in this section shall be construed as an obligation on the part of SUBLICENSOR to continue the development of TG20.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Upon the approval of the first Drug Approval Application by ILDONG within any country within the Territory and the subsequent determination of the National Health Insurance (“NHI”) price, the parties will enter into a Commercial Supply Agreement which shall be attached in Exhibit B as soon as it is executed by the Parties and which shall include such customary terms of such agreements and shall include the payment by ILDONG to SUBLICENSOR at a transfer price not to exceed </w:t>
      </w:r>
      <w:r>
        <w:rPr>
          <w:rFonts w:ascii="Arial" w:cs="Arial" w:eastAsia="Arial" w:hAnsi="Arial"/>
          <w:sz w:val="26"/>
          <w:szCs w:val="26"/>
          <w:color w:val="auto"/>
          <w:vertAlign w:val="superscript"/>
        </w:rPr>
        <w:t>*</w:t>
      </w:r>
      <w:r>
        <w:rPr>
          <w:rFonts w:ascii="Arial" w:cs="Arial" w:eastAsia="Arial" w:hAnsi="Arial"/>
          <w:sz w:val="16"/>
          <w:szCs w:val="16"/>
          <w:color w:val="auto"/>
        </w:rPr>
        <w:t>% of the NHI price obtained by the relevant health authority including margin for Cost of Goods manufactured, such that such</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supply price is not below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event that commercial supply price to ILDONG exceeds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 the NHI price, the Parties agree to renegotiate the Sales Royalty Rates outlined in Section 7.3 in good faith. For the sake of clarity, in no way shall SUBLICENSOR provide commercial supply to ILDONG at a price that is below </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77" w:lineRule="exact"/>
        <w:rPr>
          <w:sz w:val="20"/>
          <w:szCs w:val="20"/>
          <w:color w:val="auto"/>
        </w:rPr>
      </w:pPr>
    </w:p>
    <w:p>
      <w:pPr>
        <w:ind w:left="5420" w:hanging="399"/>
        <w:spacing w:after="0"/>
        <w:tabs>
          <w:tab w:leader="none" w:pos="54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u w:val="single" w:color="auto"/>
          <w:color w:val="auto"/>
        </w:rPr>
        <w:t>Upfront Payment</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for the rights granted to ILDONG hereunder, ILDONG hereby agrees to pay to SUBLICENSOR a non-refundable, non-creditable license fee of two million dollars (USD $2,000,000) within thirty (30) calendar days after the Effective Date.</w:t>
      </w:r>
    </w:p>
    <w:p>
      <w:pPr>
        <w:spacing w:after="0" w:line="16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u w:val="single" w:color="auto"/>
          <w:color w:val="auto"/>
        </w:rPr>
        <w:t>Sales Milestones</w:t>
      </w:r>
      <w:r>
        <w:rPr>
          <w:rFonts w:ascii="Arial" w:cs="Arial" w:eastAsia="Arial" w:hAnsi="Arial"/>
          <w:sz w:val="15"/>
          <w:szCs w:val="15"/>
          <w:b w:val="1"/>
          <w:bCs w:val="1"/>
          <w:color w:val="auto"/>
        </w:rPr>
        <w:t>.</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7.2.1 </w:t>
      </w:r>
      <w:r>
        <w:rPr>
          <w:rFonts w:ascii="Arial" w:cs="Arial" w:eastAsia="Arial" w:hAnsi="Arial"/>
          <w:sz w:val="18"/>
          <w:szCs w:val="18"/>
          <w:b w:val="1"/>
          <w:bCs w:val="1"/>
          <w:u w:val="single" w:color="auto"/>
          <w:color w:val="auto"/>
        </w:rPr>
        <w:t>Sales Milestones</w:t>
      </w:r>
      <w:r>
        <w:rPr>
          <w:rFonts w:ascii="Arial" w:cs="Arial" w:eastAsia="Arial" w:hAnsi="Arial"/>
          <w:sz w:val="18"/>
          <w:szCs w:val="18"/>
          <w:color w:val="auto"/>
        </w:rPr>
        <w:t>. ILDONG shall make the following non-refundable, non-creditable milestone payments to SUBLICENSOR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occurrence of each of the following milestone events for the first Product that achieves the corresponding Net Sales milestone for the first time in the combined territory of South Korea and 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61"/>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1" w:name="page112"/>
    <w:bookmarkEnd w:id="111"/>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Milestone</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60" w:type="dxa"/>
            <w:vAlign w:val="bottom"/>
            <w:gridSpan w:val="3"/>
          </w:tcPr>
          <w:p>
            <w:pPr>
              <w:ind w:left="2460"/>
              <w:spacing w:after="0"/>
              <w:rPr>
                <w:sz w:val="20"/>
                <w:szCs w:val="20"/>
                <w:color w:val="auto"/>
              </w:rPr>
            </w:pPr>
            <w:r>
              <w:rPr>
                <w:rFonts w:ascii="Arial" w:cs="Arial" w:eastAsia="Arial" w:hAnsi="Arial"/>
                <w:sz w:val="18"/>
                <w:szCs w:val="18"/>
                <w:b w:val="1"/>
                <w:bCs w:val="1"/>
                <w:color w:val="auto"/>
              </w:rPr>
              <w:t>Milestone Event</w:t>
            </w:r>
          </w:p>
        </w:tc>
        <w:tc>
          <w:tcPr>
            <w:tcW w:w="1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FFCC"/>
          </w:tcPr>
          <w:p>
            <w:pPr>
              <w:jc w:val="right"/>
              <w:ind w:right="55"/>
              <w:spacing w:after="0"/>
              <w:rPr>
                <w:sz w:val="20"/>
                <w:szCs w:val="20"/>
                <w:color w:val="auto"/>
              </w:rPr>
            </w:pPr>
            <w:r>
              <w:rPr>
                <w:rFonts w:ascii="Arial" w:cs="Arial" w:eastAsia="Arial" w:hAnsi="Arial"/>
                <w:sz w:val="17"/>
                <w:szCs w:val="17"/>
                <w:color w:val="auto"/>
                <w:w w:val="70"/>
              </w:rPr>
              <w:t>1.</w:t>
            </w:r>
          </w:p>
        </w:tc>
        <w:tc>
          <w:tcPr>
            <w:tcW w:w="8300" w:type="dxa"/>
            <w:vAlign w:val="bottom"/>
            <w:gridSpan w:val="4"/>
            <w:shd w:val="clear" w:color="auto" w:fill="CCFFCC"/>
          </w:tcPr>
          <w:p>
            <w:pPr>
              <w:ind w:left="140"/>
              <w:spacing w:after="0"/>
              <w:rPr>
                <w:sz w:val="20"/>
                <w:szCs w:val="20"/>
                <w:color w:val="auto"/>
              </w:rPr>
            </w:pPr>
            <w:r>
              <w:rPr>
                <w:rFonts w:ascii="Arial" w:cs="Arial" w:eastAsia="Arial" w:hAnsi="Arial"/>
                <w:sz w:val="18"/>
                <w:szCs w:val="18"/>
                <w:color w:val="auto"/>
              </w:rPr>
              <w:t>On achieving annual Net Sales of USD $*</w:t>
            </w:r>
          </w:p>
        </w:tc>
        <w:tc>
          <w:tcPr>
            <w:tcW w:w="1080" w:type="dxa"/>
            <w:vAlign w:val="bottom"/>
            <w:shd w:val="clear" w:color="auto" w:fill="CCFFCC"/>
          </w:tcPr>
          <w:p>
            <w:pPr>
              <w:jc w:val="center"/>
              <w:spacing w:after="0" w:line="256" w:lineRule="exact"/>
              <w:rPr>
                <w:sz w:val="20"/>
                <w:szCs w:val="20"/>
                <w:color w:val="auto"/>
              </w:rPr>
            </w:pPr>
            <w:r>
              <w:rPr>
                <w:rFonts w:ascii="Arial" w:cs="Arial" w:eastAsia="Arial" w:hAnsi="Arial"/>
                <w:sz w:val="18"/>
                <w:szCs w:val="18"/>
                <w:color w:val="auto"/>
                <w:w w:val="90"/>
              </w:rPr>
              <w:t>$</w:t>
            </w:r>
            <w:r>
              <w:rPr>
                <w:rFonts w:ascii="Arial" w:cs="Arial" w:eastAsia="Arial" w:hAnsi="Arial"/>
                <w:sz w:val="29"/>
                <w:szCs w:val="29"/>
                <w:color w:val="auto"/>
                <w:w w:val="90"/>
                <w:vertAlign w:val="superscript"/>
              </w:rPr>
              <w:t>*</w:t>
            </w:r>
          </w:p>
        </w:tc>
        <w:tc>
          <w:tcPr>
            <w:tcW w:w="40" w:type="dxa"/>
            <w:vAlign w:val="bottom"/>
            <w:shd w:val="clear" w:color="auto" w:fill="CCFFCC"/>
          </w:tcPr>
          <w:p>
            <w:pPr>
              <w:spacing w:after="0"/>
              <w:rPr>
                <w:sz w:val="22"/>
                <w:szCs w:val="22"/>
                <w:color w:val="auto"/>
              </w:rPr>
            </w:pPr>
          </w:p>
        </w:tc>
      </w:tr>
      <w:tr>
        <w:trPr>
          <w:trHeight w:val="216"/>
        </w:trPr>
        <w:tc>
          <w:tcPr>
            <w:tcW w:w="280" w:type="dxa"/>
            <w:vAlign w:val="bottom"/>
            <w:gridSpan w:val="2"/>
          </w:tcPr>
          <w:p>
            <w:pPr>
              <w:spacing w:after="0"/>
              <w:rPr>
                <w:sz w:val="18"/>
                <w:szCs w:val="18"/>
                <w:color w:val="auto"/>
              </w:rPr>
            </w:pPr>
          </w:p>
        </w:tc>
        <w:tc>
          <w:tcPr>
            <w:tcW w:w="3440" w:type="dxa"/>
            <w:vAlign w:val="bottom"/>
            <w:gridSpan w:val="2"/>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FFCC"/>
          </w:tcPr>
          <w:p>
            <w:pPr>
              <w:jc w:val="right"/>
              <w:ind w:right="55"/>
              <w:spacing w:after="0"/>
              <w:rPr>
                <w:sz w:val="20"/>
                <w:szCs w:val="20"/>
                <w:color w:val="auto"/>
              </w:rPr>
            </w:pPr>
            <w:r>
              <w:rPr>
                <w:rFonts w:ascii="Arial" w:cs="Arial" w:eastAsia="Arial" w:hAnsi="Arial"/>
                <w:sz w:val="17"/>
                <w:szCs w:val="17"/>
                <w:color w:val="auto"/>
                <w:w w:val="70"/>
              </w:rPr>
              <w:t>2.</w:t>
            </w:r>
          </w:p>
        </w:tc>
        <w:tc>
          <w:tcPr>
            <w:tcW w:w="8300" w:type="dxa"/>
            <w:vAlign w:val="bottom"/>
            <w:gridSpan w:val="4"/>
            <w:shd w:val="clear" w:color="auto" w:fill="CCFFCC"/>
          </w:tcPr>
          <w:p>
            <w:pPr>
              <w:ind w:left="140"/>
              <w:spacing w:after="0" w:line="256" w:lineRule="exact"/>
              <w:rPr>
                <w:sz w:val="20"/>
                <w:szCs w:val="20"/>
                <w:color w:val="auto"/>
              </w:rPr>
            </w:pPr>
            <w:r>
              <w:rPr>
                <w:rFonts w:ascii="Arial" w:cs="Arial" w:eastAsia="Arial" w:hAnsi="Arial"/>
                <w:sz w:val="18"/>
                <w:szCs w:val="18"/>
                <w:color w:val="auto"/>
              </w:rPr>
              <w:t>On achieving annual Net Sales of USD $</w:t>
            </w:r>
            <w:r>
              <w:rPr>
                <w:rFonts w:ascii="Arial" w:cs="Arial" w:eastAsia="Arial" w:hAnsi="Arial"/>
                <w:sz w:val="29"/>
                <w:szCs w:val="29"/>
                <w:color w:val="auto"/>
                <w:vertAlign w:val="superscript"/>
              </w:rPr>
              <w:t>*</w:t>
            </w:r>
          </w:p>
        </w:tc>
        <w:tc>
          <w:tcPr>
            <w:tcW w:w="1080" w:type="dxa"/>
            <w:vAlign w:val="bottom"/>
            <w:shd w:val="clear" w:color="auto" w:fill="CCFFCC"/>
          </w:tcPr>
          <w:p>
            <w:pPr>
              <w:jc w:val="center"/>
              <w:spacing w:after="0" w:line="256" w:lineRule="exact"/>
              <w:rPr>
                <w:sz w:val="20"/>
                <w:szCs w:val="20"/>
                <w:color w:val="auto"/>
              </w:rPr>
            </w:pPr>
            <w:r>
              <w:rPr>
                <w:rFonts w:ascii="Arial" w:cs="Arial" w:eastAsia="Arial" w:hAnsi="Arial"/>
                <w:sz w:val="18"/>
                <w:szCs w:val="18"/>
                <w:color w:val="auto"/>
                <w:w w:val="90"/>
              </w:rPr>
              <w:t>$</w:t>
            </w:r>
            <w:r>
              <w:rPr>
                <w:rFonts w:ascii="Arial" w:cs="Arial" w:eastAsia="Arial" w:hAnsi="Arial"/>
                <w:sz w:val="29"/>
                <w:szCs w:val="29"/>
                <w:color w:val="auto"/>
                <w:w w:val="90"/>
                <w:vertAlign w:val="superscript"/>
              </w:rPr>
              <w:t>*</w:t>
            </w:r>
          </w:p>
        </w:tc>
        <w:tc>
          <w:tcPr>
            <w:tcW w:w="40" w:type="dxa"/>
            <w:vAlign w:val="bottom"/>
            <w:shd w:val="clear" w:color="auto" w:fill="CCFFCC"/>
          </w:tcPr>
          <w:p>
            <w:pPr>
              <w:spacing w:after="0"/>
              <w:rPr>
                <w:sz w:val="22"/>
                <w:szCs w:val="22"/>
                <w:color w:val="auto"/>
              </w:rPr>
            </w:pPr>
          </w:p>
        </w:tc>
      </w:tr>
      <w:tr>
        <w:trPr>
          <w:trHeight w:val="216"/>
        </w:trPr>
        <w:tc>
          <w:tcPr>
            <w:tcW w:w="280" w:type="dxa"/>
            <w:vAlign w:val="bottom"/>
            <w:gridSpan w:val="2"/>
          </w:tcPr>
          <w:p>
            <w:pPr>
              <w:spacing w:after="0"/>
              <w:rPr>
                <w:sz w:val="18"/>
                <w:szCs w:val="18"/>
                <w:color w:val="auto"/>
              </w:rPr>
            </w:pPr>
          </w:p>
        </w:tc>
        <w:tc>
          <w:tcPr>
            <w:tcW w:w="3440" w:type="dxa"/>
            <w:vAlign w:val="bottom"/>
            <w:gridSpan w:val="2"/>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FFCC"/>
          </w:tcPr>
          <w:p>
            <w:pPr>
              <w:jc w:val="right"/>
              <w:ind w:right="55"/>
              <w:spacing w:after="0"/>
              <w:rPr>
                <w:sz w:val="20"/>
                <w:szCs w:val="20"/>
                <w:color w:val="auto"/>
              </w:rPr>
            </w:pPr>
            <w:r>
              <w:rPr>
                <w:rFonts w:ascii="Arial" w:cs="Arial" w:eastAsia="Arial" w:hAnsi="Arial"/>
                <w:sz w:val="17"/>
                <w:szCs w:val="17"/>
                <w:color w:val="auto"/>
                <w:w w:val="70"/>
              </w:rPr>
              <w:t>3.</w:t>
            </w:r>
          </w:p>
        </w:tc>
        <w:tc>
          <w:tcPr>
            <w:tcW w:w="8300" w:type="dxa"/>
            <w:vAlign w:val="bottom"/>
            <w:gridSpan w:val="4"/>
            <w:shd w:val="clear" w:color="auto" w:fill="CCFFCC"/>
          </w:tcPr>
          <w:p>
            <w:pPr>
              <w:ind w:left="140"/>
              <w:spacing w:after="0" w:line="256" w:lineRule="exact"/>
              <w:rPr>
                <w:sz w:val="20"/>
                <w:szCs w:val="20"/>
                <w:color w:val="auto"/>
              </w:rPr>
            </w:pPr>
            <w:r>
              <w:rPr>
                <w:rFonts w:ascii="Arial" w:cs="Arial" w:eastAsia="Arial" w:hAnsi="Arial"/>
                <w:sz w:val="18"/>
                <w:szCs w:val="18"/>
                <w:color w:val="auto"/>
              </w:rPr>
              <w:t>On achieving annual Net Sales of USD $</w:t>
            </w:r>
            <w:r>
              <w:rPr>
                <w:rFonts w:ascii="Arial" w:cs="Arial" w:eastAsia="Arial" w:hAnsi="Arial"/>
                <w:sz w:val="29"/>
                <w:szCs w:val="29"/>
                <w:color w:val="auto"/>
                <w:vertAlign w:val="superscript"/>
              </w:rPr>
              <w:t>*</w:t>
            </w:r>
          </w:p>
        </w:tc>
        <w:tc>
          <w:tcPr>
            <w:tcW w:w="1080" w:type="dxa"/>
            <w:vAlign w:val="bottom"/>
            <w:shd w:val="clear" w:color="auto" w:fill="CCFFCC"/>
          </w:tcPr>
          <w:p>
            <w:pPr>
              <w:jc w:val="center"/>
              <w:spacing w:after="0" w:line="256" w:lineRule="exact"/>
              <w:rPr>
                <w:sz w:val="20"/>
                <w:szCs w:val="20"/>
                <w:color w:val="auto"/>
              </w:rPr>
            </w:pPr>
            <w:r>
              <w:rPr>
                <w:rFonts w:ascii="Arial" w:cs="Arial" w:eastAsia="Arial" w:hAnsi="Arial"/>
                <w:sz w:val="18"/>
                <w:szCs w:val="18"/>
                <w:color w:val="auto"/>
                <w:w w:val="90"/>
              </w:rPr>
              <w:t>$</w:t>
            </w:r>
            <w:r>
              <w:rPr>
                <w:rFonts w:ascii="Arial" w:cs="Arial" w:eastAsia="Arial" w:hAnsi="Arial"/>
                <w:sz w:val="29"/>
                <w:szCs w:val="29"/>
                <w:color w:val="auto"/>
                <w:w w:val="90"/>
                <w:vertAlign w:val="superscript"/>
              </w:rPr>
              <w:t>*</w:t>
            </w:r>
          </w:p>
        </w:tc>
        <w:tc>
          <w:tcPr>
            <w:tcW w:w="40" w:type="dxa"/>
            <w:vAlign w:val="bottom"/>
            <w:shd w:val="clear" w:color="auto" w:fill="CCFFCC"/>
          </w:tcPr>
          <w:p>
            <w:pPr>
              <w:spacing w:after="0"/>
              <w:rPr>
                <w:sz w:val="22"/>
                <w:szCs w:val="22"/>
                <w:color w:val="auto"/>
              </w:rPr>
            </w:pPr>
          </w:p>
        </w:tc>
      </w:tr>
      <w:tr>
        <w:trPr>
          <w:trHeight w:val="216"/>
        </w:trPr>
        <w:tc>
          <w:tcPr>
            <w:tcW w:w="280" w:type="dxa"/>
            <w:vAlign w:val="bottom"/>
            <w:gridSpan w:val="2"/>
          </w:tcPr>
          <w:p>
            <w:pPr>
              <w:spacing w:after="0"/>
              <w:rPr>
                <w:sz w:val="18"/>
                <w:szCs w:val="18"/>
                <w:color w:val="auto"/>
              </w:rPr>
            </w:pPr>
          </w:p>
        </w:tc>
        <w:tc>
          <w:tcPr>
            <w:tcW w:w="3440" w:type="dxa"/>
            <w:vAlign w:val="bottom"/>
            <w:gridSpan w:val="2"/>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FFCC"/>
          </w:tcPr>
          <w:p>
            <w:pPr>
              <w:jc w:val="right"/>
              <w:ind w:right="55"/>
              <w:spacing w:after="0"/>
              <w:rPr>
                <w:sz w:val="20"/>
                <w:szCs w:val="20"/>
                <w:color w:val="auto"/>
              </w:rPr>
            </w:pPr>
            <w:r>
              <w:rPr>
                <w:rFonts w:ascii="Arial" w:cs="Arial" w:eastAsia="Arial" w:hAnsi="Arial"/>
                <w:sz w:val="17"/>
                <w:szCs w:val="17"/>
                <w:color w:val="auto"/>
                <w:w w:val="70"/>
              </w:rPr>
              <w:t>4.</w:t>
            </w:r>
          </w:p>
        </w:tc>
        <w:tc>
          <w:tcPr>
            <w:tcW w:w="8300" w:type="dxa"/>
            <w:vAlign w:val="bottom"/>
            <w:gridSpan w:val="4"/>
            <w:shd w:val="clear" w:color="auto" w:fill="CCFFCC"/>
          </w:tcPr>
          <w:p>
            <w:pPr>
              <w:ind w:left="140"/>
              <w:spacing w:after="0" w:line="256" w:lineRule="exact"/>
              <w:rPr>
                <w:sz w:val="20"/>
                <w:szCs w:val="20"/>
                <w:color w:val="auto"/>
              </w:rPr>
            </w:pPr>
            <w:r>
              <w:rPr>
                <w:rFonts w:ascii="Arial" w:cs="Arial" w:eastAsia="Arial" w:hAnsi="Arial"/>
                <w:sz w:val="18"/>
                <w:szCs w:val="18"/>
                <w:color w:val="auto"/>
              </w:rPr>
              <w:t>On achieving annual Net Sales of USD $</w:t>
            </w:r>
            <w:r>
              <w:rPr>
                <w:rFonts w:ascii="Arial" w:cs="Arial" w:eastAsia="Arial" w:hAnsi="Arial"/>
                <w:sz w:val="29"/>
                <w:szCs w:val="29"/>
                <w:color w:val="auto"/>
                <w:vertAlign w:val="superscript"/>
              </w:rPr>
              <w:t>*</w:t>
            </w:r>
          </w:p>
        </w:tc>
        <w:tc>
          <w:tcPr>
            <w:tcW w:w="1080" w:type="dxa"/>
            <w:vAlign w:val="bottom"/>
            <w:shd w:val="clear" w:color="auto" w:fill="CCFFCC"/>
          </w:tcPr>
          <w:p>
            <w:pPr>
              <w:jc w:val="center"/>
              <w:spacing w:after="0" w:line="256" w:lineRule="exact"/>
              <w:rPr>
                <w:sz w:val="20"/>
                <w:szCs w:val="20"/>
                <w:color w:val="auto"/>
              </w:rPr>
            </w:pPr>
            <w:r>
              <w:rPr>
                <w:rFonts w:ascii="Arial" w:cs="Arial" w:eastAsia="Arial" w:hAnsi="Arial"/>
                <w:sz w:val="18"/>
                <w:szCs w:val="18"/>
                <w:color w:val="auto"/>
                <w:w w:val="90"/>
              </w:rPr>
              <w:t>$</w:t>
            </w:r>
            <w:r>
              <w:rPr>
                <w:rFonts w:ascii="Arial" w:cs="Arial" w:eastAsia="Arial" w:hAnsi="Arial"/>
                <w:sz w:val="29"/>
                <w:szCs w:val="29"/>
                <w:color w:val="auto"/>
                <w:w w:val="90"/>
                <w:vertAlign w:val="superscript"/>
              </w:rPr>
              <w:t>*</w:t>
            </w:r>
          </w:p>
        </w:tc>
        <w:tc>
          <w:tcPr>
            <w:tcW w:w="40" w:type="dxa"/>
            <w:vAlign w:val="bottom"/>
            <w:shd w:val="clear" w:color="auto" w:fill="CCFFCC"/>
          </w:tcPr>
          <w:p>
            <w:pPr>
              <w:spacing w:after="0"/>
              <w:rPr>
                <w:sz w:val="22"/>
                <w:szCs w:val="22"/>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Arial" w:cs="Arial" w:eastAsia="Arial" w:hAnsi="Arial"/>
                <w:sz w:val="18"/>
                <w:szCs w:val="18"/>
                <w:b w:val="1"/>
                <w:bCs w:val="1"/>
                <w:color w:val="auto"/>
              </w:rPr>
              <w:t>7.2.2</w:t>
            </w:r>
          </w:p>
        </w:tc>
        <w:tc>
          <w:tcPr>
            <w:tcW w:w="7460" w:type="dxa"/>
            <w:vAlign w:val="bottom"/>
            <w:gridSpan w:val="3"/>
          </w:tcPr>
          <w:p>
            <w:pPr>
              <w:spacing w:after="0"/>
              <w:rPr>
                <w:sz w:val="20"/>
                <w:szCs w:val="20"/>
                <w:color w:val="auto"/>
              </w:rPr>
            </w:pPr>
            <w:r>
              <w:rPr>
                <w:rFonts w:ascii="Arial" w:cs="Arial" w:eastAsia="Arial" w:hAnsi="Arial"/>
                <w:sz w:val="18"/>
                <w:szCs w:val="18"/>
                <w:b w:val="1"/>
                <w:bCs w:val="1"/>
                <w:color w:val="auto"/>
              </w:rPr>
              <w:t>Notice and Payment of Milestones</w:t>
            </w: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953"/>
        <w:spacing w:after="0" w:line="258" w:lineRule="auto"/>
        <w:tabs>
          <w:tab w:leader="none" w:pos="2622"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Milestone Events</w:t>
      </w:r>
      <w:r>
        <w:rPr>
          <w:rFonts w:ascii="Arial" w:cs="Arial" w:eastAsia="Arial" w:hAnsi="Arial"/>
          <w:sz w:val="18"/>
          <w:szCs w:val="18"/>
          <w:color w:val="auto"/>
        </w:rPr>
        <w:t>. ILDONG shall provide SUBLICENSOR with prompt written notice upon the occurrence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milestone event set forth in Section 7.2.1. In the event that, notwithstanding the fact that ILDONG has not given such a notice, SUBLICENSOR believes any such milestone event has occurred, it shall so notify ILDONG in writing and shall provide to ILDONG data, documentation or other information that supports its belief. Any dispute under this Section 7.2.2(a) that relates to whether or not a milestone event has occurred shall be resolved in accordance with Section 14.1.</w:t>
      </w:r>
    </w:p>
    <w:p>
      <w:pPr>
        <w:spacing w:after="0" w:line="183" w:lineRule="exact"/>
        <w:rPr>
          <w:rFonts w:ascii="Arial" w:cs="Arial" w:eastAsia="Arial" w:hAnsi="Arial"/>
          <w:sz w:val="18"/>
          <w:szCs w:val="18"/>
          <w:color w:val="auto"/>
        </w:rPr>
      </w:pPr>
    </w:p>
    <w:p>
      <w:pPr>
        <w:jc w:val="both"/>
        <w:ind w:firstLine="1953"/>
        <w:spacing w:after="0" w:line="289" w:lineRule="auto"/>
        <w:tabs>
          <w:tab w:leader="none" w:pos="2605" w:val="left"/>
        </w:tabs>
        <w:numPr>
          <w:ilvl w:val="0"/>
          <w:numId w:val="62"/>
        </w:numPr>
        <w:rPr>
          <w:rFonts w:ascii="Arial" w:cs="Arial" w:eastAsia="Arial" w:hAnsi="Arial"/>
          <w:sz w:val="17"/>
          <w:szCs w:val="17"/>
          <w:color w:val="auto"/>
        </w:rPr>
      </w:pPr>
      <w:r>
        <w:rPr>
          <w:rFonts w:ascii="Arial" w:cs="Arial" w:eastAsia="Arial" w:hAnsi="Arial"/>
          <w:sz w:val="17"/>
          <w:szCs w:val="17"/>
          <w:b w:val="1"/>
          <w:bCs w:val="1"/>
          <w:u w:val="single" w:color="auto"/>
          <w:color w:val="auto"/>
        </w:rPr>
        <w:t>Single Milestone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ILDONG shall make a milestone payment corresponding to each of the foregoing milestone</w:t>
      </w:r>
      <w:r>
        <w:rPr>
          <w:rFonts w:ascii="Arial" w:cs="Arial" w:eastAsia="Arial" w:hAnsi="Arial"/>
          <w:sz w:val="17"/>
          <w:szCs w:val="17"/>
          <w:b w:val="1"/>
          <w:bCs w:val="1"/>
          <w:color w:val="auto"/>
        </w:rPr>
        <w:t xml:space="preserve"> </w:t>
      </w:r>
      <w:r>
        <w:rPr>
          <w:rFonts w:ascii="Arial" w:cs="Arial" w:eastAsia="Arial" w:hAnsi="Arial"/>
          <w:sz w:val="17"/>
          <w:szCs w:val="17"/>
          <w:color w:val="auto"/>
        </w:rPr>
        <w:t>events only once under Section 7.2.1, regardless of (i) the number of Products that achieve such milestone event and (ii) the number of times such milestone event occurs with respect to a Product. For the sake of clarity, each milestone event shall only trigger one milestone payment.</w:t>
      </w:r>
    </w:p>
    <w:p>
      <w:pPr>
        <w:spacing w:after="0" w:line="15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u w:val="single" w:color="auto"/>
          <w:color w:val="auto"/>
        </w:rPr>
        <w:t>Payment of Royalties; Royalty Rates; Accounting and Records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347" w:lineRule="auto"/>
        <w:rPr>
          <w:sz w:val="20"/>
          <w:szCs w:val="20"/>
          <w:color w:val="auto"/>
        </w:rPr>
      </w:pPr>
      <w:r>
        <w:rPr>
          <w:rFonts w:ascii="Arial" w:cs="Arial" w:eastAsia="Arial" w:hAnsi="Arial"/>
          <w:sz w:val="16"/>
          <w:szCs w:val="16"/>
          <w:b w:val="1"/>
          <w:bCs w:val="1"/>
          <w:color w:val="auto"/>
        </w:rPr>
        <w:t xml:space="preserve">7.3.1 </w:t>
      </w:r>
      <w:r>
        <w:rPr>
          <w:rFonts w:ascii="Arial" w:cs="Arial" w:eastAsia="Arial" w:hAnsi="Arial"/>
          <w:sz w:val="16"/>
          <w:szCs w:val="16"/>
          <w:b w:val="1"/>
          <w:bCs w:val="1"/>
          <w:u w:val="single" w:color="auto"/>
          <w:color w:val="auto"/>
        </w:rPr>
        <w:t>Payment of Royalties</w:t>
      </w:r>
      <w:r>
        <w:rPr>
          <w:rFonts w:ascii="Arial" w:cs="Arial" w:eastAsia="Arial" w:hAnsi="Arial"/>
          <w:sz w:val="16"/>
          <w:szCs w:val="16"/>
          <w:color w:val="auto"/>
        </w:rPr>
        <w:t>. Subject to the remainder of this Section 7.3, ILDONG shall pay SUBLICENSOR a non-refundable, non-creditable royalty on Annual Net Sales of the Product. The rate of such royalty being determined by the amount of Annual Net Sales as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Annual Net Sales</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1"/>
              </w:rPr>
              <w:t>Royalty Rate</w:t>
            </w:r>
          </w:p>
        </w:tc>
      </w:tr>
      <w:tr>
        <w:trPr>
          <w:trHeight w:val="223"/>
        </w:trPr>
        <w:tc>
          <w:tcPr>
            <w:tcW w:w="5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Borders>
              <w:top w:val="single" w:sz="8" w:color="auto"/>
            </w:tcBorders>
          </w:tcPr>
          <w:p>
            <w:pPr>
              <w:spacing w:after="0"/>
              <w:rPr>
                <w:sz w:val="19"/>
                <w:szCs w:val="19"/>
                <w:color w:val="auto"/>
              </w:rPr>
            </w:pPr>
          </w:p>
        </w:tc>
      </w:tr>
      <w:tr>
        <w:trPr>
          <w:trHeight w:val="270"/>
        </w:trPr>
        <w:tc>
          <w:tcPr>
            <w:tcW w:w="5960" w:type="dxa"/>
            <w:vAlign w:val="bottom"/>
            <w:gridSpan w:val="2"/>
            <w:shd w:val="clear" w:color="auto" w:fill="CCFFCC"/>
          </w:tcPr>
          <w:p>
            <w:pPr>
              <w:jc w:val="center"/>
              <w:ind w:right="460"/>
              <w:spacing w:after="0" w:line="269" w:lineRule="exact"/>
              <w:rPr>
                <w:sz w:val="20"/>
                <w:szCs w:val="20"/>
                <w:color w:val="auto"/>
              </w:rPr>
            </w:pPr>
            <w:r>
              <w:rPr>
                <w:rFonts w:ascii="Arial" w:cs="Arial" w:eastAsia="Arial" w:hAnsi="Arial"/>
                <w:sz w:val="18"/>
                <w:szCs w:val="18"/>
                <w:color w:val="auto"/>
                <w:w w:val="93"/>
              </w:rPr>
              <w:t>Up to $</w:t>
            </w:r>
            <w:r>
              <w:rPr>
                <w:rFonts w:ascii="Arial" w:cs="Arial" w:eastAsia="Arial" w:hAnsi="Arial"/>
                <w:sz w:val="30"/>
                <w:szCs w:val="30"/>
                <w:color w:val="auto"/>
                <w:w w:val="93"/>
                <w:vertAlign w:val="superscript"/>
              </w:rPr>
              <w:t>*</w:t>
            </w:r>
            <w:r>
              <w:rPr>
                <w:rFonts w:ascii="Arial" w:cs="Arial" w:eastAsia="Arial" w:hAnsi="Arial"/>
                <w:sz w:val="18"/>
                <w:szCs w:val="18"/>
                <w:color w:val="auto"/>
                <w:w w:val="93"/>
              </w:rPr>
              <w:t xml:space="preserve"> USD</w:t>
            </w:r>
          </w:p>
        </w:tc>
        <w:tc>
          <w:tcPr>
            <w:tcW w:w="5460" w:type="dxa"/>
            <w:vAlign w:val="bottom"/>
            <w:shd w:val="clear" w:color="auto" w:fill="CCFFC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270"/>
        </w:trPr>
        <w:tc>
          <w:tcPr>
            <w:tcW w:w="5960" w:type="dxa"/>
            <w:vAlign w:val="bottom"/>
            <w:gridSpan w:val="2"/>
            <w:shd w:val="clear" w:color="auto" w:fill="CCFFCC"/>
          </w:tcPr>
          <w:p>
            <w:pPr>
              <w:jc w:val="center"/>
              <w:ind w:right="480"/>
              <w:spacing w:after="0" w:line="269" w:lineRule="exact"/>
              <w:rPr>
                <w:sz w:val="20"/>
                <w:szCs w:val="20"/>
                <w:color w:val="auto"/>
              </w:rPr>
            </w:pPr>
            <w:r>
              <w:rPr>
                <w:rFonts w:ascii="Arial" w:cs="Arial" w:eastAsia="Arial" w:hAnsi="Arial"/>
                <w:sz w:val="18"/>
                <w:szCs w:val="18"/>
                <w:color w:val="auto"/>
                <w:w w:val="90"/>
              </w:rPr>
              <w:t>Between $</w:t>
            </w:r>
            <w:r>
              <w:rPr>
                <w:rFonts w:ascii="Arial" w:cs="Arial" w:eastAsia="Arial" w:hAnsi="Arial"/>
                <w:sz w:val="30"/>
                <w:szCs w:val="30"/>
                <w:color w:val="auto"/>
                <w:w w:val="90"/>
                <w:vertAlign w:val="superscript"/>
              </w:rPr>
              <w:t>*</w:t>
            </w:r>
            <w:r>
              <w:rPr>
                <w:rFonts w:ascii="Arial" w:cs="Arial" w:eastAsia="Arial" w:hAnsi="Arial"/>
                <w:sz w:val="18"/>
                <w:szCs w:val="18"/>
                <w:color w:val="auto"/>
                <w:w w:val="90"/>
              </w:rPr>
              <w:t xml:space="preserve"> and $</w:t>
            </w:r>
            <w:r>
              <w:rPr>
                <w:rFonts w:ascii="Arial" w:cs="Arial" w:eastAsia="Arial" w:hAnsi="Arial"/>
                <w:sz w:val="30"/>
                <w:szCs w:val="30"/>
                <w:color w:val="auto"/>
                <w:w w:val="90"/>
                <w:vertAlign w:val="superscript"/>
              </w:rPr>
              <w:t>*</w:t>
            </w:r>
            <w:r>
              <w:rPr>
                <w:rFonts w:ascii="Arial" w:cs="Arial" w:eastAsia="Arial" w:hAnsi="Arial"/>
                <w:sz w:val="18"/>
                <w:szCs w:val="18"/>
                <w:color w:val="auto"/>
                <w:w w:val="90"/>
              </w:rPr>
              <w:t xml:space="preserve"> USD</w:t>
            </w:r>
          </w:p>
        </w:tc>
        <w:tc>
          <w:tcPr>
            <w:tcW w:w="5460" w:type="dxa"/>
            <w:vAlign w:val="bottom"/>
            <w:shd w:val="clear" w:color="auto" w:fill="CCFFC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270"/>
        </w:trPr>
        <w:tc>
          <w:tcPr>
            <w:tcW w:w="5960" w:type="dxa"/>
            <w:vAlign w:val="bottom"/>
            <w:gridSpan w:val="2"/>
            <w:shd w:val="clear" w:color="auto" w:fill="CCFFCC"/>
          </w:tcPr>
          <w:p>
            <w:pPr>
              <w:jc w:val="center"/>
              <w:ind w:right="480"/>
              <w:spacing w:after="0" w:line="269" w:lineRule="exact"/>
              <w:rPr>
                <w:sz w:val="20"/>
                <w:szCs w:val="20"/>
                <w:color w:val="auto"/>
              </w:rPr>
            </w:pPr>
            <w:r>
              <w:rPr>
                <w:rFonts w:ascii="Arial" w:cs="Arial" w:eastAsia="Arial" w:hAnsi="Arial"/>
                <w:sz w:val="18"/>
                <w:szCs w:val="18"/>
                <w:color w:val="auto"/>
                <w:w w:val="90"/>
              </w:rPr>
              <w:t>Between $</w:t>
            </w:r>
            <w:r>
              <w:rPr>
                <w:rFonts w:ascii="Arial" w:cs="Arial" w:eastAsia="Arial" w:hAnsi="Arial"/>
                <w:sz w:val="30"/>
                <w:szCs w:val="30"/>
                <w:color w:val="auto"/>
                <w:w w:val="90"/>
                <w:vertAlign w:val="superscript"/>
              </w:rPr>
              <w:t>*</w:t>
            </w:r>
            <w:r>
              <w:rPr>
                <w:rFonts w:ascii="Arial" w:cs="Arial" w:eastAsia="Arial" w:hAnsi="Arial"/>
                <w:sz w:val="18"/>
                <w:szCs w:val="18"/>
                <w:color w:val="auto"/>
                <w:w w:val="90"/>
              </w:rPr>
              <w:t xml:space="preserve"> and $</w:t>
            </w:r>
            <w:r>
              <w:rPr>
                <w:rFonts w:ascii="Arial" w:cs="Arial" w:eastAsia="Arial" w:hAnsi="Arial"/>
                <w:sz w:val="30"/>
                <w:szCs w:val="30"/>
                <w:color w:val="auto"/>
                <w:w w:val="90"/>
                <w:vertAlign w:val="superscript"/>
              </w:rPr>
              <w:t>*</w:t>
            </w:r>
            <w:r>
              <w:rPr>
                <w:rFonts w:ascii="Arial" w:cs="Arial" w:eastAsia="Arial" w:hAnsi="Arial"/>
                <w:sz w:val="18"/>
                <w:szCs w:val="18"/>
                <w:color w:val="auto"/>
                <w:w w:val="90"/>
              </w:rPr>
              <w:t xml:space="preserve"> USD</w:t>
            </w:r>
          </w:p>
        </w:tc>
        <w:tc>
          <w:tcPr>
            <w:tcW w:w="5460" w:type="dxa"/>
            <w:vAlign w:val="bottom"/>
            <w:shd w:val="clear" w:color="auto" w:fill="CCFFC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270"/>
        </w:trPr>
        <w:tc>
          <w:tcPr>
            <w:tcW w:w="5960" w:type="dxa"/>
            <w:vAlign w:val="bottom"/>
            <w:gridSpan w:val="2"/>
            <w:shd w:val="clear" w:color="auto" w:fill="CCFFCC"/>
          </w:tcPr>
          <w:p>
            <w:pPr>
              <w:jc w:val="center"/>
              <w:ind w:right="460"/>
              <w:spacing w:after="0" w:line="269" w:lineRule="exact"/>
              <w:rPr>
                <w:sz w:val="20"/>
                <w:szCs w:val="20"/>
                <w:color w:val="auto"/>
              </w:rPr>
            </w:pPr>
            <w:r>
              <w:rPr>
                <w:rFonts w:ascii="Arial" w:cs="Arial" w:eastAsia="Arial" w:hAnsi="Arial"/>
                <w:sz w:val="18"/>
                <w:szCs w:val="18"/>
                <w:color w:val="auto"/>
                <w:w w:val="92"/>
              </w:rPr>
              <w:t>Exceeding $</w:t>
            </w:r>
            <w:r>
              <w:rPr>
                <w:rFonts w:ascii="Arial" w:cs="Arial" w:eastAsia="Arial" w:hAnsi="Arial"/>
                <w:sz w:val="30"/>
                <w:szCs w:val="30"/>
                <w:color w:val="auto"/>
                <w:w w:val="92"/>
                <w:vertAlign w:val="superscript"/>
              </w:rPr>
              <w:t>*</w:t>
            </w:r>
            <w:r>
              <w:rPr>
                <w:rFonts w:ascii="Arial" w:cs="Arial" w:eastAsia="Arial" w:hAnsi="Arial"/>
                <w:sz w:val="18"/>
                <w:szCs w:val="18"/>
                <w:color w:val="auto"/>
                <w:w w:val="92"/>
              </w:rPr>
              <w:t xml:space="preserve"> USD</w:t>
            </w:r>
          </w:p>
        </w:tc>
        <w:tc>
          <w:tcPr>
            <w:tcW w:w="5460" w:type="dxa"/>
            <w:vAlign w:val="bottom"/>
            <w:shd w:val="clear" w:color="auto" w:fill="CCFFCC"/>
          </w:tcPr>
          <w:p>
            <w:pPr>
              <w:jc w:val="cente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9" w:lineRule="exact"/>
        <w:rPr>
          <w:sz w:val="20"/>
          <w:szCs w:val="20"/>
          <w:color w:val="auto"/>
        </w:rPr>
      </w:pPr>
    </w:p>
    <w:p>
      <w:pPr>
        <w:ind w:left="120" w:hanging="112"/>
        <w:spacing w:after="0"/>
        <w:tabs>
          <w:tab w:leader="none" w:pos="120" w:val="left"/>
        </w:tabs>
        <w:numPr>
          <w:ilvl w:val="0"/>
          <w:numId w:val="63"/>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both"/>
        <w:spacing w:after="0" w:line="286" w:lineRule="auto"/>
        <w:rPr>
          <w:sz w:val="20"/>
          <w:szCs w:val="20"/>
          <w:color w:val="auto"/>
        </w:rPr>
      </w:pPr>
      <w:r>
        <w:rPr>
          <w:rFonts w:ascii="Arial" w:cs="Arial" w:eastAsia="Arial" w:hAnsi="Arial"/>
          <w:sz w:val="17"/>
          <w:szCs w:val="17"/>
          <w:color w:val="auto"/>
        </w:rPr>
        <w:t>The royalty rate shall be applied to Annual Net Sales of each Product in each Calendar Year (or partial Calendar Year) commencing with the First Commercial Sale of such Product in any country in the Territory and ending upon the last day of the last Royalty Term for such Product in such country. For purposes of clarity, Annual Net Sales shall be determined separately for each separate Product that is sold in a given Calendar Year.</w:t>
      </w:r>
    </w:p>
    <w:p>
      <w:pPr>
        <w:spacing w:after="0" w:line="16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b w:val="1"/>
          <w:bCs w:val="1"/>
          <w:color w:val="auto"/>
        </w:rPr>
        <w:t xml:space="preserve">7.3.2 </w:t>
      </w:r>
      <w:r>
        <w:rPr>
          <w:rFonts w:ascii="Arial" w:cs="Arial" w:eastAsia="Arial" w:hAnsi="Arial"/>
          <w:sz w:val="17"/>
          <w:szCs w:val="17"/>
          <w:b w:val="1"/>
          <w:bCs w:val="1"/>
          <w:u w:val="single" w:color="auto"/>
          <w:color w:val="auto"/>
        </w:rPr>
        <w:t>Adjustments to Royalties for Generic Products</w:t>
      </w:r>
      <w:r>
        <w:rPr>
          <w:rFonts w:ascii="Arial" w:cs="Arial" w:eastAsia="Arial" w:hAnsi="Arial"/>
          <w:sz w:val="17"/>
          <w:szCs w:val="17"/>
          <w:color w:val="auto"/>
        </w:rPr>
        <w:t>. In the event that a Third Party sells a Generic Product (as defined below) in a</w:t>
      </w:r>
      <w:r>
        <w:rPr>
          <w:rFonts w:ascii="Arial" w:cs="Arial" w:eastAsia="Arial" w:hAnsi="Arial"/>
          <w:sz w:val="17"/>
          <w:szCs w:val="17"/>
          <w:b w:val="1"/>
          <w:bCs w:val="1"/>
          <w:color w:val="auto"/>
        </w:rPr>
        <w:t xml:space="preserve"> </w:t>
      </w:r>
      <w:r>
        <w:rPr>
          <w:rFonts w:ascii="Arial" w:cs="Arial" w:eastAsia="Arial" w:hAnsi="Arial"/>
          <w:sz w:val="17"/>
          <w:szCs w:val="17"/>
          <w:color w:val="auto"/>
        </w:rPr>
        <w:t>country in which a Product is then being sold and such Generic Product is not covered by a Valid Claim under the Licensed Patent Rights or ILDONG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Program Patent Rights in such country, then during the period in which sales of the Generic Product by such Third Party are equal to at least * percent (</w:t>
      </w:r>
      <w:r>
        <w:rPr>
          <w:rFonts w:ascii="Arial" w:cs="Arial" w:eastAsia="Arial" w:hAnsi="Arial"/>
          <w:sz w:val="26"/>
          <w:szCs w:val="26"/>
          <w:color w:val="auto"/>
          <w:vertAlign w:val="superscript"/>
        </w:rPr>
        <w:t>*</w:t>
      </w:r>
      <w:r>
        <w:rPr>
          <w:rFonts w:ascii="Arial" w:cs="Arial" w:eastAsia="Arial" w:hAnsi="Arial"/>
          <w:sz w:val="16"/>
          <w:szCs w:val="16"/>
          <w:color w:val="auto"/>
        </w:rPr>
        <w:t>%) of ILDONG’s volume-based market share of the Product in such country (as measured by prescriptions or other similar information available in such country),</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 xml:space="preserve">the royalty rate applicable to Net Sales of the Product in such country shall be reduced to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percent (</w:t>
      </w:r>
      <w:r>
        <w:rPr>
          <w:rFonts w:ascii="Arial" w:cs="Arial" w:eastAsia="Arial" w:hAnsi="Arial"/>
          <w:sz w:val="26"/>
          <w:szCs w:val="26"/>
          <w:color w:val="auto"/>
          <w:vertAlign w:val="superscript"/>
        </w:rPr>
        <w:t>*</w:t>
      </w:r>
      <w:r>
        <w:rPr>
          <w:rFonts w:ascii="Arial" w:cs="Arial" w:eastAsia="Arial" w:hAnsi="Arial"/>
          <w:sz w:val="16"/>
          <w:szCs w:val="16"/>
          <w:color w:val="auto"/>
        </w:rPr>
        <w:t>%). Notwithstanding the foregoing, ILDONG’s right to reduce its royalty obligation under this Section 7.3.3(1) shall expire on the first day of the Calendar Quarter immediately following the Calendar Quarter in</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 xml:space="preserve">which sales of such Generic Product account for less than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percent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 ILDONG’s volume-based market share of the Product in such country (as measured by prescriptions or other similar information available in such country). For purposes of this Section 7.3.3), a </w:t>
      </w:r>
      <w:r>
        <w:rPr>
          <w:rFonts w:ascii="Arial" w:cs="Arial" w:eastAsia="Arial" w:hAnsi="Arial"/>
          <w:sz w:val="18"/>
          <w:szCs w:val="18"/>
          <w:b w:val="1"/>
          <w:bCs w:val="1"/>
          <w:color w:val="auto"/>
        </w:rPr>
        <w:t>“Generic Product”</w:t>
      </w:r>
      <w:r>
        <w:rPr>
          <w:rFonts w:ascii="Arial" w:cs="Arial" w:eastAsia="Arial" w:hAnsi="Arial"/>
          <w:sz w:val="18"/>
          <w:szCs w:val="18"/>
          <w:color w:val="auto"/>
        </w:rPr>
        <w:t xml:space="preserve"> means a biosimilar product with the same amino acid sequence as the Compound.</w:t>
      </w:r>
    </w:p>
    <w:p>
      <w:pPr>
        <w:spacing w:after="0" w:line="20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7.3.3 </w:t>
      </w:r>
      <w:r>
        <w:rPr>
          <w:rFonts w:ascii="Arial" w:cs="Arial" w:eastAsia="Arial" w:hAnsi="Arial"/>
          <w:sz w:val="18"/>
          <w:szCs w:val="18"/>
          <w:b w:val="1"/>
          <w:bCs w:val="1"/>
          <w:u w:val="single" w:color="auto"/>
          <w:color w:val="auto"/>
        </w:rPr>
        <w:t>Payment Dates and Reports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Royalty Payments</w:t>
      </w:r>
      <w:r>
        <w:rPr>
          <w:rFonts w:ascii="Arial" w:cs="Arial" w:eastAsia="Arial" w:hAnsi="Arial"/>
          <w:sz w:val="18"/>
          <w:szCs w:val="18"/>
          <w:color w:val="auto"/>
        </w:rPr>
        <w:t>. Royalty payments shall be made by ILDONG with respect to each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thirty (30) calendar days after the end of each Calendar Quarter in which sales of such Product occur, commencing with the Calendar Quarter in which the First Commercial Sale of such Product occurs. ILDONG shall also provide, at the same time each such payment is made, a report showing: (a) the Net Sales of each Product by type of Product and country in the Territory and, if applicable, by Combination Product; (b) the total amount of deductions from gross sales to determine Net Sales; (c) the applicable royalty rate for Product in each country in the Territory after applying any reductions set forth above; and (d) a calculation of the amount of royalty due to SUBLICENSOR.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097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9" w:lineRule="exact"/>
        <w:rPr>
          <w:sz w:val="20"/>
          <w:szCs w:val="20"/>
          <w:color w:val="auto"/>
        </w:rPr>
      </w:pPr>
    </w:p>
    <w:p>
      <w:pPr>
        <w:ind w:left="120" w:hanging="112"/>
        <w:spacing w:after="0"/>
        <w:tabs>
          <w:tab w:leader="none" w:pos="120" w:val="left"/>
        </w:tabs>
        <w:numPr>
          <w:ilvl w:val="0"/>
          <w:numId w:val="64"/>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3" w:name="page114"/>
    <w:bookmarkEnd w:id="113"/>
    <w:p>
      <w:pPr>
        <w:jc w:val="both"/>
        <w:ind w:firstLine="1297"/>
        <w:spacing w:after="0" w:line="289" w:lineRule="auto"/>
        <w:rPr>
          <w:sz w:val="20"/>
          <w:szCs w:val="20"/>
          <w:color w:val="auto"/>
        </w:rPr>
      </w:pPr>
      <w:r>
        <w:rPr>
          <w:rFonts w:ascii="Arial" w:cs="Arial" w:eastAsia="Arial" w:hAnsi="Arial"/>
          <w:sz w:val="16"/>
          <w:szCs w:val="16"/>
          <w:b w:val="1"/>
          <w:bCs w:val="1"/>
          <w:color w:val="auto"/>
        </w:rPr>
        <w:t xml:space="preserve">7.3.4 </w:t>
      </w:r>
      <w:r>
        <w:rPr>
          <w:rFonts w:ascii="Arial" w:cs="Arial" w:eastAsia="Arial" w:hAnsi="Arial"/>
          <w:sz w:val="16"/>
          <w:szCs w:val="16"/>
          <w:b w:val="1"/>
          <w:bCs w:val="1"/>
          <w:u w:val="single" w:color="auto"/>
          <w:color w:val="auto"/>
        </w:rPr>
        <w:t>Records; Audit Rights</w:t>
      </w:r>
      <w:r>
        <w:rPr>
          <w:rFonts w:ascii="Arial" w:cs="Arial" w:eastAsia="Arial" w:hAnsi="Arial"/>
          <w:sz w:val="16"/>
          <w:szCs w:val="16"/>
          <w:color w:val="auto"/>
        </w:rPr>
        <w:t>. ILDONG and its Affiliates, Sublicensees and Distributors shall keep and maintain for three (3) years</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date of each payment of royalties hereunder complete and accurate records of gross sales and Net Sales by ILDONG and its Affiliates, Sublicensees and Distributors of each Product, in sufficient detail to allow royalties to be accurately determined. SUBLICENSOR shall have the right for a period of three</w:t>
      </w:r>
    </w:p>
    <w:p>
      <w:pPr>
        <w:spacing w:after="0" w:line="2" w:lineRule="exact"/>
        <w:rPr>
          <w:sz w:val="20"/>
          <w:szCs w:val="20"/>
          <w:color w:val="auto"/>
        </w:rPr>
      </w:pPr>
    </w:p>
    <w:p>
      <w:pPr>
        <w:jc w:val="both"/>
        <w:ind w:firstLine="8"/>
        <w:spacing w:after="0" w:line="281" w:lineRule="auto"/>
        <w:tabs>
          <w:tab w:leader="none" w:pos="262" w:val="left"/>
        </w:tabs>
        <w:numPr>
          <w:ilvl w:val="0"/>
          <w:numId w:val="65"/>
        </w:numPr>
        <w:rPr>
          <w:rFonts w:ascii="Arial" w:cs="Arial" w:eastAsia="Arial" w:hAnsi="Arial"/>
          <w:sz w:val="16"/>
          <w:szCs w:val="16"/>
          <w:color w:val="auto"/>
        </w:rPr>
      </w:pPr>
      <w:r>
        <w:rPr>
          <w:rFonts w:ascii="Arial" w:cs="Arial" w:eastAsia="Arial" w:hAnsi="Arial"/>
          <w:sz w:val="16"/>
          <w:szCs w:val="16"/>
          <w:color w:val="auto"/>
        </w:rPr>
        <w:t>years after receiving any such royalty payment to appoint at its expense an independent certified public accountant reasonably acceptable to ILDONG to audit the relevant records of ILDONG and its Affiliates, Sublicensees and Distributors to verify that the amount of each such payment was correctly determined; provided, that, (a) if requested by ILDONG, SUBLICENSOR shall cause the independent certified public accountant to enter into a confidentiality agreement reasonably acceptable to ILDONG and (b) such independent certified public accountant may only disclose to SUBLICENSOR whether the royalties paid are correct and the details with respect to any discrepancies. ILDONG and its Affiliates, Sublicensees and Distributors shall each make its records available for audit by such independent certified public accountant during regular business hours at such place or places where such records are customarily kept, upon thirty (30) days written notice from SUBLICENSOR. Such audit right shall not be exercised by SUBLICENSOR more than once in any Calendar Year or more than once with respect to sales of a particular Product in a particular period. All records made available for audit shall be deemed to be Confidential Information of ILDONG. The results of each audit, if any, shall be binding on both Parties absent manifest error. In the event there was an underpayment of royalties by ILDONG hereunder, ILDONG shall promptly (but in any event no later than thirty (30) days after ILDONG’s receipt of the report so concluding) make payment to SUBLICENSOR of any shortfall. SUBLICENSOR shall bear the full cost of such audit unless such audit discloses</w:t>
      </w:r>
    </w:p>
    <w:p>
      <w:pPr>
        <w:spacing w:after="0" w:line="7"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an underpayment by ILDONG of * percent (</w:t>
      </w:r>
      <w:r>
        <w:rPr>
          <w:rFonts w:ascii="Arial" w:cs="Arial" w:eastAsia="Arial" w:hAnsi="Arial"/>
          <w:sz w:val="30"/>
          <w:szCs w:val="30"/>
          <w:color w:val="auto"/>
          <w:vertAlign w:val="superscript"/>
        </w:rPr>
        <w:t>*</w:t>
      </w:r>
      <w:r>
        <w:rPr>
          <w:rFonts w:ascii="Arial" w:cs="Arial" w:eastAsia="Arial" w:hAnsi="Arial"/>
          <w:sz w:val="18"/>
          <w:szCs w:val="18"/>
          <w:color w:val="auto"/>
        </w:rPr>
        <w:t>%) or more of the aggregate amount of royalties payable in any Calendar Year, in which case ILDONG shall reimburse SUBLICENSOR for all costs incurred by SUBLICENSOR in connection with such audit.</w:t>
      </w:r>
    </w:p>
    <w:p>
      <w:pPr>
        <w:spacing w:after="0" w:line="199" w:lineRule="exact"/>
        <w:rPr>
          <w:sz w:val="20"/>
          <w:szCs w:val="20"/>
          <w:color w:val="auto"/>
        </w:rPr>
      </w:pPr>
    </w:p>
    <w:p>
      <w:pPr>
        <w:jc w:val="both"/>
        <w:ind w:firstLine="1297"/>
        <w:spacing w:after="0" w:line="229" w:lineRule="auto"/>
        <w:rPr>
          <w:sz w:val="20"/>
          <w:szCs w:val="20"/>
          <w:color w:val="auto"/>
        </w:rPr>
      </w:pPr>
      <w:r>
        <w:rPr>
          <w:rFonts w:ascii="Arial" w:cs="Arial" w:eastAsia="Arial" w:hAnsi="Arial"/>
          <w:sz w:val="18"/>
          <w:szCs w:val="18"/>
          <w:b w:val="1"/>
          <w:bCs w:val="1"/>
          <w:color w:val="auto"/>
        </w:rPr>
        <w:t xml:space="preserve">7.3.5 </w:t>
      </w:r>
      <w:r>
        <w:rPr>
          <w:rFonts w:ascii="Arial" w:cs="Arial" w:eastAsia="Arial" w:hAnsi="Arial"/>
          <w:sz w:val="18"/>
          <w:szCs w:val="18"/>
          <w:b w:val="1"/>
          <w:bCs w:val="1"/>
          <w:u w:val="single" w:color="auto"/>
          <w:color w:val="auto"/>
        </w:rPr>
        <w:t>Overdue Payments</w:t>
      </w:r>
      <w:r>
        <w:rPr>
          <w:rFonts w:ascii="Arial" w:cs="Arial" w:eastAsia="Arial" w:hAnsi="Arial"/>
          <w:sz w:val="18"/>
          <w:szCs w:val="18"/>
          <w:color w:val="auto"/>
        </w:rPr>
        <w:t>. All royalty payments not made within the time period set forth in Section 7.3.5, and all milestone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made within the time period specified in Section 7.2.1, shall bear interest at the rate of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percent (</w:t>
      </w:r>
      <w:r>
        <w:rPr>
          <w:rFonts w:ascii="Arial" w:cs="Arial" w:eastAsia="Arial" w:hAnsi="Arial"/>
          <w:sz w:val="30"/>
          <w:szCs w:val="30"/>
          <w:color w:val="auto"/>
          <w:vertAlign w:val="superscript"/>
        </w:rPr>
        <w:t>*</w:t>
      </w:r>
      <w:r>
        <w:rPr>
          <w:rFonts w:ascii="Arial" w:cs="Arial" w:eastAsia="Arial" w:hAnsi="Arial"/>
          <w:sz w:val="18"/>
          <w:szCs w:val="18"/>
          <w:color w:val="auto"/>
        </w:rPr>
        <w:t>%) per month until paid in full or, if less, the maximum interest rate permitted by Applicable Laws. Any such overdue royalty or milestone payment shall, when made, be accompanied by, and credited first to, all interest so accrued.</w:t>
      </w:r>
    </w:p>
    <w:p>
      <w:pPr>
        <w:spacing w:after="0" w:line="19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7.3.6</w:t>
      </w:r>
      <w:r>
        <w:rPr>
          <w:sz w:val="20"/>
          <w:szCs w:val="20"/>
          <w:color w:val="auto"/>
        </w:rPr>
        <w:tab/>
      </w:r>
      <w:r>
        <w:rPr>
          <w:rFonts w:ascii="Arial" w:cs="Arial" w:eastAsia="Arial" w:hAnsi="Arial"/>
          <w:sz w:val="16"/>
          <w:szCs w:val="16"/>
          <w:b w:val="1"/>
          <w:bCs w:val="1"/>
          <w:u w:val="single" w:color="auto"/>
          <w:color w:val="auto"/>
        </w:rPr>
        <w:t>Payments; Withholding Tax; Currency Restrictions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61" w:lineRule="auto"/>
        <w:tabs>
          <w:tab w:leader="none" w:pos="2608"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in United States Dollars</w:t>
      </w:r>
      <w:r>
        <w:rPr>
          <w:rFonts w:ascii="Arial" w:cs="Arial" w:eastAsia="Arial" w:hAnsi="Arial"/>
          <w:sz w:val="18"/>
          <w:szCs w:val="18"/>
          <w:color w:val="auto"/>
        </w:rPr>
        <w:t>. Except as set forth in Section 6.3.7(b) below, all payments made by ILDONG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6 shall be made by wire transfer in United States Dollars in accordance with wire transfer instructions provided to ILDONG in writing from time to time by SUBLICENSOR. If in any Calendar Quarter, Net Sales are made in any currency other than United States Dollars, such Net Sales shall be converted into United States Dollars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 where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 foreign “Net Sales” (as defined above) in such Calendar Quarter expressed in such foreign currency; and</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B = foreign exchange conversion rate, expressed in local currency of the foreign country per United States Dollar (using, as the applicable foreign exchange rate, the spot purchase rate published in the </w:t>
      </w:r>
      <w:r>
        <w:rPr>
          <w:rFonts w:ascii="Arial" w:cs="Arial" w:eastAsia="Arial" w:hAnsi="Arial"/>
          <w:sz w:val="18"/>
          <w:szCs w:val="18"/>
          <w:i w:val="1"/>
          <w:iCs w:val="1"/>
          <w:color w:val="auto"/>
        </w:rPr>
        <w:t>Financial Times</w:t>
      </w:r>
      <w:r>
        <w:rPr>
          <w:rFonts w:ascii="Arial" w:cs="Arial" w:eastAsia="Arial" w:hAnsi="Arial"/>
          <w:sz w:val="18"/>
          <w:szCs w:val="18"/>
          <w:color w:val="auto"/>
        </w:rPr>
        <w:t xml:space="preserve"> on the last Business Day of each Calendar Quarter in which any payment is due and payable or any other mutually agreed upon source, for such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8" w:lineRule="exact"/>
        <w:rPr>
          <w:sz w:val="20"/>
          <w:szCs w:val="20"/>
          <w:color w:val="auto"/>
        </w:rPr>
      </w:pPr>
    </w:p>
    <w:p>
      <w:pPr>
        <w:ind w:left="120" w:hanging="112"/>
        <w:spacing w:after="0"/>
        <w:tabs>
          <w:tab w:leader="none" w:pos="120" w:val="left"/>
        </w:tabs>
        <w:numPr>
          <w:ilvl w:val="0"/>
          <w:numId w:val="67"/>
        </w:numPr>
        <w:rPr>
          <w:rFonts w:ascii="Arial" w:cs="Arial" w:eastAsia="Arial" w:hAnsi="Arial"/>
          <w:sz w:val="30"/>
          <w:szCs w:val="30"/>
          <w:color w:val="auto"/>
          <w:vertAlign w:val="superscript"/>
        </w:rPr>
      </w:pPr>
      <w:r>
        <w:rPr>
          <w:rFonts w:ascii="Arial" w:cs="Arial" w:eastAsia="Arial" w:hAnsi="Arial"/>
          <w:sz w:val="18"/>
          <w:szCs w:val="18"/>
          <w:color w:val="auto"/>
        </w:rPr>
        <w:t>Confidential material redacted and filed separately with the Commission.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4" w:name="page115"/>
    <w:bookmarkEnd w:id="114"/>
    <w:p>
      <w:pPr>
        <w:jc w:val="both"/>
        <w:ind w:firstLine="1953"/>
        <w:spacing w:after="0" w:line="279" w:lineRule="auto"/>
        <w:tabs>
          <w:tab w:leader="none" w:pos="2632"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If Applicable Laws require withholding of income or other taxes imposed upon any payments made by ILDONG to SUBLICENSOR under this Agreement, ILDONG shall (i) make such withholding payments as may be required, (ii) subtract such withholding payments from such payments to be made to SUBLICENSOR, (iii) submit appropriate proof of payment of the withholding taxes to SUBLICENSOR within a reasonable period of time, and (iv) promptly provide SUBLICENSOR with all official receipts with respect thereto.</w:t>
      </w:r>
    </w:p>
    <w:p>
      <w:pPr>
        <w:spacing w:after="0" w:line="171" w:lineRule="exact"/>
        <w:rPr>
          <w:rFonts w:ascii="Arial" w:cs="Arial" w:eastAsia="Arial" w:hAnsi="Arial"/>
          <w:sz w:val="17"/>
          <w:szCs w:val="17"/>
          <w:color w:val="auto"/>
        </w:rPr>
      </w:pPr>
    </w:p>
    <w:p>
      <w:pPr>
        <w:jc w:val="both"/>
        <w:ind w:firstLine="1953"/>
        <w:spacing w:after="0" w:line="259" w:lineRule="auto"/>
        <w:tabs>
          <w:tab w:leader="none" w:pos="2649"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Currency Restrictions</w:t>
      </w:r>
      <w:r>
        <w:rPr>
          <w:rFonts w:ascii="Arial" w:cs="Arial" w:eastAsia="Arial" w:hAnsi="Arial"/>
          <w:sz w:val="18"/>
          <w:szCs w:val="18"/>
          <w:color w:val="auto"/>
        </w:rPr>
        <w:t>. If any restrictions on the transfer of currency exist in any country in which Products are sold that prevent ILDONG from making royalty payments thereon in United States Dollars, ILDONG shall make royalty payments on the sales in such country in the local currency by deposit in a local bank or other depository designated in writing by SUBLICENSOR (or, in the absence of such designation, at a local bank or other depository selected by ILDONG and identified by ILDONG by written notice to SUBLICENSOR).</w:t>
      </w:r>
    </w:p>
    <w:p>
      <w:pPr>
        <w:spacing w:after="0" w:line="182" w:lineRule="exact"/>
        <w:rPr>
          <w:rFonts w:ascii="Arial" w:cs="Arial" w:eastAsia="Arial" w:hAnsi="Arial"/>
          <w:sz w:val="18"/>
          <w:szCs w:val="18"/>
          <w:color w:val="auto"/>
        </w:rPr>
      </w:pPr>
    </w:p>
    <w:p>
      <w:pPr>
        <w:ind w:left="3440" w:hanging="592"/>
        <w:spacing w:after="0"/>
        <w:tabs>
          <w:tab w:leader="none" w:pos="344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TREATMENT OF CONFIDENTIAL INFORMATION; PUBLICITY</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u w:val="single" w:color="auto"/>
          <w:color w:val="auto"/>
        </w:rPr>
        <w:t>Confidentiality.</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8.1.1 </w:t>
      </w:r>
      <w:r>
        <w:rPr>
          <w:rFonts w:ascii="Arial" w:cs="Arial" w:eastAsia="Arial" w:hAnsi="Arial"/>
          <w:sz w:val="17"/>
          <w:szCs w:val="17"/>
          <w:b w:val="1"/>
          <w:bCs w:val="1"/>
          <w:u w:val="single" w:color="auto"/>
          <w:color w:val="auto"/>
        </w:rPr>
        <w:t>Confidentiality Obligations</w:t>
      </w:r>
      <w:r>
        <w:rPr>
          <w:rFonts w:ascii="Arial" w:cs="Arial" w:eastAsia="Arial" w:hAnsi="Arial"/>
          <w:sz w:val="17"/>
          <w:szCs w:val="17"/>
          <w:color w:val="auto"/>
        </w:rPr>
        <w:t>. SUBLICENSOR and ILDONG each recognize that the other Party’s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Materials constitute highly valuable assets of such other Party. SUBLICENSOR and ILDONG each agrees that, (a) subject to Section 8.1.2, during the Term and for an additional ten (10) years after termination or expiration of this Agreement it will not disclose, and will cause its Affiliates, Sublicensees (with respect to ILDONG) and Distributors or Sublicensees (with respect to SUBLICENSOR) not to disclose whether directly or indirectly, in any manner whatsoever, any Confidential Information or Proprietary Materials of the other Party and (b) it will not use, and will cause its Affiliates, Sublicensees (with respect to ILDONG) and Distributors or Sublicensees (with respect to SUBLICENSOR) not to use, any Confidential Information or Proprietary Materials of the other Party, without the prior written consent of the Disclosing Party, except as expressly permitted hereunder.</w:t>
      </w:r>
    </w:p>
    <w:p>
      <w:pPr>
        <w:spacing w:after="0" w:line="17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b w:val="1"/>
          <w:bCs w:val="1"/>
          <w:color w:val="auto"/>
        </w:rPr>
        <w:t xml:space="preserve">8.1.2 </w:t>
      </w:r>
      <w:r>
        <w:rPr>
          <w:rFonts w:ascii="Arial" w:cs="Arial" w:eastAsia="Arial" w:hAnsi="Arial"/>
          <w:sz w:val="16"/>
          <w:szCs w:val="16"/>
          <w:b w:val="1"/>
          <w:bCs w:val="1"/>
          <w:u w:val="single" w:color="auto"/>
          <w:color w:val="auto"/>
        </w:rPr>
        <w:t>Limited Disclosure</w:t>
      </w:r>
      <w:r>
        <w:rPr>
          <w:rFonts w:ascii="Arial" w:cs="Arial" w:eastAsia="Arial" w:hAnsi="Arial"/>
          <w:sz w:val="16"/>
          <w:szCs w:val="16"/>
          <w:color w:val="auto"/>
        </w:rPr>
        <w:t>. SUBLICENSOR and ILDONG each agrees that disclosure of its Confidential Information or any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its Proprietary Materials may be made by the other Party on a need-to-know basis to any employee, consultant or Affiliate of such other Party or, to the extent the other Party is ILDONG, to any Third Party subcontractor engaged by ILDONG pursuant to Section 2.2, in each case solely to the extent reasonably necessary to enable such other Party to exercise its rights or to carry out its responsibilities under this Agreement; provided, that, any such disclosure or transfer shall only be made to Persons who are bound by written obligations comparable in scope to the obligations described in Section 8.1.3. SUBLICENSOR and ILDONG each further agrees that the other Party may disclose its Confidential Information (a) on a need-to-know basis to such other Party’s legal and financial advisors, (b) as reasonably necessary in connection with an actual or potential (i) permitted sublicense of such Party’s rights hereunder, (ii) debt or equity financing of such other Party or (iii) acquisition, consolidation, share exchange or other similar transaction involving such Party and any Third Party, (c) to the extent the other Party is ILDONG, to any Third Party that is or may be engaged by ILDONG to perform services in connection with the Commercialization of Products as necessary to enable such Third Party to perform such services, (d) as reasonably necessary to make Regulatory Filings with respect to Products under this Agreement or to respond to any inquiry made by any Regulatory Authority with respect to Products and to prosecute or maintain Patent Rights, or to file, prosecute or defend litigation related to Patent Rights, in accordance with this Agreement; (e) as required by Applicable Laws (which shall be determined by the Disclosing Party in its reasonable discretion); provided, that, in the case of any disclosure under this clause (e), the Disclosing Party shall (i) if practicable, provide the other Party with reasonable advance notice of and an opportunity to comment on any such required disclosure and (ii) if requested by the other Party, cooperate in all reasonable respects with the other Party’s efforts to obtain confidential treatment or a protective order with respect to any such disclosure, at the other Party’s expense.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5" w:name="page116"/>
    <w:bookmarkEnd w:id="115"/>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b w:val="1"/>
          <w:bCs w:val="1"/>
          <w:u w:val="single" w:color="auto"/>
          <w:color w:val="auto"/>
        </w:rPr>
        <w:t>Employees and Consultants</w:t>
      </w:r>
      <w:r>
        <w:rPr>
          <w:rFonts w:ascii="Arial" w:cs="Arial" w:eastAsia="Arial" w:hAnsi="Arial"/>
          <w:sz w:val="18"/>
          <w:szCs w:val="18"/>
          <w:color w:val="auto"/>
        </w:rPr>
        <w:t>. SUBLICENSOR and ILDONG each hereby covenants and agrees that all of its employees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and all of the employees and consultants of its Affiliates, who have access to Confidential Information or Proprietary Materials of the other Party will, prior to having such access, be bound by written obligations to maintain such Confidential Information or Proprietary Materials in confidence that are no less stringent than those confidentiality and non-use provisions contained in this Agreement. Each Party agrees to use, and to cause its Affiliates to use, reasonable efforts to enforce such obligations and to prohibit its employees and consultants from using such information except as expressly permitted hereunder. Each Party will be liable to the other Party for any disclosure or misuse by its employees of Confidential Information or Proprietary Materials of the other Party.</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Publicity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Notwithstanding anything to the contrary in Section 8.1, the Parties, </w:t>
      </w:r>
      <w:r>
        <w:rPr>
          <w:rFonts w:ascii="Arial" w:cs="Arial" w:eastAsia="Arial" w:hAnsi="Arial"/>
          <w:sz w:val="16"/>
          <w:szCs w:val="16"/>
          <w:u w:val="single" w:color="auto"/>
          <w:color w:val="auto"/>
        </w:rPr>
        <w:t>upon</w:t>
      </w:r>
      <w:r>
        <w:rPr>
          <w:rFonts w:ascii="Arial" w:cs="Arial" w:eastAsia="Arial" w:hAnsi="Arial"/>
          <w:sz w:val="16"/>
          <w:szCs w:val="16"/>
          <w:color w:val="auto"/>
        </w:rPr>
        <w:t xml:space="preserve"> the execution of this Agreement, shall jointly issue a press release with respect to this Agreement to be reasonably agreed by the Parties in substantially the form attached hereto as </w:t>
      </w:r>
      <w:r>
        <w:rPr>
          <w:rFonts w:ascii="Arial" w:cs="Arial" w:eastAsia="Arial" w:hAnsi="Arial"/>
          <w:sz w:val="16"/>
          <w:szCs w:val="16"/>
          <w:u w:val="single" w:color="auto"/>
          <w:color w:val="auto"/>
        </w:rPr>
        <w:t>Schedule 6</w:t>
      </w:r>
      <w:r>
        <w:rPr>
          <w:rFonts w:ascii="Arial" w:cs="Arial" w:eastAsia="Arial" w:hAnsi="Arial"/>
          <w:sz w:val="16"/>
          <w:szCs w:val="16"/>
          <w:color w:val="auto"/>
        </w:rPr>
        <w:t>, and either Party may make subsequent public disclosure of the contents of such press release without further approval of the other Party. Subject to the foregoing, except as required by Applicable Laws (including those relating to disclosure of material information to investors), neither Party shall issue a press or news release or make any similar public announcement (it being understood that publication in scientific journals, presentation at scientific conferences and meetings and the like are intended to be covered by Section 8.4 and not subject to this Section 8.2) related to the terms or existence of this Agreement or the conduct of the Development Program or the Commercialization of Products without the prior written consent of the other Party; provided, however, that either Party may make such a disclosure (a) to the extent required by Applicable Laws (including the requirements of any nationally recognized securities exchange, quotation system or over-the-counter market on which such Party has its securities listed or traded), or (b) to any investors, prospective investors, lenders and other potential financing sources who are obligated to keep such information confidential. In the event that such disclosure is required as aforesaid, the disclosing Party shall make reasonable efforts to provide the other Party with notice beforehand and to coordinate with the other Party with respect to the wording and timing of any such disclosure. Once any press release or any other written statement is approved for disclosure by both Parties, either Party may make subsequent public disclosure of the contents of such statement without the further approval of the other Party.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16" w:name="page117"/>
    <w:bookmarkEnd w:id="116"/>
    <w:p>
      <w:pPr>
        <w:ind w:left="660"/>
        <w:spacing w:after="0"/>
        <w:tabs>
          <w:tab w:leader="none" w:pos="13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u w:val="single" w:color="auto"/>
          <w:color w:val="auto"/>
        </w:rPr>
        <w:t>No Use of Name</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Neither Party shall use the name of the other Party in any Promotional Materials or advertising without the prior expres</w:t>
      </w:r>
      <w:r>
        <w:rPr>
          <w:rFonts w:ascii="Arial" w:cs="Arial" w:eastAsia="Arial" w:hAnsi="Arial"/>
          <w:sz w:val="18"/>
          <w:szCs w:val="18"/>
          <w:b w:val="1"/>
          <w:bCs w:val="1"/>
          <w:color w:val="auto"/>
        </w:rPr>
        <w:t>s</w:t>
      </w:r>
      <w:r>
        <w:rPr>
          <w:rFonts w:ascii="Arial" w:cs="Arial" w:eastAsia="Arial" w:hAnsi="Arial"/>
          <w:sz w:val="18"/>
          <w:szCs w:val="18"/>
          <w:color w:val="auto"/>
        </w:rPr>
        <w:t xml:space="preserve"> written permission of the other Party.</w:t>
      </w:r>
    </w:p>
    <w:p>
      <w:pPr>
        <w:spacing w:after="0" w:line="162" w:lineRule="exact"/>
        <w:rPr>
          <w:sz w:val="20"/>
          <w:szCs w:val="20"/>
          <w:color w:val="auto"/>
        </w:rPr>
      </w:pPr>
    </w:p>
    <w:p>
      <w:pPr>
        <w:ind w:left="4520" w:hanging="592"/>
        <w:spacing w:after="0"/>
        <w:tabs>
          <w:tab w:leader="none" w:pos="45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 RIGHTS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sake of clarity, in this Section 9, SUBLICENSOR means SUBLICENSOR and, where applicable, Senior Licensors pursuant to the terms of the LFB/GTC License, certain responsibilities of which may be delegated to Senior Licensors, but for the sake of this Agreement will be overseen by SUBLICENSOR.</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SUBLICENSOR Intellectual Property Rights</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SUBLICENSOR shall have ownership of all right, title and interest, or license to, on a worldwide basis in and to any and all Licensed Technology and Licensed Patent Rights.</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Improvement</w:t>
      </w:r>
    </w:p>
    <w:p>
      <w:pPr>
        <w:spacing w:after="0" w:line="225" w:lineRule="exact"/>
        <w:rPr>
          <w:sz w:val="20"/>
          <w:szCs w:val="20"/>
          <w:color w:val="auto"/>
        </w:rPr>
      </w:pPr>
    </w:p>
    <w:p>
      <w:pPr>
        <w:jc w:val="both"/>
        <w:ind w:left="1620" w:hanging="647"/>
        <w:spacing w:after="0" w:line="259" w:lineRule="auto"/>
        <w:tabs>
          <w:tab w:leader="none" w:pos="1600" w:val="left"/>
        </w:tabs>
        <w:rPr>
          <w:sz w:val="20"/>
          <w:szCs w:val="20"/>
          <w:color w:val="auto"/>
        </w:rPr>
      </w:pPr>
      <w:r>
        <w:rPr>
          <w:rFonts w:ascii="Arial" w:cs="Arial" w:eastAsia="Arial" w:hAnsi="Arial"/>
          <w:sz w:val="18"/>
          <w:szCs w:val="18"/>
          <w:b w:val="1"/>
          <w:bCs w:val="1"/>
          <w:color w:val="auto"/>
        </w:rPr>
        <w:t>9.2.1</w:t>
      </w:r>
      <w:r>
        <w:rPr>
          <w:sz w:val="20"/>
          <w:szCs w:val="20"/>
          <w:color w:val="auto"/>
        </w:rPr>
        <w:tab/>
      </w:r>
      <w:r>
        <w:rPr>
          <w:rFonts w:ascii="Arial" w:cs="Arial" w:eastAsia="Arial" w:hAnsi="Arial"/>
          <w:sz w:val="18"/>
          <w:szCs w:val="18"/>
          <w:color w:val="auto"/>
        </w:rPr>
        <w:t>ILDONG agrees to notify SUBLICENSOR of each Product Improvement ILDONG, its Affiliates, or its Sublicensees has developed, conceived or acquired during the Term of this Agreement. ILDONG shall, upon request of SUBLICENSOR, provide to SUBLICENSOR all data and specifications concerning such Product Improvement. All Product Improvements shall be deemed to be considered as a “Joint Improvement”.</w:t>
      </w:r>
    </w:p>
    <w:p>
      <w:pPr>
        <w:spacing w:after="0" w:line="187" w:lineRule="exact"/>
        <w:rPr>
          <w:sz w:val="20"/>
          <w:szCs w:val="20"/>
          <w:color w:val="auto"/>
        </w:rPr>
      </w:pPr>
    </w:p>
    <w:p>
      <w:pPr>
        <w:jc w:val="both"/>
        <w:ind w:left="1620" w:hanging="647"/>
        <w:spacing w:after="0" w:line="277" w:lineRule="auto"/>
        <w:tabs>
          <w:tab w:leader="none" w:pos="1600"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8"/>
          <w:szCs w:val="18"/>
          <w:color w:val="auto"/>
        </w:rPr>
        <w:t>All SUBLICENSOR Improvement shall be the exclusive and sole property of SUBLICENSOR and shall become Background Patent Right or Licensed Patent Rights, as the case may be.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u w:val="single" w:color="auto"/>
          <w:color w:val="auto"/>
        </w:rPr>
        <w:t>Joint Improvement</w:t>
      </w:r>
    </w:p>
    <w:p>
      <w:pPr>
        <w:spacing w:after="0" w:line="225" w:lineRule="exact"/>
        <w:rPr>
          <w:sz w:val="20"/>
          <w:szCs w:val="20"/>
          <w:color w:val="auto"/>
        </w:rPr>
      </w:pPr>
    </w:p>
    <w:p>
      <w:pPr>
        <w:jc w:val="both"/>
        <w:ind w:left="1620" w:hanging="647"/>
        <w:spacing w:after="0" w:line="277" w:lineRule="auto"/>
        <w:tabs>
          <w:tab w:leader="none" w:pos="1600" w:val="left"/>
        </w:tabs>
        <w:rPr>
          <w:sz w:val="20"/>
          <w:szCs w:val="20"/>
          <w:color w:val="auto"/>
        </w:rPr>
      </w:pPr>
      <w:r>
        <w:rPr>
          <w:rFonts w:ascii="Arial" w:cs="Arial" w:eastAsia="Arial" w:hAnsi="Arial"/>
          <w:sz w:val="18"/>
          <w:szCs w:val="18"/>
          <w:b w:val="1"/>
          <w:bCs w:val="1"/>
          <w:color w:val="auto"/>
        </w:rPr>
        <w:t>9.3.1</w:t>
      </w:r>
      <w:r>
        <w:rPr>
          <w:sz w:val="20"/>
          <w:szCs w:val="20"/>
          <w:color w:val="auto"/>
        </w:rPr>
        <w:tab/>
      </w:r>
      <w:r>
        <w:rPr>
          <w:rFonts w:ascii="Arial" w:cs="Arial" w:eastAsia="Arial" w:hAnsi="Arial"/>
          <w:sz w:val="18"/>
          <w:szCs w:val="18"/>
          <w:color w:val="auto"/>
        </w:rPr>
        <w:t>Subject to any other provision to the contrary that may be contained in SUBLICENSOR’s Licenses as defined in Section 2.1.1, any Joint Improvement shall be jointly owned by ILDONG and SUBLICENSOR.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7" w:name="page118"/>
    <w:bookmarkEnd w:id="117"/>
    <w:p>
      <w:pPr>
        <w:jc w:val="both"/>
        <w:ind w:left="1620" w:hanging="647"/>
        <w:spacing w:after="0" w:line="259" w:lineRule="auto"/>
        <w:tabs>
          <w:tab w:leader="none" w:pos="1600" w:val="left"/>
        </w:tabs>
        <w:rPr>
          <w:sz w:val="20"/>
          <w:szCs w:val="20"/>
          <w:color w:val="auto"/>
        </w:rPr>
      </w:pPr>
      <w:r>
        <w:rPr>
          <w:rFonts w:ascii="Arial" w:cs="Arial" w:eastAsia="Arial" w:hAnsi="Arial"/>
          <w:sz w:val="18"/>
          <w:szCs w:val="18"/>
          <w:b w:val="1"/>
          <w:bCs w:val="1"/>
          <w:color w:val="auto"/>
        </w:rPr>
        <w:t>9.3.2</w:t>
      </w:r>
      <w:r>
        <w:rPr>
          <w:sz w:val="20"/>
          <w:szCs w:val="20"/>
          <w:color w:val="auto"/>
        </w:rPr>
        <w:tab/>
      </w:r>
      <w:r>
        <w:rPr>
          <w:rFonts w:ascii="Arial" w:cs="Arial" w:eastAsia="Arial" w:hAnsi="Arial"/>
          <w:sz w:val="18"/>
          <w:szCs w:val="18"/>
          <w:color w:val="auto"/>
        </w:rPr>
        <w:t>ILDONG shall have the exclusive, fully paid-up, irrevocable, transferable right to Use such Joint Improvements in order to Develop the Compounds or Products as part of the Development Program and to Commercialize, use, have used, Manufacture, have Manufactured, supply, sell, offer to sell, import, have imported, market, and otherwise Commercialize Products in the Field, within the Territory with the right to sublicense.</w:t>
      </w:r>
    </w:p>
    <w:p>
      <w:pPr>
        <w:spacing w:after="0" w:line="187" w:lineRule="exact"/>
        <w:rPr>
          <w:sz w:val="20"/>
          <w:szCs w:val="20"/>
          <w:color w:val="auto"/>
        </w:rPr>
      </w:pPr>
    </w:p>
    <w:p>
      <w:pPr>
        <w:jc w:val="both"/>
        <w:ind w:left="1620" w:hanging="647"/>
        <w:spacing w:after="0" w:line="264" w:lineRule="auto"/>
        <w:tabs>
          <w:tab w:leader="none" w:pos="1600" w:val="left"/>
        </w:tabs>
        <w:rPr>
          <w:sz w:val="20"/>
          <w:szCs w:val="20"/>
          <w:color w:val="auto"/>
        </w:rPr>
      </w:pPr>
      <w:r>
        <w:rPr>
          <w:rFonts w:ascii="Arial" w:cs="Arial" w:eastAsia="Arial" w:hAnsi="Arial"/>
          <w:sz w:val="18"/>
          <w:szCs w:val="18"/>
          <w:b w:val="1"/>
          <w:bCs w:val="1"/>
          <w:color w:val="auto"/>
        </w:rPr>
        <w:t>9.3.3</w:t>
      </w:r>
      <w:r>
        <w:rPr>
          <w:sz w:val="20"/>
          <w:szCs w:val="20"/>
          <w:color w:val="auto"/>
        </w:rPr>
        <w:tab/>
      </w:r>
      <w:r>
        <w:rPr>
          <w:rFonts w:ascii="Arial" w:cs="Arial" w:eastAsia="Arial" w:hAnsi="Arial"/>
          <w:sz w:val="18"/>
          <w:szCs w:val="18"/>
          <w:color w:val="auto"/>
        </w:rPr>
        <w:t>Each Party has the exclusive, fully paid-up, irrevocable, transferable right to Use such Joint Improvements in order to develop and to commercialize have used, Manufacture, have Manufactured, supply, sell, offer to sell, import, have imported, market, any product other than the Product and Compound.</w:t>
      </w:r>
    </w:p>
    <w:p>
      <w:pPr>
        <w:spacing w:after="0" w:line="181" w:lineRule="exact"/>
        <w:rPr>
          <w:sz w:val="20"/>
          <w:szCs w:val="20"/>
          <w:color w:val="auto"/>
        </w:rPr>
      </w:pPr>
    </w:p>
    <w:p>
      <w:pPr>
        <w:jc w:val="both"/>
        <w:ind w:left="1620" w:hanging="647"/>
        <w:spacing w:after="0" w:line="277" w:lineRule="auto"/>
        <w:tabs>
          <w:tab w:leader="none" w:pos="1600" w:val="left"/>
        </w:tabs>
        <w:rPr>
          <w:sz w:val="20"/>
          <w:szCs w:val="20"/>
          <w:color w:val="auto"/>
        </w:rPr>
      </w:pPr>
      <w:r>
        <w:rPr>
          <w:rFonts w:ascii="Arial" w:cs="Arial" w:eastAsia="Arial" w:hAnsi="Arial"/>
          <w:sz w:val="18"/>
          <w:szCs w:val="18"/>
          <w:b w:val="1"/>
          <w:bCs w:val="1"/>
          <w:color w:val="auto"/>
        </w:rPr>
        <w:t>9.3.4</w:t>
      </w:r>
      <w:r>
        <w:rPr>
          <w:sz w:val="20"/>
          <w:szCs w:val="20"/>
          <w:color w:val="auto"/>
        </w:rPr>
        <w:tab/>
      </w:r>
      <w:r>
        <w:rPr>
          <w:rFonts w:ascii="Arial" w:cs="Arial" w:eastAsia="Arial" w:hAnsi="Arial"/>
          <w:sz w:val="18"/>
          <w:szCs w:val="18"/>
          <w:color w:val="auto"/>
        </w:rPr>
        <w:t>Each Party shall reasonably assist the other in preparing, prosecuting and maintaining Patent Rights for Joint Improvements pursuant to section 9.4; 9.5 and 10.</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u w:val="single" w:color="auto"/>
          <w:color w:val="auto"/>
        </w:rPr>
        <w:t>Patent Coordinators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Party shall, by written notice to the other Party, appoint a patent coordinator reasonably acceptable to the other Party (each, a “Patent Coordinator”) to serve as such Party’s primary liaison with the other Party on matters relating to the filing, prosecution, maintenance and enforcement of Patent Rights. Each Party may replace its Patent Coordinator at any time by notice in writing to the other Party. The initial Patent Coordinators shall be: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SUBLICENSOR: Hari Miskin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ILDONG:</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u w:val="single" w:color="auto"/>
          <w:color w:val="auto"/>
        </w:rPr>
        <w:t>Notice; Inventorship</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Parties hereby agree to promptly notify to the other Party, through the Patent Coordinators, of the conception or reduction to practice of any Program Technology or Joint-Improvement and to promptly execute any documents that may be necessary to perfect SUBLICENSOR’s rights in and to such Program Technology or Joint-Improvement. The Patent Coordinators shall determine inventorship of Program Technology or Joint-Improvement under U.S. patent law. In case of a dispute between the Patent Coordinators over inventorship and, as a result, whether any particular Technology is SUBLICENSOR Technology or Joint Improvement, such dispute shall be resolved according to U.S. patent law by patent counsel selected by the Patent Coordinators who (and whose firm) is not at the time of the dispute, and was not at any time during the five (5) years prior to such dispute, performing services for either of the Parties. Expenses of such patent counsel shall be shared equally by the Parties.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8" w:name="page119"/>
    <w:bookmarkEnd w:id="118"/>
    <w:p>
      <w:pPr>
        <w:ind w:left="3280" w:hanging="622"/>
        <w:spacing w:after="0"/>
        <w:tabs>
          <w:tab w:leader="none" w:pos="32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FILING, PROSECUTION AND MAINTENANCE OF PATENT RIGHTS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w:t>
      </w:r>
      <w:r>
        <w:rPr>
          <w:rFonts w:ascii="Arial" w:cs="Arial" w:eastAsia="Arial" w:hAnsi="Arial"/>
          <w:sz w:val="16"/>
          <w:szCs w:val="16"/>
          <w:b w:val="1"/>
          <w:bCs w:val="1"/>
          <w:color w:val="auto"/>
        </w:rPr>
        <w:t xml:space="preserve">Patent </w:t>
      </w:r>
      <w:r>
        <w:rPr>
          <w:rFonts w:ascii="Arial" w:cs="Arial" w:eastAsia="Arial" w:hAnsi="Arial"/>
          <w:sz w:val="16"/>
          <w:szCs w:val="16"/>
          <w:b w:val="1"/>
          <w:bCs w:val="1"/>
          <w:u w:val="single" w:color="auto"/>
          <w:color w:val="auto"/>
        </w:rPr>
        <w:t>Filing, Prosecution and Maintenance</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b w:val="1"/>
          <w:bCs w:val="1"/>
          <w:color w:val="auto"/>
        </w:rPr>
        <w:t xml:space="preserve">10.1.1 </w:t>
      </w:r>
      <w:r>
        <w:rPr>
          <w:rFonts w:ascii="Arial" w:cs="Arial" w:eastAsia="Arial" w:hAnsi="Arial"/>
          <w:sz w:val="16"/>
          <w:szCs w:val="16"/>
          <w:b w:val="1"/>
          <w:bCs w:val="1"/>
          <w:u w:val="single" w:color="auto"/>
          <w:color w:val="auto"/>
        </w:rPr>
        <w:t>SUBLICENSOR Prosecution Rights</w:t>
      </w:r>
      <w:r>
        <w:rPr>
          <w:rFonts w:ascii="Arial" w:cs="Arial" w:eastAsia="Arial" w:hAnsi="Arial"/>
          <w:sz w:val="16"/>
          <w:szCs w:val="16"/>
          <w:color w:val="auto"/>
        </w:rPr>
        <w:t>. SUBLICENSOR shall have the sole right and responsibility to prepare and file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with respect to, and prosecute and maintain, at its sole discretion, and using patent counsel or agents of its choice, all Licensed Patent Rights (including all Joint Patent Rights that are Licensed Patent Rights) throughout the Territory. ILDONG shall cooperate with and assist SUBLICENSOR in all reasonable respects, in connection with SUBLICENSOR’s preparation, filing, prosecution and maintenance of Licensed Patent Rights.</w:t>
      </w:r>
    </w:p>
    <w:p>
      <w:pPr>
        <w:spacing w:after="0" w:line="15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b w:val="1"/>
          <w:bCs w:val="1"/>
          <w:u w:val="single" w:color="auto"/>
          <w:color w:val="auto"/>
        </w:rPr>
        <w:t>ILDONG Prosecution Rights</w:t>
      </w:r>
      <w:r>
        <w:rPr>
          <w:rFonts w:ascii="Arial" w:cs="Arial" w:eastAsia="Arial" w:hAnsi="Arial"/>
          <w:sz w:val="18"/>
          <w:szCs w:val="18"/>
          <w:color w:val="auto"/>
        </w:rPr>
        <w:t>. ILDONG shall have the sole right and responsibility to prepare and file applications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and prosecute and maintain, at its sole cost, expense and discretion, and using patent counsel or agents of its choice, all ILDONG Program Patent Rights throughout the Territory. SUBLICENSOR shall cooperate with and assist ILDONG in all reasonable respects, in connection with ILDONG’s preparation, filing, prosecution and maintenance of ILDONG Program Patent Rights.</w:t>
      </w:r>
    </w:p>
    <w:p>
      <w:pPr>
        <w:spacing w:after="0" w:line="18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b w:val="1"/>
          <w:bCs w:val="1"/>
          <w:u w:val="single" w:color="auto"/>
          <w:color w:val="auto"/>
        </w:rPr>
        <w:t>Joint Patent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10.1.1, within ten (10) Business Days after it is determined pursuant to Section 9.5</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particular Program Technology is Joint Improvement, the Parties will determine which Party will undertake the prosecution of such Joint Patent Rights based on the respective expertise of the Parties and the rights of the Parties under this Agreement. If the Parties fail to agree within such ten (10) Business Day period, then prosecution of such Patent Rights shall be jointly controlled by the Parties, using patent counsel agreed upon by the Patent Coordinators. All patent costs and expenses incurred by a Party or jointly by the Parties in connection with the preparation, filing, prosecution and maintenance of Joint Patent Rights in the Territory that cover any Product for use in the Field shall be shared equally by the Parties. Provided however that, if a Party refuses, declines or fails to assume its obligations under this section 11.1.2, it shall advise the other Party and said other Party shall have the right, at its own expense, to prepare, prosecute and maintain Patent Rights for Joint Improvements. In such a case, upon request of the non-defaulting Party, the Party that refuses, declines or fails to file, prosecute or maintain any such Patent Rights for Joint Improvements shall assign all its co-ownership rights to the other Party.</w:t>
      </w:r>
    </w:p>
    <w:p>
      <w:pPr>
        <w:spacing w:after="0" w:line="18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b w:val="1"/>
          <w:bCs w:val="1"/>
          <w:color w:val="auto"/>
        </w:rPr>
        <w:t xml:space="preserve">10.1.4 </w:t>
      </w:r>
      <w:r>
        <w:rPr>
          <w:rFonts w:ascii="Arial" w:cs="Arial" w:eastAsia="Arial" w:hAnsi="Arial"/>
          <w:sz w:val="17"/>
          <w:szCs w:val="17"/>
          <w:b w:val="1"/>
          <w:bCs w:val="1"/>
          <w:u w:val="single" w:color="auto"/>
          <w:color w:val="auto"/>
        </w:rPr>
        <w:t>Information and Cooperation</w:t>
      </w:r>
      <w:r>
        <w:rPr>
          <w:rFonts w:ascii="Arial" w:cs="Arial" w:eastAsia="Arial" w:hAnsi="Arial"/>
          <w:sz w:val="17"/>
          <w:szCs w:val="17"/>
          <w:color w:val="auto"/>
        </w:rPr>
        <w:t>. The Parties hereby agree to cooperate with each other in connection with the filing,</w:t>
      </w:r>
      <w:r>
        <w:rPr>
          <w:rFonts w:ascii="Arial" w:cs="Arial" w:eastAsia="Arial" w:hAnsi="Arial"/>
          <w:sz w:val="17"/>
          <w:szCs w:val="17"/>
          <w:b w:val="1"/>
          <w:bCs w:val="1"/>
          <w:color w:val="auto"/>
        </w:rPr>
        <w:t xml:space="preserve"> </w:t>
      </w:r>
      <w:r>
        <w:rPr>
          <w:rFonts w:ascii="Arial" w:cs="Arial" w:eastAsia="Arial" w:hAnsi="Arial"/>
          <w:sz w:val="17"/>
          <w:szCs w:val="17"/>
          <w:color w:val="auto"/>
        </w:rPr>
        <w:t>prosecution and maintenance of Patent Rights under this Agreement, including through the prompt execution and delivery of documents and instruments as may reasonably be required in connection therewith. Without limiting the foregoing, each Party responsible for the filing, prosecution and/or maintenance of Patent Rights under Sections 10.1.1 and/or 10.1.2 above (a “</w:t>
      </w:r>
      <w:r>
        <w:rPr>
          <w:rFonts w:ascii="Arial" w:cs="Arial" w:eastAsia="Arial" w:hAnsi="Arial"/>
          <w:sz w:val="17"/>
          <w:szCs w:val="17"/>
          <w:b w:val="1"/>
          <w:bCs w:val="1"/>
          <w:color w:val="auto"/>
        </w:rPr>
        <w:t>Filing Party</w:t>
      </w:r>
      <w:r>
        <w:rPr>
          <w:rFonts w:ascii="Arial" w:cs="Arial" w:eastAsia="Arial" w:hAnsi="Arial"/>
          <w:sz w:val="17"/>
          <w:szCs w:val="17"/>
          <w:color w:val="auto"/>
        </w:rPr>
        <w:t>”) shall (a) promptly provide the other Party with copies of all patent applications filed hereunder and other material submissions and correspondence with applicable patent offices, in sufficient time to allow for review and comment by the other Party; (b) provide the other Party and its patent counsel with an opportunity to consult with the Party and its patent counsel regarding the filing and contents of any such application, amendment, submission or response; and (c) take into consideration in good faith the advice and suggestions of the other Party and its patent counsel in connection with such filing.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9" w:name="page120"/>
    <w:bookmarkEnd w:id="119"/>
    <w:p>
      <w:pPr>
        <w:ind w:left="1300"/>
        <w:spacing w:after="0"/>
        <w:tabs>
          <w:tab w:leader="none" w:pos="204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6"/>
          <w:szCs w:val="16"/>
          <w:b w:val="1"/>
          <w:bCs w:val="1"/>
          <w:u w:val="single" w:color="auto"/>
          <w:color w:val="auto"/>
        </w:rPr>
        <w:t>Interference, Opposition, Reexamination and Reissue</w:t>
      </w:r>
      <w:r>
        <w:rPr>
          <w:rFonts w:ascii="Arial" w:cs="Arial" w:eastAsia="Arial" w:hAnsi="Arial"/>
          <w:sz w:val="16"/>
          <w:szCs w:val="16"/>
          <w:color w:val="auto"/>
        </w:rPr>
        <w:t>.</w:t>
      </w:r>
    </w:p>
    <w:p>
      <w:pPr>
        <w:spacing w:after="0" w:line="229" w:lineRule="exact"/>
        <w:rPr>
          <w:sz w:val="20"/>
          <w:szCs w:val="20"/>
          <w:color w:val="auto"/>
        </w:rPr>
      </w:pPr>
    </w:p>
    <w:p>
      <w:pPr>
        <w:jc w:val="both"/>
        <w:ind w:firstLine="1953"/>
        <w:spacing w:after="0" w:line="264" w:lineRule="auto"/>
        <w:tabs>
          <w:tab w:leader="none" w:pos="283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 more than thirty (30) days following the discovery by either Party of any request for, or the filing or declaration of, any interference, opposition, or reexamination proceeding with respect to any Licensed Patent Rights in the Territory, the discovering or determining Party shall notify the other Party of such event.</w:t>
      </w:r>
    </w:p>
    <w:p>
      <w:pPr>
        <w:spacing w:after="0" w:line="181" w:lineRule="exact"/>
        <w:rPr>
          <w:rFonts w:ascii="Arial" w:cs="Arial" w:eastAsia="Arial" w:hAnsi="Arial"/>
          <w:sz w:val="18"/>
          <w:szCs w:val="18"/>
          <w:color w:val="auto"/>
        </w:rPr>
      </w:pPr>
    </w:p>
    <w:p>
      <w:pPr>
        <w:jc w:val="both"/>
        <w:ind w:firstLine="1953"/>
        <w:spacing w:after="0" w:line="269" w:lineRule="auto"/>
        <w:tabs>
          <w:tab w:leader="none" w:pos="2753"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Primary Responsibility and Cooperation</w:t>
      </w:r>
      <w:r>
        <w:rPr>
          <w:rFonts w:ascii="Arial" w:cs="Arial" w:eastAsia="Arial" w:hAnsi="Arial"/>
          <w:sz w:val="17"/>
          <w:szCs w:val="17"/>
          <w:color w:val="auto"/>
        </w:rPr>
        <w:t>. SUBLICENSOR shall have primary responsibility, at its own expense, with respect to the course of action taken to defend or prosecute any such interference, opposition, reexamination or reissue, except that the Parties shall share equally the reasonable fees and expenses incurred under this Section 10.1.4(b) with respect to Joint Patent Rights. The Parties shall cooperate fully with each other and each shall provide to the other any information or assistance that the other may reasonably request with respect to any course of action taken under this Section 10.1.4. SUBLICENSOR shall (a) keep ILDONG reasonably informed of all developments in such interference, opposition, reexamination or reissue in the Territory, including to the extent permissible, the status of any settlement negotiations and the terms of any offer related thereto and (b) provide to ILDONG copies of all submissions or agreements arising in connection with such proceeding sufficiently in advance of their filing or due date so as to give ILDONG sufficient time to comment thereon, and SUBLICENSOR shall give good faith consideration to ILDONG’s comments, with due regard to the other Party’s rights and commercial interests under this Agreement. Neither Party shall enter into any settlement or consent decree regarding Joint Patent Rights, or assent to the grant of any reissued or reexamined patent within the Joint Patent Rights, without the prior written consent of the other Party, which shall not be unreasonably withheld or delayed.</w:t>
      </w:r>
    </w:p>
    <w:p>
      <w:pPr>
        <w:spacing w:after="0" w:line="1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10.1.6 </w:t>
      </w:r>
      <w:r>
        <w:rPr>
          <w:rFonts w:ascii="Arial" w:cs="Arial" w:eastAsia="Arial" w:hAnsi="Arial"/>
          <w:sz w:val="17"/>
          <w:szCs w:val="17"/>
          <w:b w:val="1"/>
          <w:bCs w:val="1"/>
          <w:u w:val="single" w:color="auto"/>
          <w:color w:val="auto"/>
        </w:rPr>
        <w:t>Decision Not to File; Abandonment</w:t>
      </w:r>
      <w:r>
        <w:rPr>
          <w:rFonts w:ascii="Arial" w:cs="Arial" w:eastAsia="Arial" w:hAnsi="Arial"/>
          <w:sz w:val="17"/>
          <w:szCs w:val="17"/>
          <w:color w:val="auto"/>
        </w:rPr>
        <w:t>. SUBLICENSOR shall notify ILDONG in the event SUBLICENSOR decides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to abandon or discontinue prosecution of any one or more of the patents or patent applications included in the Licensed Patent Rights and in the Territory. Such notification will be given as early as possible which in no event will be less than fifteen (15) days prior to the date on which said patent(s) or patent application(s) will become abandoned. ILDONG shall have the option, exercisable upon written notification to SUBLICENSOR, to assume full responsibility, at its discretion for the prosecution of the affected patent(s) or patent application(s), which shall be conducted in the name of ILDONG</w:t>
      </w:r>
      <w:r>
        <w:rPr>
          <w:rFonts w:ascii="Arial" w:cs="Arial" w:eastAsia="Arial" w:hAnsi="Arial"/>
          <w:sz w:val="17"/>
          <w:szCs w:val="17"/>
          <w:b w:val="1"/>
          <w:bCs w:val="1"/>
          <w:u w:val="single" w:color="auto"/>
          <w:color w:val="auto"/>
        </w:rPr>
        <w:t>.</w:t>
      </w:r>
    </w:p>
    <w:p>
      <w:pPr>
        <w:spacing w:after="0" w:line="16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Enforcement and Defense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-7620</wp:posOffset>
            </wp:positionV>
            <wp:extent cx="6223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2300" cy="8890"/>
                    </a:xfrm>
                    <a:prstGeom prst="rect">
                      <a:avLst/>
                    </a:prstGeom>
                    <a:noFill/>
                  </pic:spPr>
                </pic:pic>
              </a:graphicData>
            </a:graphic>
          </wp:anchor>
        </w:drawing>
      </w:r>
    </w:p>
    <w:p>
      <w:pPr>
        <w:spacing w:after="0" w:line="205" w:lineRule="exact"/>
        <w:rPr>
          <w:sz w:val="20"/>
          <w:szCs w:val="20"/>
          <w:color w:val="auto"/>
        </w:rPr>
      </w:pPr>
    </w:p>
    <w:p>
      <w:pPr>
        <w:ind w:left="1140"/>
        <w:spacing w:after="0"/>
        <w:tabs>
          <w:tab w:leader="none" w:pos="188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7"/>
          <w:szCs w:val="17"/>
          <w:b w:val="1"/>
          <w:bCs w:val="1"/>
          <w:u w:val="single" w:color="auto"/>
          <w:color w:val="auto"/>
        </w:rPr>
        <w:t>Third Party Infringement</w:t>
      </w:r>
      <w:r>
        <w:rPr>
          <w:rFonts w:ascii="Arial" w:cs="Arial" w:eastAsia="Arial" w:hAnsi="Arial"/>
          <w:sz w:val="17"/>
          <w:szCs w:val="17"/>
          <w:color w:val="auto"/>
        </w:rPr>
        <w:t>.</w:t>
      </w:r>
    </w:p>
    <w:p>
      <w:pPr>
        <w:spacing w:after="0" w:line="229" w:lineRule="exact"/>
        <w:rPr>
          <w:sz w:val="20"/>
          <w:szCs w:val="20"/>
          <w:color w:val="auto"/>
        </w:rPr>
      </w:pPr>
    </w:p>
    <w:p>
      <w:pPr>
        <w:ind w:left="2600" w:hanging="647"/>
        <w:spacing w:after="0"/>
        <w:tabs>
          <w:tab w:leader="none" w:pos="26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1"/>
        <w:spacing w:after="0" w:line="255" w:lineRule="auto"/>
        <w:tabs>
          <w:tab w:leader="none" w:pos="3334"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In the event either Party becomes aware of (i) any suspected infringement or misappropriation of any Licensed Patent Rights, Joint Patent Rights that covers the development or commercialization of a Compound or Product in the Field in the Territory, or (ii) the submission by any Third Party of an abbreviated NDA under the Hatch-Waxman Act for a product in the Field that comprises the Compound (each, an “</w:t>
      </w:r>
      <w:r>
        <w:rPr>
          <w:rFonts w:ascii="Arial" w:cs="Arial" w:eastAsia="Arial" w:hAnsi="Arial"/>
          <w:sz w:val="18"/>
          <w:szCs w:val="18"/>
          <w:b w:val="1"/>
          <w:bCs w:val="1"/>
          <w:color w:val="auto"/>
        </w:rPr>
        <w:t>Infringement</w:t>
      </w:r>
      <w:r>
        <w:rPr>
          <w:rFonts w:ascii="Arial" w:cs="Arial" w:eastAsia="Arial" w:hAnsi="Arial"/>
          <w:sz w:val="18"/>
          <w:szCs w:val="18"/>
          <w:color w:val="auto"/>
        </w:rPr>
        <w:t>”), that Party shall promptly notify the other Party and provide it with all details of such Infringement of which it is aware (each, an “</w:t>
      </w:r>
      <w:r>
        <w:rPr>
          <w:rFonts w:ascii="Arial" w:cs="Arial" w:eastAsia="Arial" w:hAnsi="Arial"/>
          <w:sz w:val="18"/>
          <w:szCs w:val="18"/>
          <w:b w:val="1"/>
          <w:bCs w:val="1"/>
          <w:color w:val="auto"/>
        </w:rPr>
        <w:t>Infringement Notice</w:t>
      </w:r>
      <w:r>
        <w:rPr>
          <w:rFonts w:ascii="Arial" w:cs="Arial" w:eastAsia="Arial" w:hAnsi="Arial"/>
          <w:sz w:val="18"/>
          <w:szCs w:val="18"/>
          <w:color w:val="auto"/>
        </w:rPr>
        <w:t>”). The Patent Coordinators shall promptly meet to discuss the Infringement and the strategy for patent enforcement with respect to such Infringement.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0" w:name="page121"/>
    <w:bookmarkEnd w:id="120"/>
    <w:p>
      <w:pPr>
        <w:jc w:val="both"/>
        <w:ind w:firstLine="2601"/>
        <w:spacing w:after="0" w:line="270" w:lineRule="auto"/>
        <w:tabs>
          <w:tab w:leader="none" w:pos="328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SUBLICENSOR Right to Enforce</w:t>
      </w:r>
      <w:r>
        <w:rPr>
          <w:rFonts w:ascii="Arial" w:cs="Arial" w:eastAsia="Arial" w:hAnsi="Arial"/>
          <w:sz w:val="17"/>
          <w:szCs w:val="17"/>
          <w:color w:val="auto"/>
        </w:rPr>
        <w:t>. SUBLICENSOR shall have the first right, but not the obligation, to address any such Infringement in the Territory by taking reasonable steps, which may include the institution of legal proceedings or other actions (each, an “</w:t>
      </w:r>
      <w:r>
        <w:rPr>
          <w:rFonts w:ascii="Arial" w:cs="Arial" w:eastAsia="Arial" w:hAnsi="Arial"/>
          <w:sz w:val="17"/>
          <w:szCs w:val="17"/>
          <w:b w:val="1"/>
          <w:bCs w:val="1"/>
          <w:color w:val="auto"/>
        </w:rPr>
        <w:t>Action</w:t>
      </w:r>
      <w:r>
        <w:rPr>
          <w:rFonts w:ascii="Arial" w:cs="Arial" w:eastAsia="Arial" w:hAnsi="Arial"/>
          <w:sz w:val="17"/>
          <w:szCs w:val="17"/>
          <w:color w:val="auto"/>
        </w:rPr>
        <w:t>”), and to compromise or settle such Action; provided, that, (A) SUBLICENSOR shall keep ILDONG reasonably informed about such Action, (B) ILDONG shall provide reasonable cooperation to SUBLICENSOR in connection with such Action, (C) SUBLICENSOR shall not take any position with respect to, or compromise or settle, such Action in any way that would be reasonably likely to directly and adversely affect the scope, validity or enforceability of the Licensed Patent Rights without the prior consent of ILDONG, which consent shall not be unreasonably withheld, and (D) if SUBLICENSOR does not intend to prosecute or defend an Infringement, or determines to cease to pursue such an Action, it shall promptly inform ILDONG and Section 10.2.1(a)(iii) shall apply. SUBLICENSOR shall incur no liability to ILDONG as a consequence of such Action or any unfavorable decision resulting therefrom, including any decision holding any such claim invalid, not infringed or unenforceable. All costs, including, without limitation, attorneys’ fees, relating to such legal proceedings or other action shall be borne by SUBLICENSOR.</w:t>
      </w:r>
    </w:p>
    <w:p>
      <w:pPr>
        <w:spacing w:after="0" w:line="177" w:lineRule="exact"/>
        <w:rPr>
          <w:rFonts w:ascii="Arial" w:cs="Arial" w:eastAsia="Arial" w:hAnsi="Arial"/>
          <w:sz w:val="17"/>
          <w:szCs w:val="17"/>
          <w:color w:val="auto"/>
        </w:rPr>
      </w:pPr>
    </w:p>
    <w:p>
      <w:pPr>
        <w:jc w:val="both"/>
        <w:ind w:firstLine="2601"/>
        <w:spacing w:after="0" w:line="269" w:lineRule="auto"/>
        <w:tabs>
          <w:tab w:leader="none" w:pos="329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ILDONG Right to Enforce</w:t>
      </w:r>
      <w:r>
        <w:rPr>
          <w:rFonts w:ascii="Arial" w:cs="Arial" w:eastAsia="Arial" w:hAnsi="Arial"/>
          <w:sz w:val="17"/>
          <w:szCs w:val="17"/>
          <w:color w:val="auto"/>
        </w:rPr>
        <w:t>. If (A) SUBLICENSOR informs ILDONG that SUBLICENSOR does not intend to prosecute an Action in respect of any Licensed Patent Rights or Joint Patent Rights pursuant to Section 10.2.1(a)(ii), (B) within sixty (60) days after the Infringement Notice, SUBLICENSOR has not commenced any Action, or (C) if SUBLICENSOR determine to cease to pursue any such Action with respect to such Infringement, then ILDONG shall have the right, at its own expense, upon notice to SUBLICENSOR to take appropriate action to address such Infringement, including by initiating its own Action or taking over prosecution of any Action initiated by SUBLICENSOR; provided, that, in such event, (1) ILDONG shall keep SUBLICENSOR reasonably informed about such Action and shall consult with SUBLICENSOR before taking any major steps during the conduct of such Action, (2) SUBLICENSOR shall provide reasonable cooperation to ILDONG in connection with such Action, and (3) ILDONG shall not take any position with respect to, or compromise or settle, such Action in any way that is reasonably likely to directly and adversely affect the scope, validity or enforceability of the Licensed Patent Rights without SUBLICENSOR’S prior written consent, which consent shall not be unreasonably withheld. SUBLICENSOR shall incur no liability to ILDONG as a consequence of such Action or any unfavorable decision resulting therefrom, including any decision holding any such claim invalid, not infringed or unenforceable. All costs, including, without limitation, attorneys’ fees, relating to such legal proceedings or other action shall be borne by ILDONG.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121" w:name="page122"/>
    <w:bookmarkEnd w:id="121"/>
    <w:p>
      <w:pPr>
        <w:jc w:val="both"/>
        <w:ind w:firstLine="2601"/>
        <w:spacing w:after="0" w:line="255" w:lineRule="auto"/>
        <w:tabs>
          <w:tab w:leader="none" w:pos="324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Joint Patent Rights</w:t>
      </w:r>
      <w:r>
        <w:rPr>
          <w:rFonts w:ascii="Arial" w:cs="Arial" w:eastAsia="Arial" w:hAnsi="Arial"/>
          <w:sz w:val="18"/>
          <w:szCs w:val="18"/>
          <w:color w:val="auto"/>
        </w:rPr>
        <w:t>. In the event of an Infringement of a Joint Patent Right, the Parties shall enter into good faith discussions as to whether and how to eliminate the Infringement. Subject to the foregoing, (A) ILDONG shall have the first right and option to eliminate such Infringement by reasonable steps, which may include the institution of legal proceedings or other action and (B) all costs, including without limitation attorneys’ fees, relating to such legal proceedings or other action shall be borne by ILDONG. If ILDONG does not take or initiate commercially reasonable steps to eliminate the Infringement within one hundred twenty (120) days from any Infringement Notice, then SUBLICENSOR shall have the right an option to do so at its expense.</w:t>
      </w:r>
    </w:p>
    <w:p>
      <w:pPr>
        <w:spacing w:after="0" w:line="193" w:lineRule="exact"/>
        <w:rPr>
          <w:rFonts w:ascii="Arial" w:cs="Arial" w:eastAsia="Arial" w:hAnsi="Arial"/>
          <w:sz w:val="18"/>
          <w:szCs w:val="18"/>
          <w:color w:val="auto"/>
        </w:rPr>
      </w:pPr>
    </w:p>
    <w:p>
      <w:pPr>
        <w:jc w:val="both"/>
        <w:ind w:firstLine="1953"/>
        <w:spacing w:after="0" w:line="257" w:lineRule="auto"/>
        <w:tabs>
          <w:tab w:leader="none" w:pos="261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Right to Representation</w:t>
      </w:r>
      <w:r>
        <w:rPr>
          <w:rFonts w:ascii="Arial" w:cs="Arial" w:eastAsia="Arial" w:hAnsi="Arial"/>
          <w:sz w:val="18"/>
          <w:szCs w:val="18"/>
          <w:color w:val="auto"/>
        </w:rPr>
        <w:t>. Each Party shall have the right to participate and be represented by counsel that it selects, in any Action instituted under Section 10.2.1(a)(ii), (iii) or (iv) by the other Party. If a Party with the right to initiate an Action under Section 10.2.1(a) to eliminate an Infringement lacks standing to do so and the other Party has standing to initiate such Action, then the Party with the right to initiate an Action under Section 10.2.1(a) may name the other Party as plaintiff in such Action or may require the Party with standing to initiate such Action at the expense of the other Party.</w:t>
      </w:r>
    </w:p>
    <w:p>
      <w:pPr>
        <w:spacing w:after="0" w:line="188" w:lineRule="exact"/>
        <w:rPr>
          <w:rFonts w:ascii="Arial" w:cs="Arial" w:eastAsia="Arial" w:hAnsi="Arial"/>
          <w:sz w:val="18"/>
          <w:szCs w:val="18"/>
          <w:color w:val="auto"/>
        </w:rPr>
      </w:pPr>
    </w:p>
    <w:p>
      <w:pPr>
        <w:jc w:val="both"/>
        <w:ind w:firstLine="1953"/>
        <w:spacing w:after="0" w:line="264" w:lineRule="auto"/>
        <w:tabs>
          <w:tab w:leader="none" w:pos="259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In any Action instituted under this Section 10.2.1, the Parties shall cooperate with and assist each other in all reasonable respects. Upon the reasonable request of the Party instituting such Action, the other Party shall join such Action and shall be represented using counsel of its own choice, at the requesting Party’s expense.</w:t>
      </w:r>
    </w:p>
    <w:p>
      <w:pPr>
        <w:spacing w:after="0" w:line="181" w:lineRule="exact"/>
        <w:rPr>
          <w:sz w:val="20"/>
          <w:szCs w:val="20"/>
          <w:color w:val="auto"/>
        </w:rPr>
      </w:pPr>
    </w:p>
    <w:p>
      <w:pPr>
        <w:jc w:val="both"/>
        <w:ind w:left="900" w:hanging="359"/>
        <w:spacing w:after="0" w:line="255" w:lineRule="auto"/>
        <w:tabs>
          <w:tab w:leader="none" w:pos="8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u w:val="single" w:color="auto"/>
          <w:color w:val="auto"/>
        </w:rPr>
        <w:t>Allocation of Proceeds</w:t>
      </w:r>
      <w:r>
        <w:rPr>
          <w:rFonts w:ascii="Arial" w:cs="Arial" w:eastAsia="Arial" w:hAnsi="Arial"/>
          <w:sz w:val="18"/>
          <w:szCs w:val="18"/>
          <w:color w:val="auto"/>
        </w:rPr>
        <w:t>. Any amounts recovered by either Party pursuant to Actions under Sections 10.2.1(a)(ii), (iii) or (iv) with</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respect to any Infringement, whether by settlement or judgment, shall, after reimbursing ILDONG and SUBLICENSOR for their respective reasonable out-of-pocket expenses incurred in pursuing such Action and obtaining such recovery (which amounts shall be allocated pro rata if insufficient to cover the totality of such expenses) be retained by or paid to ILDONG and treated as Net Sales of the Product affected by the Infringement and for purposes of this Agreement, such that ILDONG shall pay to SUBLICENSOR the applicable royalty due on such Net Sales pursuant to Section 7.3.1.</w:t>
      </w:r>
    </w:p>
    <w:p>
      <w:pPr>
        <w:spacing w:after="0" w:line="18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10.2.2</w:t>
      </w:r>
      <w:r>
        <w:rPr>
          <w:sz w:val="20"/>
          <w:szCs w:val="20"/>
          <w:color w:val="auto"/>
        </w:rPr>
        <w:tab/>
      </w:r>
      <w:r>
        <w:rPr>
          <w:rFonts w:ascii="Arial" w:cs="Arial" w:eastAsia="Arial" w:hAnsi="Arial"/>
          <w:sz w:val="15"/>
          <w:szCs w:val="15"/>
          <w:b w:val="1"/>
          <w:bCs w:val="1"/>
          <w:u w:val="single" w:color="auto"/>
          <w:color w:val="auto"/>
        </w:rPr>
        <w:t>Defense of Claims</w:t>
      </w:r>
      <w:r>
        <w:rPr>
          <w:rFonts w:ascii="Arial" w:cs="Arial" w:eastAsia="Arial" w:hAnsi="Arial"/>
          <w:sz w:val="15"/>
          <w:szCs w:val="15"/>
          <w:color w:val="auto"/>
        </w:rPr>
        <w:t>.</w:t>
      </w:r>
    </w:p>
    <w:p>
      <w:pPr>
        <w:spacing w:after="0" w:line="229" w:lineRule="exact"/>
        <w:rPr>
          <w:sz w:val="20"/>
          <w:szCs w:val="20"/>
          <w:color w:val="auto"/>
        </w:rPr>
      </w:pPr>
    </w:p>
    <w:p>
      <w:pPr>
        <w:jc w:val="both"/>
        <w:ind w:firstLine="1953"/>
        <w:spacing w:after="0" w:line="286" w:lineRule="auto"/>
        <w:tabs>
          <w:tab w:leader="none" w:pos="2676"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In the event that any action, suit or proceeding is brought against either Party or any Affiliate of either Party or any Sublicensee or Distributor of ILDONG alleging the infringement of the Technology or Patent Rights of a Third Party by reason of or the Development or Commercialization, including the Manufacture, use or sale, of any Compound or Product, by or on behalf of ILDONG, its Affiliates, Sublicensees or Distributors, such Party shall notify the other Party within five (5) days of the earlier of (i) receipt of service of process in such action, suit or proceeding, or</w:t>
      </w:r>
    </w:p>
    <w:p>
      <w:pPr>
        <w:spacing w:after="0" w:line="1" w:lineRule="exact"/>
        <w:rPr>
          <w:rFonts w:ascii="Arial" w:cs="Arial" w:eastAsia="Arial" w:hAnsi="Arial"/>
          <w:sz w:val="16"/>
          <w:szCs w:val="16"/>
          <w:color w:val="auto"/>
        </w:rPr>
      </w:pPr>
    </w:p>
    <w:p>
      <w:pPr>
        <w:ind w:firstLine="8"/>
        <w:spacing w:after="0" w:line="261" w:lineRule="auto"/>
        <w:tabs>
          <w:tab w:leader="none" w:pos="2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date such Party becomes aware that such action, suit or proceeding has been instituted and the Patent Coordinators shall meet as soon as possible to discuss the overall strategy for defense of such matter.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22" w:name="page123"/>
    <w:bookmarkEnd w:id="122"/>
    <w:p>
      <w:pPr>
        <w:jc w:val="both"/>
        <w:ind w:firstLine="1953"/>
        <w:spacing w:after="0" w:line="270" w:lineRule="auto"/>
        <w:tabs>
          <w:tab w:leader="none" w:pos="2726" w:val="left"/>
        </w:tabs>
        <w:numPr>
          <w:ilvl w:val="0"/>
          <w:numId w:val="78"/>
        </w:numPr>
        <w:rPr>
          <w:rFonts w:ascii="Arial" w:cs="Arial" w:eastAsia="Arial" w:hAnsi="Arial"/>
          <w:sz w:val="17"/>
          <w:szCs w:val="17"/>
          <w:color w:val="auto"/>
        </w:rPr>
      </w:pPr>
      <w:r>
        <w:rPr>
          <w:rFonts w:ascii="Arial" w:cs="Arial" w:eastAsia="Arial" w:hAnsi="Arial"/>
          <w:sz w:val="17"/>
          <w:szCs w:val="17"/>
          <w:b w:val="1"/>
          <w:bCs w:val="1"/>
          <w:u w:val="single" w:color="auto"/>
          <w:color w:val="auto"/>
        </w:rPr>
        <w:t>Prosecution of Infringement claims in the Territory</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unanimously agreed by the Patent Coordinators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Article 14, (i) SUBLICENSOR shall have the primary right but not the obligation to institute and control such action, suit or proceeding in its own name and at its sole expense and in such case, SUBLICENSOR and/or any of its Affiliates shall have the right to separate counsel at its own expense in any such action, suit or proceeding and, ILDONG shall cooperate with SUBLICENSOR in all reasonable respects in any such action, suit or proceeding ; (ii) in the event SUBLICENSOR waives its primary right as defined in (i) the Parties may elect, without being obliged, to jointly commence an action, and in this respect shall be represented by a counsel jointly chosen by the Parties, decide on a course of action, and share equally in the costs and expenses, and in the amounts recovered in accordance with, subject to and within the limits set out in SUBLICENSOR’s Licenses, or (iii) in the event SUBLICENSOR waives its primary right as defined in (i) ILDONG may defend any action, suit or proceeding in its own name and at its sole expense and in such case ILDONG and/or any of its Affiliates shall have the right to separate counsel at its own expense in any such action, suit or proceeding and SUBLICENSOR shall cooperate with ILDONG in all reasonable respects in any such action, suit or proceeding.</w:t>
      </w:r>
    </w:p>
    <w:p>
      <w:pPr>
        <w:spacing w:after="0" w:line="181" w:lineRule="exact"/>
        <w:rPr>
          <w:rFonts w:ascii="Arial" w:cs="Arial" w:eastAsia="Arial" w:hAnsi="Arial"/>
          <w:sz w:val="17"/>
          <w:szCs w:val="17"/>
          <w:color w:val="auto"/>
        </w:rPr>
      </w:pPr>
    </w:p>
    <w:p>
      <w:pPr>
        <w:jc w:val="both"/>
        <w:ind w:firstLine="1953"/>
        <w:spacing w:after="0" w:line="286" w:lineRule="auto"/>
        <w:tabs>
          <w:tab w:leader="none" w:pos="2608"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Each Party shall promptly furnish the other Party with a copy of each communication relating to the alleged infringement that is received by such Party including all documents filed in any litigation. In no event shall either Party settle or otherwise resolve any such action, suit or proceeding brought against the other Party or any of its Affiliates or sublicensees without the other Party’s prior written consent.</w:t>
      </w:r>
    </w:p>
    <w:p>
      <w:pPr>
        <w:spacing w:after="0" w:line="16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10.2.3 </w:t>
      </w:r>
      <w:r>
        <w:rPr>
          <w:rFonts w:ascii="Arial" w:cs="Arial" w:eastAsia="Arial" w:hAnsi="Arial"/>
          <w:sz w:val="17"/>
          <w:szCs w:val="17"/>
          <w:b w:val="1"/>
          <w:bCs w:val="1"/>
          <w:u w:val="single" w:color="auto"/>
          <w:color w:val="auto"/>
        </w:rPr>
        <w:t>Patent Term Restoration</w:t>
      </w:r>
      <w:r>
        <w:rPr>
          <w:rFonts w:ascii="Arial" w:cs="Arial" w:eastAsia="Arial" w:hAnsi="Arial"/>
          <w:sz w:val="17"/>
          <w:szCs w:val="17"/>
          <w:color w:val="auto"/>
        </w:rPr>
        <w:t>. The Parties hereto shall cooperate with each other in obtaining patent term restoration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supplemental protection certificates or their equivalents in any country in the Territory where applicable to Licensed Patent Rights. Such cooperation shall include diligently and timely conferring and coordinating with respect to such matters to ensure compliance with applicable filing deadlines, and agreeing on procedures to be followed by the Parties to ensure such compliance. In the event that elections with respect to obtaining such patent term restoration are to be made, SUBLICENSOR shall have the right to make the election with respect to Licensed Patent Rights.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u w:val="single" w:color="auto"/>
          <w:color w:val="auto"/>
        </w:rPr>
        <w:t>Trademark Prosecution and Registration</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SUBLICENSOR shall control the registration of the Licensed Trademark, to be used with Products in the Territory. SUBLICENSOR shall have the primary right but not the obligation to take any actions as are required to continue and maintain in full force and effect and enforce and defend all Licensed Trademarks and registrations thereof, against infringement and misappropriation in the Territory, and shall be solely responsible for all expenses incurred in connection therewith. In the event SUBLICENSOR waives its primary right to take such action, ILDONG may have the right to take any actions as are required to continue and maintain in full force and effect and enforce and defend all Licensed Trademarks and registrations thereof, against infringement and misappropriation in the Territory, and shall be solely responsible for all expenses incurred in connection therewith..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3" w:name="page124"/>
    <w:bookmarkEnd w:id="123"/>
    <w:p>
      <w:pPr>
        <w:ind w:left="4960" w:hanging="611"/>
        <w:spacing w:after="0"/>
        <w:tabs>
          <w:tab w:leader="none" w:pos="49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Term</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This Agreement shall commence on the Effective Date and shall continue in full force and effect, unless otherwise terminated pursuant to Section 11.2, (a) until such time as ILDONG is no longer Developing at least one (1) Compound and/or at least one (1) Product or (b) if, as of the time ILDONG is no longer Developing at least one (1) Compound and/or at least one (1) Product, ILDONG is Commercializing a Product, until the expiration of all applicable Royalty Terms with respect to Products under this Agreement (the </w:t>
      </w:r>
      <w:r>
        <w:rPr>
          <w:rFonts w:ascii="Arial" w:cs="Arial" w:eastAsia="Arial" w:hAnsi="Arial"/>
          <w:sz w:val="16"/>
          <w:szCs w:val="16"/>
          <w:b w:val="1"/>
          <w:bCs w:val="1"/>
          <w:color w:val="auto"/>
        </w:rPr>
        <w:t>“Term”</w:t>
      </w:r>
      <w:r>
        <w:rPr>
          <w:rFonts w:ascii="Arial" w:cs="Arial" w:eastAsia="Arial" w:hAnsi="Arial"/>
          <w:sz w:val="16"/>
          <w:szCs w:val="16"/>
          <w:color w:val="auto"/>
        </w:rPr>
        <w:t>). Upon the expiration of this Agreement as set forth in this Section 11.1, the license rights granted hereunder shall be converted to perpetual and fully paid-up licenses on Licensed Technology and Licensed Patent Rights, with the right to grant unlimited sublicenses. However, ILDONG shall continue to pay to SUBLICENSOR royalties on the use of Licensed Trademarks.</w:t>
      </w:r>
    </w:p>
    <w:p>
      <w:pPr>
        <w:spacing w:after="0" w:line="16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terminated by either Party as follows:</w:t>
      </w:r>
    </w:p>
    <w:p>
      <w:pPr>
        <w:spacing w:after="0" w:line="221"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u w:val="single" w:color="auto"/>
          <w:color w:val="auto"/>
        </w:rPr>
        <w:t>Unilateral Right to Terminate Agreement</w:t>
      </w:r>
      <w:r>
        <w:rPr>
          <w:rFonts w:ascii="Arial" w:cs="Arial" w:eastAsia="Arial" w:hAnsi="Arial"/>
          <w:sz w:val="16"/>
          <w:szCs w:val="16"/>
          <w:color w:val="auto"/>
        </w:rPr>
        <w:t>.</w:t>
      </w:r>
    </w:p>
    <w:p>
      <w:pPr>
        <w:spacing w:after="0" w:line="229" w:lineRule="exact"/>
        <w:rPr>
          <w:sz w:val="20"/>
          <w:szCs w:val="20"/>
          <w:color w:val="auto"/>
        </w:rPr>
      </w:pPr>
    </w:p>
    <w:p>
      <w:pPr>
        <w:jc w:val="both"/>
        <w:ind w:firstLine="1953"/>
        <w:spacing w:after="0" w:line="279" w:lineRule="auto"/>
        <w:tabs>
          <w:tab w:leader="none" w:pos="2797"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SUBLICENSOR Rights to Terminate for Challenge</w:t>
      </w:r>
      <w:r>
        <w:rPr>
          <w:rFonts w:ascii="Arial" w:cs="Arial" w:eastAsia="Arial" w:hAnsi="Arial"/>
          <w:sz w:val="17"/>
          <w:szCs w:val="17"/>
          <w:color w:val="auto"/>
        </w:rPr>
        <w:t>. Except to the extent the following is unenforceable under the Applicable Laws of a particular jurisdiction where a patent application within the Licensed Patent Rights is pending or a patent within the Licensed Patent Rights is issued, SUBLICENSOR may terminate this Agreement immediately upon written notice to ILDONG in the event that ILDONG or any of its Affiliates or Sublicenses Challenges any Licensed Patent Rights or assists a Third Party in initiating a Challenge of any Licensed Patent Rights.</w:t>
      </w:r>
    </w:p>
    <w:p>
      <w:pPr>
        <w:spacing w:after="0" w:line="16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11.2.2 </w:t>
      </w:r>
      <w:r>
        <w:rPr>
          <w:rFonts w:ascii="Arial" w:cs="Arial" w:eastAsia="Arial" w:hAnsi="Arial"/>
          <w:sz w:val="17"/>
          <w:szCs w:val="17"/>
          <w:b w:val="1"/>
          <w:bCs w:val="1"/>
          <w:u w:val="single" w:color="auto"/>
          <w:color w:val="auto"/>
        </w:rPr>
        <w:t>Termination for Breach</w:t>
      </w:r>
      <w:r>
        <w:rPr>
          <w:rFonts w:ascii="Arial" w:cs="Arial" w:eastAsia="Arial" w:hAnsi="Arial"/>
          <w:sz w:val="17"/>
          <w:szCs w:val="17"/>
          <w:color w:val="auto"/>
        </w:rPr>
        <w:t>. Either Party may terminate this Agreement, effective immediately upon written notice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for a material breach (including ILDONG’s failure to meet its diligence requirements and responsibilities as set forth in Section 3; 4 and 5) by the other Party of any term of this Agreement that remains uncured ninety (90) days (sixty (60) days in the event that the breach is a failure of a Party to make any payment required hereunder) after the non-breaching Party first gives written notice to the other Party of such breach and its intent to terminate this Agreement if such breach is not cured. For purposes of clarity, the obligation of the breaching Party to cure any such breach shall be stayed for any time period during which such breach is the subject of a dispute resolution proceeding pursuant to Section 14.1; provided, that, the obligation of the breaching Party to cure such breach such breach shall resume commencing on the date of any final resolution of such proceeding.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4" w:name="page125"/>
    <w:bookmarkEnd w:id="124"/>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11.2.3 </w:t>
      </w:r>
      <w:r>
        <w:rPr>
          <w:rFonts w:ascii="Arial" w:cs="Arial" w:eastAsia="Arial" w:hAnsi="Arial"/>
          <w:sz w:val="18"/>
          <w:szCs w:val="18"/>
          <w:b w:val="1"/>
          <w:bCs w:val="1"/>
          <w:u w:val="single" w:color="auto"/>
          <w:color w:val="auto"/>
        </w:rPr>
        <w:t>Termination for Insolvency</w:t>
      </w:r>
      <w:r>
        <w:rPr>
          <w:rFonts w:ascii="Arial" w:cs="Arial" w:eastAsia="Arial" w:hAnsi="Arial"/>
          <w:sz w:val="18"/>
          <w:szCs w:val="18"/>
          <w:color w:val="auto"/>
        </w:rPr>
        <w:t>. In the event that either Party makes an assignment for the benefit of creditors, appoints or suffers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of a receiver or trustee over all or substantially all of its property, files a petition under any bankruptcy or insolvency act or has any such petition filed against it which is not discharged within sixty (60) days of the filing thereof, then the other Party may terminate this Agreement effective immediately upon written notice to such Party.</w:t>
      </w:r>
    </w:p>
    <w:p>
      <w:pPr>
        <w:spacing w:after="0" w:line="18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u w:val="single" w:color="auto"/>
          <w:color w:val="auto"/>
        </w:rPr>
        <w:t>Consequences of Termination of Agreement</w:t>
      </w:r>
      <w:r>
        <w:rPr>
          <w:rFonts w:ascii="Arial" w:cs="Arial" w:eastAsia="Arial" w:hAnsi="Arial"/>
          <w:sz w:val="15"/>
          <w:szCs w:val="15"/>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the termination of this Agreement pursuant to Section 11.2, the following provisions shall apply, as applicable.</w:t>
      </w:r>
    </w:p>
    <w:p>
      <w:pPr>
        <w:spacing w:after="0" w:line="221"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6"/>
          <w:szCs w:val="16"/>
          <w:b w:val="1"/>
          <w:bCs w:val="1"/>
          <w:u w:val="single" w:color="auto"/>
          <w:color w:val="auto"/>
        </w:rPr>
        <w:t>Termination by SUBLICENSOR</w:t>
      </w:r>
      <w:r>
        <w:rPr>
          <w:rFonts w:ascii="Arial" w:cs="Arial" w:eastAsia="Arial" w:hAnsi="Arial"/>
          <w:sz w:val="16"/>
          <w:szCs w:val="16"/>
          <w:color w:val="auto"/>
        </w:rPr>
        <w:t>. If this Agreement is terminated by SUBLICENSOR pursuant to Section 11.2.1, 11.2.2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11.2.3:</w:t>
      </w:r>
    </w:p>
    <w:p>
      <w:pPr>
        <w:spacing w:after="0" w:line="211" w:lineRule="exact"/>
        <w:rPr>
          <w:sz w:val="20"/>
          <w:szCs w:val="20"/>
          <w:color w:val="auto"/>
        </w:rPr>
      </w:pPr>
    </w:p>
    <w:p>
      <w:pPr>
        <w:ind w:firstLine="1953"/>
        <w:spacing w:after="0" w:line="277" w:lineRule="auto"/>
        <w:tabs>
          <w:tab w:leader="none" w:pos="26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licenses and rights granted by SUBLICENSOR to ILDONG, including all licenses granted to ILDONG pursuant to Section 2.1, shall immediately terminate.</w:t>
      </w:r>
    </w:p>
    <w:p>
      <w:pPr>
        <w:spacing w:after="0" w:line="170" w:lineRule="exact"/>
        <w:rPr>
          <w:rFonts w:ascii="Arial" w:cs="Arial" w:eastAsia="Arial" w:hAnsi="Arial"/>
          <w:sz w:val="18"/>
          <w:szCs w:val="18"/>
          <w:color w:val="auto"/>
        </w:rPr>
      </w:pPr>
    </w:p>
    <w:p>
      <w:pPr>
        <w:jc w:val="both"/>
        <w:ind w:firstLine="1953"/>
        <w:spacing w:after="0" w:line="274" w:lineRule="auto"/>
        <w:tabs>
          <w:tab w:leader="none" w:pos="2794" w:val="left"/>
        </w:tabs>
        <w:numPr>
          <w:ilvl w:val="0"/>
          <w:numId w:val="81"/>
        </w:numPr>
        <w:rPr>
          <w:rFonts w:ascii="Arial" w:cs="Arial" w:eastAsia="Arial" w:hAnsi="Arial"/>
          <w:sz w:val="17"/>
          <w:szCs w:val="17"/>
          <w:color w:val="auto"/>
        </w:rPr>
      </w:pPr>
      <w:r>
        <w:rPr>
          <w:rFonts w:ascii="Arial" w:cs="Arial" w:eastAsia="Arial" w:hAnsi="Arial"/>
          <w:sz w:val="17"/>
          <w:szCs w:val="17"/>
          <w:color w:val="auto"/>
        </w:rPr>
        <w:t>ILDONG shall cease to use all Licensed Trademarks, any Marketing Authorization obtained in accordance with the AGREEMENT and shall further promptly transfer such Marketing Authorizations and/or orphan drug designations to SUBLICENSOR at no cost for</w:t>
      </w:r>
    </w:p>
    <w:p>
      <w:pPr>
        <w:spacing w:after="0"/>
        <w:rPr>
          <w:rFonts w:ascii="Arial" w:cs="Arial" w:eastAsia="Arial" w:hAnsi="Arial"/>
          <w:sz w:val="17"/>
          <w:szCs w:val="17"/>
          <w:color w:val="auto"/>
        </w:rPr>
      </w:pPr>
      <w:r>
        <w:rPr>
          <w:rFonts w:ascii="Arial" w:cs="Arial" w:eastAsia="Arial" w:hAnsi="Arial"/>
          <w:sz w:val="18"/>
          <w:szCs w:val="18"/>
          <w:color w:val="auto"/>
        </w:rPr>
        <w:t>SUBLICENSOR..</w:t>
      </w:r>
    </w:p>
    <w:p>
      <w:pPr>
        <w:spacing w:after="0" w:line="210" w:lineRule="exact"/>
        <w:rPr>
          <w:rFonts w:ascii="Arial" w:cs="Arial" w:eastAsia="Arial" w:hAnsi="Arial"/>
          <w:sz w:val="17"/>
          <w:szCs w:val="17"/>
          <w:color w:val="auto"/>
        </w:rPr>
      </w:pPr>
    </w:p>
    <w:p>
      <w:pPr>
        <w:ind w:left="2600" w:hanging="647"/>
        <w:spacing w:after="0"/>
        <w:tabs>
          <w:tab w:leader="none" w:pos="2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ILDONG shall cease to conduct any activity related to the Development and Commercialization of the Product.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5" w:name="page126"/>
    <w:bookmarkEnd w:id="125"/>
    <w:p>
      <w:pPr>
        <w:jc w:val="both"/>
        <w:ind w:firstLine="1953"/>
        <w:spacing w:after="0" w:line="283" w:lineRule="auto"/>
        <w:tabs>
          <w:tab w:leader="none" w:pos="3091" w:val="left"/>
        </w:tabs>
        <w:numPr>
          <w:ilvl w:val="1"/>
          <w:numId w:val="82"/>
        </w:numPr>
        <w:rPr>
          <w:rFonts w:ascii="Arial" w:cs="Arial" w:eastAsia="Arial" w:hAnsi="Arial"/>
          <w:sz w:val="16"/>
          <w:szCs w:val="16"/>
          <w:color w:val="auto"/>
        </w:rPr>
      </w:pPr>
      <w:r>
        <w:rPr>
          <w:rFonts w:ascii="Arial" w:cs="Arial" w:eastAsia="Arial" w:hAnsi="Arial"/>
          <w:sz w:val="16"/>
          <w:szCs w:val="16"/>
          <w:color w:val="auto"/>
        </w:rPr>
        <w:t>Upon request of SUBLICENSOR, ILDONG shall promptly, and in any event within sixty (90) days after SUBLICENSOR’s request (which request may specify any or all of the actions in clauses (A) through (H): (A) transfer to SUBLICENSOR all of its right, title and interest in all Drug Approval Applications and then in its name applicable to the Product, if any, and all Confidential Information Controlled by ILDONG as of the date of termination relied on by such Drug Approval Applications; (B) notify the applicable Regulatory Authorities and take any other action reasonably necessary to effect such transfer; (C) provide SUBLICENSOR with copies of all correspondence between ILDONG and such Regulatory Authorities relating to such Drug Approval Applications; (D) unless expressly prohibited by any Regulatory Authority, transfer sponsorship and control to SUBLICENSOR of all Clinical Trials of the Product being conducted as of the effective date of termination and continue to conduct such Clinical Trials after the effective date of termination to enable such transfer to be completed without interruption of any such Clinical Trial for up to twelve (12) months from the effective date of termination, except for termination for breach of ILDONG, the fully burdened cost of such continuation to be paid for by SUBLICENSOR</w:t>
      </w:r>
    </w:p>
    <w:p>
      <w:pPr>
        <w:spacing w:after="0" w:line="6" w:lineRule="exact"/>
        <w:rPr>
          <w:rFonts w:ascii="Arial" w:cs="Arial" w:eastAsia="Arial" w:hAnsi="Arial"/>
          <w:sz w:val="16"/>
          <w:szCs w:val="16"/>
          <w:color w:val="auto"/>
        </w:rPr>
      </w:pPr>
    </w:p>
    <w:p>
      <w:pPr>
        <w:jc w:val="both"/>
        <w:ind w:firstLine="8"/>
        <w:spacing w:after="0" w:line="284" w:lineRule="auto"/>
        <w:tabs>
          <w:tab w:leader="none" w:pos="293"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cooperate with SUBLICENSOR, cause its Affiliates to cooperate with SUBLICENSOR and use commercially reasonable efforts to require any Third Party with which ILDONG has an agreement with respect to the conduct of Clinical Trials for the Product (including agreements with contract research organizations, clinical sites and investigators), to cooperate with SUBLICENSOR in order to accomplish the transfer to SUBLICENSOR of similar rights as held by ILDONG under its agreements with such Third Parties; (F) provide SUBLICENSOR with copies of all reports and Clinical Data generated or obtained by ILDONG or its Affiliates, and all Promotional Materials used by ILDONG, pursuant to this Agreement that relate to the Product that have not previously been provided to SUBLICENSOR and provide SUBLICENSOR with a right of access, a right of reference and a right to use and incorporate all Clinical Data, results and information in all Drug Approval Applications then in its name applicable to the commercialization of Product and all material aspects of Confidential Information Controlled by it as of the date relating to such Drug Approval Applications for SUBLICENSOR to use to seek Regulatory Approvals, Pricing Approvals, or Reimbursement Approvals; (G) provide SUBLICENSOR at cost with all supplies of Compounds and Products in the possession of ILDONG or any Affiliate or contractor of ILDONG; and (H) provide SUBLICENSOR with copies of all reports and data generated or obtained by ILDONG or its Affiliates pursuant to this Agreement that relate to any Product that have not previously been provided to SUBLICENSOR; (I) enter into negotiations with SUBLICENSOR and agree upon and implement a plan for the orderly transition of Development and Commercialization from ILDONG to SUBLICENSOR in a manner consistent with Applicable Laws and standards of ethical conduct of human Clinical Trials and will seek to replace all ILDONG personnel engaged in any Development or Commercialization activities, in each case, as promptly as practicable. In connection therewith, ILDONG shall be deemed to have granted to SUBLICENSOR an exclusive, fully-paid, royalty-free, irrevocable license, with the right to grant sublicenses under ILDONG’s interest in Joint Improvements and Joint Patent Rights, for the sole purpose of using, making, having made, offering for sale, selling, having sold, importing and exporting any Products being Developed and/or Commercialized by ILDONG as of the effective date of such termination in the Field and in the Territory.</w:t>
      </w:r>
    </w:p>
    <w:p>
      <w:pPr>
        <w:spacing w:after="0" w:line="174" w:lineRule="exact"/>
        <w:rPr>
          <w:rFonts w:ascii="Arial" w:cs="Arial" w:eastAsia="Arial" w:hAnsi="Arial"/>
          <w:sz w:val="16"/>
          <w:szCs w:val="16"/>
          <w:color w:val="auto"/>
        </w:rPr>
      </w:pPr>
    </w:p>
    <w:p>
      <w:pPr>
        <w:jc w:val="both"/>
        <w:ind w:firstLine="1953"/>
        <w:spacing w:after="0" w:line="264" w:lineRule="auto"/>
        <w:tabs>
          <w:tab w:leader="none" w:pos="2716" w:val="left"/>
        </w:tabs>
        <w:numPr>
          <w:ilvl w:val="1"/>
          <w:numId w:val="83"/>
        </w:numPr>
        <w:rPr>
          <w:rFonts w:ascii="Arial" w:cs="Arial" w:eastAsia="Arial" w:hAnsi="Arial"/>
          <w:sz w:val="18"/>
          <w:szCs w:val="18"/>
          <w:color w:val="auto"/>
        </w:rPr>
      </w:pPr>
      <w:r>
        <w:rPr>
          <w:rFonts w:ascii="Arial" w:cs="Arial" w:eastAsia="Arial" w:hAnsi="Arial"/>
          <w:sz w:val="18"/>
          <w:szCs w:val="18"/>
          <w:color w:val="auto"/>
        </w:rPr>
        <w:t>Each Party shall promptly return all Confidential Information and Proprietary Materials of the other Party that are not subject to a continuing license hereunder; provided, that, each Party may retain one copy of the Confidential Information of the other Party in its archives solely for the purpose of establishing the contents thereof and ensuring compliance with its obligations hereunder.</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ILDONG shall promptly return to SUBLICENSOR all raw data and results generated in each such Clinical Trial.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SUBLICENSOR agrees that it will not voluntarily terminate the LFB/GTC Agreement (or allow such agreement to be terminated by the Senior Licensors), unless SUBLICENSOR maintains its license for the Territory on terms and conditions no less favorable to ILDONG as in this Agreement or makes arrangements for ILDONG to be granted a direct license from the Senior Licensors with terms and conditions no less favorable to ILDONG as in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6" w:name="page127"/>
    <w:bookmarkEnd w:id="126"/>
    <w:p>
      <w:pPr>
        <w:jc w:val="both"/>
        <w:ind w:firstLine="1845"/>
        <w:spacing w:after="0" w:line="270" w:lineRule="auto"/>
        <w:tabs>
          <w:tab w:leader="none" w:pos="2672" w:val="left"/>
        </w:tabs>
        <w:numPr>
          <w:ilvl w:val="0"/>
          <w:numId w:val="84"/>
        </w:numPr>
        <w:rPr>
          <w:rFonts w:ascii="Arial" w:cs="Arial" w:eastAsia="Arial" w:hAnsi="Arial"/>
          <w:sz w:val="17"/>
          <w:szCs w:val="17"/>
          <w:color w:val="auto"/>
        </w:rPr>
      </w:pPr>
      <w:r>
        <w:rPr>
          <w:rFonts w:ascii="Arial" w:cs="Arial" w:eastAsia="Arial" w:hAnsi="Arial"/>
          <w:sz w:val="17"/>
          <w:szCs w:val="17"/>
          <w:color w:val="auto"/>
        </w:rPr>
        <w:t>Upon any termination of this Agreement by SUBLICENSOR, (excluding termination by SUBLICENSOR pursuant to 11.2.2), or upon termination by ILDONG pursuant to 11.2.2, SUBLICENSOR shall buy back from ILDONG, at the Purchase Price, any unsold, unopened SUBLICENSOR Products in ILDONG’s possession that have been purchased from SUBLICENSOR which are in marketable condition (as determined in the sole discretion of SUBLICENSOR) and are of a product designation then included in the products being offered for sales by SUBLICENSOR. The aggregate amount to be paid to ILDONG under this provision may be offset by SUBLICENSOR against claims it has against ILDONG, including payment of goods supplied under this Agreement. In order to ensure the marketable condition of such Products, all documentation must be presented indicating proper storage, handling, and shipment of such Products at all times while in possession by ILDONG. Additionally, and at ILDONG’S sole expense, SUBLICENSOR may request a sample of such Product be analyzed by an independent laboratory (to be agreed upon by both Parties), to assess the Product’s marketable condition and adherence to product specifications. In the case that such Product is determined not to be in marketable condition, SUBLICENSOR will not be obligated to purchase back such Product from ILDONG.</w:t>
      </w:r>
    </w:p>
    <w:p>
      <w:pPr>
        <w:spacing w:after="0" w:line="174"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6"/>
          <w:szCs w:val="16"/>
          <w:b w:val="1"/>
          <w:bCs w:val="1"/>
          <w:u w:val="single" w:color="auto"/>
          <w:color w:val="auto"/>
        </w:rPr>
        <w:t>Termination by ILDONG</w:t>
      </w:r>
      <w:r>
        <w:rPr>
          <w:rFonts w:ascii="Arial" w:cs="Arial" w:eastAsia="Arial" w:hAnsi="Arial"/>
          <w:sz w:val="16"/>
          <w:szCs w:val="16"/>
          <w:color w:val="auto"/>
        </w:rPr>
        <w:t>. If this Agreement is terminated by ILDONG pursuant to Section, 11.2.2 or 11.2.3:</w:t>
      </w:r>
    </w:p>
    <w:p>
      <w:pPr>
        <w:spacing w:after="0" w:line="229" w:lineRule="exact"/>
        <w:rPr>
          <w:sz w:val="20"/>
          <w:szCs w:val="20"/>
          <w:color w:val="auto"/>
        </w:rPr>
      </w:pPr>
    </w:p>
    <w:p>
      <w:pPr>
        <w:jc w:val="both"/>
        <w:ind w:firstLine="1953"/>
        <w:spacing w:after="0" w:line="264" w:lineRule="auto"/>
        <w:tabs>
          <w:tab w:leader="none" w:pos="26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ILDONG’s election, all licenses granted by SUBLICENSOR to ILDONG pursuant to Section 2.1 shall survive such termination, in each case subject to ILDONG’s continued payment of all milestone, royalty and other payments under and in accordance with this Agreement with respect thereto.</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726"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Party shall promptly return all Confidential Information and Proprietary Materials of the other Party that are not subject to a continuing license hereunder; provided, that, each Party may retain one copy of the Confidential Information of the other Party in its archives solely for the purpose of establishing the contents thereof and ensuring compliance with its obligations hereunder.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ILDONG shall promptly return to SUBLICENSOR all raw data and results generated in each such Clinical Trial.</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u w:val="single" w:color="auto"/>
          <w:color w:val="auto"/>
        </w:rPr>
        <w:t>Surviving Provisions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Termination or expiration of this Agreement for any reason shall be without prejudice to:</w:t>
      </w:r>
    </w:p>
    <w:p>
      <w:pPr>
        <w:spacing w:after="0" w:line="225" w:lineRule="exact"/>
        <w:rPr>
          <w:sz w:val="20"/>
          <w:szCs w:val="20"/>
          <w:color w:val="auto"/>
        </w:rPr>
      </w:pPr>
    </w:p>
    <w:p>
      <w:pPr>
        <w:ind w:left="1960" w:hanging="655"/>
        <w:spacing w:after="0"/>
        <w:tabs>
          <w:tab w:leader="none" w:pos="19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Survival of rights specifically stated in this Agreement to survive, including without limitation as set forth in Section 11.3;</w:t>
      </w:r>
    </w:p>
    <w:p>
      <w:pPr>
        <w:spacing w:after="0" w:line="236" w:lineRule="exact"/>
        <w:rPr>
          <w:rFonts w:ascii="Arial" w:cs="Arial" w:eastAsia="Arial" w:hAnsi="Arial"/>
          <w:sz w:val="17"/>
          <w:szCs w:val="17"/>
          <w:color w:val="auto"/>
        </w:rPr>
      </w:pPr>
    </w:p>
    <w:p>
      <w:pPr>
        <w:ind w:firstLine="1305"/>
        <w:spacing w:after="0" w:line="308" w:lineRule="auto"/>
        <w:tabs>
          <w:tab w:leader="none" w:pos="2132"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rights and obligations of the Parties provided in Sections 8, 9, 10, 12, 13, 14.1 and 14.2 (including all other Sections or Articles referenced in any such Section or Article), all of which shall survive such termination except as provided in this Article 10;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rights or remedies provided at law or equity which either Party may otherwise have.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7" w:name="page128"/>
    <w:bookmarkEnd w:id="127"/>
    <w:p>
      <w:pPr>
        <w:ind w:left="4420" w:hanging="630"/>
        <w:spacing w:after="0"/>
        <w:tabs>
          <w:tab w:leader="none" w:pos="44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w:t>
      </w:r>
      <w:r>
        <w:rPr>
          <w:rFonts w:ascii="Arial" w:cs="Arial" w:eastAsia="Arial" w:hAnsi="Arial"/>
          <w:sz w:val="16"/>
          <w:szCs w:val="16"/>
          <w:b w:val="1"/>
          <w:bCs w:val="1"/>
          <w:u w:val="single" w:color="auto"/>
          <w:color w:val="auto"/>
        </w:rPr>
        <w:t>Mutual Representations and Warranties</w:t>
      </w:r>
      <w:r>
        <w:rPr>
          <w:rFonts w:ascii="Arial" w:cs="Arial" w:eastAsia="Arial" w:hAnsi="Arial"/>
          <w:sz w:val="16"/>
          <w:szCs w:val="16"/>
          <w:b w:val="1"/>
          <w:bCs w:val="1"/>
          <w:color w:val="auto"/>
        </w:rPr>
        <w: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SUBLICENSOR and ILDONG each hereby </w:t>
      </w:r>
      <w:r>
        <w:rPr>
          <w:rFonts w:ascii="Arial" w:cs="Arial" w:eastAsia="Arial" w:hAnsi="Arial"/>
          <w:sz w:val="18"/>
          <w:szCs w:val="18"/>
          <w:color w:val="auto"/>
        </w:rPr>
        <w:t>represent and warrant to the other, as of the Effective Date, as follows:</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12.1.1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 It is a corporation duly organized, validly existing and in good standing under the laws of the jurisdiction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and has all requisite power and authority, corporate or otherwise, to execute, deliver and perform this Agreement.</w:t>
      </w:r>
    </w:p>
    <w:p>
      <w:pPr>
        <w:spacing w:after="0" w:line="16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The execution and delivery of this Agreement and the performance by it of the transactions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have been duly authorized by all necessary corporate action and will not violate (a) such Party’s certificate of incorporation or bylaws (or equivalent charter or organizational documents), (b) any agreement, instrument or contractual obligation to which such Party is bound in any material respect, (c) any requirement of any Applicable Laws, or (d) any order, writ, judgment, injunction, decree, determination or award of any court or governmental agency presently in effect applicable to such Party.</w:t>
      </w:r>
    </w:p>
    <w:p>
      <w:pPr>
        <w:spacing w:after="0" w:line="18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12.1.3 </w:t>
      </w:r>
      <w:r>
        <w:rPr>
          <w:rFonts w:ascii="Arial" w:cs="Arial" w:eastAsia="Arial" w:hAnsi="Arial"/>
          <w:sz w:val="18"/>
          <w:szCs w:val="18"/>
          <w:b w:val="1"/>
          <w:bCs w:val="1"/>
          <w:u w:val="single" w:color="auto"/>
          <w:color w:val="auto"/>
        </w:rPr>
        <w:t>Binding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a legal, valid and binding obligation of such Party enforceable against it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its terms and conditions.</w:t>
      </w:r>
    </w:p>
    <w:p>
      <w:pPr>
        <w:spacing w:after="0" w:line="162"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b w:val="1"/>
          <w:bCs w:val="1"/>
          <w:color w:val="auto"/>
        </w:rPr>
        <w:t xml:space="preserve">12.1.4 </w:t>
      </w:r>
      <w:r>
        <w:rPr>
          <w:rFonts w:ascii="Arial" w:cs="Arial" w:eastAsia="Arial" w:hAnsi="Arial"/>
          <w:sz w:val="17"/>
          <w:szCs w:val="17"/>
          <w:b w:val="1"/>
          <w:bCs w:val="1"/>
          <w:u w:val="single" w:color="auto"/>
          <w:color w:val="auto"/>
        </w:rPr>
        <w:t>No Inconsistent Obligation</w:t>
      </w:r>
      <w:r>
        <w:rPr>
          <w:rFonts w:ascii="Arial" w:cs="Arial" w:eastAsia="Arial" w:hAnsi="Arial"/>
          <w:sz w:val="17"/>
          <w:szCs w:val="17"/>
          <w:color w:val="auto"/>
        </w:rPr>
        <w:t>. It is not under any obligation, contractual or otherwise, to any Person that conflicts with or is</w:t>
      </w:r>
      <w:r>
        <w:rPr>
          <w:rFonts w:ascii="Arial" w:cs="Arial" w:eastAsia="Arial" w:hAnsi="Arial"/>
          <w:sz w:val="17"/>
          <w:szCs w:val="17"/>
          <w:b w:val="1"/>
          <w:bCs w:val="1"/>
          <w:color w:val="auto"/>
        </w:rPr>
        <w:t xml:space="preserve"> </w:t>
      </w:r>
      <w:r>
        <w:rPr>
          <w:rFonts w:ascii="Arial" w:cs="Arial" w:eastAsia="Arial" w:hAnsi="Arial"/>
          <w:sz w:val="17"/>
          <w:szCs w:val="17"/>
          <w:color w:val="auto"/>
        </w:rPr>
        <w:t>inconsistent in any respect with the terms of this Agreement or that would impede the diligent and complete fulfillment of its obligations hereunder.</w:t>
      </w:r>
    </w:p>
    <w:p>
      <w:pPr>
        <w:spacing w:after="0" w:line="13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12.1.5 </w:t>
      </w:r>
      <w:r>
        <w:rPr>
          <w:rFonts w:ascii="Arial" w:cs="Arial" w:eastAsia="Arial" w:hAnsi="Arial"/>
          <w:sz w:val="18"/>
          <w:szCs w:val="18"/>
          <w:b w:val="1"/>
          <w:bCs w:val="1"/>
          <w:u w:val="single" w:color="auto"/>
          <w:color w:val="auto"/>
        </w:rPr>
        <w:t>No Government Authorization Required</w:t>
      </w:r>
      <w:r>
        <w:rPr>
          <w:rFonts w:ascii="Arial" w:cs="Arial" w:eastAsia="Arial" w:hAnsi="Arial"/>
          <w:sz w:val="18"/>
          <w:szCs w:val="18"/>
          <w:color w:val="auto"/>
        </w:rPr>
        <w:t>. No government authorization, consent, approval, license, exemption of or filing or</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with any court or governmental department, commission, board, bureau, agency or instrumentality, domestic or foreign, under any Applicable Laws currently in effect, is or will be necessary for, or in connection with, the transactions contemplated by this Agreement, or for the performance by it of its obligations under this Agreement.</w:t>
      </w:r>
    </w:p>
    <w:p>
      <w:pPr>
        <w:spacing w:after="0" w:line="180"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 xml:space="preserve">12.1.6 </w:t>
      </w:r>
      <w:r>
        <w:rPr>
          <w:rFonts w:ascii="Arial" w:cs="Arial" w:eastAsia="Arial" w:hAnsi="Arial"/>
          <w:sz w:val="18"/>
          <w:szCs w:val="18"/>
          <w:color w:val="auto"/>
        </w:rPr>
        <w:t>ILDONG represents and warrants that it has all necessary financial and human resources to enter and perform all its</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and obligations contained in the Agreement.</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u w:val="single" w:color="auto"/>
          <w:color w:val="auto"/>
        </w:rPr>
        <w:t>Additional Representations of SUBLICENSOR</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SUBLICENSOR further represents and warrants to ILDONG, as of the Effective Date, as follows:</w:t>
      </w:r>
    </w:p>
    <w:p>
      <w:pPr>
        <w:spacing w:after="0" w:line="22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12.2.1 </w:t>
      </w:r>
      <w:r>
        <w:rPr>
          <w:rFonts w:ascii="Arial" w:cs="Arial" w:eastAsia="Arial" w:hAnsi="Arial"/>
          <w:sz w:val="18"/>
          <w:szCs w:val="18"/>
          <w:b w:val="1"/>
          <w:bCs w:val="1"/>
          <w:u w:val="single" w:color="auto"/>
          <w:color w:val="auto"/>
        </w:rPr>
        <w:t>Validity of Patent Rights</w:t>
      </w:r>
      <w:r>
        <w:rPr>
          <w:rFonts w:ascii="Arial" w:cs="Arial" w:eastAsia="Arial" w:hAnsi="Arial"/>
          <w:sz w:val="18"/>
          <w:szCs w:val="18"/>
          <w:color w:val="auto"/>
        </w:rPr>
        <w:t>. All Licensed Patent Rights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w:t>
      </w:r>
      <w:r>
        <w:rPr>
          <w:rFonts w:ascii="Arial" w:cs="Arial" w:eastAsia="Arial" w:hAnsi="Arial"/>
          <w:sz w:val="18"/>
          <w:szCs w:val="18"/>
          <w:b w:val="1"/>
          <w:bCs w:val="1"/>
          <w:color w:val="auto"/>
        </w:rPr>
        <w:t xml:space="preserve"> </w:t>
      </w:r>
      <w:r>
        <w:rPr>
          <w:rFonts w:ascii="Arial" w:cs="Arial" w:eastAsia="Arial" w:hAnsi="Arial"/>
          <w:sz w:val="18"/>
          <w:szCs w:val="18"/>
          <w:color w:val="auto"/>
        </w:rPr>
        <w:t>are existing and, to SUBLICENSOR’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 issued patents which are part of the Licensed Patent Rights listed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are invalid or unenforceable.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8" w:name="page129"/>
    <w:bookmarkEnd w:id="128"/>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12.2.2 </w:t>
      </w:r>
      <w:r>
        <w:rPr>
          <w:rFonts w:ascii="Arial" w:cs="Arial" w:eastAsia="Arial" w:hAnsi="Arial"/>
          <w:sz w:val="16"/>
          <w:szCs w:val="16"/>
          <w:b w:val="1"/>
          <w:bCs w:val="1"/>
          <w:u w:val="single" w:color="auto"/>
          <w:color w:val="auto"/>
        </w:rPr>
        <w:t>No Claims</w:t>
      </w:r>
      <w:r>
        <w:rPr>
          <w:rFonts w:ascii="Arial" w:cs="Arial" w:eastAsia="Arial" w:hAnsi="Arial"/>
          <w:sz w:val="16"/>
          <w:szCs w:val="16"/>
          <w:color w:val="auto"/>
        </w:rPr>
        <w:t>. There are no claims, judgments or settlements against SUBLICENSOR pending, or to SUBLICENSOR’</w:t>
      </w:r>
      <w:r>
        <w:rPr>
          <w:rFonts w:ascii="Arial" w:cs="Arial" w:eastAsia="Arial" w:hAnsi="Arial"/>
          <w:sz w:val="16"/>
          <w:szCs w:val="16"/>
          <w:b w:val="1"/>
          <w:bCs w:val="1"/>
          <w:color w:val="auto"/>
        </w:rPr>
        <w:t xml:space="preserve"> </w:t>
      </w:r>
      <w:r>
        <w:rPr>
          <w:rFonts w:ascii="Arial" w:cs="Arial" w:eastAsia="Arial" w:hAnsi="Arial"/>
          <w:sz w:val="16"/>
          <w:szCs w:val="16"/>
          <w:color w:val="auto"/>
        </w:rPr>
        <w:t>Knowledge, threatened, that invalidate or seek to invalidate the Licensed Patent Rights. There is no litigation pending against SUBLICENSOR or any Affiliate of SUBLICENSOR that alleges that any of SUBLICENSOR’ activities relating to the Compound have violated, or by Developing the Compound would violate, any of the intellectual property rights of any Third Party (nor has it received any written communication threatening such litigation). To SUBLICENSOR’ Knowledge, no litigation has been threatened against SUBLICENSOR or any Affiliate of SUBLICENSOR which alleges that any of its activities relating to the Compound have violated, or by Developing the Compound would violate, any of the intellectual property rights of any Third Party.</w:t>
      </w:r>
    </w:p>
    <w:p>
      <w:pPr>
        <w:spacing w:after="0" w:line="15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12.2.3 </w:t>
      </w:r>
      <w:r>
        <w:rPr>
          <w:rFonts w:ascii="Arial" w:cs="Arial" w:eastAsia="Arial" w:hAnsi="Arial"/>
          <w:sz w:val="18"/>
          <w:szCs w:val="18"/>
          <w:b w:val="1"/>
          <w:bCs w:val="1"/>
          <w:u w:val="single" w:color="auto"/>
          <w:color w:val="auto"/>
        </w:rPr>
        <w:t>No License</w:t>
      </w:r>
      <w:r>
        <w:rPr>
          <w:rFonts w:ascii="Arial" w:cs="Arial" w:eastAsia="Arial" w:hAnsi="Arial"/>
          <w:sz w:val="18"/>
          <w:szCs w:val="18"/>
          <w:color w:val="auto"/>
        </w:rPr>
        <w:t>. SUBLICENSOR has not previously entered into any agreement pursuant to which it granted a license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Compound, or Product or under the Licensed Patent Rights or Licensed Technology to any Affiliate or Third Party, which license grant remains in effect or which agreement has surviving license rights, or other surviving terms, that are inconsistent with the rights and licenses granted to ILDONG under this Agreement.</w:t>
      </w:r>
    </w:p>
    <w:p>
      <w:pPr>
        <w:spacing w:after="0" w:line="180"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12.2.4 </w:t>
      </w:r>
      <w:r>
        <w:rPr>
          <w:rFonts w:ascii="Arial" w:cs="Arial" w:eastAsia="Arial" w:hAnsi="Arial"/>
          <w:sz w:val="18"/>
          <w:szCs w:val="18"/>
          <w:b w:val="1"/>
          <w:bCs w:val="1"/>
          <w:u w:val="single" w:color="auto"/>
          <w:color w:val="auto"/>
        </w:rPr>
        <w:t>Third Party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the patents disclosed during ILDONG’S due diligence and to SUBLICENSOR’ Knowledge, no</w:t>
      </w:r>
      <w:r>
        <w:rPr>
          <w:rFonts w:ascii="Arial" w:cs="Arial" w:eastAsia="Arial" w:hAnsi="Arial"/>
          <w:sz w:val="18"/>
          <w:szCs w:val="18"/>
          <w:b w:val="1"/>
          <w:bCs w:val="1"/>
          <w:color w:val="auto"/>
        </w:rPr>
        <w:t xml:space="preserve"> </w:t>
      </w:r>
      <w:r>
        <w:rPr>
          <w:rFonts w:ascii="Arial" w:cs="Arial" w:eastAsia="Arial" w:hAnsi="Arial"/>
          <w:sz w:val="18"/>
          <w:szCs w:val="18"/>
          <w:color w:val="auto"/>
        </w:rPr>
        <w:t>Patent Rights owned or controlled by any Third Party would be infringed by the Development, Manufacture, use of Commercialization by or on behalf of ILDONG of the Compound or any Product pursuant to this Agreement.</w:t>
      </w:r>
    </w:p>
    <w:p>
      <w:pPr>
        <w:spacing w:after="0" w:line="176" w:lineRule="exact"/>
        <w:rPr>
          <w:sz w:val="20"/>
          <w:szCs w:val="20"/>
          <w:color w:val="auto"/>
        </w:rPr>
      </w:pPr>
    </w:p>
    <w:p>
      <w:pPr>
        <w:jc w:val="both"/>
        <w:ind w:right="20" w:firstLine="1297"/>
        <w:spacing w:after="0" w:line="266" w:lineRule="auto"/>
        <w:rPr>
          <w:sz w:val="20"/>
          <w:szCs w:val="20"/>
          <w:color w:val="auto"/>
        </w:rPr>
      </w:pPr>
      <w:r>
        <w:rPr>
          <w:rFonts w:ascii="Arial" w:cs="Arial" w:eastAsia="Arial" w:hAnsi="Arial"/>
          <w:sz w:val="18"/>
          <w:szCs w:val="18"/>
          <w:b w:val="1"/>
          <w:bCs w:val="1"/>
          <w:color w:val="auto"/>
        </w:rPr>
        <w:t xml:space="preserve">12.2.5 </w:t>
      </w:r>
      <w:r>
        <w:rPr>
          <w:rFonts w:ascii="Arial" w:cs="Arial" w:eastAsia="Arial" w:hAnsi="Arial"/>
          <w:sz w:val="18"/>
          <w:szCs w:val="18"/>
          <w:b w:val="1"/>
          <w:bCs w:val="1"/>
          <w:u w:val="single" w:color="auto"/>
          <w:color w:val="auto"/>
        </w:rPr>
        <w:t>No Interference</w:t>
      </w:r>
      <w:r>
        <w:rPr>
          <w:rFonts w:ascii="Arial" w:cs="Arial" w:eastAsia="Arial" w:hAnsi="Arial"/>
          <w:sz w:val="18"/>
          <w:szCs w:val="18"/>
          <w:color w:val="auto"/>
        </w:rPr>
        <w:t>. To SUBLICENSOR’S Knowledge, (a) the Licensed Patent Rights are not the subject of any interference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and (b) there is no pending or threatened action, suit, proceeding or claim by any Third Party challenging SUBLICENSOR’S ownership rights in, or the validity or scope of, the Licensed Patent Rights.</w:t>
      </w:r>
    </w:p>
    <w:p>
      <w:pPr>
        <w:spacing w:after="0" w:line="17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u w:val="single" w:color="auto"/>
          <w:color w:val="auto"/>
        </w:rPr>
        <w:t>Additional Representations of ILDONG</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ILDONG further represents and warrants to SUBLICENSOR, as of the Effective Date, as follows:</w:t>
      </w:r>
    </w:p>
    <w:p>
      <w:pPr>
        <w:spacing w:after="0" w:line="22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 xml:space="preserve">12.3.1 </w:t>
      </w:r>
      <w:r>
        <w:rPr>
          <w:rFonts w:ascii="Arial" w:cs="Arial" w:eastAsia="Arial" w:hAnsi="Arial"/>
          <w:sz w:val="17"/>
          <w:szCs w:val="17"/>
          <w:b w:val="1"/>
          <w:bCs w:val="1"/>
          <w:u w:val="single" w:color="auto"/>
          <w:color w:val="auto"/>
        </w:rPr>
        <w:t>No Claims</w:t>
      </w:r>
      <w:r>
        <w:rPr>
          <w:rFonts w:ascii="Arial" w:cs="Arial" w:eastAsia="Arial" w:hAnsi="Arial"/>
          <w:sz w:val="17"/>
          <w:szCs w:val="17"/>
          <w:color w:val="auto"/>
        </w:rPr>
        <w:t>. There is no litigation pending against ILDONG or any Affiliate of ILDONG that relates, directly or indirectly,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subject matter of this Agreement and that alleges that any of ILDONG’s activities to be conducted relating to the Development of the Compound would violate any of the intellectual property rights of any Third Party (nor has it received any written communication threatening such litigation).</w:t>
      </w:r>
    </w:p>
    <w:p>
      <w:pPr>
        <w:spacing w:after="0" w:line="15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12.3.2 </w:t>
      </w:r>
      <w:r>
        <w:rPr>
          <w:rFonts w:ascii="Arial" w:cs="Arial" w:eastAsia="Arial" w:hAnsi="Arial"/>
          <w:sz w:val="18"/>
          <w:szCs w:val="18"/>
          <w:b w:val="1"/>
          <w:bCs w:val="1"/>
          <w:u w:val="single" w:color="auto"/>
          <w:color w:val="auto"/>
        </w:rPr>
        <w:t>Compliance with Applicable Laws</w:t>
      </w:r>
      <w:r>
        <w:rPr>
          <w:rFonts w:ascii="Arial" w:cs="Arial" w:eastAsia="Arial" w:hAnsi="Arial"/>
          <w:sz w:val="18"/>
          <w:szCs w:val="18"/>
          <w:b w:val="1"/>
          <w:bCs w:val="1"/>
          <w:color w:val="auto"/>
        </w:rPr>
        <w:t xml:space="preserve">. </w:t>
      </w:r>
      <w:r>
        <w:rPr>
          <w:rFonts w:ascii="Arial" w:cs="Arial" w:eastAsia="Arial" w:hAnsi="Arial"/>
          <w:sz w:val="18"/>
          <w:szCs w:val="18"/>
          <w:color w:val="auto"/>
        </w:rPr>
        <w:t>ILDONG is in compliance with all Applicable Laws, and is not in default under or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Applicable Laws, that, in any case, would reasonably be expected to adversely affect the ability of ILDONG to comply with and perform its obligations under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9" w:name="page130"/>
    <w:bookmarkEnd w:id="129"/>
    <w:p>
      <w:pPr>
        <w:jc w:val="both"/>
        <w:ind w:firstLine="1297"/>
        <w:spacing w:after="0" w:line="291" w:lineRule="auto"/>
        <w:rPr>
          <w:sz w:val="20"/>
          <w:szCs w:val="20"/>
          <w:color w:val="auto"/>
        </w:rPr>
      </w:pPr>
      <w:r>
        <w:rPr>
          <w:rFonts w:ascii="Arial" w:cs="Arial" w:eastAsia="Arial" w:hAnsi="Arial"/>
          <w:sz w:val="16"/>
          <w:szCs w:val="16"/>
          <w:b w:val="1"/>
          <w:bCs w:val="1"/>
          <w:color w:val="auto"/>
        </w:rPr>
        <w:t xml:space="preserve">12.3.3 </w:t>
      </w:r>
      <w:r>
        <w:rPr>
          <w:rFonts w:ascii="Arial" w:cs="Arial" w:eastAsia="Arial" w:hAnsi="Arial"/>
          <w:sz w:val="16"/>
          <w:szCs w:val="16"/>
          <w:b w:val="1"/>
          <w:bCs w:val="1"/>
          <w:u w:val="single" w:color="auto"/>
          <w:color w:val="auto"/>
        </w:rPr>
        <w:t>Electronic Dataroom</w:t>
      </w:r>
      <w:r>
        <w:rPr>
          <w:rFonts w:ascii="Arial" w:cs="Arial" w:eastAsia="Arial" w:hAnsi="Arial"/>
          <w:sz w:val="16"/>
          <w:szCs w:val="16"/>
          <w:color w:val="auto"/>
        </w:rPr>
        <w:t>. ILDONG represents and warrants that it has been granted access to an electronic dataroom organized</w:t>
      </w:r>
      <w:r>
        <w:rPr>
          <w:rFonts w:ascii="Arial" w:cs="Arial" w:eastAsia="Arial" w:hAnsi="Arial"/>
          <w:sz w:val="16"/>
          <w:szCs w:val="16"/>
          <w:b w:val="1"/>
          <w:bCs w:val="1"/>
          <w:color w:val="auto"/>
        </w:rPr>
        <w:t xml:space="preserve"> </w:t>
      </w:r>
      <w:r>
        <w:rPr>
          <w:rFonts w:ascii="Arial" w:cs="Arial" w:eastAsia="Arial" w:hAnsi="Arial"/>
          <w:sz w:val="16"/>
          <w:szCs w:val="16"/>
          <w:color w:val="auto"/>
        </w:rPr>
        <w:t>by SUBLICENSOR and therefore has a clear and perfect knowledge and a good understanding of all documents, information and data contained in such electronic dataroom, and their consequences on rights granted by LICENCOR under the Agreement. Within thirty (30) days of the date hereof, SUBLICENSOR will use Commercially Reasonable Efforts to transfer a copy of the contents of the electronic dataroom in their original format to ILDONG and will transfer such other manifestations of the Licensed Technology useful or necessary for ILDONG to Develop and Commercialize the Products, including without limitation raw data and results generated in each clinical trial and pre-clinical studies previously conducted and batch reports from manufacturing runs through the date hereof, to the extent not included in the dataroom. On and after the date hereof, SUBLICENSOR will use Commercially Reasonable Efforts to forward such manifestations of the Licensed Technology that it has in its possession to ILDONG on a regular basis or upon request.</w:t>
      </w:r>
    </w:p>
    <w:p>
      <w:pPr>
        <w:spacing w:after="0" w:line="160" w:lineRule="exact"/>
        <w:rPr>
          <w:sz w:val="20"/>
          <w:szCs w:val="20"/>
          <w:color w:val="auto"/>
        </w:rPr>
      </w:pPr>
    </w:p>
    <w:p>
      <w:pPr>
        <w:ind w:left="4700" w:hanging="634"/>
        <w:spacing w:after="0"/>
        <w:tabs>
          <w:tab w:leader="none" w:pos="47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INSURANCE</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w:t>
      </w:r>
      <w:r>
        <w:rPr>
          <w:rFonts w:ascii="Arial" w:cs="Arial" w:eastAsia="Arial" w:hAnsi="Arial"/>
          <w:sz w:val="17"/>
          <w:szCs w:val="17"/>
          <w:b w:val="1"/>
          <w:bCs w:val="1"/>
          <w:u w:val="single" w:color="auto"/>
          <w:color w:val="auto"/>
        </w:rPr>
        <w:t>Indemnification of SUBLICENSOR by ILDONG</w:t>
      </w:r>
      <w:r>
        <w:rPr>
          <w:rFonts w:ascii="Arial" w:cs="Arial" w:eastAsia="Arial" w:hAnsi="Arial"/>
          <w:sz w:val="17"/>
          <w:szCs w:val="17"/>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ILDONG shall indemnify, defend and hold harmless SUBLICENSOR, its Affiliates, their respective directors, officers, employees and agents, and their respective successors, heirs and assigns (collectively, the “</w:t>
      </w:r>
      <w:r>
        <w:rPr>
          <w:rFonts w:ascii="Arial" w:cs="Arial" w:eastAsia="Arial" w:hAnsi="Arial"/>
          <w:sz w:val="17"/>
          <w:szCs w:val="17"/>
          <w:b w:val="1"/>
          <w:bCs w:val="1"/>
          <w:color w:val="auto"/>
        </w:rPr>
        <w:t>SUBLICENSOR Indemnities</w:t>
      </w:r>
      <w:r>
        <w:rPr>
          <w:rFonts w:ascii="Arial" w:cs="Arial" w:eastAsia="Arial" w:hAnsi="Arial"/>
          <w:sz w:val="17"/>
          <w:szCs w:val="17"/>
          <w:color w:val="auto"/>
        </w:rPr>
        <w:t>”), against all liabilities, damages, losses and expenses (including, without limitation, reasonable attorneys’ fees and expenses of litigation) (collectively, “</w:t>
      </w:r>
      <w:r>
        <w:rPr>
          <w:rFonts w:ascii="Arial" w:cs="Arial" w:eastAsia="Arial" w:hAnsi="Arial"/>
          <w:sz w:val="17"/>
          <w:szCs w:val="17"/>
          <w:b w:val="1"/>
          <w:bCs w:val="1"/>
          <w:color w:val="auto"/>
        </w:rPr>
        <w:t>Losses</w:t>
      </w:r>
      <w:r>
        <w:rPr>
          <w:rFonts w:ascii="Arial" w:cs="Arial" w:eastAsia="Arial" w:hAnsi="Arial"/>
          <w:sz w:val="17"/>
          <w:szCs w:val="17"/>
          <w:color w:val="auto"/>
        </w:rPr>
        <w:t>”) incurred by or imposed upon SUBLICENSOR Indemnities, or any of them, as a direct result of claims, suits, actions, demands or judgments of Third Parties, including, without limitation, personal injury and product liability claims (collectively, “</w:t>
      </w:r>
      <w:r>
        <w:rPr>
          <w:rFonts w:ascii="Arial" w:cs="Arial" w:eastAsia="Arial" w:hAnsi="Arial"/>
          <w:sz w:val="17"/>
          <w:szCs w:val="17"/>
          <w:b w:val="1"/>
          <w:bCs w:val="1"/>
          <w:color w:val="auto"/>
        </w:rPr>
        <w:t>Claims</w:t>
      </w:r>
      <w:r>
        <w:rPr>
          <w:rFonts w:ascii="Arial" w:cs="Arial" w:eastAsia="Arial" w:hAnsi="Arial"/>
          <w:sz w:val="17"/>
          <w:szCs w:val="17"/>
          <w:color w:val="auto"/>
        </w:rPr>
        <w:t>”), arising out of (a) the Development, testing, sale, offer for sale, or Commercialization by ILDONG or any of its Affiliates, Sublicensees or Distributors of any Product; (b) any breach of this Agreement by ILDONG or any of its Affiliates, Sublicensees, Distributors or agents; and (c) the gross negligence or willful misconduct of any ILDONG Indemnity or Sublicensee of ILDONG; excluding, in each of (a), (b) and (c) above, any Claim or Loss with respect to which SUBLICENSOR has an obligation to indemnify ILDONG Indemnities pursuant to Section 13.2, as to which Claim or Loss each Party will indemnify the other to the extent of their respective liability for such Loss (unless such Claim or Loss is otherwise expressly excluded from a Party’s indemnification obligations under this Agreement).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u w:val="single" w:color="auto"/>
          <w:color w:val="auto"/>
        </w:rPr>
        <w:t>Indemnification of ILDONG by SUBLICENSOR</w:t>
      </w:r>
      <w:r>
        <w:rPr>
          <w:rFonts w:ascii="Arial" w:cs="Arial" w:eastAsia="Arial" w:hAnsi="Arial"/>
          <w:sz w:val="17"/>
          <w:szCs w:val="17"/>
          <w:color w:val="auto"/>
        </w:rPr>
        <w: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SUBLICENSOR shall indemnify, defend and hold harmless ILDONG, its Affiliates, their respective directors, officers, employees and agents, and their respective successors, heirs and assigns (collectively, the “</w:t>
      </w:r>
      <w:r>
        <w:rPr>
          <w:rFonts w:ascii="Arial" w:cs="Arial" w:eastAsia="Arial" w:hAnsi="Arial"/>
          <w:sz w:val="16"/>
          <w:szCs w:val="16"/>
          <w:b w:val="1"/>
          <w:bCs w:val="1"/>
          <w:color w:val="auto"/>
        </w:rPr>
        <w:t>ILDONG Indemnities</w:t>
      </w:r>
      <w:r>
        <w:rPr>
          <w:rFonts w:ascii="Arial" w:cs="Arial" w:eastAsia="Arial" w:hAnsi="Arial"/>
          <w:sz w:val="16"/>
          <w:szCs w:val="16"/>
          <w:color w:val="auto"/>
        </w:rPr>
        <w:t>”), against all Losses (including, without limitation, reasonable attorneys’ fees and expenses of litigation) incurred by or imposed upon the ILDONG Indemnities, or any of them, as a direct result of Claims arising out of</w:t>
      </w:r>
    </w:p>
    <w:p>
      <w:pPr>
        <w:jc w:val="both"/>
        <w:ind w:firstLine="8"/>
        <w:spacing w:after="0" w:line="252" w:lineRule="auto"/>
        <w:tabs>
          <w:tab w:leader="none" w:pos="27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commercialization by SUBLICENSOR of any SUBLICENSOR Commercialization Product in the SUBLICENSOR Commercialization Territory following exercise of SUBLICENSOR commercialization option (b) any breach of this Agreement by SUBLICENSOR or any of its Affiliates, (sub)licensees, distributors or agents; or (c) the gross negligence or willful misconduct of any SUBLICENSOR Indemnity or (sub)licensee of SUBLICENSOR; excluding, in the case of clauses (a) and (b) above, any Claim or Loss with respect to which ILDONG or any of its Affiliates has an obligation to indemnify SUBLICENSOR pursuant to Section 13.1, as to which Claim or Loss each Party will indemnify the other to the extent of their respective liability for such Loss.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30" w:name="page131"/>
    <w:bookmarkEnd w:id="130"/>
    <w:p>
      <w:pPr>
        <w:ind w:left="660"/>
        <w:spacing w:after="0"/>
        <w:tabs>
          <w:tab w:leader="none" w:pos="13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u w:val="single" w:color="auto"/>
          <w:color w:val="auto"/>
        </w:rPr>
        <w:t>Conditions to Indemnification</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Person seeking modification under this Article 13 (the “</w:t>
      </w:r>
      <w:r>
        <w:rPr>
          <w:rFonts w:ascii="Arial" w:cs="Arial" w:eastAsia="Arial" w:hAnsi="Arial"/>
          <w:sz w:val="18"/>
          <w:szCs w:val="18"/>
          <w:b w:val="1"/>
          <w:bCs w:val="1"/>
          <w:color w:val="auto"/>
        </w:rPr>
        <w:t>Indemnified Party</w:t>
      </w:r>
      <w:r>
        <w:rPr>
          <w:rFonts w:ascii="Arial" w:cs="Arial" w:eastAsia="Arial" w:hAnsi="Arial"/>
          <w:sz w:val="18"/>
          <w:szCs w:val="18"/>
          <w:color w:val="auto"/>
        </w:rPr>
        <w:t>”) in respect of a Claim shall give prompt notice of such Claim to the Party from which indemnification is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provided, that, the Indemnifying Party is not contesting its obligation under this Section 13, shall permit the Indemnifying Party to control any litigation relating to such Claim and the disposition of such Claim; provided, that, the Indemnifying Party shall (a) act reasonably and in good faith with respect to all matters relating to the settlement or disposition of such Claim as the settlement or disposition relates to such Indemnified Party and (b) not settle or otherwise resolve such claim without the prior written consent of such Indemnified Party (which consent shall not be unreasonably withheld, conditioned or delayed). Each Indemnified Party shall cooperate with the Indemnifying Party in its defense of any such Claim in all reasonable respects and shall have the right to be present in person or through counsel at all legal proceedings with respect to such Claim.</w:t>
      </w:r>
    </w:p>
    <w:p>
      <w:pPr>
        <w:spacing w:after="0" w:line="18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 later than thirty (30) days before the date on which ILDONG or any Affiliate or Sublicensee of ILDONG shall, on a commercial basis, make, use, or sell any Products, and at all times thereafter until the expiration of all applicable statutes of limitation pertaining to any such manufacture, marketing, possession, use, sale of other disposition of any Products, ILDONG will, at its expense, and SUBLICENSOR will, at its expense, with respect to Products, obtain and maintain in full force and effect, comprehensive general liability insurance, including product liability insurance and Clinical Trial insurance in such amounts as each such Party customarily maintains with respect to the development, manufacture and sale of its other products. Notwithstanding the foregoing, either Party may elect to self-insure with respect to any insurance coverage it is required to obtain hereunder as part of a comprehensive self-insurance program adopted by such Party. For the avoidance of doubt, all insurance obligations and associated costs for any sale and development of Product within the Territory and over which SUBLICENSOR has little or no control, shall be borne solely by ILDONG.</w:t>
      </w:r>
    </w:p>
    <w:p>
      <w:pPr>
        <w:spacing w:after="0" w:line="17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u w:val="single" w:color="auto"/>
          <w:color w:val="auto"/>
        </w:rPr>
        <w:t>Warranty Disclaimer</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EXPRESSLY PROVIDED IN THIS AGREEMENT, NEITHER PARTY MAKES ANY WARRANTY WITH RESPECT TO ANY KNOW-HOW, GOODS, SERVICES, RIGHTS OR OTHER SUBJECT MATTER OF THIS AGREEMENT AND EACH PARTY HEREBY DISCLAIMS ALL WARRANTIES, EXPRESS OR IMPLIED, INCLUDING, WITHOUT LIMITATION, WARRANTIES OF MERCHANTABILITY, FITNESS FOR A PARTICULAR PURPOSE AND NONINFRINGEMENT.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1" w:name="page132"/>
    <w:bookmarkEnd w:id="131"/>
    <w:p>
      <w:pPr>
        <w:ind w:left="660"/>
        <w:spacing w:after="0"/>
        <w:tabs>
          <w:tab w:leader="none" w:pos="13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5"/>
          <w:szCs w:val="15"/>
          <w:b w:val="1"/>
          <w:bCs w:val="1"/>
          <w:u w:val="single" w:color="auto"/>
          <w:color w:val="auto"/>
        </w:rPr>
        <w:t>No Warranty of Success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Nothing contained in this Agreement shall be construed as a warranty, either express or implied, on the part of either Party that (a) the Development Program will yield a Product or otherwise be successful or meet its goals, time lines or budgets, or (b) the outcome of the Development Program will be commercially exploitable in any respect.</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7"/>
          <w:szCs w:val="17"/>
          <w:b w:val="1"/>
          <w:bCs w:val="1"/>
          <w:u w:val="single" w:color="auto"/>
          <w:color w:val="auto"/>
        </w:rPr>
        <w:t>Limited Liability</w:t>
      </w:r>
      <w:r>
        <w:rPr>
          <w:rFonts w:ascii="Arial" w:cs="Arial" w:eastAsia="Arial" w:hAnsi="Arial"/>
          <w:sz w:val="17"/>
          <w:szCs w:val="17"/>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AS SET FORTH UNDER SECTIONS 13.1 OR 13.2, NEITHER PARTY SHALL BE LIABLE TO THE OTHER PARTY OR ANY OF ITS AFFILIATES FOR (I) ANY SPECIAL, PUNITIVE, INDIRECT, INCIDENTAL OR CONSEQUENTIAL DAMAGES, INCLUDING, WITHOUT LIMITATION, LOST PROFITS OR LOST REVENUES, OR (II) COST OF PROCUREMENT OF SUBSTITUTE GOODS, KNOW-HOW OR SERVICES, WHETHER UNDER ANY CONTRACT, WARRANTY, NEGLIGENCE, STRICT LIABILITY OR OTHER LEGAL OR EQUITABLE THEORY.</w:t>
      </w:r>
    </w:p>
    <w:p>
      <w:pPr>
        <w:spacing w:after="0" w:line="167" w:lineRule="exact"/>
        <w:rPr>
          <w:sz w:val="20"/>
          <w:szCs w:val="20"/>
          <w:color w:val="auto"/>
        </w:rPr>
      </w:pPr>
    </w:p>
    <w:p>
      <w:pPr>
        <w:ind w:left="5340" w:hanging="623"/>
        <w:spacing w:after="0"/>
        <w:tabs>
          <w:tab w:leader="none" w:pos="53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5"/>
          <w:szCs w:val="15"/>
          <w:b w:val="1"/>
          <w:bCs w:val="1"/>
          <w:u w:val="single" w:color="auto"/>
          <w:color w:val="auto"/>
        </w:rPr>
        <w:t>Disputes; Consent to Jurisdiction</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Parties shall use reasonable efforts to settle any Disputed Matter arising from or related to this Agreement or the breach thereof (each, a “</w:t>
      </w:r>
      <w:r>
        <w:rPr>
          <w:rFonts w:ascii="Arial" w:cs="Arial" w:eastAsia="Arial" w:hAnsi="Arial"/>
          <w:sz w:val="17"/>
          <w:szCs w:val="17"/>
          <w:b w:val="1"/>
          <w:bCs w:val="1"/>
          <w:color w:val="auto"/>
        </w:rPr>
        <w:t>Dispute</w:t>
      </w:r>
      <w:r>
        <w:rPr>
          <w:rFonts w:ascii="Arial" w:cs="Arial" w:eastAsia="Arial" w:hAnsi="Arial"/>
          <w:sz w:val="17"/>
          <w:szCs w:val="17"/>
          <w:color w:val="auto"/>
        </w:rPr>
        <w:t>”) by promptly referring any such dispute to the Executive Officer of each Party. If the Executive Officers are unable to resolve any Dispute within thirty (30) days of the date on which the Dispute was referred to them for resolution, the Dispute shall be subject to the sole jurisdiction of, and venue in, the U.S. federal courts of competent jurisdiction located within New York, New York, USA (if available), and otherwise the state courts of competent jurisdiction located within New York, New York, USA. ILDONG and SUBLICENSOR each irrevocably consent to the jurisdiction of such courts, irrevocably waive any objection based on inconvenience of forum, and agree that process may be served in the manner provided herein for giving notices or otherwise as allowed by New York or applicable federal law. 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notices and communications shall be in writing and delivered personally or by internationally-recognized overnight express courier providing evidence of delivery or mailed via certified mail, return receipt requested, addressed as follows, or to such other address as may be designated from time to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2" w:name="page133"/>
    <w:bookmarkEnd w:id="132"/>
    <w:p>
      <w:pPr>
        <w:ind w:left="660"/>
        <w:spacing w:after="0"/>
        <w:rPr>
          <w:sz w:val="20"/>
          <w:szCs w:val="20"/>
          <w:color w:val="auto"/>
        </w:rPr>
      </w:pPr>
      <w:r>
        <w:rPr>
          <w:rFonts w:ascii="Arial" w:cs="Arial" w:eastAsia="Arial" w:hAnsi="Arial"/>
          <w:sz w:val="17"/>
          <w:szCs w:val="17"/>
          <w:color w:val="auto"/>
        </w:rPr>
        <w:t>If to SUBLICENSOR: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TG Biologics,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787 Seventh Ave., 48th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Hari Miskin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212-554-4492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212-554-4531</w:t>
      </w:r>
    </w:p>
    <w:p>
      <w:pPr>
        <w:spacing w:after="0" w:line="200" w:lineRule="exact"/>
        <w:rPr>
          <w:sz w:val="20"/>
          <w:szCs w:val="20"/>
          <w:color w:val="auto"/>
        </w:rPr>
      </w:pPr>
    </w:p>
    <w:p>
      <w:pPr>
        <w:sectPr>
          <w:pgSz w:w="11900" w:h="16838" w:orient="portrait"/>
          <w:cols w:equalWidth="0" w:num="2">
            <w:col w:w="3640" w:space="720"/>
            <w:col w:w="7060"/>
          </w:cols>
          <w:pgMar w:left="240" w:top="881" w:right="239" w:bottom="1440" w:gutter="0" w:footer="0" w:header="0"/>
        </w:sectPr>
      </w:pPr>
    </w:p>
    <w:p>
      <w:pPr>
        <w:spacing w:after="0" w:line="1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Alston &amp; Bird LLP</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Attn : Mark McElreath</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90 Park Avenue</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New York, NY 10016</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 : 212-210-9595</w:t>
      </w:r>
    </w:p>
    <w:p>
      <w:pPr>
        <w:sectPr>
          <w:pgSz w:w="11900" w:h="16838" w:orient="portrait"/>
          <w:cols w:equalWidth="0" w:num="1">
            <w:col w:w="11420"/>
          </w:cols>
          <w:pgMar w:left="240" w:top="881" w:right="239" w:bottom="1440" w:gutter="0" w:footer="0" w:header="0"/>
          <w:type w:val="continuous"/>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ILDONG: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ILDONG Pharmaceutical Co., Ltd.</w:t>
      </w:r>
    </w:p>
    <w:p>
      <w:pPr>
        <w:spacing w:after="0" w:line="211" w:lineRule="exact"/>
        <w:rPr>
          <w:sz w:val="20"/>
          <w:szCs w:val="20"/>
          <w:color w:val="auto"/>
        </w:rPr>
      </w:pPr>
    </w:p>
    <w:p>
      <w:pPr>
        <w:sectPr>
          <w:pgSz w:w="11900" w:h="16838" w:orient="portrait"/>
          <w:cols w:equalWidth="0" w:num="2">
            <w:col w:w="3640" w:space="720"/>
            <w:col w:w="7060"/>
          </w:cols>
          <w:pgMar w:left="240" w:top="881" w:right="239" w:bottom="1440" w:gutter="0" w:footer="0" w:header="0"/>
          <w:type w:val="continuous"/>
        </w:sectPr>
      </w:pPr>
    </w:p>
    <w:p>
      <w:pPr>
        <w:spacing w:after="0" w:line="3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Attn: SUNGSANG SEO</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 +82-2-526-3357</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Fax: +82-2-526-3020</w:t>
      </w:r>
    </w:p>
    <w:p>
      <w:pPr>
        <w:spacing w:after="0" w:line="21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BD&amp;Licensing Team</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ILDONG PHARMACEUTICAL CO., LTD.</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Attention: Dong-young Park</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Tel: +82-2-526-3383</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Fax: +82-2-526-3020</w:t>
      </w:r>
    </w:p>
    <w:p>
      <w:pPr>
        <w:sectPr>
          <w:pgSz w:w="11900" w:h="16838" w:orient="portrait"/>
          <w:cols w:equalWidth="0" w:num="1">
            <w:col w:w="11420"/>
          </w:cols>
          <w:pgMar w:left="240" w:top="881" w:right="239" w:bottom="1440" w:gutter="0" w:footer="0" w:header="0"/>
          <w:type w:val="continuous"/>
        </w:sectPr>
      </w:pP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otherwise expressly provided in this Agreement or mutually agreed in writing, any notice, communication or document (excluding payment) required to be given or made shall be deemed given or made and effective upon actual receipt or, if earlier, (a) three (3) Business Days after deposit with an internationally-recognized overnight express courier with charges prepaid, or (b) five (5) Business Days after mailed by certified, registered or regular mail, postage prepaid, in each case addressed to a Parties at its address stated above or to such other address as such Party may designate by written notice given in accordance with this Section 14.2.</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without regard to the application of principles of conflicts of law.</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u w:val="single" w:color="auto"/>
          <w:color w:val="auto"/>
        </w:rPr>
        <w:t>Competition Law</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SUBLICENSOR and ILDONG agree that nothing in this Agreement shall be interpreted in a way that conflicts with EC Block Exemption No: 418/85 on research and development agreements, or EC Block Exemption No: 240/96 on technology transfer agreements, as issued by the European Commission (as these may be amended or replaced from time to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33" w:name="page134"/>
    <w:bookmarkEnd w:id="133"/>
    <w:p>
      <w:pPr>
        <w:ind w:left="660"/>
        <w:spacing w:after="0"/>
        <w:tabs>
          <w:tab w:leader="none" w:pos="13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shall be binding upon and inure to the benefit of the Parties and their respective legal representatives,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0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5"/>
          <w:szCs w:val="15"/>
          <w:b w:val="1"/>
          <w:bCs w:val="1"/>
          <w:u w:val="single" w:color="auto"/>
          <w:color w:val="auto"/>
        </w:rPr>
        <w:t>Headings</w:t>
      </w:r>
      <w:r>
        <w:rPr>
          <w:rFonts w:ascii="Arial" w:cs="Arial" w:eastAsia="Arial" w:hAnsi="Arial"/>
          <w:sz w:val="15"/>
          <w:szCs w:val="15"/>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and subsection headings are inserted for convenience of reference only and do not form a part of this Agreement.</w:t>
      </w:r>
    </w:p>
    <w:p>
      <w:pPr>
        <w:spacing w:after="0" w:line="22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and both of which, together, shall constitute a single agreement.</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u w:val="single" w:color="auto"/>
          <w:color w:val="auto"/>
        </w:rPr>
        <w:t>Amendment; Waiver</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Agreement may be amended, modified, superseded or canceled, and any of the terms of this Agreement may be waived, only by a written instrument executed by each Party or, in the case of waiver, by the Party or Parties waiving compliance. The delay or failure of either Party at any time or times to require performance of any provisions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u w:val="single" w:color="auto"/>
          <w:color w:val="auto"/>
        </w:rPr>
        <w:t>No Third Party Beneficiaries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set forth in Sections 13.1 and 13.2, no Third Party (including, without limitation, employees of either Party) shall have or acquire any rights by reason of this Agreement.</w:t>
      </w:r>
    </w:p>
    <w:p>
      <w:pPr>
        <w:spacing w:after="0" w:line="166"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5"/>
          <w:szCs w:val="15"/>
          <w:b w:val="1"/>
          <w:bCs w:val="1"/>
          <w:u w:val="single" w:color="auto"/>
          <w:color w:val="auto"/>
        </w:rPr>
        <w:t>Purposes and Scope</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Parties hereto understand and agree that this relationship is limited to the activities, rights and obligations as set forth in this Agreement. Nothing in this Agreement shall be construed (a) to create or imply a general partnership between the Parties, (b) to make either Party the agent of the other for any purpose, (c) to alter, amend, supersede or vitiate any other arrangements between the Parties with respect to any subject matters not covered hereunder, (d) to give either Party the right to bind the other, (e) to create any duties or obligations between the Parties except as expressly set forth herein, or (f) to grant any direct or implied licenses or any other right other than as expressly set forth herein.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4" w:name="page135"/>
    <w:bookmarkEnd w:id="134"/>
    <w:p>
      <w:pPr>
        <w:ind w:left="660"/>
        <w:spacing w:after="0"/>
        <w:tabs>
          <w:tab w:leader="none" w:pos="128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5"/>
          <w:szCs w:val="15"/>
          <w:b w:val="1"/>
          <w:bCs w:val="1"/>
          <w:u w:val="single" w:color="auto"/>
          <w:color w:val="auto"/>
        </w:rPr>
        <w:t>Assignment and Successors</w:t>
      </w:r>
      <w:r>
        <w:rPr>
          <w:rFonts w:ascii="Arial" w:cs="Arial" w:eastAsia="Arial" w:hAnsi="Arial"/>
          <w:sz w:val="15"/>
          <w:szCs w:val="15"/>
          <w:color w:val="auto"/>
        </w:rPr>
        <w: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Neither this Agreement nor any obligation of a Party hereunder may be assigned by either Party without the consent of the other which shall not be unreasonably withheld, except that each Party may assign this Agreement and the rights, obligations and interests of such Party, (a) in whole or in part, to any of its Affiliates, or (b) in whole, but not in part, to any purchaser of all of its assets or all of its assets to which this Agreement relates or shares representing a majority of its common stock voting rights or to any successor corporation resulting from any merger, consolidation, share exchange or other similar transaction.</w:t>
      </w:r>
    </w:p>
    <w:p>
      <w:pPr>
        <w:spacing w:after="0" w:line="18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14.12</w:t>
      </w:r>
      <w:r>
        <w:rPr>
          <w:sz w:val="20"/>
          <w:szCs w:val="20"/>
          <w:color w:val="auto"/>
        </w:rPr>
        <w:tab/>
      </w: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ILDONG nor SUBLICENSOR shall be liable for failure of or delay in performing obligations set forth in this Agreement, and neither shall be deemed in breach of its obligations, if such failure or delay is due to a Force Majeure. In event of such Force Majeure, the Party affected shall use reasonable efforts to cure or overcome the same and resume performance of its obligations hereunder.</w:t>
      </w:r>
    </w:p>
    <w:p>
      <w:pPr>
        <w:spacing w:after="0" w:line="17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14.13</w:t>
      </w:r>
      <w:r>
        <w:rPr>
          <w:sz w:val="20"/>
          <w:szCs w:val="20"/>
          <w:color w:val="auto"/>
        </w:rPr>
        <w:tab/>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each Party and not in a favor of or against either Party, regardless of which Party was generally responsible for the preparation of this Agreement. In addition, unless a context otherwise requires, wherever used, the singular shall include the plural, the plural the singular, the use of any gender shall be applicable to all genders, the word “or” is used in the inclusive sense (and/or) and the word “including” is used without limitation and means “including without limitation”.</w:t>
      </w:r>
    </w:p>
    <w:p>
      <w:pPr>
        <w:spacing w:after="0" w:line="16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14.14</w:t>
      </w:r>
      <w:r>
        <w:rPr>
          <w:sz w:val="20"/>
          <w:szCs w:val="20"/>
          <w:color w:val="auto"/>
        </w:rPr>
        <w:tab/>
      </w:r>
      <w:r>
        <w:rPr>
          <w:rFonts w:ascii="Arial" w:cs="Arial" w:eastAsia="Arial" w:hAnsi="Arial"/>
          <w:sz w:val="16"/>
          <w:szCs w:val="16"/>
          <w:b w:val="1"/>
          <w:bCs w:val="1"/>
          <w:u w:val="single" w:color="auto"/>
          <w:color w:val="auto"/>
        </w:rPr>
        <w:t>Integration; Severability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Agreement, and when executed, the Commercial Supply Agreement(s) set forth the entire agreement with respect to the subject matter hereof and thereof and supersede all other agreements and understandings between the Parties with respect to such subject matter. If any provision of this Agreement is or becomes invalid or is ruled invalid by any court of competent jurisdiction or is deemed unenforceable, it is the intention of the Parties that the remainder of this Agreement shall not be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5" w:name="page136"/>
    <w:bookmarkEnd w:id="135"/>
    <w:p>
      <w:pPr>
        <w:ind w:left="660"/>
        <w:spacing w:after="0"/>
        <w:tabs>
          <w:tab w:leader="none" w:pos="1440" w:val="left"/>
        </w:tabs>
        <w:rPr>
          <w:sz w:val="20"/>
          <w:szCs w:val="20"/>
          <w:color w:val="auto"/>
        </w:rPr>
      </w:pPr>
      <w:r>
        <w:rPr>
          <w:rFonts w:ascii="Arial" w:cs="Arial" w:eastAsia="Arial" w:hAnsi="Arial"/>
          <w:sz w:val="18"/>
          <w:szCs w:val="18"/>
          <w:b w:val="1"/>
          <w:bCs w:val="1"/>
          <w:color w:val="auto"/>
        </w:rPr>
        <w:t>14.15</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Each of SUBLICENSOR and ILDONG agrees to duly execute and deliver, or cause to be duly executed and delivered, such further instruments and do and cause to be done such further acts and things, including, without limitation, the filing of such additional assignments, agreements, documents and instruments, as the other Party may at any time and from time to time reasonably request in connection with this Agreement or to carry out more effectively the provisions and purposes of, or to better assure and confirm unto such other Party its rights and remedies under, this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t>IN WITNESS WHEREOF, the Parties have caused this Agreement to be executed by their duly authorized representatives.</w:t>
      </w:r>
    </w:p>
    <w:p>
      <w:pPr>
        <w:spacing w:after="0" w:line="24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TG BIOLOGICS, INC.</w:t>
      </w:r>
    </w:p>
    <w:p>
      <w:pPr>
        <w:spacing w:after="0" w:line="229" w:lineRule="exact"/>
        <w:rPr>
          <w:sz w:val="20"/>
          <w:szCs w:val="20"/>
          <w:color w:val="auto"/>
        </w:rPr>
      </w:pPr>
    </w:p>
    <w:p>
      <w:pPr>
        <w:ind w:left="516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 Weiss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Title: Executive Chairman, President, &amp; CEO</w:t>
      </w: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ILDONG PHARMACEUTICAL CO., LTD.</w:t>
      </w:r>
    </w:p>
    <w:p>
      <w:pPr>
        <w:spacing w:after="0" w:line="229" w:lineRule="exact"/>
        <w:rPr>
          <w:sz w:val="20"/>
          <w:szCs w:val="20"/>
          <w:color w:val="auto"/>
        </w:rPr>
      </w:pPr>
    </w:p>
    <w:p>
      <w:pPr>
        <w:ind w:left="516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Jung-chi Lee</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Jung-chi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31813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Title: Chairman &amp; CEO</w:t>
      </w:r>
    </w:p>
    <w:p>
      <w:pPr>
        <w:spacing w:after="0" w:line="200" w:lineRule="exact"/>
        <w:rPr>
          <w:sz w:val="20"/>
          <w:szCs w:val="20"/>
          <w:color w:val="auto"/>
        </w:rPr>
      </w:pPr>
    </w:p>
    <w:p>
      <w:pPr>
        <w:spacing w:after="0" w:line="2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882"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report on our audit of the consolidated balance sheets of TG Therapeutics, Inc. and Subsidiaries as of December 31, 2012 and 2011 and the consolidated statements of operations, equity and cash flows for the years then ended and cumulative period ended December 31, 2012, included in this Annual Report on Form 10-K for the year ended December 31, 2012, is dated March 21, 2013. We consent to the incorporation by reference of our report in the following registration statements previously filed by the Company with the Securities and Exchange Commission pursuant to the Securities Act of 1933: the registration statements on Forms S-8 with SEC file Nos. 333-48531, 333-15807, 333-112889 and 333-143838.</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40" w:hanging="232"/>
        <w:spacing w:after="0"/>
        <w:tabs>
          <w:tab w:leader="none" w:pos="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right="620" w:hanging="232"/>
        <w:spacing w:after="0" w:line="342" w:lineRule="auto"/>
        <w:tabs>
          <w:tab w:leader="none" w:pos="2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240" w:right="140" w:hanging="232"/>
        <w:spacing w:after="0" w:line="264" w:lineRule="auto"/>
        <w:tabs>
          <w:tab w:leader="none" w:pos="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20" w:right="380" w:hanging="587"/>
        <w:spacing w:after="0" w:line="264" w:lineRule="auto"/>
        <w:tabs>
          <w:tab w:leader="none" w:pos="8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20" w:right="80" w:hanging="587"/>
        <w:spacing w:after="0" w:line="264" w:lineRule="auto"/>
        <w:tabs>
          <w:tab w:leader="none" w:pos="8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20" w:right="880" w:hanging="587"/>
        <w:spacing w:after="0" w:line="342" w:lineRule="auto"/>
        <w:tabs>
          <w:tab w:leader="none" w:pos="8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00" w:hanging="587"/>
        <w:spacing w:after="0" w:line="264" w:lineRule="auto"/>
        <w:tabs>
          <w:tab w:leader="none" w:pos="8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300" w:hanging="587"/>
        <w:spacing w:after="0" w:line="277" w:lineRule="auto"/>
        <w:tabs>
          <w:tab w:leader="none" w:pos="8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40" w:hanging="587"/>
        <w:spacing w:after="0" w:line="277" w:lineRule="auto"/>
        <w:tabs>
          <w:tab w:leader="none" w:pos="8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20"/>
                <w:szCs w:val="20"/>
                <w:color w:val="auto"/>
              </w:rPr>
            </w:pPr>
            <w:r>
              <w:rPr>
                <w:rFonts w:ascii="Arial" w:cs="Arial" w:eastAsia="Arial" w:hAnsi="Arial"/>
                <w:sz w:val="18"/>
                <w:szCs w:val="18"/>
                <w:color w:val="auto"/>
              </w:rPr>
              <w:t>Date: March 21, 2013</w:t>
            </w:r>
          </w:p>
        </w:tc>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c>
          <w:tcPr>
            <w:tcW w:w="4260" w:type="dxa"/>
            <w:vAlign w:val="bottom"/>
          </w:tcPr>
          <w:p>
            <w:pPr>
              <w:spacing w:after="0"/>
              <w:rPr>
                <w:sz w:val="18"/>
                <w:szCs w:val="18"/>
                <w:color w:val="auto"/>
              </w:rPr>
            </w:pPr>
          </w:p>
        </w:tc>
      </w:tr>
      <w:tr>
        <w:trPr>
          <w:trHeight w:val="222"/>
        </w:trPr>
        <w:tc>
          <w:tcPr>
            <w:tcW w:w="480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Michael S. Weiss</w:t>
            </w:r>
          </w:p>
        </w:tc>
      </w:tr>
      <w:tr>
        <w:trPr>
          <w:trHeight w:val="216"/>
        </w:trPr>
        <w:tc>
          <w:tcPr>
            <w:tcW w:w="480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480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40" w:hanging="232"/>
        <w:spacing w:after="0"/>
        <w:tabs>
          <w:tab w:leader="none" w:pos="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ind w:left="240" w:hanging="232"/>
        <w:spacing w:after="0" w:line="342" w:lineRule="auto"/>
        <w:tabs>
          <w:tab w:leader="none" w:pos="2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right="620" w:hanging="232"/>
        <w:spacing w:after="0" w:line="342" w:lineRule="auto"/>
        <w:tabs>
          <w:tab w:leader="none" w:pos="2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240" w:right="140" w:hanging="232"/>
        <w:spacing w:after="0" w:line="264" w:lineRule="auto"/>
        <w:tabs>
          <w:tab w:leader="none" w:pos="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20" w:right="380" w:hanging="587"/>
        <w:spacing w:after="0" w:line="264"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20" w:right="80" w:hanging="587"/>
        <w:spacing w:after="0" w:line="264"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20" w:right="880" w:hanging="587"/>
        <w:spacing w:after="0" w:line="342" w:lineRule="auto"/>
        <w:tabs>
          <w:tab w:leader="none" w:pos="8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00" w:hanging="587"/>
        <w:spacing w:after="0" w:line="264"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600" w:hanging="232"/>
        <w:spacing w:after="0" w:line="308" w:lineRule="auto"/>
        <w:tabs>
          <w:tab w:leader="none" w:pos="2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300" w:hanging="587"/>
        <w:spacing w:after="0" w:line="277"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40" w:hanging="587"/>
        <w:spacing w:after="0" w:line="277" w:lineRule="auto"/>
        <w:tabs>
          <w:tab w:leader="none" w:pos="8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20"/>
                <w:szCs w:val="20"/>
                <w:color w:val="auto"/>
              </w:rPr>
            </w:pPr>
            <w:r>
              <w:rPr>
                <w:rFonts w:ascii="Arial" w:cs="Arial" w:eastAsia="Arial" w:hAnsi="Arial"/>
                <w:sz w:val="18"/>
                <w:szCs w:val="18"/>
                <w:color w:val="auto"/>
              </w:rPr>
              <w:t>Date: March 21, 2013</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c>
          <w:tcPr>
            <w:tcW w:w="3680" w:type="dxa"/>
            <w:vAlign w:val="bottom"/>
          </w:tcPr>
          <w:p>
            <w:pPr>
              <w:spacing w:after="0"/>
              <w:rPr>
                <w:sz w:val="18"/>
                <w:szCs w:val="18"/>
                <w:color w:val="auto"/>
              </w:rPr>
            </w:pPr>
          </w:p>
        </w:tc>
      </w:tr>
      <w:tr>
        <w:trPr>
          <w:trHeight w:val="222"/>
        </w:trPr>
        <w:tc>
          <w:tcPr>
            <w:tcW w:w="49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Sean A. Power</w:t>
            </w:r>
          </w:p>
        </w:tc>
      </w:tr>
      <w:tr>
        <w:trPr>
          <w:trHeight w:val="216"/>
        </w:trPr>
        <w:tc>
          <w:tcPr>
            <w:tcW w:w="49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2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49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1008"/>
        <w:spacing w:after="0" w:line="312" w:lineRule="auto"/>
        <w:rPr>
          <w:sz w:val="20"/>
          <w:szCs w:val="20"/>
          <w:color w:val="auto"/>
        </w:rPr>
      </w:pPr>
      <w:r>
        <w:rPr>
          <w:rFonts w:ascii="Arial" w:cs="Arial" w:eastAsia="Arial" w:hAnsi="Arial"/>
          <w:sz w:val="16"/>
          <w:szCs w:val="16"/>
          <w:color w:val="auto"/>
        </w:rPr>
        <w:t>In connection with the annual report of TG Therapeutics, Inc. (the “Company”) on Form 10-K for the year ended December 31, 2012 as filed with the Securities and Exchange Commission (the “Report”), I, Michael S. Weiss, Executive Chairman, Interim Chief Executive Officer and President of the Company, certify, pursuant to 18 U.S.C. §1350, as adopted pursuant to §906 of the Sarbanes-Oxley Act of 2002, that, based on my knowledge:</w:t>
      </w:r>
    </w:p>
    <w:p>
      <w:pPr>
        <w:spacing w:after="0" w:line="147" w:lineRule="exact"/>
        <w:rPr>
          <w:sz w:val="20"/>
          <w:szCs w:val="20"/>
          <w:color w:val="auto"/>
        </w:rPr>
      </w:pPr>
    </w:p>
    <w:p>
      <w:pPr>
        <w:ind w:left="520" w:hanging="188"/>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20"/>
                <w:szCs w:val="20"/>
                <w:color w:val="auto"/>
              </w:rPr>
            </w:pPr>
            <w:r>
              <w:rPr>
                <w:rFonts w:ascii="Arial" w:cs="Arial" w:eastAsia="Arial" w:hAnsi="Arial"/>
                <w:sz w:val="18"/>
                <w:szCs w:val="18"/>
                <w:color w:val="auto"/>
              </w:rPr>
              <w:t>Date: March 21, 2013</w:t>
            </w: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c>
          <w:tcPr>
            <w:tcW w:w="3720" w:type="dxa"/>
            <w:vAlign w:val="bottom"/>
          </w:tcPr>
          <w:p>
            <w:pPr>
              <w:spacing w:after="0"/>
              <w:rPr>
                <w:sz w:val="17"/>
                <w:szCs w:val="17"/>
                <w:color w:val="auto"/>
              </w:rPr>
            </w:pPr>
          </w:p>
        </w:tc>
      </w:tr>
      <w:tr>
        <w:trPr>
          <w:trHeight w:val="222"/>
        </w:trPr>
        <w:tc>
          <w:tcPr>
            <w:tcW w:w="480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Michael S. Weiss</w:t>
            </w:r>
          </w:p>
        </w:tc>
      </w:tr>
      <w:tr>
        <w:trPr>
          <w:trHeight w:val="216"/>
        </w:trPr>
        <w:tc>
          <w:tcPr>
            <w:tcW w:w="480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480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8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1008"/>
        <w:spacing w:after="0" w:line="264"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2012 as filed with the Securities and Exchange Commission (the “Report”), I, Sean A. Power, Chief Financial Officer of the Company, certify, pursuant to 18 U.S.C. §1350, as adopted pursuant to §906 of the Sarbanes-Oxley Act of 2002, that, based on my knowledge:</w:t>
      </w:r>
    </w:p>
    <w:p>
      <w:pPr>
        <w:spacing w:after="0" w:line="181" w:lineRule="exact"/>
        <w:rPr>
          <w:sz w:val="20"/>
          <w:szCs w:val="20"/>
          <w:color w:val="auto"/>
        </w:rPr>
      </w:pPr>
    </w:p>
    <w:p>
      <w:pPr>
        <w:ind w:left="520" w:hanging="188"/>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20"/>
                <w:szCs w:val="20"/>
                <w:color w:val="auto"/>
              </w:rPr>
            </w:pPr>
            <w:r>
              <w:rPr>
                <w:rFonts w:ascii="Arial" w:cs="Arial" w:eastAsia="Arial" w:hAnsi="Arial"/>
                <w:sz w:val="18"/>
                <w:szCs w:val="18"/>
                <w:color w:val="auto"/>
              </w:rPr>
              <w:t>Date: March 21, 2013</w:t>
            </w: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c>
          <w:tcPr>
            <w:tcW w:w="3880" w:type="dxa"/>
            <w:vAlign w:val="bottom"/>
          </w:tcPr>
          <w:p>
            <w:pPr>
              <w:spacing w:after="0"/>
              <w:rPr>
                <w:sz w:val="17"/>
                <w:szCs w:val="17"/>
                <w:color w:val="auto"/>
              </w:rPr>
            </w:pPr>
          </w:p>
        </w:tc>
      </w:tr>
      <w:tr>
        <w:trPr>
          <w:trHeight w:val="222"/>
        </w:trPr>
        <w:tc>
          <w:tcPr>
            <w:tcW w:w="480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Sean A. Power</w:t>
            </w:r>
          </w:p>
        </w:tc>
      </w:tr>
      <w:tr>
        <w:trPr>
          <w:trHeight w:val="216"/>
        </w:trPr>
        <w:tc>
          <w:tcPr>
            <w:tcW w:w="480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80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64"/>
        </w:trPr>
        <w:tc>
          <w:tcPr>
            <w:tcW w:w="48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1."/>
      <w:numFmt w:val="decimal"/>
      <w:start w:val="3"/>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1)"/>
      <w:numFmt w:val="decimal"/>
      <w:start w:val="2"/>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lowerRoman"/>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lvl w:ilvl="1">
      <w:lvlJc w:val="left"/>
      <w:lvlText w:val="(%2)"/>
      <w:numFmt w:val="lowerLetter"/>
      <w:start w:val="1"/>
    </w:lvl>
  </w:abstractNum>
  <w:abstractNum w:abstractNumId="44">
    <w:nsid w:val="15014ACB"/>
    <w:multiLevelType w:val="hybridMultilevel"/>
    <w:lvl w:ilvl="0">
      <w:lvlJc w:val="left"/>
      <w:lvlText w:val="(%1)"/>
      <w:numFmt w:val="lowerLetter"/>
      <w:start w:val="3"/>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lowerLetter"/>
      <w:start w:val="4"/>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1."/>
      <w:numFmt w:val="decimal"/>
      <w:start w:val="3"/>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1."/>
      <w:numFmt w:val="decimal"/>
      <w:start w:val="4"/>
    </w:lvl>
  </w:abstractNum>
  <w:abstractNum w:abstractNumId="51">
    <w:nsid w:val="1EBA5D23"/>
    <w:multiLevelType w:val="hybridMultilevel"/>
    <w:lvl w:ilvl="0">
      <w:lvlJc w:val="left"/>
      <w:lvlText w:val="(%1)"/>
      <w:numFmt w:val="lowerLetter"/>
      <w:start w:val="3"/>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1."/>
      <w:numFmt w:val="decimal"/>
      <w:start w:val="5"/>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1."/>
      <w:numFmt w:val="decimal"/>
      <w:start w:val="6"/>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1."/>
      <w:numFmt w:val="decimal"/>
      <w:start w:val="7"/>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decimal"/>
      <w:start w:val="3"/>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1)"/>
      <w:numFmt w:val="lowerLetter"/>
      <w:start w:val="2"/>
    </w:lvl>
    <w:lvl w:ilvl="1">
      <w:lvlJc w:val="left"/>
      <w:lvlText w:val="%2."/>
      <w:numFmt w:val="decimal"/>
      <w:start w:val="8"/>
    </w:lvl>
  </w:abstractNum>
  <w:abstractNum w:abstractNumId="68">
    <w:nsid w:val="6A5EE64"/>
    <w:multiLevelType w:val="hybridMultilevel"/>
    <w:lvl w:ilvl="0">
      <w:lvlJc w:val="left"/>
      <w:lvlText w:val="%1."/>
      <w:numFmt w:val="decimal"/>
      <w:start w:val="9"/>
    </w:lvl>
  </w:abstractNum>
  <w:abstractNum w:abstractNumId="69">
    <w:nsid w:val="14330624"/>
    <w:multiLevelType w:val="hybridMultilevel"/>
    <w:lvl w:ilvl="0">
      <w:lvlJc w:val="left"/>
      <w:lvlText w:val="%1."/>
      <w:numFmt w:val="decimal"/>
      <w:start w:val="10"/>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lvl w:ilvl="1">
      <w:lvlJc w:val="left"/>
      <w:lvlText w:val="(%2)"/>
      <w:numFmt w:val="lowerLetter"/>
      <w:start w:val="9"/>
    </w:lvl>
  </w:abstractNum>
  <w:abstractNum w:abstractNumId="72">
    <w:nsid w:val="71EA1109"/>
    <w:multiLevelType w:val="hybridMultilevel"/>
    <w:lvl w:ilvl="0">
      <w:lvlJc w:val="left"/>
      <w:lvlText w:val="(%1)"/>
      <w:numFmt w:val="lowerRoman"/>
      <w:start w:val="2"/>
    </w:lvl>
  </w:abstractNum>
  <w:abstractNum w:abstractNumId="73">
    <w:nsid w:val="100F59DC"/>
    <w:multiLevelType w:val="hybridMultilevel"/>
    <w:lvl w:ilvl="0">
      <w:lvlJc w:val="left"/>
      <w:lvlText w:val="%1"/>
      <w:numFmt w:val="lowerLetter"/>
      <w:start w:val="1"/>
    </w:lvl>
    <w:lvl w:ilvl="1">
      <w:lvlJc w:val="left"/>
      <w:lvlText w:val="(%2)"/>
      <w:numFmt w:val="lowerRoman"/>
      <w:start w:val="4"/>
    </w:lvl>
  </w:abstractNum>
  <w:abstractNum w:abstractNumId="74">
    <w:nsid w:val="7FB7E0AA"/>
    <w:multiLevelType w:val="hybridMultilevel"/>
    <w:lvl w:ilvl="0">
      <w:lvlJc w:val="left"/>
      <w:lvlText w:val="(%1)"/>
      <w:numFmt w:val="lowerLetter"/>
      <w:start w:val="2"/>
    </w:lvl>
    <w:lvl w:ilvl="1">
      <w:lvlJc w:val="left"/>
      <w:lvlText w:val="%2"/>
      <w:numFmt w:val="lowerRoman"/>
      <w:start w:val="1"/>
    </w:lvl>
  </w:abstractNum>
  <w:abstractNum w:abstractNumId="75">
    <w:nsid w:val="6EB5BD4"/>
    <w:multiLevelType w:val="hybridMultilevel"/>
    <w:lvl w:ilvl="0">
      <w:lvlJc w:val="left"/>
      <w:lvlText w:val="%1"/>
      <w:numFmt w:val="lowerLetter"/>
      <w:start w:val="1"/>
    </w:lvl>
    <w:lvl w:ilvl="1">
      <w:lvlJc w:val="left"/>
      <w:lvlText w:val="(%2)"/>
      <w:numFmt w:val="lowerLetter"/>
      <w:start w:val="1"/>
    </w:lvl>
  </w:abstractNum>
  <w:abstractNum w:abstractNumId="76">
    <w:nsid w:val="6F6DD9AC"/>
    <w:multiLevelType w:val="hybridMultilevel"/>
    <w:lvl w:ilvl="0">
      <w:lvlJc w:val="left"/>
      <w:lvlText w:val="(%1)"/>
      <w:numFmt w:val="lowerLetter"/>
      <w:start w:val="35"/>
    </w:lvl>
    <w:lvl w:ilvl="1">
      <w:lvlJc w:val="left"/>
      <w:lvlText w:val="%2"/>
      <w:numFmt w:val="lowerLetter"/>
      <w:start w:val="1"/>
    </w:lvl>
  </w:abstractNum>
  <w:abstractNum w:abstractNumId="77">
    <w:nsid w:val="94211F2"/>
    <w:multiLevelType w:val="hybridMultilevel"/>
    <w:lvl w:ilvl="0">
      <w:lvlJc w:val="left"/>
      <w:lvlText w:val="(%1)"/>
      <w:numFmt w:val="lowerLetter"/>
      <w:start w:val="2"/>
    </w:lvl>
  </w:abstractNum>
  <w:abstractNum w:abstractNumId="78">
    <w:nsid w:val="885E1B"/>
    <w:multiLevelType w:val="hybridMultilevel"/>
    <w:lvl w:ilvl="0">
      <w:lvlJc w:val="left"/>
      <w:lvlText w:val="%1."/>
      <w:numFmt w:val="decimal"/>
      <w:start w:val="11"/>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upperLetter"/>
      <w:start w:val="1"/>
    </w:lvl>
    <w:lvl w:ilvl="1">
      <w:lvlJc w:val="left"/>
      <w:lvlText w:val="(%2)"/>
      <w:numFmt w:val="lowerLetter"/>
      <w:start w:val="4"/>
    </w:lvl>
  </w:abstractNum>
  <w:abstractNum w:abstractNumId="82">
    <w:nsid w:val="14E17E33"/>
    <w:multiLevelType w:val="hybridMultilevel"/>
    <w:lvl w:ilvl="0">
      <w:lvlJc w:val="left"/>
      <w:lvlText w:val="(%1)"/>
      <w:numFmt w:val="upperLetter"/>
      <w:start w:val="5"/>
    </w:lvl>
    <w:lvl w:ilvl="1">
      <w:lvlJc w:val="left"/>
      <w:lvlText w:val="(%2)"/>
      <w:numFmt w:val="lowerLetter"/>
      <w:start w:val="5"/>
    </w:lvl>
  </w:abstractNum>
  <w:abstractNum w:abstractNumId="83">
    <w:nsid w:val="3222E7CD"/>
    <w:multiLevelType w:val="hybridMultilevel"/>
    <w:lvl w:ilvl="0">
      <w:lvlJc w:val="left"/>
      <w:lvlText w:val="(%1)"/>
      <w:numFmt w:val="lowerLetter"/>
      <w:start w:val="7"/>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decimal"/>
      <w:start w:val="12"/>
    </w:lvl>
  </w:abstractNum>
  <w:abstractNum w:abstractNumId="87">
    <w:nsid w:val="46B7D447"/>
    <w:multiLevelType w:val="hybridMultilevel"/>
    <w:lvl w:ilvl="0">
      <w:lvlJc w:val="left"/>
      <w:lvlText w:val="%1."/>
      <w:numFmt w:val="decimal"/>
      <w:start w:val="13"/>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1."/>
      <w:numFmt w:val="decimal"/>
      <w:start w:val="14"/>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2019-12-06T14:09:13Z</dcterms:created>
  <dcterms:modified xsi:type="dcterms:W3CDTF">2019-12-06T14:09:13Z</dcterms:modified>
</cp:coreProperties>
</file>