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-224155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 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79"/>
        <w:spacing w:after="0" w:line="282" w:lineRule="auto"/>
        <w:tabs>
          <w:tab w:leader="none" w:pos="29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-232410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4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 Columbus Circle,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type w:val="continuous"/>
        </w:sectPr>
      </w:pPr>
    </w:p>
    <w:p>
      <w:pPr>
        <w:spacing w:after="0" w:line="147" w:lineRule="exact"/>
        <w:rPr>
          <w:sz w:val="24"/>
          <w:szCs w:val="24"/>
          <w:color w:val="auto"/>
        </w:rPr>
      </w:pPr>
    </w:p>
    <w:p>
      <w:pPr>
        <w:ind w:left="66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80"/>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2" w:lineRule="exact"/>
        <w:rPr>
          <w:sz w:val="24"/>
          <w:szCs w:val="24"/>
          <w:color w:val="auto"/>
        </w:rPr>
      </w:pPr>
    </w:p>
    <w:p>
      <w:pPr>
        <w:sectPr>
          <w:pgSz w:w="11900" w:h="16838" w:orient="portrait"/>
          <w:cols w:equalWidth="0" w:num="4">
            <w:col w:w="2280" w:space="480"/>
            <w:col w:w="5380" w:space="720"/>
            <w:col w:w="1980" w:space="140"/>
            <w:col w:w="440"/>
          </w:cols>
          <w:pgMar w:left="240" w:top="449"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There were 52,519,686 shares of the registrant’s common stock, $0.001 par value, outstanding as of November 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00" w:type="dxa"/>
            <w:vAlign w:val="bottom"/>
            <w:gridSpan w:val="9"/>
          </w:tcPr>
          <w:p>
            <w:pPr>
              <w:ind w:left="9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89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2015 (unaudited) and December 31, 2014</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5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 September 30, 2015 and 2014</w:t>
              </w:r>
            </w:hyperlink>
          </w:p>
        </w:tc>
        <w:tc>
          <w:tcPr>
            <w:tcW w:w="400" w:type="dxa"/>
            <w:vAlign w:val="bottom"/>
            <w:tcBorders>
              <w:bottom w:val="single" w:sz="8" w:color="CCEEFF"/>
            </w:tcBorders>
            <w:gridSpan w:val="2"/>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 for the nine months ended September 30, 2015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8"/>
            <w:shd w:val="clear" w:color="auto" w:fill="CCEEFF"/>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nine months ended September 30, 2015 and 2014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89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00" w:type="dxa"/>
            <w:vAlign w:val="bottom"/>
            <w:gridSpan w:val="18"/>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September 30, 2015</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65,461,940</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55,713,784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28,701,209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23,062,034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158,527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9,950,893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6,179,743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457,918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104,730,487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85,215,029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578,126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21,088,192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799,391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799,391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141,717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127,407,138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86,746,890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8,583,003</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3,991,625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768,750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152,381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152,381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181,668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9,685,802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1,409,524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1,523,810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11,095,326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$0.001 par value per share (10,000,000 shares authorized, none issued and outstanding as of</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2015 and December 31, 2014)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89"/>
              </w:rPr>
              <w:t>Common stock, $0.001 par value per share (150,000,000 shares authorized, 52,558,217 and 44,974,248 shares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w w:val="92"/>
              </w:rPr>
              <w:t>issued, 52,516,908 and 44,932,939 shares outstanding at September 30, 2015 and December 31, 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52,558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Contingently issuable shares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257,015,699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175,476,521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(234,337)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(140,522,114)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(95,185,280)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116,311,812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80,101,884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127,407,138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86,746,890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114,286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stock expense associated with in-licensing agreements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4,138,844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35,756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1,200,575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2,733,110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6,402,296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11,538,246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8,352,154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29,719,891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13,197,183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11,574,002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13,691,573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32,453,001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24,949,573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2,895,997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10,106,938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1,085,400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889,872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3,094,362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2,289,678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3,785,869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13,201,300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12,164,681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13,863,680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17,477,442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45,654,301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37,114,254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(13,825,584)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(17,439,346)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(45,540,015)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(36,999,968)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right="2040" w:firstLine="162"/>
        <w:spacing w:after="0" w:line="307" w:lineRule="auto"/>
        <w:rPr>
          <w:sz w:val="20"/>
          <w:szCs w:val="20"/>
          <w:color w:val="auto"/>
        </w:rPr>
      </w:pPr>
      <w:r>
        <w:rPr>
          <w:rFonts w:ascii="Arial" w:cs="Arial" w:eastAsia="Arial" w:hAnsi="Arial"/>
          <w:sz w:val="17"/>
          <w:szCs w:val="17"/>
          <w:color w:val="auto"/>
        </w:rPr>
        <w:t>Change in fair value of notes payable Total other (income)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(55,977)</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(12,107)</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(109,660)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(38,308)</w:t>
            </w:r>
          </w:p>
        </w:tc>
      </w:tr>
      <w:tr>
        <w:trPr>
          <w:trHeight w:val="216"/>
        </w:trPr>
        <w:tc>
          <w:tcPr>
            <w:tcW w:w="24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(95,427)</w:t>
            </w:r>
          </w:p>
        </w:tc>
      </w:tr>
      <w:tr>
        <w:trPr>
          <w:trHeight w:val="216"/>
        </w:trPr>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234,787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730,710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695,914</w:t>
            </w:r>
          </w:p>
        </w:tc>
        <w:tc>
          <w:tcPr>
            <w:tcW w:w="6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(360,218)</w:t>
            </w:r>
          </w:p>
        </w:tc>
        <w:tc>
          <w:tcPr>
            <w:tcW w:w="2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(210,857)</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(824,231)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(577,299)</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(169,668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(203,181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53"/>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(13,655,916)  $</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(17,451,169)  $</w:t>
            </w:r>
          </w:p>
        </w:tc>
        <w:tc>
          <w:tcPr>
            <w:tcW w:w="1460" w:type="dxa"/>
            <w:vAlign w:val="bottom"/>
            <w:gridSpan w:val="4"/>
          </w:tcPr>
          <w:p>
            <w:pPr>
              <w:jc w:val="right"/>
              <w:ind w:right="140"/>
              <w:spacing w:after="0"/>
              <w:rPr>
                <w:sz w:val="20"/>
                <w:szCs w:val="20"/>
                <w:color w:val="auto"/>
              </w:rPr>
            </w:pPr>
            <w:r>
              <w:rPr>
                <w:rFonts w:ascii="Arial" w:cs="Arial" w:eastAsia="Arial" w:hAnsi="Arial"/>
                <w:sz w:val="18"/>
                <w:szCs w:val="18"/>
                <w:color w:val="auto"/>
              </w:rPr>
              <w:t>(45,336,834)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(36,984,848)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-1165860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-891540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-616585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8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(0.28)  $</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(0.51)  $</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(1.01)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computing basic and diluted net loss per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47,946,309</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34,188,108</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44,810,352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32,436,420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Contingently</w:t>
            </w:r>
          </w:p>
        </w:tc>
        <w:tc>
          <w:tcPr>
            <w:tcW w:w="10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Additional</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780" w:type="dxa"/>
            <w:vAlign w:val="bottom"/>
            <w:gridSpan w:val="5"/>
          </w:tcPr>
          <w:p>
            <w:pPr>
              <w:ind w:left="360"/>
              <w:spacing w:after="0"/>
              <w:rPr>
                <w:sz w:val="20"/>
                <w:szCs w:val="20"/>
                <w:color w:val="auto"/>
              </w:rPr>
            </w:pPr>
            <w:r>
              <w:rPr>
                <w:rFonts w:ascii="Arial" w:cs="Arial" w:eastAsia="Arial" w:hAnsi="Arial"/>
                <w:sz w:val="13"/>
                <w:szCs w:val="13"/>
                <w:b w:val="1"/>
                <w:bCs w:val="1"/>
                <w:color w:val="auto"/>
              </w:rPr>
              <w:t>Preferred stock</w:t>
            </w: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issuable</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700" w:type="dxa"/>
            <w:vAlign w:val="bottom"/>
            <w:gridSpan w:val="5"/>
          </w:tcPr>
          <w:p>
            <w:pPr>
              <w:jc w:val="right"/>
              <w:ind w:right="45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1000" w:type="dxa"/>
            <w:vAlign w:val="bottom"/>
            <w:gridSpan w:val="3"/>
          </w:tcPr>
          <w:p>
            <w:pPr>
              <w:jc w:val="right"/>
              <w:ind w:right="198"/>
              <w:spacing w:after="0"/>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2340" w:type="dxa"/>
            <w:vAlign w:val="bottom"/>
          </w:tcPr>
          <w:p>
            <w:pPr>
              <w:spacing w:after="0"/>
              <w:rPr>
                <w:sz w:val="12"/>
                <w:szCs w:val="12"/>
                <w:color w:val="auto"/>
              </w:rPr>
            </w:pPr>
          </w:p>
        </w:tc>
        <w:tc>
          <w:tcPr>
            <w:tcW w:w="660" w:type="dxa"/>
            <w:vAlign w:val="bottom"/>
            <w:tcBorders>
              <w:top w:val="single" w:sz="8" w:color="auto"/>
            </w:tcBorders>
          </w:tcPr>
          <w:p>
            <w:pPr>
              <w:ind w:left="140"/>
              <w:spacing w:after="0" w:line="143"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tcBorders>
            <w:gridSpan w:val="2"/>
          </w:tcPr>
          <w:p>
            <w:pPr>
              <w:jc w:val="right"/>
              <w:ind w:right="57"/>
              <w:spacing w:after="0" w:line="143"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1"/>
              </w:rPr>
              <w:t>shares</w:t>
            </w: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3" w:lineRule="exact"/>
              <w:rPr>
                <w:sz w:val="20"/>
                <w:szCs w:val="20"/>
                <w:color w:val="auto"/>
              </w:rPr>
            </w:pPr>
            <w:r>
              <w:rPr>
                <w:rFonts w:ascii="Arial" w:cs="Arial" w:eastAsia="Arial" w:hAnsi="Arial"/>
                <w:sz w:val="13"/>
                <w:szCs w:val="13"/>
                <w:b w:val="1"/>
                <w:bCs w:val="1"/>
                <w:color w:val="auto"/>
              </w:rPr>
              <w:t>capital</w:t>
            </w:r>
          </w:p>
        </w:tc>
        <w:tc>
          <w:tcPr>
            <w:tcW w:w="900" w:type="dxa"/>
            <w:vAlign w:val="bottom"/>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720" w:type="dxa"/>
            <w:vAlign w:val="bottom"/>
            <w:gridSpan w:val="2"/>
          </w:tcPr>
          <w:p>
            <w:pPr>
              <w:jc w:val="right"/>
              <w:ind w:right="198"/>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78"/>
              <w:spacing w:after="0" w:line="143"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340"/>
              <w:spacing w:after="0" w:line="143" w:lineRule="exact"/>
              <w:rPr>
                <w:sz w:val="20"/>
                <w:szCs w:val="20"/>
                <w:color w:val="auto"/>
              </w:rPr>
            </w:pPr>
            <w:r>
              <w:rPr>
                <w:rFonts w:ascii="Arial" w:cs="Arial" w:eastAsia="Arial" w:hAnsi="Arial"/>
                <w:sz w:val="13"/>
                <w:szCs w:val="13"/>
                <w:b w:val="1"/>
                <w:bCs w:val="1"/>
                <w:color w:val="auto"/>
              </w:rPr>
              <w:t>Total</w:t>
            </w:r>
          </w:p>
        </w:tc>
      </w:tr>
      <w:tr>
        <w:trPr>
          <w:trHeight w:val="129"/>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2015</w:t>
            </w:r>
          </w:p>
        </w:tc>
        <w:tc>
          <w:tcPr>
            <w:tcW w:w="660" w:type="dxa"/>
            <w:vAlign w:val="bottom"/>
            <w:tcBorders>
              <w:top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ind w:left="460"/>
              <w:spacing w:after="0" w:line="129"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44,974,248</w:t>
            </w: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44,974</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$ 175,476,521</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(234,337)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(95,185,280)</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80,101,884</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21"/>
        </w:trPr>
        <w:tc>
          <w:tcPr>
            <w:tcW w:w="2340" w:type="dxa"/>
            <w:vAlign w:val="bottom"/>
          </w:tcPr>
          <w:p>
            <w:pPr>
              <w:spacing w:after="0" w:line="121" w:lineRule="exact"/>
              <w:rPr>
                <w:sz w:val="20"/>
                <w:szCs w:val="20"/>
                <w:color w:val="auto"/>
              </w:rPr>
            </w:pPr>
            <w:r>
              <w:rPr>
                <w:rFonts w:ascii="Arial" w:cs="Arial" w:eastAsia="Arial" w:hAnsi="Arial"/>
                <w:sz w:val="13"/>
                <w:szCs w:val="13"/>
                <w:color w:val="auto"/>
                <w:w w:val="99"/>
              </w:rPr>
              <w:t>Issuance of common stock in connection</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340" w:type="dxa"/>
            <w:vAlign w:val="bottom"/>
          </w:tcPr>
          <w:p>
            <w:pPr>
              <w:ind w:left="160"/>
              <w:spacing w:after="0"/>
              <w:rPr>
                <w:sz w:val="20"/>
                <w:szCs w:val="20"/>
                <w:color w:val="auto"/>
              </w:rPr>
            </w:pPr>
            <w:r>
              <w:rPr>
                <w:rFonts w:ascii="Arial" w:cs="Arial" w:eastAsia="Arial" w:hAnsi="Arial"/>
                <w:sz w:val="13"/>
                <w:szCs w:val="13"/>
                <w:color w:val="auto"/>
              </w:rPr>
              <w:t>with exercise of warrants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2,922,275</w:t>
            </w:r>
          </w:p>
        </w:tc>
        <w:tc>
          <w:tcPr>
            <w:tcW w:w="3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2,922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1,007,063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1,009,985</w:t>
            </w:r>
          </w:p>
        </w:tc>
        <w:tc>
          <w:tcPr>
            <w:tcW w:w="80" w:type="dxa"/>
            <w:vAlign w:val="bottom"/>
          </w:tcPr>
          <w:p>
            <w:pPr>
              <w:spacing w:after="0"/>
              <w:rPr>
                <w:sz w:val="12"/>
                <w:szCs w:val="12"/>
                <w:color w:val="auto"/>
              </w:rPr>
            </w:pPr>
          </w:p>
        </w:tc>
      </w:tr>
      <w:tr>
        <w:trPr>
          <w:trHeight w:val="121"/>
        </w:trPr>
        <w:tc>
          <w:tcPr>
            <w:tcW w:w="2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Issuance of common stock in connection</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with cashless exercise of warrants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2,915</w:t>
            </w:r>
          </w:p>
        </w:tc>
        <w:tc>
          <w:tcPr>
            <w:tcW w:w="3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Issuance of restricted stock</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480,592</w:t>
            </w:r>
          </w:p>
        </w:tc>
        <w:tc>
          <w:tcPr>
            <w:tcW w:w="32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(481)</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Forfeiture of restricted stock</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(31,166)</w:t>
            </w:r>
          </w:p>
        </w:tc>
        <w:tc>
          <w:tcPr>
            <w:tcW w:w="3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340" w:type="dxa"/>
            <w:vAlign w:val="bottom"/>
          </w:tcPr>
          <w:p>
            <w:pPr>
              <w:spacing w:after="0" w:line="121" w:lineRule="exact"/>
              <w:rPr>
                <w:sz w:val="20"/>
                <w:szCs w:val="20"/>
                <w:color w:val="auto"/>
              </w:rPr>
            </w:pPr>
            <w:r>
              <w:rPr>
                <w:rFonts w:ascii="Arial" w:cs="Arial" w:eastAsia="Arial" w:hAnsi="Arial"/>
                <w:sz w:val="13"/>
                <w:szCs w:val="13"/>
                <w:color w:val="auto"/>
                <w:w w:val="94"/>
              </w:rPr>
              <w:t>Issuance of common stock to related party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340" w:type="dxa"/>
            <w:vAlign w:val="bottom"/>
          </w:tcPr>
          <w:p>
            <w:pPr>
              <w:ind w:left="160"/>
              <w:spacing w:after="0"/>
              <w:rPr>
                <w:sz w:val="20"/>
                <w:szCs w:val="20"/>
                <w:color w:val="auto"/>
              </w:rPr>
            </w:pPr>
            <w:r>
              <w:rPr>
                <w:rFonts w:ascii="Arial" w:cs="Arial" w:eastAsia="Arial" w:hAnsi="Arial"/>
                <w:sz w:val="13"/>
                <w:szCs w:val="13"/>
                <w:color w:val="auto"/>
              </w:rPr>
              <w:t>for cash (See Note 8)</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114,855</w:t>
            </w:r>
          </w:p>
        </w:tc>
        <w:tc>
          <w:tcPr>
            <w:tcW w:w="3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3"/>
                <w:szCs w:val="13"/>
                <w:color w:val="auto"/>
              </w:rPr>
              <w:t>749,889</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750,004</w:t>
            </w:r>
          </w:p>
        </w:tc>
        <w:tc>
          <w:tcPr>
            <w:tcW w:w="80" w:type="dxa"/>
            <w:vAlign w:val="bottom"/>
          </w:tcPr>
          <w:p>
            <w:pPr>
              <w:spacing w:after="0"/>
              <w:rPr>
                <w:sz w:val="12"/>
                <w:szCs w:val="12"/>
                <w:color w:val="auto"/>
              </w:rPr>
            </w:pPr>
          </w:p>
        </w:tc>
      </w:tr>
      <w:tr>
        <w:trPr>
          <w:trHeight w:val="121"/>
        </w:trPr>
        <w:tc>
          <w:tcPr>
            <w:tcW w:w="2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Issuance of common stock in At the Market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23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offering (net of offering costs of</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$1,262,569)</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4,094,498</w:t>
            </w:r>
          </w:p>
        </w:tc>
        <w:tc>
          <w:tcPr>
            <w:tcW w:w="3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4,094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66,942,631</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8"/>
              </w:rPr>
              <w:t>66,946,725</w:t>
            </w:r>
          </w:p>
        </w:tc>
        <w:tc>
          <w:tcPr>
            <w:tcW w:w="80" w:type="dxa"/>
            <w:vAlign w:val="bottom"/>
            <w:shd w:val="clear" w:color="auto" w:fill="CCEEFF"/>
          </w:tcPr>
          <w:p>
            <w:pPr>
              <w:spacing w:after="0"/>
              <w:rPr>
                <w:sz w:val="12"/>
                <w:szCs w:val="12"/>
                <w:color w:val="auto"/>
              </w:rPr>
            </w:pPr>
          </w:p>
        </w:tc>
      </w:tr>
      <w:tr>
        <w:trPr>
          <w:trHeight w:val="121"/>
        </w:trPr>
        <w:tc>
          <w:tcPr>
            <w:tcW w:w="2340" w:type="dxa"/>
            <w:vAlign w:val="bottom"/>
          </w:tcPr>
          <w:p>
            <w:pPr>
              <w:spacing w:after="0" w:line="121" w:lineRule="exact"/>
              <w:rPr>
                <w:sz w:val="20"/>
                <w:szCs w:val="20"/>
                <w:color w:val="auto"/>
              </w:rPr>
            </w:pPr>
            <w:r>
              <w:rPr>
                <w:rFonts w:ascii="Arial" w:cs="Arial" w:eastAsia="Arial" w:hAnsi="Arial"/>
                <w:sz w:val="13"/>
                <w:szCs w:val="13"/>
                <w:color w:val="auto"/>
                <w:w w:val="93"/>
              </w:rPr>
              <w:t>Compensation in respect of restricted stock</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340" w:type="dxa"/>
            <w:vAlign w:val="bottom"/>
          </w:tcPr>
          <w:p>
            <w:pPr>
              <w:ind w:left="160"/>
              <w:spacing w:after="0" w:line="135" w:lineRule="exact"/>
              <w:rPr>
                <w:sz w:val="20"/>
                <w:szCs w:val="20"/>
                <w:color w:val="auto"/>
              </w:rPr>
            </w:pPr>
            <w:r>
              <w:rPr>
                <w:rFonts w:ascii="Arial" w:cs="Arial" w:eastAsia="Arial" w:hAnsi="Arial"/>
                <w:sz w:val="13"/>
                <w:szCs w:val="13"/>
                <w:color w:val="auto"/>
              </w:rPr>
              <w:t>granted to employees, directors and</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340" w:type="dxa"/>
            <w:vAlign w:val="bottom"/>
          </w:tcPr>
          <w:p>
            <w:pPr>
              <w:ind w:left="160"/>
              <w:spacing w:after="0"/>
              <w:rPr>
                <w:sz w:val="20"/>
                <w:szCs w:val="20"/>
                <w:color w:val="auto"/>
              </w:rPr>
            </w:pPr>
            <w:r>
              <w:rPr>
                <w:rFonts w:ascii="Arial" w:cs="Arial" w:eastAsia="Arial" w:hAnsi="Arial"/>
                <w:sz w:val="13"/>
                <w:szCs w:val="13"/>
                <w:color w:val="auto"/>
              </w:rPr>
              <w:t>consultants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3"/>
                <w:szCs w:val="13"/>
                <w:color w:val="auto"/>
              </w:rPr>
              <w:t>12,840,048</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w w:val="98"/>
              </w:rPr>
              <w:t>12,840,048</w:t>
            </w:r>
          </w:p>
        </w:tc>
        <w:tc>
          <w:tcPr>
            <w:tcW w:w="80" w:type="dxa"/>
            <w:vAlign w:val="bottom"/>
          </w:tcPr>
          <w:p>
            <w:pPr>
              <w:spacing w:after="0"/>
              <w:rPr>
                <w:sz w:val="12"/>
                <w:szCs w:val="12"/>
                <w:color w:val="auto"/>
              </w:rPr>
            </w:pPr>
          </w:p>
        </w:tc>
      </w:tr>
      <w:tr>
        <w:trPr>
          <w:trHeight w:val="149"/>
        </w:trPr>
        <w:tc>
          <w:tcPr>
            <w:tcW w:w="23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w w:val="94"/>
              </w:rPr>
              <w:t>(45,336,834)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(45,336,834)</w:t>
            </w:r>
          </w:p>
        </w:tc>
      </w:tr>
      <w:tr>
        <w:trPr>
          <w:trHeight w:val="142"/>
        </w:trPr>
        <w:tc>
          <w:tcPr>
            <w:tcW w:w="2340" w:type="dxa"/>
            <w:vAlign w:val="bottom"/>
          </w:tcPr>
          <w:p>
            <w:pPr>
              <w:spacing w:after="0" w:line="141" w:lineRule="exact"/>
              <w:rPr>
                <w:sz w:val="20"/>
                <w:szCs w:val="20"/>
                <w:color w:val="auto"/>
              </w:rPr>
            </w:pPr>
            <w:r>
              <w:rPr>
                <w:rFonts w:ascii="Arial" w:cs="Arial" w:eastAsia="Arial" w:hAnsi="Arial"/>
                <w:sz w:val="13"/>
                <w:szCs w:val="13"/>
                <w:color w:val="auto"/>
              </w:rPr>
              <w:t>Balance at September 30, 2015</w:t>
            </w:r>
          </w:p>
        </w:tc>
        <w:tc>
          <w:tcPr>
            <w:tcW w:w="660" w:type="dxa"/>
            <w:vAlign w:val="bottom"/>
            <w:tcBorders>
              <w:top w:val="single" w:sz="8" w:color="auto"/>
              <w:bottom w:val="single" w:sz="8" w:color="auto"/>
            </w:tcBorders>
          </w:tcPr>
          <w:p>
            <w:pPr>
              <w:ind w:left="540"/>
              <w:spacing w:after="0" w:line="143"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ind w:left="460"/>
              <w:spacing w:after="0" w:line="143"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52,558,217</w:t>
            </w: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52,558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$ 257,015,699</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41,309</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(234,337</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(140,522,114</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8"/>
              </w:rPr>
              <w:t>116,311,812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Consolidated net loss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(45,336,834)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(36,984,848)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Gain on settlement of notes payable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12,840,048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16,066,856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Noncash stock expense associated with in-licensing agreements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5,350,094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377,770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restricted cash</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Increase in other current assets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(4,055,116)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(7,585,956)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accrued interest receivable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4,658,128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Decrease in interest payable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(94,590)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(31,789,611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(19,952,981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Investment in held-to-maturity securities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(40,955,137)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(9,218,008)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short-term securities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13,850,000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(27,164,331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(9,222,506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1,009,985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the exercise of options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 of notes payable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67,760,517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39,558,093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68,702,098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41,915,820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9,748,156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12,740,333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55,713,784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40,485,466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65,461,940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53,225,799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NONCASH TRANSACTIONS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(63,788)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(formerly known as Manhattan Pharmaceuticals, Inc., or Manhattan)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2014. The accompanying condensed December 31, 2014 balance sheet has been derived from these statements. The results of operations for the three and nine months ended September 30, 2015 are not necessarily indicative of the results that may be expected for the entire fiscal year or any other interim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2015, we have an accumulated deficit of $140.5 million.</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September 30, 2015, we had approximately $115.4 million in cash, cash equivalents, investment securities, and interest receivable. We anticipate that our cash and cash equivalents and investments will be sufficient to fund our anticipated operating cash requirements for more than 24 months from September 30, 2015.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May 2014, the Financial Accounting Standards Board (“FASB”) issued an Accounting Standards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2018. We are currently evaluating the impact of this update on our consolidated financial statements.</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September 30, 2015, we have approximately $0.6 million of restricted cash pledged to secure a line of credit as a security deposit for a Desk Space Agreement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Investment securities at September 30, 2015 and December 31, 2014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with high-credit quality financial institutions. At times, such amounts may exceed federally-insured limits.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Prepaid research and development in our consolidated balance sheet includes, among other things, certain fees related to development and manufacturing services. These development and manufacturing agreements often require payments in advance of services performed or goods received. Accordingly, as of September 30, 2015, we recorded approximately $9.1 million in prepaid research and development related to such advance agreements. As of September 30, 2015, approximately $1.5 million of the prepaid research and development balance has not yet been paid.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ind w:right="40" w:firstLine="648"/>
        <w:spacing w:after="0" w:line="259"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5,634,005 and 9,100,404 at September 30, 2015 and 2014, respectively. During the three and nine months ended September 30, 2015 and 2014, we incurred a net loss; therefore, all of the dilutive securities are excluded from the computation of diluted earnings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8"/>
              </w:rPr>
              <w:t>NOTE 2</w:t>
            </w:r>
          </w:p>
        </w:tc>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 CASH AND CASH EQUIVALENTS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60" w:type="dxa"/>
            <w:vAlign w:val="bottom"/>
            <w:gridSpan w:val="7"/>
          </w:tcPr>
          <w:p>
            <w:pPr>
              <w:spacing w:after="0"/>
              <w:rPr>
                <w:sz w:val="20"/>
                <w:szCs w:val="20"/>
                <w:color w:val="auto"/>
              </w:rPr>
            </w:pPr>
            <w:r>
              <w:rPr>
                <w:rFonts w:ascii="Arial" w:cs="Arial" w:eastAsia="Arial" w:hAnsi="Arial"/>
                <w:sz w:val="18"/>
                <w:szCs w:val="18"/>
                <w:color w:val="auto"/>
                <w:w w:val="90"/>
              </w:rPr>
              <w:t>The following tables summarize our cash and cash equivalents at September 30, 2015 and December 31, 2014:</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September 30, 2015</w:t>
            </w:r>
          </w:p>
        </w:tc>
        <w:tc>
          <w:tcPr>
            <w:tcW w:w="10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5,626,816</w:t>
            </w:r>
          </w:p>
        </w:tc>
        <w:tc>
          <w:tcPr>
            <w:tcW w:w="74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12,364,537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Checking and bank deposits</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59,835,124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43,349,247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65,461,940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55,713,784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NOTE 3</w:t>
            </w:r>
          </w:p>
        </w:tc>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INVESTMENT SECURITIES</w:t>
            </w: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gridSpan w:val="2"/>
            <w:vMerge w:val="continue"/>
          </w:tcPr>
          <w:p>
            <w:pPr>
              <w:spacing w:after="0"/>
              <w:rPr>
                <w:sz w:val="24"/>
                <w:szCs w:val="24"/>
                <w:color w:val="auto"/>
              </w:rPr>
            </w:pPr>
          </w:p>
        </w:tc>
        <w:tc>
          <w:tcPr>
            <w:tcW w:w="5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We record our investments as held-to-maturity at amortized cost.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September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September 30,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holding losses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2"/>
              </w:rPr>
              <w:t>Obligations of domestic governmental agencies (maturing between October</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2015 and August 2016) (held-to-maturity)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28,701,209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60" w:type="dxa"/>
            <w:vAlign w:val="bottom"/>
            <w:gridSpan w:val="2"/>
          </w:tcPr>
          <w:p>
            <w:pPr>
              <w:jc w:val="right"/>
              <w:ind w:right="77"/>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w w:val="90"/>
              </w:rPr>
              <w:t>28,709,190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Obligations of domestic governmental agencies (maturing between October</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2016 and September 2017) (held-to-maturity)</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21,088,192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21,125,202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49,789,401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49,834,392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Obligations of domestic governmental agencies (maturing between January 2015 and December 2015) (held-to-maturity)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short-term investment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6"/>
        </w:trPr>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Estimated fair</w:t>
            </w:r>
          </w:p>
        </w:tc>
      </w:tr>
      <w:tr>
        <w:trPr>
          <w:trHeight w:val="234"/>
        </w:trPr>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holding 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holding losses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value</w:t>
            </w:r>
          </w:p>
        </w:tc>
      </w:tr>
      <w:tr>
        <w:trPr>
          <w:trHeight w:val="65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23,062,034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5,806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23,057,150</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23,057,150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440" w:space="180"/>
            <w:col w:w="5800"/>
          </w:cols>
          <w:pgMar w:left="240" w:top="904" w:right="239" w:bottom="1440" w:gutter="0" w:footer="0" w:header="0"/>
          <w:type w:val="continuous"/>
        </w:sectPr>
      </w:pPr>
    </w:p>
    <w:p>
      <w:pPr>
        <w:spacing w:after="0" w:line="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September 30, 2015 and December 31, 2014, the fair values of cash and cash equivalents, restricted cash, and notes and interest payable, current portion approximate their carrying value.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ind w:right="260"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 5% Notes was approximately $19.5 million at December 31, 2014 and $20.3 million at September 30, 2015. No payments have been made on the 5% Notes as of September 30, 2015.</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2015 and December 31, 2014.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the fair value measurements of applicable financial liabilities as of September 30, 2015 and December 31,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8"/>
                <w:szCs w:val="18"/>
                <w:b w:val="1"/>
                <w:bCs w:val="1"/>
                <w:color w:val="auto"/>
                <w:w w:val="88"/>
              </w:rPr>
              <w:t>as of September 30,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181,668</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275,190</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2015:</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275,190</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730,710</w:t>
            </w:r>
          </w:p>
        </w:tc>
        <w:tc>
          <w:tcPr>
            <w:tcW w:w="40" w:type="dxa"/>
            <w:vAlign w:val="bottom"/>
          </w:tcPr>
          <w:p>
            <w:pPr>
              <w:spacing w:after="0"/>
              <w:rPr>
                <w:sz w:val="18"/>
                <w:szCs w:val="18"/>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(824,232)</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Fair value at September 30,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181,668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150,000,000 shares of $0.001 par value common stock.</w:t>
      </w:r>
    </w:p>
    <w:p>
      <w:pPr>
        <w:spacing w:after="0" w:line="23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$75.0 million, from time to time through MLV &amp; Co. LLC (“MLV”), acting as the sales agent. Under the 2015 ATM we pay MLV a commission rate of up to 3.0% of the gross proceeds from the sale of any shares of common stock sold through MLV.</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nine months ended September 30, 2015, we sold a total of 4,094,498 shares of common stock under the 2015 ATM for aggregate total gross proceeds of approximately $68.2 million at an average selling price of $16.66 per share, resulting in net proceeds of approximately $67.0 million after deducting commissions and other transaction costs.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currently have two shelf registration statements on Form S-3 filed and declared effective by the SEC (File No. 333-189015 and File No. 333-201339). After deducting shares already sold, approximately $248 million of common stock remains available for sale under these shelf registration statements. We may offer the securities under our shelf registration statements from time to time in response to market conditions or other circumstances if we believe such a plan of financing is in the best interests of our stockholders. We believe that these shelf registration statements provide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An amendment to the TG Therapeutics, Inc. Amended and Restated 2012 Incentive Plan (“2012 Incentive Plan”) was approved by stockholders in June 2015. Pursuant to this amendment, 6,000,000 shares were added to the 2012 Incentive Plan. Shares available for the issuance of stock options or other stock-based awards under our 2012 Incentive Plan were 5,676,574 shares at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 shares</w:t>
            </w: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971.70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463.32</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2,811.53</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Outstanding at September 30, 2015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Exercisable at September 30, 2015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there are no unvested option awards and no unrecognized compensation cost related to option awards.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nine months ended September 30,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8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480,592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(819,622)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(31,166)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9"/>
                <w:szCs w:val="19"/>
                <w:color w:val="auto"/>
              </w:rPr>
            </w:pP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6,029,805</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Total expense associated with restricted stock grants was approximately $12.8 million during the nine months ended September 30, 2015. As of September 30, 2015, there was approximately $18.9 million of total unrecognized compensation cost related to unvested time-based restricted stock, which is expected to be recognized over a weighted-average period of 2.0 years. This amount does not include, as of September 30, 2015, 1,866,167 shares of restricted stock outstanding issued to non-employees, the expense for which is determined each reporting period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Warrants</w:t>
            </w:r>
          </w:p>
        </w:tc>
        <w:tc>
          <w:tcPr>
            <w:tcW w:w="18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6"/>
        </w:trPr>
        <w:tc>
          <w:tcPr>
            <w:tcW w:w="5460" w:type="dxa"/>
            <w:vAlign w:val="bottom"/>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4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4,148,228</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vMerge w:val="continue"/>
            <w:shd w:val="clear" w:color="auto" w:fill="CCEEFF"/>
          </w:tcPr>
          <w:p>
            <w:pPr>
              <w:spacing w:after="0"/>
              <w:rPr>
                <w:sz w:val="20"/>
                <w:szCs w:val="20"/>
                <w:color w:val="auto"/>
              </w:rPr>
            </w:pPr>
          </w:p>
        </w:tc>
        <w:tc>
          <w:tcPr>
            <w:tcW w:w="144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61,792,184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Issued</w:t>
            </w:r>
          </w:p>
        </w:tc>
        <w:tc>
          <w:tcPr>
            <w:tcW w:w="144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(2,925,687)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Expired</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(11,364)</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1,211,177</w:t>
            </w: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2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9,334,897</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during the nine months ended September 30, 2015 and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information about restricted stock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Three months ended</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5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2015</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2015</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1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1,240,034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1,240,034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NOTE 6 – NOTES PAYABLE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0" w:type="dxa"/>
            <w:vAlign w:val="bottom"/>
            <w:gridSpan w:val="4"/>
          </w:tcPr>
          <w:p>
            <w:pPr>
              <w:ind w:left="660"/>
              <w:spacing w:after="0"/>
              <w:rPr>
                <w:sz w:val="20"/>
                <w:szCs w:val="20"/>
                <w:color w:val="auto"/>
              </w:rPr>
            </w:pPr>
            <w:r>
              <w:rPr>
                <w:rFonts w:ascii="Arial" w:cs="Arial" w:eastAsia="Arial" w:hAnsi="Arial"/>
                <w:sz w:val="18"/>
                <w:szCs w:val="18"/>
                <w:color w:val="auto"/>
                <w:w w:val="92"/>
              </w:rPr>
              <w:t>The following is a summary of notes payable: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 2015</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current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current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portion,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portion, net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portion, net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6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181,668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$1,125 per share. Ariston agreed to make quarterly payments on the 5% Notes equal to 50% of the net product cash flow received from the exploitation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Ariston’s product candidates, AST-726 and AST-915. We have no obligation under the 5% Notes aside from a) 50% of the net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Ariston’s product candidates, if any, payable to noteholders; and b) the conversion feature, discussed above. Interest accrues monthly,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principal on an annual basis, every March 8, and is payable at maturity, which was March 8, 2015.</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these notes was approximately $20.3 million at September 30, 2015 and $19.5 million at December 31, 2014. No payments have been made on the 5% Notes as of September 30, 2015.</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Anti-PD-L1 and anti-GITR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March 3, 2015, we entered into a Global Collaboration Agreement (the “Collaboration”) with Checkpoint Therapeutics, Inc. (“Checkpoint”), a subsidiary of Fortress Biotech, Inc. (“Fortress”), a related party, for the development and commercialization of Checkpoint’s anti-PD-L1 and anti-GITR antibody research programs in the field of hematological malignancies. Checkpoint retains the rights to develop and commercialize these antibodies in solid tumors.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Under the terms of the Collaboration, we made an up-front payment of $0.5 million,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the Dana Farber Cancer Institute containing a valid claim to any licensed product in such country.</w:t>
      </w:r>
    </w:p>
    <w:p>
      <w:pPr>
        <w:spacing w:after="0" w:line="187"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Michael Weiss, our Executive Chairman, Interim CEO and President is also the Executive Vice Chairman of Fortress and the Executive Chairman of Checkpoint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right="40" w:firstLine="648"/>
        <w:spacing w:after="0" w:line="255" w:lineRule="auto"/>
        <w:rPr>
          <w:sz w:val="20"/>
          <w:szCs w:val="20"/>
          <w:color w:val="auto"/>
        </w:rPr>
      </w:pPr>
      <w:r>
        <w:rPr>
          <w:rFonts w:ascii="Arial" w:cs="Arial" w:eastAsia="Arial" w:hAnsi="Arial"/>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$0.1 million for each of the nine months ended September 30, 2015 and 2014 and, at September 30, 2015 and December 31, 2014, have deferred revenue of approximately $1.6 million and $1.7 million, respectively, associated with this $2.0 million payment (approximately $0.2 million of which has been classified in current liabilities at September 30, 2015 and December 31, 2014).</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LFB License Agreement, LFB maintained the right to purchase at least $750,000 in additional shares of common stock at a purchase price per share as defined in a November 2012 securities exchange agreement. Accordingly, in February 2015, LFB purchased 114,855 shares of our common stock at a price of $6.53 per share for net proceeds of $750,000. In May 2015, LFB exercised their warrant to purchase 2,500,000 shares of common stock at a purchase price of $0.001 per share.</w:t>
      </w:r>
    </w:p>
    <w:p>
      <w:pPr>
        <w:spacing w:after="0" w:line="18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Under the terms of the LFB License Agreement, we utilize LFB Group for certain development and manufacturing services. We incurred approximately $4.9 million and $1.8 million in expenses for such services during the nine months ended September 30, 2015 and 2014, respectively, which have been included in other research and development expenses in the accompanying consolidated statements of operations. As of September 30, 2015 and December 31, 2014, we had approximately $0.4 million and $0.1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September 30, 2015 and December 31, 2014, we recorded approximately $4.4 million and $1.9 million, respectively, in prepaid research and development for such advance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March 2014, we entered into a shared services agreement with Opus Point Partners Management, LLC (“Opus”) in which the parties agreed to share the costs of a rented facility and certain other services. Our Executive Chairman and Interim Chief Executive Officer, is a Managing Member of Opus. During the nine months ended September 30, 2015, we incurred expenses of approximately $0.2 million, principally for rent, related to this agreement. As of September 30, 2015, we had approximately $0.1 million recorded in accounts payable related to this shared services agreement.</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Note 7 above, with regard to the Collaboration with Checkpoint, our Executive Chairman and Interim Chief Executive Officer is also the Executive Vice Chairman of Fortress and the Executive Chairman of Checkpoint. In addition, Mr. Weiss holds equity interests in TG, Fortress and Checkpoint.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right="80" w:firstLine="648"/>
        <w:spacing w:after="0" w:line="259" w:lineRule="auto"/>
        <w:rPr>
          <w:sz w:val="20"/>
          <w:szCs w:val="20"/>
          <w:color w:val="auto"/>
        </w:rPr>
      </w:pPr>
      <w:r>
        <w:rPr>
          <w:rFonts w:ascii="Arial" w:cs="Arial" w:eastAsia="Arial" w:hAnsi="Arial"/>
          <w:sz w:val="18"/>
          <w:szCs w:val="18"/>
          <w:color w:val="auto"/>
        </w:rPr>
        <w:t>On October 3, 2014, we entered into a Desk Space Agreement (the “Desk Agreement”) with Fortress, to occupy approximately 40% of the New York City office space recently leased by Fortress. This Desk Agreement requires us to pay our respective share of the average annual rent and other costs of the 15 year lease. We approximate an average annual rental obligation of $1.1 million under the Desk Agreement. Fortress does not expect to take possession of the space until late 2015 or early 2016.</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connection with the Desk Agreement, we paid approximately $0.1 million in advance rent, which is recorded in other current assets in the accompanying consolidated balance sheets as of September 30, 2015 and December 31, 2014. During the nine months ended September 30, 2015, we incurred expenses of approximately $0.1 million, principally for our share of project management services, related to this agreement, of which $0.1 million was recorded in accounts payable. Also in connection with this lease, in October 2014 we pledged $0.6 million to secure a line of credit as a security deposit for the Desk Agreement, which has been recorded as Restricted Cash in the accompanying consolidated balance sheets.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July 2015, we entered into a Shared Services Agreement (the “Shared Services Agreement”) with Fortress to share the cost of certain services such as facilities use, shared personnel costs and other shared overhead and administrative costs. This Shared Services Agreement requires us to pay our respective share of services utilized. In connection with the Shared Services Agreement, we incurred expenses of approximately $40,000 for shared services as of September 30, 2015, which included only costs for shared personnel costs.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September 1, 2015, we paid $25,000 to Checkpoint as an option fee for the exclusive right to enter into a collaboration for certain compounds licensed by Checkpoint. The option has not been exercised as of September 30, 2015.</w:t>
      </w:r>
    </w:p>
    <w:p>
      <w:pPr>
        <w:spacing w:after="0" w:line="170"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For the nine months ended September 30, 2015, we incurred expenses of approximately $23,000 to AOI Communications, L.P. for manuscript services related to TG-1101. Our Executive Chairman and Interim Chief Executive Officer is the owner of AOI Communications, 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in November 2012.</w:t>
      </w:r>
    </w:p>
    <w:p>
      <w:pPr>
        <w:spacing w:after="0" w:line="187" w:lineRule="exact"/>
        <w:rPr>
          <w:sz w:val="20"/>
          <w:szCs w:val="20"/>
          <w:color w:val="auto"/>
        </w:rPr>
      </w:pPr>
    </w:p>
    <w:p>
      <w:pPr>
        <w:ind w:right="6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2013 of approximately $8 billion.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In both studies, single agent therapy with TG-1101 was deemed well tolerated by treating investigators and displayed promising clinical activity in relapsed and refractory patients. In oncology settings, anti-CD20 therapy is generally used in combination with other anti-cancer agents where it demonstrates maximum activity as opposed to single agent usage. As a result, subsequent clinical development for TG-1101 has focused on combination therapy. Currently, our combination trials for TG-1101 are evaluating the following regimens:</w:t>
      </w:r>
    </w:p>
    <w:p>
      <w:pPr>
        <w:spacing w:after="0" w:line="162" w:lineRule="exact"/>
        <w:rPr>
          <w:sz w:val="20"/>
          <w:szCs w:val="20"/>
          <w:color w:val="auto"/>
        </w:rPr>
      </w:pPr>
    </w:p>
    <w:p>
      <w:pPr>
        <w:ind w:left="1300" w:right="80" w:hanging="320"/>
        <w:spacing w:after="0" w:line="186" w:lineRule="auto"/>
        <w:tabs>
          <w:tab w:leader="none" w:pos="130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TG-1101 in combination with ibrutinib (trade name IMBRUVICA</w:t>
      </w:r>
      <w:r>
        <w:rPr>
          <w:rFonts w:ascii="Arial" w:cs="Arial" w:eastAsia="Arial" w:hAnsi="Arial"/>
          <w:sz w:val="30"/>
          <w:szCs w:val="30"/>
          <w:color w:val="auto"/>
          <w:vertAlign w:val="superscript"/>
        </w:rPr>
        <w:t>®</w:t>
      </w:r>
      <w:r>
        <w:rPr>
          <w:rFonts w:ascii="Arial" w:cs="Arial" w:eastAsia="Arial" w:hAnsi="Arial"/>
          <w:sz w:val="18"/>
          <w:szCs w:val="18"/>
          <w:color w:val="auto"/>
        </w:rPr>
        <w:t>), a Bruton’s Tyrosine Kinase (“BTK”) inhibitor, for patients with CLL &amp; Mantle Cell Lymphoma (MCL);</w:t>
      </w:r>
    </w:p>
    <w:p>
      <w:pPr>
        <w:spacing w:after="0" w:line="2" w:lineRule="exact"/>
        <w:rPr>
          <w:rFonts w:ascii="Arial" w:cs="Arial" w:eastAsia="Arial" w:hAnsi="Arial"/>
          <w:sz w:val="36"/>
          <w:szCs w:val="36"/>
          <w:color w:val="auto"/>
          <w:vertAlign w:val="superscript"/>
        </w:rPr>
      </w:pPr>
    </w:p>
    <w:p>
      <w:pPr>
        <w:ind w:left="1300" w:right="42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in combination with TGR-1202, our development stage PI3Kδ inhibitor, for patients with CLL and NHL, with select cohorts evaluating the triple combination of TG-1101 + TGR-1202 + ibrutinib; and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addition, we have announced our intent of evaluating TG-1101 for the treatment of certain autoimmune diseases. Currently, TG-1101 is being evaluated as single agent for the treatment of acute neuromyelitis optica (NMO) relapses, with additional autoimmune related indications planned to be studied. Further details on our priority ongoing combination trials for TG-1101 are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November 2013, we initiated a multi-center, Phase I study to evaluate the safety and efficacy of the combination of TG-1101 and TGR-1202, our novel, once per day, PI3Kδ inhibitor, for patients with relapsed and/or refractory CLL and NHL. This is the first clinical trial evaluating the combination of TG-1101 and TGR-1202. In this study, dosing of TGR-1202 was commenced at 800mg once per day (QD) with dose escalation proceeding in a 3+3 design. Dose-escalation up to 1200mg micronized formulation has been completed and expansion cohorts are now being evaluated at various doses. Additional cohorts were added to this study to explore the triple therapy combination of TG-1101, TGR-1202, and ibrutinib.</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right="40" w:firstLine="648"/>
        <w:spacing w:after="0" w:line="259" w:lineRule="auto"/>
        <w:rPr>
          <w:sz w:val="20"/>
          <w:szCs w:val="20"/>
          <w:color w:val="auto"/>
        </w:rPr>
      </w:pPr>
      <w:r>
        <w:rPr>
          <w:rFonts w:ascii="Arial" w:cs="Arial" w:eastAsia="Arial" w:hAnsi="Arial"/>
          <w:sz w:val="18"/>
          <w:szCs w:val="18"/>
          <w:color w:val="auto"/>
        </w:rPr>
        <w:t>The MD Anderson Cancer Center is the lead center for the trial with Nathan Fowler, MD, Assistant Professor and Co-Director of Clinical Research in the Department of Lymphoma, as the Study Chair for the NHL patient group and Susan O’Brien, MD, formerly of MD Anderson and now Professor and Medical Director for Cancer Clinical Trials and Research at UC Irvine as the Study Chair for the CLL patient group. As of October 2015, enrollment into this study is ongoing in select expansion cohorts.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Preliminary data from this study was presented at the 51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American Society of Clinical Oncology (ASCO) Annual Meeting held in Chicago, IL in</w:t>
      </w:r>
    </w:p>
    <w:p>
      <w:pPr>
        <w:ind w:right="400"/>
        <w:spacing w:after="0" w:line="182" w:lineRule="auto"/>
        <w:rPr>
          <w:sz w:val="20"/>
          <w:szCs w:val="20"/>
          <w:color w:val="auto"/>
        </w:rPr>
      </w:pPr>
      <w:r>
        <w:rPr>
          <w:rFonts w:ascii="Arial" w:cs="Arial" w:eastAsia="Arial" w:hAnsi="Arial"/>
          <w:sz w:val="17"/>
          <w:szCs w:val="17"/>
          <w:color w:val="auto"/>
        </w:rPr>
        <w:t>May/June 2015, and again in June 2015 at both the 20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European Hematology Association (EHA) Meeting held in Vienna, Austria as well as at the 13</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International Congress on Malignant Lymphoma (ICML), held in Lugano, Switzerland.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December 2013, we initiated a multi-center Phase 2 clinical trial to evaluate the safety and efficacy of the combination of TG-1101 and ibrutinib for patients with CLL and MCL. This is the first clinical trial evaluating the combination of TG-1101 and ibrutinib, an oral Bruton’s Tyrosine Kinase (BTK) inhibitor.</w:t>
      </w:r>
    </w:p>
    <w:p>
      <w:pPr>
        <w:spacing w:after="0" w:line="18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TG Therapeutics partnered with the US Oncology Network and other select centers throughout the United States on the study, with Jeff Sharman, MD, Medical Director for Hematology Research, US Oncology Network, as the Study Chair. This trial has completed enrollment.</w:t>
      </w:r>
    </w:p>
    <w:p>
      <w:pPr>
        <w:spacing w:after="0" w:line="15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Preliminary data from this study was presented at the 56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American Society of Hematology (ASH) meeting held in San Francisco, CA in December 2014, and most recently updated at the 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International Congress on Malignant Lymphoma (ICML), held in Lugano, Switzerland in June 2015.</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TGR-1202 + Pembrolizumab for Relapsed/Refractory CLL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2015, we initiated a Phase 1/2 clinical trial that will investigate the use of TG-1101, and TGR-1202 in combination with</w:t>
      </w:r>
    </w:p>
    <w:p>
      <w:pPr>
        <w:spacing w:after="0" w:line="23" w:lineRule="exact"/>
        <w:rPr>
          <w:sz w:val="20"/>
          <w:szCs w:val="20"/>
          <w:color w:val="auto"/>
        </w:rPr>
      </w:pPr>
    </w:p>
    <w:p>
      <w:pPr>
        <w:jc w:val="both"/>
        <w:ind w:right="200"/>
        <w:spacing w:after="0" w:line="217" w:lineRule="auto"/>
        <w:rPr>
          <w:sz w:val="20"/>
          <w:szCs w:val="20"/>
          <w:color w:val="auto"/>
        </w:rPr>
      </w:pPr>
      <w:r>
        <w:rPr>
          <w:rFonts w:ascii="Arial" w:cs="Arial" w:eastAsia="Arial" w:hAnsi="Arial"/>
          <w:sz w:val="18"/>
          <w:szCs w:val="18"/>
          <w:color w:val="auto"/>
        </w:rPr>
        <w:t>pembrolizumab (KEYTRUDA</w:t>
      </w:r>
      <w:r>
        <w:rPr>
          <w:rFonts w:ascii="Arial" w:cs="Arial" w:eastAsia="Arial" w:hAnsi="Arial"/>
          <w:sz w:val="30"/>
          <w:szCs w:val="30"/>
          <w:color w:val="auto"/>
          <w:vertAlign w:val="superscript"/>
        </w:rPr>
        <w:t>®</w:t>
      </w:r>
      <w:r>
        <w:rPr>
          <w:rFonts w:ascii="Arial" w:cs="Arial" w:eastAsia="Arial" w:hAnsi="Arial"/>
          <w:sz w:val="18"/>
          <w:szCs w:val="18"/>
          <w:color w:val="auto"/>
        </w:rPr>
        <w:t>) the anti-PD-1 immune checkpoint inhibitor, in patients with relapsed or refractory CLL. This will be the first clinical trial evaluating the safety, tolerability and effectiveness of the triple combination of a PI3K delta inhibitor with an anti-CD20 mAb and an anti-PD-1 checkpoint inhibitor.</w:t>
      </w:r>
    </w:p>
    <w:p>
      <w:pPr>
        <w:spacing w:after="0" w:line="20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TG Therapeutics partnered with the Abramson Cancer Center of the University of Pennsylvania in Philadelphia, PA, with Dr. Anthony Mato, an assistant professor in the Perelman School of Medicine at the University of Pennsylvania, Director of the Center for CLL at Penn's Abramson Cancer Center, acting as Study Chair of the Phase 1/2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reached an agreement with the U.S. Food and Drug Administration (the “FDA”) regarding a Special Protocol Assessment (“SPA”) on the design, endpoints and statistical analysis approach of a Phase 3 clinical trial for TG-1101 plus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20" w:firstLine="648"/>
        <w:spacing w:after="0" w:line="288"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w:t>
      </w:r>
    </w:p>
    <w:p>
      <w:pPr>
        <w:ind w:right="80"/>
        <w:spacing w:after="0" w:line="229" w:lineRule="auto"/>
        <w:rPr>
          <w:sz w:val="20"/>
          <w:szCs w:val="20"/>
          <w:color w:val="auto"/>
        </w:rPr>
      </w:pPr>
      <w:r>
        <w:rPr>
          <w:rFonts w:ascii="Arial" w:cs="Arial" w:eastAsia="Arial" w:hAnsi="Arial"/>
          <w:sz w:val="18"/>
          <w:szCs w:val="18"/>
          <w:color w:val="auto"/>
        </w:rPr>
        <w:t>into four treatment arms: TG-1101 + TGR-1202, TG-1101 alone, TGR-1202 alone, and an active control arm of obinutuzumab (GAZYVA</w:t>
      </w:r>
      <w:r>
        <w:rPr>
          <w:rFonts w:ascii="Arial" w:cs="Arial" w:eastAsia="Arial" w:hAnsi="Arial"/>
          <w:sz w:val="30"/>
          <w:szCs w:val="30"/>
          <w:color w:val="auto"/>
          <w:vertAlign w:val="superscript"/>
        </w:rPr>
        <w:t>®</w:t>
      </w:r>
      <w:r>
        <w:rPr>
          <w:rFonts w:ascii="Arial" w:cs="Arial" w:eastAsia="Arial" w:hAnsi="Arial"/>
          <w:sz w:val="18"/>
          <w:szCs w:val="18"/>
          <w:color w:val="auto"/>
        </w:rPr>
        <w:t>)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are:</w:t>
      </w:r>
    </w:p>
    <w:p>
      <w:pPr>
        <w:spacing w:after="0" w:line="8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TGR-1202 in combination with the anti-CD20 antibody, obinutuzumab (GAZYVA</w:t>
      </w:r>
      <w:r>
        <w:rPr>
          <w:rFonts w:ascii="Arial" w:cs="Arial" w:eastAsia="Arial" w:hAnsi="Arial"/>
          <w:sz w:val="30"/>
          <w:szCs w:val="30"/>
          <w:color w:val="auto"/>
          <w:vertAlign w:val="superscript"/>
        </w:rPr>
        <w:t>®</w:t>
      </w:r>
      <w:r>
        <w:rPr>
          <w:rFonts w:ascii="Arial" w:cs="Arial" w:eastAsia="Arial" w:hAnsi="Arial"/>
          <w:sz w:val="18"/>
          <w:szCs w:val="18"/>
          <w:color w:val="auto"/>
        </w:rPr>
        <w:t>) and chlorambucil in patients with CLL;</w:t>
      </w:r>
    </w:p>
    <w:p>
      <w:pPr>
        <w:ind w:left="660" w:right="80" w:hanging="328"/>
        <w:spacing w:after="0" w:line="183" w:lineRule="auto"/>
        <w:tabs>
          <w:tab w:leader="none" w:pos="660" w:val="left"/>
        </w:tabs>
        <w:numPr>
          <w:ilvl w:val="0"/>
          <w:numId w:val="5"/>
        </w:numPr>
        <w:rPr>
          <w:rFonts w:ascii="Arial" w:cs="Arial" w:eastAsia="Arial" w:hAnsi="Arial"/>
          <w:sz w:val="32"/>
          <w:szCs w:val="32"/>
          <w:color w:val="auto"/>
          <w:vertAlign w:val="superscript"/>
        </w:rPr>
      </w:pPr>
      <w:r>
        <w:rPr>
          <w:rFonts w:ascii="Arial" w:cs="Arial" w:eastAsia="Arial" w:hAnsi="Arial"/>
          <w:sz w:val="17"/>
          <w:szCs w:val="17"/>
          <w:color w:val="auto"/>
        </w:rPr>
        <w:t>TGR-1202 in combination with the anti-CD30 antibody drug conjugate, brentuximab vedotin (ADCETRIS</w:t>
      </w:r>
      <w:r>
        <w:rPr>
          <w:rFonts w:ascii="Arial" w:cs="Arial" w:eastAsia="Arial" w:hAnsi="Arial"/>
          <w:sz w:val="27"/>
          <w:szCs w:val="27"/>
          <w:color w:val="auto"/>
          <w:vertAlign w:val="superscript"/>
        </w:rPr>
        <w:t>®</w:t>
      </w:r>
      <w:r>
        <w:rPr>
          <w:rFonts w:ascii="Arial" w:cs="Arial" w:eastAsia="Arial" w:hAnsi="Arial"/>
          <w:sz w:val="17"/>
          <w:szCs w:val="17"/>
          <w:color w:val="auto"/>
        </w:rPr>
        <w:t>), in patients with relapsed or refractory Hodgkin’s lymphoma;</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660" w:hanging="328"/>
        <w:spacing w:after="0" w:line="233" w:lineRule="auto"/>
        <w:tabs>
          <w:tab w:leader="none" w:pos="66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TGR-1202 in combination with the JAK inhibitor, ruxolitinib (JAKAFI</w:t>
      </w:r>
      <w:r>
        <w:rPr>
          <w:rFonts w:ascii="Arial" w:cs="Arial" w:eastAsia="Arial" w:hAnsi="Arial"/>
          <w:sz w:val="28"/>
          <w:szCs w:val="28"/>
          <w:color w:val="auto"/>
          <w:vertAlign w:val="superscript"/>
        </w:rPr>
        <w:t>®</w:t>
      </w:r>
      <w:r>
        <w:rPr>
          <w:rFonts w:ascii="Arial" w:cs="Arial" w:eastAsia="Arial" w:hAnsi="Arial"/>
          <w:sz w:val="17"/>
          <w:szCs w:val="17"/>
          <w:color w:val="auto"/>
        </w:rPr>
        <w:t>), in patients with previously treated Myelofibrosis or Polycythemia Vera.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January 2013, we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October 2015, TGR-1202-101 is ongoing and enrolling patients in select expansion cohorts.</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220" w:firstLine="648"/>
        <w:spacing w:after="0" w:line="210" w:lineRule="auto"/>
        <w:rPr>
          <w:sz w:val="20"/>
          <w:szCs w:val="20"/>
          <w:color w:val="auto"/>
        </w:rPr>
      </w:pPr>
      <w:r>
        <w:rPr>
          <w:rFonts w:ascii="Arial" w:cs="Arial" w:eastAsia="Arial" w:hAnsi="Arial"/>
          <w:sz w:val="16"/>
          <w:szCs w:val="16"/>
          <w:color w:val="auto"/>
        </w:rPr>
        <w:t>Preliminary data from this study was presented at the 51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American Society of Clinical Oncology (ASCO) Annual Meeting held in Chicago, IL in May/June 2015, and again in June 2015 at both the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European Hematology Association (EHA) Meeting held in Vienna, Austria as well as at the 13</w:t>
      </w:r>
      <w:r>
        <w:rPr>
          <w:rFonts w:ascii="Arial" w:cs="Arial" w:eastAsia="Arial" w:hAnsi="Arial"/>
          <w:sz w:val="26"/>
          <w:szCs w:val="26"/>
          <w:color w:val="auto"/>
          <w:vertAlign w:val="superscript"/>
        </w:rPr>
        <w:t>th</w:t>
      </w:r>
    </w:p>
    <w:p>
      <w:pPr>
        <w:spacing w:after="0" w:line="2" w:lineRule="exact"/>
        <w:rPr>
          <w:sz w:val="20"/>
          <w:szCs w:val="20"/>
          <w:color w:val="auto"/>
        </w:rPr>
      </w:pPr>
    </w:p>
    <w:p>
      <w:pPr>
        <w:ind w:right="260"/>
        <w:spacing w:after="0" w:line="204" w:lineRule="auto"/>
        <w:rPr>
          <w:sz w:val="20"/>
          <w:szCs w:val="20"/>
          <w:color w:val="auto"/>
        </w:rPr>
      </w:pPr>
      <w:r>
        <w:rPr>
          <w:rFonts w:ascii="Arial" w:cs="Arial" w:eastAsia="Arial" w:hAnsi="Arial"/>
          <w:sz w:val="18"/>
          <w:szCs w:val="18"/>
          <w:color w:val="auto"/>
        </w:rPr>
        <w:t>International Congress on Malignant Lymphoma (ICML), held in Lugano, Switzerland and at the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International workshop on CLL (iwCLL) in Sydney, Australia.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TGR-1202 is being evaluated in combination with the anti-CD20 antibody, obinutuzumab and chlorambucil in patients with previously untreated CLL;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It is anticipated that preliminary results from these studies will be presented at future medical conferences.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22" w:name="page23"/>
    <w:bookmarkEnd w:id="22"/>
    <w:p>
      <w:pPr>
        <w:jc w:val="both"/>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2015 and September 30, 2014</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$38,096 for each of the three months ended September 30, 2015 and 2014.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 with in-licensing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(research and development) amounted to $4,138,844 during the three months ended September 30, 2014. The expense during the three months ended September 30, 2014 was recorded in conjunction with the stock issued to Ligand Pharmaceuticals as an upfront payment for the license to the IRAK4 inhibitors program.</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totaled $35,756 for the three months ended September 30, 2015, as compared to $1,200,575 during the comparable period in 2014. The decrease in noncash compensation expense was primarily related to milestone-based vesting of restricted stock grants to personnel that occurred during the period ended September 30, 2014 and a decrease in the measurement date fair value of certain consultant restricted stock during the period ended September 30, 2015.</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right="6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$3,186,092 to $11,538,246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as compared to $8,352,154 for the three months ended September 30, 2014. The increase was mainly due to increases in manufacturing and clinical trial expenses related to TG-1101 and TGR-1202 of $4.2 million and $1.4 million, respectively, offset by a decrease of $4.0 million related to the upfront cash milestone payment to Rhizen to exercise the license option for TGR-1202 during the three months ended September 30, 2014. We expect our other research and development costs to increase modestly for the remainder of 2015 due primarily to the enrollment of additional patients in our clinical trials.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 administrative) related to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grants decreased by $1,691,719 to $1,204,278 for the three months ended September 30, 2015, as compared to $2,895,997 for the three months ended September 30, 2014. The decrease in noncash compensation expense was primarily related to the recording of the fair value of equity awards granted to general and administrative personnel and directors, which are expensed over the vesting periods of the individual awards.</w:t>
      </w:r>
    </w:p>
    <w:p>
      <w:pPr>
        <w:spacing w:after="0" w:line="17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$195,528 to $1,085,400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as compared to $889,872 for the three months ended September 30, 2014. We expect our other general and administrative expenses to remain at a comparable level for the remainder of 2015.</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$181,491 to $169,668 of income for the three months ended September 30, 2015,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$11,823 of expenses for the three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2015 and September 30, 2014</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$114,286 for the nine months ended September 30, 2015 and 2014.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received in 2012 associated with our license agreement with Ildong.</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 with in-licensing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(research and development) amounted to $5,350,094 during the nine months ended September 30, 2014. The expense during the nine months ended September 30, 2014 was recorded in conjunction with the stock issued to Rhizen of approximately $4.1 million to exercise our option to license TGR-1202, and approximately $1.2 million associated with the common stock issued to Ligand Pharmaceuticals as an upfront payment for the license to the IRAK4 inhibitors program.</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totaled $2,733,110 for the nine months ended September 30, 2015, as compared to $6,402,296 during the comparable period in 2014. The decrease in noncash compensation expense was primarily related to milestone-based vesting of restricted stock grants to non-executive personnel during the period ended September 30, 2014 and a decrease in the measurement date fair value of certain consultant restricted stock during the period ended September 30, 2015.</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Other Research and Development Expenses</w:t>
      </w:r>
      <w:r>
        <w:rPr>
          <w:rFonts w:ascii="Arial" w:cs="Arial" w:eastAsia="Arial" w:hAnsi="Arial"/>
          <w:sz w:val="17"/>
          <w:szCs w:val="17"/>
          <w:color w:val="auto"/>
        </w:rPr>
        <w:t>. Other research and development expenses increased by $16,522,708 to $29,719,891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2015, as compared to $13,197,183 for the nine months ended September 30, 2014. The increase in other research and development expenses was due primarily to increases of approximately $13.0 million and $2.8 million for manufacturing and clinical trial expenses related to TG-1101 and TGR-1202, respectively, offset by a decrease of $4.0 million related to the upfront cash milestone payment to Rhizen to exercise the license option for TGR-1202 during the nine months ended September 30, 2014. We expect our other research and development costs to increase modestly for the remainder of 2015 as enrollment of additional patients increases on our clinical trials.</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 administrative) related to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grants increased by $442,378 to $10,106,938 for the nine months ended September 30, 2015, as compared to $9,664,560 for the nine months ended September 30, 2014. The increase in noncash compensation expense was primarily related to the recording of the fair value of equity awards granted to general and administrative personnel and directors, which are expensed over the vesting periods of the individual awards.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24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$594,241 to $3,094,362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as compared to $2,500,121 for the nine months ended September 30, 2014. We expect our other general and administrative expenses to remain at a comparable level for the remainder of 2015.</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$(188,061) to $(203,181) for the nine months ended September 30, 2015,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$(15,120) for the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2015, we had approximately $115.4 million in cash and cash equivalents, investment securities, and interest receivable.</w:t>
      </w:r>
    </w:p>
    <w:p>
      <w:pPr>
        <w:spacing w:after="0" w:line="23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anticipate that our cash and cash equivalents as of September 30, 2015 are sufficient to fund our anticipated operating cash requirements for more than 24 months from September 30, 2015.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2015 was $31,789,611 as compared to $19,952,981 for the nine months ended September 30, 2014. The increase in cash used in operating activities was due primarily to increased expenditures associated with our clinical development programs for TG-1101 and TGR-1202.</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nine months ended September 30, 2015, net cash used in investing activities was $27,164,331 as compared to $9,222,506 for the nine months ended September 30, 2014. The increase in net cash used in investing activities was primarily due to purchases of investment in held-to-maturity treasury securities.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For the nine months ended September 30, 2015, net cash provided by financing activities of $68,702,098 related to our ATM program, as well as proceeds from the exercise of warrants. For the nine months ended September 30, 2014, net cash provided by financing activities of $41,915,820 related to net proceeds from the issuance of Common Stock as part of our underwritten public offering in March 2014, as well as proceeds from the exercise of warrants, net of payment of notes payable of $677,778.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have granted stock options and restricted stock to employees, directors and consultants, as well as warrants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September 30, 2015 and December 31, 2014, there was $799,391 of goodwill on our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May 2014, the FASB issued an Accounting Standards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2018. We are currently evaluating the impact of this update on our consolidated financial statements.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2015,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September 30, 2015,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2015, our disclosure controls and procedures were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2015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21" w:right="299" w:bottom="1440" w:gutter="0" w:footer="0" w:header="0"/>
        </w:sectPr>
      </w:pPr>
    </w:p>
    <w:bookmarkStart w:id="28" w:name="page29"/>
    <w:bookmarkEnd w:id="28"/>
    <w:p>
      <w:pPr>
        <w:ind w:right="4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order to submit and maintain an IND,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nor for our anti-PD-L1 and anti-GITR antibodies. Additionally, there can be no assurance given that any of the molecules under development in our IRAK4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anti-PD-L1 and anti-GITR programs are all in pre-clinical development and no assurance can be given that they will advance into clinical development. To date, none of these programs have been through formal toxicology testing required to enable clinical testing, and no assurance can be given that they will be safe enough to be advanced into clinical testing. Many drugs fail in the early stages of clinical development for safety and tolerability issues, accordingly if our pre-clinical assets advance into clinical development, no assurance can be made that a safe and efficacious dose can be found.</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7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September 2014, we announced a Phase 3 clinical trial for TG-1101 in previously treated patients with high-risk CLL , and in September 2015 we announced a Phase 3 clinical trial for the combination of TG-1101 + TGR-1202 for patients with CLL, each of which are being conducted pursuant to SPAs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spacing w:after="0" w:line="285" w:lineRule="auto"/>
        <w:rPr>
          <w:sz w:val="20"/>
          <w:szCs w:val="20"/>
          <w:color w:val="auto"/>
        </w:rPr>
      </w:pPr>
      <w:r>
        <w:rPr>
          <w:rFonts w:ascii="Arial" w:cs="Arial" w:eastAsia="Arial" w:hAnsi="Arial"/>
          <w:sz w:val="16"/>
          <w:szCs w:val="16"/>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75 patients have been dosed in the ongoing first-in-human dose-escalation Phase I single agent study, the full adverse effect profile of TGR-1202 is not known. It is unknown as the additional patients are exposed for longer durations to TGR-1202, whether greater frequency and/or severity of adverse events are likely to occur. Common toxicities of other drugs in the same class as TGR-1202 include high levels of liver toxicity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2"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56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2" w:name="page33"/>
    <w:bookmarkEnd w:id="32"/>
    <w:p>
      <w:pPr>
        <w:ind w:right="4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and anticipate engaging additional manufacturing sources for TGR-1202 to meet expanded clinical trial and commercial needs. No assurance can be given that the secondary manufacturing will be successful or that material manufactured by the secondary manufacturer will perform comparably to TG-1101 or TGR-1202 as manufactured to date and used in currently available pre-clinical data and or in early clinical trials reported in this or any previous filing. If the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60" w:firstLine="648"/>
        <w:spacing w:after="0" w:line="233"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and WM and marketed by Pharmacyclics and Janssen), or the bcl-2 inhibitor ABT-199 (under clinical development by AbbVie and Roche).</w:t>
      </w:r>
    </w:p>
    <w:p>
      <w:pPr>
        <w:spacing w:after="0" w:line="173" w:lineRule="exact"/>
        <w:rPr>
          <w:sz w:val="20"/>
          <w:szCs w:val="20"/>
          <w:color w:val="auto"/>
        </w:rPr>
      </w:pPr>
    </w:p>
    <w:p>
      <w:pPr>
        <w:ind w:right="56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18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10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September 30, 2015, we had approximately thirty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Currently, the composition of matter patent and several method of use patents for TG-1101 in various indications and settings have been applied for but have not yet been issued, or have not yet been issued in all jurisdictions in which such applications have been filed. While a composition of matter patent has been granted in the US for TGR-1202, composition of matter patents and/or method of use patents for our IRAK4 inhibitor program and anti-PD-L1 and anti-GITR programs have also been applied for but have not yet been issued to date.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50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right="66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As of September 30, 2015, we had net cash, cash equivalents, investment securities and interest receivable of approximately $115.4 million. We believe that our cash and cash equivalents and investments, inclusive of the amounts raised subsequent to the end of the quarter, will sustain our operations for more than 24 months from September 30, 2015.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been profitable and, as of September 30, 2015, we had an accumulated deficit of $140.5 million.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4" w:name="page45"/>
    <w:bookmarkEnd w:id="44"/>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directors, executive officers, their affiliates, and our principal stockholders beneficially own approximately 40%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6" w:name="page47"/>
    <w:bookmarkEnd w:id="46"/>
    <w:p>
      <w:pPr>
        <w:ind w:firstLine="648"/>
        <w:spacing w:after="0" w:line="290"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November 9, 2015.</w:t>
      </w:r>
    </w:p>
    <w:p>
      <w:pPr>
        <w:spacing w:after="0" w:line="170" w:lineRule="exact"/>
        <w:rPr>
          <w:sz w:val="20"/>
          <w:szCs w:val="20"/>
          <w:color w:val="auto"/>
        </w:rPr>
      </w:pPr>
    </w:p>
    <w:p>
      <w:pPr>
        <w:ind w:left="1300" w:right="280" w:hanging="647"/>
        <w:spacing w:after="0" w:line="277"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November 9, 2015.</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§1350, as adopted pursuant to Section 906 of the Sarbanes-Oxley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2002, dated November 9, 2015.</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§1350, as adopted pursuant to Section 906 of the Sarbanes-Oxley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2002, dated November 9, 2015.</w:t>
      </w:r>
    </w:p>
    <w:p>
      <w:pPr>
        <w:spacing w:after="0" w:line="211" w:lineRule="exact"/>
        <w:rPr>
          <w:sz w:val="20"/>
          <w:szCs w:val="20"/>
          <w:color w:val="auto"/>
        </w:rPr>
      </w:pPr>
    </w:p>
    <w:p>
      <w:pPr>
        <w:ind w:left="1300" w:right="60" w:hanging="644"/>
        <w:spacing w:after="0" w:line="279"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September 30, 2015, formatted in Extensible Business Reporting Language (XBRL): (i) the Condensed Consolidated Balance Sheets, (ii) the Condensed Consolidated Statements of Operations, (iii) the Condensed Consolidated Statement of Equity, (iv) the Condensed Consolidated Statements of Cash Flows, and (v) Notes to the Condensed Consolidated Financial Statements (filed herewith).</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TG THERAPEUTICS,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November 9, 2015</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Sean A. Power</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284"/>
              <w:spacing w:after="0"/>
              <w:rPr>
                <w:sz w:val="20"/>
                <w:szCs w:val="20"/>
                <w:color w:val="auto"/>
              </w:rPr>
            </w:pPr>
            <w:r>
              <w:rPr>
                <w:rFonts w:ascii="Arial" w:cs="Arial" w:eastAsia="Arial" w:hAnsi="Arial"/>
                <w:sz w:val="22"/>
                <w:szCs w:val="22"/>
                <w:color w:val="auto"/>
              </w:rPr>
              <w:t>48</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25" w:lineRule="exact"/>
        <w:rPr>
          <w:sz w:val="20"/>
          <w:szCs w:val="20"/>
          <w:color w:val="auto"/>
        </w:rPr>
      </w:pPr>
    </w:p>
    <w:p>
      <w:pPr>
        <w:ind w:left="1300" w:right="160" w:hanging="647"/>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 dated November 9, 2015.</w:t>
      </w:r>
    </w:p>
    <w:p>
      <w:pPr>
        <w:spacing w:after="0" w:line="170"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 dated November 9, 2015.</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§1350, as adopted pursuant to Section 906 of the Sarbanes-Oxley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2002, dated November 9, 2015.</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§1350, as adopted pursuant to Section 906 of the Sarbanes-Oxley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2002, dated November 9, 2015.</w:t>
      </w:r>
    </w:p>
    <w:p>
      <w:pPr>
        <w:spacing w:after="0" w:line="211" w:lineRule="exact"/>
        <w:rPr>
          <w:sz w:val="20"/>
          <w:szCs w:val="20"/>
          <w:color w:val="auto"/>
        </w:rPr>
      </w:pPr>
    </w:p>
    <w:p>
      <w:pPr>
        <w:ind w:left="1300" w:hanging="644"/>
        <w:spacing w:after="0" w:line="27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September 30, 2015, formatted in Extensible Business Reporting Language (XBRL): (i) the Condensed Consolidated Balance Sheets, (ii) the Condensed Consolidated Statements of Operations, (iii) the Condensed Consolidated Statement of Equity, (iv) the Condensed Consolidated Statements of Cash Flows, and (v) Notes to the Condensed Consolidated Financial Statements (filed herewith).</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00" w:right="260" w:hanging="192"/>
        <w:spacing w:after="0" w:line="342" w:lineRule="auto"/>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right="40" w:hanging="192"/>
        <w:spacing w:after="0" w:line="277"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00" w:right="180" w:hanging="192"/>
        <w:spacing w:after="0" w:line="264"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20" w:hanging="383"/>
        <w:spacing w:after="0" w:line="264" w:lineRule="auto"/>
        <w:tabs>
          <w:tab w:leader="none" w:pos="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83"/>
        <w:spacing w:after="0" w:line="264" w:lineRule="auto"/>
        <w:tabs>
          <w:tab w:leader="none" w:pos="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83"/>
        <w:spacing w:after="0" w:line="308" w:lineRule="auto"/>
        <w:tabs>
          <w:tab w:leader="none" w:pos="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20" w:hanging="383"/>
        <w:spacing w:after="0" w:line="264" w:lineRule="auto"/>
        <w:tabs>
          <w:tab w:leader="none" w:pos="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00" w:right="640" w:hanging="192"/>
        <w:spacing w:after="0" w:line="308" w:lineRule="auto"/>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80" w:hanging="383"/>
        <w:spacing w:after="0" w:line="277" w:lineRule="auto"/>
        <w:tabs>
          <w:tab w:leader="none" w:pos="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383"/>
        <w:spacing w:after="0" w:line="277" w:lineRule="auto"/>
        <w:tabs>
          <w:tab w:leader="none" w:pos="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9,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91"/>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00" w:right="260" w:hanging="192"/>
        <w:spacing w:after="0" w:line="342" w:lineRule="auto"/>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right="40" w:hanging="192"/>
        <w:spacing w:after="0" w:line="277"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00" w:right="180" w:hanging="192"/>
        <w:spacing w:after="0" w:line="264"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20" w:hanging="383"/>
        <w:spacing w:after="0" w:line="264"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83"/>
        <w:spacing w:after="0" w:line="264"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83"/>
        <w:spacing w:after="0" w:line="308" w:lineRule="auto"/>
        <w:tabs>
          <w:tab w:leader="none" w:pos="5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20" w:hanging="383"/>
        <w:spacing w:after="0" w:line="264"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00" w:right="640" w:hanging="192"/>
        <w:spacing w:after="0" w:line="30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80" w:hanging="383"/>
        <w:spacing w:after="0" w:line="277"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383"/>
        <w:spacing w:after="0" w:line="277"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9,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2015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9,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2015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9,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1"/>
      <w:numFmt w:val="decimal"/>
      <w:start w:val="10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2019-12-29T14:26:27Z</dcterms:created>
  <dcterms:modified xsi:type="dcterms:W3CDTF">2019-12-29T14:26:27Z</dcterms:modified>
</cp:coreProperties>
</file>