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4040" w:right="2720" w:hanging="1317"/>
        <w:spacing w:after="0" w:line="282" w:lineRule="auto"/>
        <w:tabs>
          <w:tab w:leader="none" w:pos="290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80"/>
        <w:spacing w:after="0" w:line="282" w:lineRule="auto"/>
        <w:tabs>
          <w:tab w:leader="none" w:pos="29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571" w:right="239" w:bottom="144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571"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787 Seventh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56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65"/>
        </w:trPr>
        <w:tc>
          <w:tcPr>
            <w:tcW w:w="8720" w:type="dxa"/>
            <w:vAlign w:val="bottom"/>
          </w:tcPr>
          <w:p>
            <w:pPr>
              <w:spacing w:after="0"/>
              <w:rPr>
                <w:sz w:val="20"/>
                <w:szCs w:val="20"/>
                <w:color w:val="auto"/>
              </w:rPr>
            </w:pPr>
            <w:r>
              <w:rPr>
                <w:rFonts w:ascii="Arial" w:cs="Arial" w:eastAsia="Arial" w:hAnsi="Arial"/>
                <w:sz w:val="18"/>
                <w:szCs w:val="18"/>
                <w:color w:val="auto"/>
                <w:w w:val="97"/>
              </w:rPr>
              <w:t>Indicate by checkmark whether the registrant is a shell company (as defined in Rule 12b-2 of the Exchange Act).</w:t>
            </w:r>
          </w:p>
        </w:tc>
        <w:tc>
          <w:tcPr>
            <w:tcW w:w="2700" w:type="dxa"/>
            <w:vAlign w:val="bottom"/>
          </w:tcPr>
          <w:p>
            <w:pPr>
              <w:spacing w:after="0"/>
              <w:rPr>
                <w:sz w:val="24"/>
                <w:szCs w:val="24"/>
                <w:color w:val="auto"/>
              </w:rPr>
            </w:pPr>
          </w:p>
        </w:tc>
      </w:tr>
      <w:tr>
        <w:trPr>
          <w:trHeight w:val="283"/>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700" w:type="dxa"/>
            <w:vAlign w:val="bottom"/>
          </w:tcPr>
          <w:p>
            <w:pPr>
              <w:spacing w:after="0"/>
              <w:rPr>
                <w:sz w:val="24"/>
                <w:szCs w:val="24"/>
                <w:color w:val="auto"/>
              </w:rPr>
            </w:pPr>
          </w:p>
        </w:tc>
      </w:tr>
      <w:tr>
        <w:trPr>
          <w:trHeight w:val="412"/>
        </w:trPr>
        <w:tc>
          <w:tcPr>
            <w:tcW w:w="8720" w:type="dxa"/>
            <w:vAlign w:val="bottom"/>
          </w:tcPr>
          <w:p>
            <w:pPr>
              <w:spacing w:after="0"/>
              <w:rPr>
                <w:sz w:val="20"/>
                <w:szCs w:val="20"/>
                <w:color w:val="auto"/>
              </w:rPr>
            </w:pPr>
            <w:r>
              <w:rPr>
                <w:rFonts w:ascii="Arial" w:cs="Arial" w:eastAsia="Arial" w:hAnsi="Arial"/>
                <w:sz w:val="18"/>
                <w:szCs w:val="18"/>
                <w:color w:val="auto"/>
                <w:w w:val="95"/>
              </w:rPr>
              <w:t>There were 26,322,671 shares of the registrant’s common stock, $0.001 par value, outstanding as of May 7, 2013.</w:t>
            </w:r>
          </w:p>
        </w:tc>
        <w:tc>
          <w:tcPr>
            <w:tcW w:w="2700" w:type="dxa"/>
            <w:vAlign w:val="bottom"/>
          </w:tcPr>
          <w:p>
            <w:pPr>
              <w:spacing w:after="0"/>
              <w:rPr>
                <w:sz w:val="24"/>
                <w:szCs w:val="24"/>
                <w:color w:val="auto"/>
              </w:rPr>
            </w:pPr>
          </w:p>
        </w:tc>
      </w:tr>
      <w:tr>
        <w:trPr>
          <w:trHeight w:val="648"/>
        </w:trPr>
        <w:tc>
          <w:tcPr>
            <w:tcW w:w="8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Financial Statements: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Condensed Consolidated Balance Sheets as of March 31, 2013 (unaudited) and December 31, 2012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932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w w:val="90"/>
              </w:rPr>
              <w:t>Condensed Consolidated Statements of Operations for the three months ended March 31, 2013 and 2012 and the Cumulative</w:t>
            </w:r>
          </w:p>
        </w:tc>
        <w:tc>
          <w:tcPr>
            <w:tcW w:w="12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Period ended March 31, 2013 (unaudited)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Condensed Consolidated Statement of Equity for the three months ended March 31, 2013 (unaudited)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932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w w:val="90"/>
              </w:rPr>
              <w:t>Condensed Consolidated Statements of Cash Flows for the three months ended March 31, 2013 and 2012 and the Cumulative</w:t>
            </w:r>
          </w:p>
        </w:tc>
        <w:tc>
          <w:tcPr>
            <w:tcW w:w="12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Period ended March 31, 2013 (unaudited)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Notes to Condensed Consolidated Financial Statements (unaudited)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Controls and Procedures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Legal Proceedings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Risk Factors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Exhibits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4800"/>
              <w:spacing w:after="0"/>
              <w:rPr>
                <w:sz w:val="20"/>
                <w:szCs w:val="20"/>
                <w:color w:val="auto"/>
              </w:rPr>
            </w:pPr>
            <w:r>
              <w:rPr>
                <w:rFonts w:ascii="Arial" w:cs="Arial" w:eastAsia="Arial" w:hAnsi="Arial"/>
                <w:sz w:val="18"/>
                <w:szCs w:val="18"/>
                <w:color w:val="auto"/>
              </w:rPr>
              <w:t>2</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March 31, 2013</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15,188,167</w:t>
            </w:r>
          </w:p>
        </w:tc>
        <w:tc>
          <w:tcPr>
            <w:tcW w:w="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16,455,995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2,375,138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1,990,759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225,440</w:t>
            </w:r>
          </w:p>
        </w:tc>
        <w:tc>
          <w:tcPr>
            <w:tcW w:w="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29,128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17,788,745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18,475,882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Equipment, net</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1,049</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2,797,600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2,797,600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799,391</w:t>
            </w:r>
          </w:p>
        </w:tc>
        <w:tc>
          <w:tcPr>
            <w:tcW w:w="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799,391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21,386,785</w:t>
            </w:r>
          </w:p>
        </w:tc>
        <w:tc>
          <w:tcPr>
            <w:tcW w:w="20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Notes payable, current portion</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677,778</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677,778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1,387,882</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1,117,397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115,500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152,381</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152,381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139,421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123,511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2,472,962</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2,216,067</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1,790,476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1,828,571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Notes payable, less current portion, at fair value</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2,424,260</w:t>
            </w:r>
          </w:p>
        </w:tc>
        <w:tc>
          <w:tcPr>
            <w:tcW w:w="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2,479,098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6,687,698</w:t>
            </w:r>
          </w:p>
        </w:tc>
        <w:tc>
          <w:tcPr>
            <w:tcW w:w="2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6,523,736</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0"/>
              </w:rPr>
              <w:t>Preferred stock, $0.001 par value per share (10,000,000 shares authorized, 0 issued and outstanding as of March</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31, 2013 and December 31, 2012)</w:t>
            </w: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per share (500,000,000 shares authorized, 26,322,671 and 25,820,738 shares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issued and outstanding at March 31, 2013 and December 31, 2012,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26,323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25,821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Contingently issuable shares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37,356,700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34,534,805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Treasury stock, at cost, 13,526 shares at March 31, 2013 and December 31, 2012</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(84,538)</w:t>
            </w: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Deficit accumulated in the development stage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(22,599,404)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(18,925,793)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14,699,087</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15,550,301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21,386,785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2"/>
              </w:rPr>
              <w:t>Three months ended March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March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38,095</w:t>
            </w:r>
          </w:p>
        </w:tc>
        <w:tc>
          <w:tcPr>
            <w:tcW w:w="32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57,143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stock expense associated with in-licensing agreement</w:t>
            </w: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16,578,000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354,703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810,512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1,215,202</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163,353</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5,239,667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1,569,905</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16,741,353</w:t>
            </w: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22,925,179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1,530,774</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188,509</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4,583,641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651,457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455,492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2,934,737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3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2,182,231</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644,001</w:t>
            </w: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7,518,378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3,752,136</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17,385,354</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31,548,257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(3,714,041)</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(17,385,354)</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(31,491,114)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(3,668)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231,472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220,149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1,144,313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notes payable</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(270,400)</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(205,297)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(1,930,272)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(40,430</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11,184</w:t>
            </w: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(1,075,480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(3,673,611)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(17,396,538)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(30,415,634)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3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(3,673,611)</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(17,396,538)</w:t>
            </w:r>
          </w:p>
        </w:tc>
        <w:tc>
          <w:tcPr>
            <w:tcW w:w="140" w:type="dxa"/>
            <w:vAlign w:val="bottom"/>
            <w:tcBorders>
              <w:top w:val="single" w:sz="8" w:color="CCFFCC"/>
            </w:tcBorders>
            <w:gridSpan w:val="2"/>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(30,745,634)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(7,140,448)</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(8,146,230)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loss attributable to TG Therapeutics, Inc. and Subsidiaries</w:t>
            </w:r>
          </w:p>
        </w:tc>
        <w:tc>
          <w:tcPr>
            <w:tcW w:w="36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(3,673,611</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(10,256,090</w:t>
            </w:r>
          </w:p>
        </w:tc>
        <w:tc>
          <w:tcPr>
            <w:tcW w:w="140" w:type="dxa"/>
            <w:vAlign w:val="bottom"/>
            <w:tcBorders>
              <w:bottom w:val="single" w:sz="8" w:color="CCFFCC"/>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(22,599,404</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Borders>
              <w:top w:val="single" w:sz="8" w:color="CCFFCC"/>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Weighted average shares used in computing basic and diluted net loss per common share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21,953,803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5,061,399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for the three months ended March 31,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Balance at January 1, 2013 Issuance of common stock in connection with exercise</w:t>
      </w:r>
    </w:p>
    <w:p>
      <w:pPr>
        <w:ind w:left="160"/>
        <w:spacing w:after="0" w:line="218" w:lineRule="auto"/>
        <w:rPr>
          <w:sz w:val="20"/>
          <w:szCs w:val="20"/>
          <w:color w:val="auto"/>
        </w:rPr>
      </w:pPr>
      <w:r>
        <w:rPr>
          <w:rFonts w:ascii="Arial" w:cs="Arial" w:eastAsia="Arial" w:hAnsi="Arial"/>
          <w:sz w:val="13"/>
          <w:szCs w:val="13"/>
          <w:color w:val="auto"/>
        </w:rPr>
        <w:t>of warrants</w:t>
      </w:r>
    </w:p>
    <w:p>
      <w:pPr>
        <w:spacing w:after="0" w:line="235" w:lineRule="auto"/>
        <w:rPr>
          <w:sz w:val="20"/>
          <w:szCs w:val="20"/>
          <w:color w:val="auto"/>
        </w:rPr>
      </w:pPr>
      <w:r>
        <w:rPr>
          <w:rFonts w:ascii="Arial" w:cs="Arial" w:eastAsia="Arial" w:hAnsi="Arial"/>
          <w:sz w:val="12"/>
          <w:szCs w:val="12"/>
          <w:color w:val="auto"/>
        </w:rPr>
        <w:t>Issuance of restricted stock</w:t>
      </w:r>
    </w:p>
    <w:p>
      <w:pPr>
        <w:spacing w:after="0" w:line="235" w:lineRule="auto"/>
        <w:rPr>
          <w:sz w:val="20"/>
          <w:szCs w:val="20"/>
          <w:color w:val="auto"/>
        </w:rPr>
      </w:pPr>
      <w:r>
        <w:rPr>
          <w:rFonts w:ascii="Arial" w:cs="Arial" w:eastAsia="Arial" w:hAnsi="Arial"/>
          <w:sz w:val="12"/>
          <w:szCs w:val="12"/>
          <w:color w:val="auto"/>
        </w:rPr>
        <w:t>Compensation in respect of</w:t>
      </w:r>
    </w:p>
    <w:p>
      <w:pPr>
        <w:jc w:val="both"/>
        <w:ind w:left="160" w:right="20"/>
        <w:spacing w:after="0" w:line="245" w:lineRule="auto"/>
        <w:rPr>
          <w:sz w:val="20"/>
          <w:szCs w:val="20"/>
          <w:color w:val="auto"/>
        </w:rPr>
      </w:pPr>
      <w:r>
        <w:rPr>
          <w:rFonts w:ascii="Arial" w:cs="Arial" w:eastAsia="Arial" w:hAnsi="Arial"/>
          <w:sz w:val="12"/>
          <w:szCs w:val="12"/>
          <w:color w:val="auto"/>
        </w:rPr>
        <w:t>restricted stock granted to employees, directors and consultants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Balance at March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18"/>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198"/>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Contingently</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98"/>
              <w:spacing w:after="0" w:line="135" w:lineRule="exact"/>
              <w:rPr>
                <w:sz w:val="20"/>
                <w:szCs w:val="20"/>
                <w:color w:val="auto"/>
              </w:rPr>
            </w:pPr>
            <w:r>
              <w:rPr>
                <w:rFonts w:ascii="Arial" w:cs="Arial" w:eastAsia="Arial" w:hAnsi="Arial"/>
                <w:sz w:val="13"/>
                <w:szCs w:val="13"/>
                <w:b w:val="1"/>
                <w:bCs w:val="1"/>
                <w:color w:val="auto"/>
                <w:w w:val="86"/>
              </w:rPr>
              <w:t>in the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1880" w:type="dxa"/>
            <w:vAlign w:val="bottom"/>
            <w:gridSpan w:val="5"/>
          </w:tcPr>
          <w:p>
            <w:pPr>
              <w:ind w:left="400"/>
              <w:spacing w:after="0"/>
              <w:rPr>
                <w:sz w:val="20"/>
                <w:szCs w:val="20"/>
                <w:color w:val="auto"/>
              </w:rPr>
            </w:pPr>
            <w:r>
              <w:rPr>
                <w:rFonts w:ascii="Arial" w:cs="Arial" w:eastAsia="Arial" w:hAnsi="Arial"/>
                <w:sz w:val="13"/>
                <w:szCs w:val="13"/>
                <w:b w:val="1"/>
                <w:bCs w:val="1"/>
                <w:color w:val="auto"/>
              </w:rPr>
              <w:t>Preferred stock</w:t>
            </w:r>
          </w:p>
        </w:tc>
        <w:tc>
          <w:tcPr>
            <w:tcW w:w="1440" w:type="dxa"/>
            <w:vAlign w:val="bottom"/>
            <w:gridSpan w:val="3"/>
          </w:tcPr>
          <w:p>
            <w:pPr>
              <w:jc w:val="right"/>
              <w:ind w:right="4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0"/>
              </w:rPr>
              <w:t>issuable</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700" w:type="dxa"/>
            <w:vAlign w:val="bottom"/>
            <w:gridSpan w:val="6"/>
          </w:tcPr>
          <w:p>
            <w:pPr>
              <w:jc w:val="right"/>
              <w:ind w:right="45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1000" w:type="dxa"/>
            <w:vAlign w:val="bottom"/>
            <w:gridSpan w:val="3"/>
          </w:tcPr>
          <w:p>
            <w:pPr>
              <w:jc w:val="right"/>
              <w:ind w:right="218"/>
              <w:spacing w:after="0"/>
              <w:rPr>
                <w:sz w:val="20"/>
                <w:szCs w:val="20"/>
                <w:color w:val="auto"/>
              </w:rPr>
            </w:pPr>
            <w:r>
              <w:rPr>
                <w:rFonts w:ascii="Arial" w:cs="Arial" w:eastAsia="Arial" w:hAnsi="Arial"/>
                <w:sz w:val="13"/>
                <w:szCs w:val="13"/>
                <w:b w:val="1"/>
                <w:bCs w:val="1"/>
                <w:color w:val="auto"/>
                <w:w w:val="89"/>
              </w:rPr>
              <w:t>development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40" w:type="dxa"/>
            <w:vAlign w:val="bottom"/>
            <w:tcBorders>
              <w:top w:val="single" w:sz="8" w:color="auto"/>
            </w:tcBorders>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060" w:type="dxa"/>
            <w:vAlign w:val="bottom"/>
            <w:tcBorders>
              <w:top w:val="single" w:sz="8" w:color="auto"/>
            </w:tcBorders>
            <w:gridSpan w:val="2"/>
          </w:tcPr>
          <w:p>
            <w:pPr>
              <w:ind w:left="240"/>
              <w:spacing w:after="0" w:line="143" w:lineRule="exact"/>
              <w:rPr>
                <w:sz w:val="20"/>
                <w:szCs w:val="20"/>
                <w:color w:val="auto"/>
              </w:rPr>
            </w:pPr>
            <w:r>
              <w:rPr>
                <w:rFonts w:ascii="Arial" w:cs="Arial" w:eastAsia="Arial" w:hAnsi="Arial"/>
                <w:sz w:val="13"/>
                <w:szCs w:val="13"/>
                <w:b w:val="1"/>
                <w:bCs w:val="1"/>
                <w:color w:val="auto"/>
              </w:rPr>
              <w:t>Shares</w:t>
            </w:r>
          </w:p>
        </w:tc>
        <w:tc>
          <w:tcPr>
            <w:tcW w:w="820" w:type="dxa"/>
            <w:vAlign w:val="bottom"/>
            <w:tcBorders>
              <w:top w:val="single" w:sz="8" w:color="auto"/>
            </w:tcBorders>
            <w:gridSpan w:val="2"/>
          </w:tcPr>
          <w:p>
            <w:pPr>
              <w:jc w:val="right"/>
              <w:ind w:right="137"/>
              <w:spacing w:after="0" w:line="143"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3" w:lineRule="exact"/>
              <w:rPr>
                <w:sz w:val="20"/>
                <w:szCs w:val="20"/>
                <w:color w:val="auto"/>
              </w:rPr>
            </w:pPr>
            <w:r>
              <w:rPr>
                <w:rFonts w:ascii="Arial" w:cs="Arial" w:eastAsia="Arial" w:hAnsi="Arial"/>
                <w:sz w:val="13"/>
                <w:szCs w:val="13"/>
                <w:b w:val="1"/>
                <w:bCs w:val="1"/>
                <w:color w:val="auto"/>
                <w:w w:val="81"/>
              </w:rPr>
              <w:t>shares</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3" w:lineRule="exact"/>
              <w:rPr>
                <w:sz w:val="20"/>
                <w:szCs w:val="20"/>
                <w:color w:val="auto"/>
              </w:rPr>
            </w:pPr>
            <w:r>
              <w:rPr>
                <w:rFonts w:ascii="Arial" w:cs="Arial" w:eastAsia="Arial" w:hAnsi="Arial"/>
                <w:sz w:val="13"/>
                <w:szCs w:val="13"/>
                <w:b w:val="1"/>
                <w:bCs w:val="1"/>
                <w:color w:val="auto"/>
              </w:rPr>
              <w:t>capital</w:t>
            </w:r>
          </w:p>
        </w:tc>
        <w:tc>
          <w:tcPr>
            <w:tcW w:w="780" w:type="dxa"/>
            <w:vAlign w:val="bottom"/>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78"/>
              <w:spacing w:after="0" w:line="143" w:lineRule="exact"/>
              <w:rPr>
                <w:sz w:val="20"/>
                <w:szCs w:val="20"/>
                <w:color w:val="auto"/>
              </w:rPr>
            </w:pPr>
            <w:r>
              <w:rPr>
                <w:rFonts w:ascii="Arial" w:cs="Arial" w:eastAsia="Arial" w:hAnsi="Arial"/>
                <w:sz w:val="13"/>
                <w:szCs w:val="13"/>
                <w:b w:val="1"/>
                <w:bCs w:val="1"/>
                <w:color w:val="auto"/>
                <w:w w:val="82"/>
              </w:rPr>
              <w:t>stage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300"/>
              <w:spacing w:after="0" w:line="143" w:lineRule="exact"/>
              <w:rPr>
                <w:sz w:val="20"/>
                <w:szCs w:val="20"/>
                <w:color w:val="auto"/>
              </w:rPr>
            </w:pPr>
            <w:r>
              <w:rPr>
                <w:rFonts w:ascii="Arial" w:cs="Arial" w:eastAsia="Arial" w:hAnsi="Arial"/>
                <w:sz w:val="13"/>
                <w:szCs w:val="13"/>
                <w:b w:val="1"/>
                <w:bCs w:val="1"/>
                <w:color w:val="auto"/>
              </w:rPr>
              <w:t>Total</w:t>
            </w:r>
          </w:p>
        </w:tc>
      </w:tr>
      <w:tr>
        <w:trPr>
          <w:trHeight w:val="154"/>
        </w:trPr>
        <w:tc>
          <w:tcPr>
            <w:tcW w:w="700" w:type="dxa"/>
            <w:vAlign w:val="bottom"/>
            <w:tcBorders>
              <w:top w:val="single" w:sz="8" w:color="auto"/>
            </w:tcBorders>
          </w:tcPr>
          <w:p>
            <w:pPr>
              <w:ind w:left="580"/>
              <w:spacing w:after="0"/>
              <w:rPr>
                <w:sz w:val="20"/>
                <w:szCs w:val="20"/>
                <w:color w:val="auto"/>
              </w:rPr>
            </w:pPr>
            <w:r>
              <w:rPr>
                <w:rFonts w:ascii="Arial" w:cs="Arial" w:eastAsia="Arial" w:hAnsi="Arial"/>
                <w:sz w:val="13"/>
                <w:szCs w:val="13"/>
                <w:color w:val="auto"/>
                <w:w w:val="76"/>
              </w:rPr>
              <w:t>—</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w w:val="76"/>
              </w:rPr>
              <w:t>—</w:t>
            </w:r>
          </w:p>
        </w:tc>
        <w:tc>
          <w:tcPr>
            <w:tcW w:w="24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25,820,738</w:t>
            </w:r>
          </w:p>
        </w:tc>
        <w:tc>
          <w:tcPr>
            <w:tcW w:w="240" w:type="dxa"/>
            <w:vAlign w:val="bottom"/>
          </w:tcPr>
          <w:p>
            <w:pPr>
              <w:spacing w:after="0"/>
              <w:rPr>
                <w:sz w:val="13"/>
                <w:szCs w:val="13"/>
                <w:color w:val="auto"/>
              </w:rPr>
            </w:pPr>
          </w:p>
        </w:tc>
        <w:tc>
          <w:tcPr>
            <w:tcW w:w="380" w:type="dxa"/>
            <w:vAlign w:val="bottom"/>
            <w:tcBorders>
              <w:top w:val="single" w:sz="8" w:color="auto"/>
            </w:tcBorders>
          </w:tcPr>
          <w:p>
            <w:pPr>
              <w:jc w:val="right"/>
              <w:ind w:right="267"/>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34,534,805</w:t>
            </w: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ind w:left="200"/>
              <w:spacing w:after="0"/>
              <w:rPr>
                <w:sz w:val="20"/>
                <w:szCs w:val="20"/>
                <w:color w:val="auto"/>
              </w:rPr>
            </w:pPr>
            <w:r>
              <w:rPr>
                <w:rFonts w:ascii="Arial" w:cs="Arial" w:eastAsia="Arial" w:hAnsi="Arial"/>
                <w:sz w:val="13"/>
                <w:szCs w:val="13"/>
                <w:color w:val="auto"/>
                <w:w w:val="78"/>
              </w:rPr>
              <w:t>(84,538)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(18,925,793)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15,550,301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6"/>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416,409</w:t>
            </w:r>
          </w:p>
        </w:tc>
        <w:tc>
          <w:tcPr>
            <w:tcW w:w="38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936,504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936,920</w:t>
            </w:r>
          </w:p>
        </w:tc>
        <w:tc>
          <w:tcPr>
            <w:tcW w:w="20" w:type="dxa"/>
            <w:vAlign w:val="bottom"/>
          </w:tcPr>
          <w:p>
            <w:pPr>
              <w:spacing w:after="0"/>
              <w:rPr>
                <w:sz w:val="24"/>
                <w:szCs w:val="24"/>
                <w:color w:val="auto"/>
              </w:rPr>
            </w:pPr>
          </w:p>
        </w:tc>
      </w:tr>
      <w:tr>
        <w:trPr>
          <w:trHeight w:val="160"/>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85,524</w:t>
            </w:r>
          </w:p>
        </w:tc>
        <w:tc>
          <w:tcPr>
            <w:tcW w:w="3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540"/>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1,885,477</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1,885,477</w:t>
            </w:r>
          </w:p>
        </w:tc>
        <w:tc>
          <w:tcPr>
            <w:tcW w:w="20" w:type="dxa"/>
            <w:vAlign w:val="bottom"/>
          </w:tcPr>
          <w:p>
            <w:pPr>
              <w:spacing w:after="0"/>
              <w:rPr>
                <w:sz w:val="24"/>
                <w:szCs w:val="24"/>
                <w:color w:val="auto"/>
              </w:rPr>
            </w:pPr>
          </w:p>
        </w:tc>
      </w:tr>
      <w:tr>
        <w:trPr>
          <w:trHeight w:val="266"/>
        </w:trPr>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18"/>
              <w:spacing w:after="0"/>
              <w:rPr>
                <w:sz w:val="20"/>
                <w:szCs w:val="20"/>
                <w:color w:val="auto"/>
              </w:rPr>
            </w:pPr>
            <w:r>
              <w:rPr>
                <w:rFonts w:ascii="Arial" w:cs="Arial" w:eastAsia="Arial" w:hAnsi="Arial"/>
                <w:sz w:val="13"/>
                <w:szCs w:val="13"/>
                <w:color w:val="auto"/>
              </w:rPr>
              <w:t>(3,673,611)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(3,673,611)</w:t>
            </w:r>
          </w:p>
        </w:tc>
      </w:tr>
      <w:tr>
        <w:trPr>
          <w:trHeight w:val="149"/>
        </w:trPr>
        <w:tc>
          <w:tcPr>
            <w:tcW w:w="7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3"/>
                <w:szCs w:val="13"/>
                <w:color w:val="auto"/>
                <w:w w:val="76"/>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w w:val="76"/>
              </w:rPr>
              <w:t>—</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26,322,671</w:t>
            </w: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37,356,700</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w w:val="86"/>
              </w:rPr>
              <w:t>(84,538</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5"/>
              </w:rPr>
              <w:t>(22,599,404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8"/>
              </w:rPr>
              <w:t>14,699,087</w:t>
            </w:r>
          </w:p>
        </w:tc>
        <w:tc>
          <w:tcPr>
            <w:tcW w:w="20" w:type="dxa"/>
            <w:vAlign w:val="bottom"/>
          </w:tcPr>
          <w:p>
            <w:pPr>
              <w:spacing w:after="0"/>
              <w:rPr>
                <w:sz w:val="12"/>
                <w:szCs w:val="1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-1088390</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-736600</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-307975</wp:posOffset>
            </wp:positionV>
            <wp:extent cx="724662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-128270</wp:posOffset>
            </wp:positionV>
            <wp:extent cx="72466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260"/>
            <w:col w:w="9620"/>
          </w:cols>
          <w:pgMar w:left="240" w:top="877" w:right="299" w:bottom="1440" w:gutter="0" w:footer="0" w:header="0"/>
          <w:type w:val="continuous"/>
        </w:sect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(3,673,611)</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(17,396,538)</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(30,745,634)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Adjustments to reconcile consolidated net loss to cash used in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1,885,477</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188,509</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5,394,153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16,578,000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and accrued interest of notes payable</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(54,838)</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(Increase) decrease in other current assets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(580,691)</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8,147</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Increase (decrease) in accounts payable and 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240,985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(254,604)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1,245,052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interest payable</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15,910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14,852</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(Decrease) increase in deferred revenue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1,942,857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(2,204,748</w:t>
            </w:r>
          </w:p>
        </w:tc>
        <w:tc>
          <w:tcPr>
            <w:tcW w:w="160" w:type="dxa"/>
            <w:vAlign w:val="bottom"/>
            <w:tcBorders>
              <w:top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(861,634</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(7,479,289</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acquired in connection with acquisition</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investing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Proceeds from the exercise of warrants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936,920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Payments of short-term loans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12,257,309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(20,416)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936,920</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12,036,893</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22,658,469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(1,267,828)</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11,175,259</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15,188,167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16,455,995</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9,748,491</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15,188,167</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20,923,750</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15,188,167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NONCASH TRANSACTIONS</w:t>
            </w: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Conversion of notes payable to preferred stock</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Accrued financing costs</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55,487</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therapies for hematologic malignancies: TG-1101 (ublituximab), a novel, third generation monoclonal antibody that targets a specific and unique epitope on the CD20 antigen found on mature B-lymphocytes; and TGR-1202, an orally available PI3K delta inhibitor. We also hold the development rights to AST-726, a nasally delivered product for the treatment of Vitamin B12 deficiency.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2012. The results of operations for the three months ended March 31, 2013 are not necessarily indicative of the results that may be expected for the entire fiscal year or any other interim period.</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March 31, 2013, we have an accumulated deficit of $22,599,404.</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major sources of cash have been proceeds from the private placement of equity securities, the upfront payment from our Sublicense Agreement with Ildong Pharmaceutical Co. Ltd.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ind w:right="140" w:firstLine="648"/>
        <w:spacing w:after="0" w:line="257" w:lineRule="auto"/>
        <w:rPr>
          <w:sz w:val="20"/>
          <w:szCs w:val="20"/>
          <w:color w:val="auto"/>
        </w:rPr>
      </w:pPr>
      <w:r>
        <w:rPr>
          <w:rFonts w:ascii="Arial" w:cs="Arial" w:eastAsia="Arial" w:hAnsi="Arial"/>
          <w:sz w:val="18"/>
          <w:szCs w:val="18"/>
          <w:color w:val="auto"/>
        </w:rPr>
        <w:t>As of March 31, 2013, we had $15,188,167 in cash and cash equivalents. We currently anticipate that our cash and cash equivalents to be sufficient to fund our anticipated operating cash requirements for approximately 15-18 months from March 31, 2013.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OTC Bulletin Board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and consists of a comparison of the fair value of the in-process research and development with its carrying amount.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as compensation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Basic net income (loss) per share of Common Stock is calculated by dividing net income (loss) applicable to the Common Stock by the weighted-average number of the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10,415,859 and 14,154,452 at March 31, 2013 and 2012, respectively. During the three months ended March 31, 2013 and 2012, the Company incurred a net loss; therefore, all of the dilutive securities are excluded from the computation of diluted earnings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 and Goodwill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 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March 31, 2013 and December 31, 2012, the fair values of cash and cash equivalents, and notes and interest payable approximate their carrying value.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42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$17,727,000 at December 31, 2012, and $17,943,000 at March 31, 2013. As these notes payable are tied directly to net product cash flows derived from the preexisting products of the Company, this note and accrued interest was recorded at fair value of $3,287,700 as of the date of the Exchange Transaction. No payments have been made on these notes as of March 31, 2013.</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is discounted to the present using a yield that incorporates compensation for the probability of success in clinical development and marketing, among other factors. The discount rate used in this discounted cash flow model approximated 20% at December 31, 2012 and March 31,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December 31, 2012 and March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7"/>
              </w:rPr>
              <w:t>as of December 31, 2012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ind w:left="8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2,479,098</w:t>
            </w:r>
          </w:p>
        </w:tc>
        <w:tc>
          <w:tcPr>
            <w:tcW w:w="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2,479,098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as of March 31, 2013</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2,424,260</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2,424,260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2,424,260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2,424,260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2013:</w:t>
      </w:r>
    </w:p>
    <w:p>
      <w:pPr>
        <w:spacing w:after="0" w:line="200" w:lineRule="exact"/>
        <w:rPr>
          <w:sz w:val="20"/>
          <w:szCs w:val="20"/>
          <w:color w:val="auto"/>
        </w:rPr>
      </w:pP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2012</w:t>
            </w:r>
          </w:p>
        </w:tc>
        <w:tc>
          <w:tcPr>
            <w:tcW w:w="340" w:type="dxa"/>
            <w:vAlign w:val="bottom"/>
            <w:gridSpan w:val="2"/>
            <w:shd w:val="clear" w:color="auto" w:fill="CCFFCC"/>
          </w:tcPr>
          <w:p>
            <w:pPr>
              <w:jc w:val="right"/>
              <w:ind w:right="2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2,479,098</w:t>
            </w:r>
          </w:p>
        </w:tc>
        <w:tc>
          <w:tcPr>
            <w:tcW w:w="4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215,562</w:t>
            </w:r>
          </w:p>
        </w:tc>
        <w:tc>
          <w:tcPr>
            <w:tcW w:w="40" w:type="dxa"/>
            <w:vAlign w:val="bottom"/>
          </w:tcPr>
          <w:p>
            <w:pPr>
              <w:spacing w:after="0"/>
              <w:rPr>
                <w:sz w:val="18"/>
                <w:szCs w:val="18"/>
                <w:color w:val="auto"/>
              </w:rPr>
            </w:pPr>
          </w:p>
        </w:tc>
      </w:tr>
      <w:tr>
        <w:trPr>
          <w:trHeight w:val="230"/>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(270,400)</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Fair value at March 31, 2013</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2,424,260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1,966,733 shares at March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46,904</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61.08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bottom w:val="single" w:sz="8" w:color="CCFFCC"/>
            </w:tcBorders>
            <w:vMerge w:val="restart"/>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Borders>
              <w:top w:val="single" w:sz="8" w:color="CCFFCC"/>
              <w:bottom w:val="single" w:sz="8" w:color="CCFFCC"/>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CCFFCC"/>
              <w:bottom w:val="single" w:sz="8" w:color="CCFFCC"/>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2,249.85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Outstanding at March 31, 2013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46.37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FFCC"/>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Vested and expected to vest at March 31, 2013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3,313.30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March 31, 2013</w:t>
            </w: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591</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3,313.30</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340" w:type="dxa"/>
            <w:vAlign w:val="bottom"/>
            <w:tcBorders>
              <w:top w:val="single" w:sz="8" w:color="CCFFCC"/>
              <w:bottom w:val="single" w:sz="8" w:color="CCFFCC"/>
            </w:tcBorders>
            <w:gridSpan w:val="2"/>
            <w:shd w:val="clear" w:color="auto" w:fill="CCFFCC"/>
          </w:tcPr>
          <w:p>
            <w:pPr>
              <w:jc w:val="right"/>
              <w:ind w:right="100"/>
              <w:spacing w:after="0" w:line="190" w:lineRule="exact"/>
              <w:rPr>
                <w:sz w:val="20"/>
                <w:szCs w:val="20"/>
                <w:color w:val="auto"/>
              </w:rPr>
            </w:pPr>
            <w:r>
              <w:rPr>
                <w:rFonts w:ascii="Arial" w:cs="Arial" w:eastAsia="Arial" w:hAnsi="Arial"/>
                <w:sz w:val="18"/>
                <w:szCs w:val="18"/>
                <w:color w:val="auto"/>
              </w:rPr>
              <w:t>2.33</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12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 w:name="page13"/>
    <w:bookmarkEnd w:id="12"/>
    <w:p>
      <w:pPr>
        <w:ind w:right="60" w:firstLine="648"/>
        <w:spacing w:after="0" w:line="264" w:lineRule="auto"/>
        <w:rPr>
          <w:sz w:val="20"/>
          <w:szCs w:val="20"/>
          <w:color w:val="auto"/>
        </w:rPr>
      </w:pPr>
      <w:r>
        <w:rPr>
          <w:rFonts w:ascii="Arial" w:cs="Arial" w:eastAsia="Arial" w:hAnsi="Arial"/>
          <w:sz w:val="18"/>
          <w:szCs w:val="18"/>
          <w:color w:val="auto"/>
        </w:rPr>
        <w:t>As of March 31, 2013, the total compensation cost related to unvested time-based option awards not yet recognized was $0. This amount does not include, as of March 31, 2013, 46,000 non-employee options outstanding which are milestone-based and vest upon certain corporate milestones. Stock-based compensation will be measured and recorded if and when a milestone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Certain employees have been awarded restricted Company Preferred Stock. The restricted stock vesting consists of milestone and time-based vesting. The following table summarizes restricted share activity for the three months ended March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04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6,614,243</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85,524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4040" w:type="dxa"/>
            <w:vAlign w:val="bottom"/>
            <w:shd w:val="clear" w:color="auto" w:fill="CCFFCC"/>
          </w:tcPr>
          <w:p>
            <w:pPr>
              <w:ind w:left="26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w:t>
            </w: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2013</w:t>
            </w:r>
          </w:p>
        </w:tc>
        <w:tc>
          <w:tcPr>
            <w:tcW w:w="1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6,412,267</w:t>
            </w:r>
          </w:p>
        </w:tc>
        <w:tc>
          <w:tcPr>
            <w:tcW w:w="18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4.62</w:t>
            </w:r>
          </w:p>
        </w:tc>
      </w:tr>
      <w:tr>
        <w:trPr>
          <w:trHeight w:val="20"/>
        </w:trPr>
        <w:tc>
          <w:tcPr>
            <w:tcW w:w="404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Total expense associated with restricted stock grants was $1,885,477 during the three months ended March 31, 2013. As of March 31, 2013, there was approximately $8,627,000 of total unrecognized compensation cost related to unvested time based restricted stock, which is expected to be recognized over a weighted-average period of 2.6 years. This amount does not include, as of March 31, 2013, 1,517,500 shares of restricted stock outstanding which are milestone-based and vest upon certain corporate milestones; and 2,580,000 shares of restricted stock outstanding issued to non-employees. Milestone based non-cash compensation expense will be measured and recorded if and when a milestone occurs.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0"/>
                <w:szCs w:val="2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6,781,007</w:t>
            </w:r>
          </w:p>
        </w:tc>
        <w:tc>
          <w:tcPr>
            <w:tcW w:w="16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100" w:type="dxa"/>
            <w:vAlign w:val="bottom"/>
            <w:vMerge w:val="continue"/>
            <w:shd w:val="clear" w:color="auto" w:fill="CCFFCC"/>
          </w:tcPr>
          <w:p>
            <w:pPr>
              <w:spacing w:after="0"/>
              <w:rPr>
                <w:sz w:val="20"/>
                <w:szCs w:val="20"/>
                <w:color w:val="auto"/>
              </w:rPr>
            </w:pPr>
          </w:p>
        </w:tc>
        <w:tc>
          <w:tcPr>
            <w:tcW w:w="110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9"/>
              </w:rPr>
              <w:t>$ 14,563,539</w:t>
            </w:r>
          </w:p>
        </w:tc>
        <w:tc>
          <w:tcPr>
            <w:tcW w:w="0" w:type="dxa"/>
            <w:vAlign w:val="bottom"/>
          </w:tcPr>
          <w:p>
            <w:pPr>
              <w:spacing w:after="0"/>
              <w:rPr>
                <w:sz w:val="1"/>
                <w:szCs w:val="1"/>
                <w:color w:val="auto"/>
              </w:rPr>
            </w:pPr>
          </w:p>
        </w:tc>
      </w:tr>
      <w:tr>
        <w:trPr>
          <w:trHeight w:val="20"/>
        </w:trPr>
        <w:tc>
          <w:tcPr>
            <w:tcW w:w="5240" w:type="dxa"/>
            <w:vAlign w:val="bottom"/>
            <w:tcBorders>
              <w:top w:val="single" w:sz="8" w:color="CCFFCC"/>
              <w:bottom w:val="single" w:sz="8" w:color="CCFFCC"/>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080" w:type="dxa"/>
            <w:vAlign w:val="bottom"/>
            <w:tcBorders>
              <w:top w:val="single" w:sz="8" w:color="CCFFCC"/>
              <w:bottom w:val="single" w:sz="8" w:color="CCFFCC"/>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bottom w:val="single" w:sz="8" w:color="CCFFCC"/>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Exercised</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(416,409)</w:t>
            </w: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2013</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6,364,598</w:t>
            </w:r>
          </w:p>
        </w:tc>
        <w:tc>
          <w:tcPr>
            <w:tcW w:w="160" w:type="dxa"/>
            <w:vAlign w:val="bottom"/>
            <w:tcBorders>
              <w:top w:val="single" w:sz="8" w:color="CCFFCC"/>
              <w:right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w:t>
            </w:r>
          </w:p>
        </w:tc>
        <w:tc>
          <w:tcPr>
            <w:tcW w:w="1100" w:type="dxa"/>
            <w:vAlign w:val="bottom"/>
            <w:tcBorders>
              <w:top w:val="single" w:sz="8" w:color="CCFFCC"/>
            </w:tcBorders>
            <w:gridSpan w:val="3"/>
            <w:shd w:val="clear" w:color="auto" w:fill="CCFFCC"/>
          </w:tcPr>
          <w:p>
            <w:pPr>
              <w:jc w:val="center"/>
              <w:spacing w:after="0"/>
              <w:rPr>
                <w:sz w:val="20"/>
                <w:szCs w:val="20"/>
                <w:color w:val="auto"/>
              </w:rPr>
            </w:pPr>
            <w:r>
              <w:rPr>
                <w:rFonts w:ascii="Arial" w:cs="Arial" w:eastAsia="Arial" w:hAnsi="Arial"/>
                <w:sz w:val="18"/>
                <w:szCs w:val="18"/>
                <w:color w:val="auto"/>
                <w:w w:val="89"/>
              </w:rPr>
              <w:t>$ 25,411,153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three months ended March 31, 2013.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stock options and restricted stock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1,885,477</w:t>
            </w:r>
          </w:p>
        </w:tc>
        <w:tc>
          <w:tcPr>
            <w:tcW w:w="80" w:type="dxa"/>
            <w:vAlign w:val="bottom"/>
            <w:shd w:val="clear" w:color="auto" w:fill="CCFFCC"/>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1,885,477</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2"/>
              </w:rPr>
              <w:t>March 31, 2013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2"/>
              </w:rPr>
              <w:t>Non-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2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portion,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portion,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portion, net</w:t>
            </w:r>
          </w:p>
        </w:tc>
        <w:tc>
          <w:tcPr>
            <w:tcW w:w="20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portion, net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net</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2,424,260</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2,424,260</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ICON Convertible Note</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677,778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677,778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677,778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r>
      <w:tr>
        <w:trPr>
          <w:trHeight w:val="223"/>
        </w:trPr>
        <w:tc>
          <w:tcPr>
            <w:tcW w:w="264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2,424,260</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3,102,038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3,156,876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 Therapeutics, Inc. Accordingly, a valuation using the guidance in the accounting literature for business combinations (ASC 805) was performed and these notes have been presented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173"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$17,727,000 at December 31, 2012, and $17,943,000 at March 31, 2013. As these notes payable are tied directly to net product cash flows derived from the preexisting products of the Company, this note and accrued interest was recorded at fair value as of the date of the Exchange Transaction. No payments have been made on these notes as of March 31, 2013. See Note 2 for further details.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three months ended March 31, 2013, the Company recorded $15,910 of interest expense on the Amended ICON Note. At March 31, 2013, the principal amount of the Amended ICON Note was $677,778, of which the entire balance has been classified as current, and interest payable on the Amended ICON Note was $139,421.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LICENSE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upfront payment of $2,000,000, which was received in December 2012 net of $330,000 of foreign income tax withheld, is being recognized as license revenue on a straight-line basis over the life of the agreement, which is through the expiration of the last licensed patent right or 15 years after the first commercial sale of a product in such country, unless the agreement is earlier terminated. The upfront payment will be recognized as license revenue on a straight-line basis through December 2025, which represents the estimated period over which the Company will have certain ongoing responsibilities under the sublicense agreement. The Company recorded license revenue of approximately $38,000 for the three months ended March 31, 2013, and has deferred revenue of approximately $1,943,000 associated with this $2,000,000 payment (approximately $152,000 of which has been classified as a current liability) at March 31, 2013.</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receive up to an additional $5.0 million in payments upon the achievement of pre-specified milestones. In addition, upon commercialization, Ildong will make royalty payments to the Company on net sales of TG-1101 in the sublicense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January 30, 2012, the Company entered into an exclusive license agreement with LFB Biotechnologies, GTC Biotherapeutics and LFB/GTC LLC, all wholly-owned subsidiaries of LFB Group, relating to the development of ublituximab (the “License Agreement”). In connection with the License Agreement LFB Group was issued 5,000,000 shares of Company Common Stock, and a warrant to purchase 2,500,000 shares of Company Common Stock at a purchase price of $0.001 per share. In addition, on November 9, 2012 the Company nominated Dr. Yann Echelard to the Company’s Board of Directors as LFB Group’s nominee. LFB Group maintains the right to nominate a board member until such time as LFB Group owns less than 10% of the outstanding Company Common Stock.</w:t>
      </w:r>
    </w:p>
    <w:p>
      <w:pPr>
        <w:spacing w:after="0" w:line="193" w:lineRule="exact"/>
        <w:rPr>
          <w:sz w:val="20"/>
          <w:szCs w:val="20"/>
          <w:color w:val="auto"/>
        </w:rPr>
      </w:pPr>
    </w:p>
    <w:p>
      <w:pPr>
        <w:ind w:right="200" w:firstLine="693"/>
        <w:spacing w:after="0" w:line="293" w:lineRule="auto"/>
        <w:rPr>
          <w:sz w:val="20"/>
          <w:szCs w:val="20"/>
          <w:color w:val="auto"/>
        </w:rPr>
      </w:pPr>
      <w:r>
        <w:rPr>
          <w:rFonts w:ascii="Arial" w:cs="Arial" w:eastAsia="Arial" w:hAnsi="Arial"/>
          <w:sz w:val="16"/>
          <w:szCs w:val="16"/>
          <w:color w:val="auto"/>
        </w:rPr>
        <w:t>Under the terms of the Company’s License Agreement with LFB Group, the Company utilizes LFB Group for certain development and manufacturing services. The Company incurred approximately $357,000 in such expenses during the three months ended March 31, 2013, which have been included in other research and development expenses in the accompanying consolidated statements of operations. As of March 31, 2013, the Company has approximately $798,000 recorded in accounts payable related to the aforementioned agreements with LFB Group. In conjunction with the development and manufacturing services discussed above, certain agreements between the Company and LFB Group require payments in advance of services performed or goods delivered. Accordingly, as of March 31, 2013, the Company recorded $2,147,985 in prepaid research and development for such advance payments.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for hematologic malignancies: TG-1101 (ublituximab), a novel, third generation monoclonal antibody that targets a specific and unique epitope on the CD20 antigen found on mature B-lymphocytes; and TGR-1202, an orally available PI3K delta inhibitor.</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TG-1101 (formerly “LFB-R603”) is a chimeric monoclonal antibody with the generic name “ublituximab” that targets a unique epitope on the CD20 antigen found on the surface of B-lymphocytes developed to aid in the depletion of circulating B-cells. We hold exclusive worldwide rights (except France/Belgium) to develop and commercialize ublituximab for all indications.</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ublituximab as an efficient and selective B-cell targeting anti-CD20 antibody with the ability to effectively deplete B lymphocytes in both malignant laboratory cell models as well as non-Hodgkin’s Lymphoma (NHL) and Chronic Lymphocytic Leukemia (CLL) patient donor cell lines.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Ublituximab has been specifically bio-engineered to enhance ADCC activity, which increases its ability to deplete B-cells and may improve its anti-cancer effects as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2011 of approximately $7 billion.</w:t>
      </w:r>
    </w:p>
    <w:p>
      <w:pPr>
        <w:spacing w:after="0" w:line="42"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A two part dose escalating Phase I clinical trial was completed in France in which ublituximab was introduced in relapsed or refractory CLL patients. Though the primary endpoint of this Phase I clinical study was to assess the safety and tolerability of ublituximab in CLL patients, robust B-cell depletion and an encouraging rate of partial responses may suggest preliminary evidence of efficacy. A portion of the data from Part 2 of this study was</w:t>
      </w:r>
    </w:p>
    <w:p>
      <w:pPr>
        <w:ind w:right="400"/>
        <w:spacing w:after="0" w:line="231" w:lineRule="auto"/>
        <w:rPr>
          <w:sz w:val="20"/>
          <w:szCs w:val="20"/>
          <w:color w:val="auto"/>
        </w:rPr>
      </w:pPr>
      <w:r>
        <w:rPr>
          <w:rFonts w:ascii="Arial" w:cs="Arial" w:eastAsia="Arial" w:hAnsi="Arial"/>
          <w:sz w:val="17"/>
          <w:szCs w:val="17"/>
          <w:color w:val="auto"/>
        </w:rPr>
        <w:t>presented at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American Society of Hematology Meeting in December 2011. Currently, the Company has two ongoing clinical studies for ublituximab: TG-1101-101, a study of single-agent ublituximab in patients with NHL and CLL, and TG-1101-102 which is a study of ublituximab in combination with lenalidomide (trade name Revlimid®), an immunomodulatory agent, also for patients with NHL and CLL.</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Manufacturing of ublituximab is currently performed by our partner, LFB Biotechnologies.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Phase I/II trials with ublituximab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TG-1101-101</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Our first US based trial was launched 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2012. The trial, entitled "An Open Label Phase I/II Trial of the Efficacy and Safety of Ublituximab in Patients with B-cell Non-Hodgkin Lymphoma who have Relapsed or are Refractory After CD20 Directed Antibody Therapy," is enrolling up to 15 patients total into 4 dose escalation cohorts (450, 600, 900 and 1200 mg). Cohort expansions to confirm safety and efficacy have been included at higher doses prior to entering patients into the Phase 2 portion. Patients will be stratified by subtype of B-cell Lymphoma, including Follicular Lymphoma, Diffuse Large B-cell Lymphoma, Marginal Zone Lymphoma and other NHL subtypes, with a recent amendment to include CLL and primary Central Nervous System (CNS) lymphoma. All enrolled patients will be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19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have currently completed enrollment in the first 3 cohorts (450mg, 600mg and 900mg), with enrollment in the 1200 mg cohort ongoing. To date, no dose-limiting-toxicities have been observed. Based on responses seen at all dose levels, we decided to expand the 900mg cohort to include up to an additional 20 patients. In addition, we have opened an expansion cohort for enrollment of patients with CLL at a dose of 600mg.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TG-1101-102</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December of 2012, the Company initiated its second US based clinical trial entitled "TG-1101-102: A Phase I/II Study of Ublituximab in Combination with Lenalidomide (Revlimid®) in Patients with B-Cell Lymphoid Malignancies who have Relapsed or are Refractory After CD20 Directed Antibody Therapy". Lenalidomide is an immunomodulatory drug that has displayed activity as a single agent in patients with non-Hodgkin’s lymphoma.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studies, through its activating effects on natural killer cells, lenalidomide has also been shown to enhance the ADCC properties of anti-CD20 antibodies.</w:t>
      </w:r>
      <w:r>
        <w:rPr>
          <w:rFonts w:ascii="Arial" w:cs="Arial" w:eastAsia="Arial" w:hAnsi="Arial"/>
          <w:sz w:val="17"/>
          <w:szCs w:val="17"/>
          <w:i w:val="1"/>
          <w:iCs w:val="1"/>
          <w:color w:val="auto"/>
        </w:rPr>
        <w:t xml:space="preserve"> </w:t>
      </w:r>
      <w:r>
        <w:rPr>
          <w:rFonts w:ascii="Arial" w:cs="Arial" w:eastAsia="Arial" w:hAnsi="Arial"/>
          <w:sz w:val="17"/>
          <w:szCs w:val="17"/>
          <w:color w:val="auto"/>
        </w:rPr>
        <w:t>Ublituximab has demonstrated enhanced ADCC over rituximab, and displayed significant single agent activity in a relapsed CLL setting, providing a strong rationale for the exploration of a combination between lenalidomide and ublituximab in NHL and CLL patients.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trial is enrolling up to 30 patients in the Phase I dose escalation component/cohort expansion part of the study. Once the optimal dose is determined, the Phase II component may enroll up to an additional 30 patients, with all patients stratified by B-cell malignancy subtype, including CLL and various NHL subtypes. All enrolled patients will be relapsed or refractory to a prior anti-CD20 antibody containing regimen. This multicenter trial is being led by Dr. Marshall Schreeder of the Clearview Cancer Institute in Huntsville, AL.</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Currently we are dosing patients at 600mg of TG-1101 in combination with Revlimid® starting at 10mg. If tolerated, patients may have their Revlimid® dose increased in 5mg increments per cycle to a maximum dose of 20mg for patients with NHL and 15mg for patients with CLL. Assuming no dose-limiting toxicities are observed, the dose of TG-1101 will be escalated in later cohorts to 900mg and potentially higher, with similar dose titration for Revlimid®.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 w:name="page18"/>
    <w:bookmarkEnd w:id="17"/>
    <w:p>
      <w:pPr>
        <w:ind w:right="20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The Company and Rhizen will jointly develop the product on a worldwide basis, excluding India, initially focusing on indications in the area of hematologic malignancies and autoimmune disease. Rhizen shall maintain rights to manufacture and supply the product, while we will be responsible for all clinical and regulatory development for TGR-1202 globally.</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and will enroll approximately 30 patients during the initial dose escalation phase, followed by up to an additional 30 patients in an expansion phase once the optimal dose has been determined. Enrollment is open to patients with relapsed or refractory NHL, CLL, and Peripheral T-Cell Lymphoma ("PTCL"). Michael R. Savona, MD, the Director of Leukemic Research, Sarah Cannon Research Institute, is acting as Study Chair for the Phase I study. As of May 2013, TGR-1202-101 is ongoing and enrolling patients in the dose escalation component of the Phase I study.</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completed enrollment of the first dose cohort (50mg, one time per day). Provided no patients experience dose limiting toxicities, additional cohorts evaluating sequentially higher doses of TGR-1202 are planned. We anticipate following completion of the initial cohorts, we will be able to analyze the preliminary pharmacokinetic data (“PK data”) to determine whether the dosing regimen of TGR-1202 requires modification in further dose escalation cohorts. We also believe the PK data may provide us preliminary information about the drug properties of TGR-1202 and whether further human study of TGR-1202 is warranted. There can be no assurances given that TGR-1202 will exhibit sufficient pharmaceutical properties following review of the preliminary PK data to support further development of TGR-1202 or that such PK data will be conclusive in any manner to provide assurances that the pharmaceutical properties are adequate. While we do have potential back-up compounds, if we decide to terminate the development of TGR-1202 following review of the PK data, then our PI3K Delta program would be significantly delayed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to take 6-12 months, but may occur earlier or later.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$38,095 for the three months ended March 31, 2013, as compared to $0 in the comparable period in 2012.</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revenue for the three months ended March 31,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jc w:val="center"/>
        <w:ind w:right="240"/>
        <w:spacing w:after="0"/>
        <w:rPr>
          <w:sz w:val="20"/>
          <w:szCs w:val="20"/>
          <w:color w:val="auto"/>
        </w:rPr>
      </w:pPr>
      <w:r>
        <w:rPr>
          <w:rFonts w:ascii="Arial" w:cs="Arial" w:eastAsia="Arial" w:hAnsi="Arial"/>
          <w:sz w:val="18"/>
          <w:szCs w:val="18"/>
          <w:i w:val="1"/>
          <w:iCs w:val="1"/>
          <w:color w:val="auto"/>
        </w:rPr>
        <w:t xml:space="preserve">Non-cash Stock Expense Associated with In-licensing Agreement. </w:t>
      </w:r>
      <w:r>
        <w:rPr>
          <w:rFonts w:ascii="Arial" w:cs="Arial" w:eastAsia="Arial" w:hAnsi="Arial"/>
          <w:sz w:val="18"/>
          <w:szCs w:val="18"/>
          <w:color w:val="auto"/>
        </w:rPr>
        <w:t>Non-cash stock expense associated with in-licensing agreement totaled</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$16,578,000 for the three months ended March 31, 2012. This expense was related to a one-time non-cash expense of $16,578,000 recorded in conjunction with the stock issued to LFB Group for the license to TGTX-1101.</w:t>
      </w:r>
    </w:p>
    <w:p>
      <w:pPr>
        <w:spacing w:after="0" w:line="184" w:lineRule="exact"/>
        <w:rPr>
          <w:sz w:val="20"/>
          <w:szCs w:val="20"/>
          <w:color w:val="auto"/>
        </w:rPr>
      </w:pPr>
    </w:p>
    <w:p>
      <w:pPr>
        <w:jc w:val="both"/>
        <w:ind w:right="60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equaled $354,703 for the three months ended March 31, 2013, as compared to $0 during the comparable period in 2012. The noncash compensation expense was related to the period’s expense for restricted stock grants to research and development personnel.</w:t>
      </w:r>
    </w:p>
    <w:p>
      <w:pPr>
        <w:spacing w:after="0" w:line="14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$1,051,849 to $1,215,202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2013, as compared to $163,353 for the three months ended March 31, 2012. The increase in other research and development expenses was due primarily the commencement of the Company’s clinical development programs for TG-1101 and TGR-1202. We expect our other research and development costs to increase for the remainder of 2013 due primarily to the enrollment of additional patients on our clinical trials.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right="3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$1,342,265 to $1,530,774 for the three months ended March 31, 2013, as compared to $188,509 for the three months ended March 31, 2012. The increase in non-cash compensation expense (general and administrative) was primarily due to the vesting of certain milestone based restricted stock awards during the three months ended March 31, 2013.</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$195,965 to $651,457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 as compared to $455,492 for the three months ended March 31, 2012. The increase was due primarily to increased general and administrative expenses, including legal expenses. We expect our other general and administrative expenses to remain at a comparable level for the remainder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primary source of cash has been proceeds from the private placement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March 31, 2013, we had $15,188,167 in cash and cash equivalents. We currently anticipate that our cash and cash equivalents as of March 31, 2013 to be sufficient to fund our anticipated operating cash requirements for approximately 15-18 months from March 31, 2013.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Cash used in operating activities for the three months ended March 31, 2013 was $2,204,748, as compared to $861,634 for the three months ended March 31, 2012.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three months ended March 31, 2013, net cash provided by financing activities of $936,920 related to proceeds from the exercise of warrants. For the three months ended March 31, 2012, net cash provided by financing activities of $12,036,893 related primarily to net proceeds from the issuance of the Company’s preferred stock, partially offset by the repayment of a short-term loan.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Accounting Related to Goodwill. </w:t>
      </w:r>
      <w:r>
        <w:rPr>
          <w:rFonts w:ascii="Arial" w:cs="Arial" w:eastAsia="Arial" w:hAnsi="Arial"/>
          <w:sz w:val="18"/>
          <w:szCs w:val="18"/>
          <w:color w:val="auto"/>
        </w:rPr>
        <w:t>As of March 31, 2013 and December 31, 2012, there was approximately $799,391 of goodwill on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elected the fair value option for valuing our Convertible 5% Notes Payable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is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2012 and March 31,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2013,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March 31, 2013,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2013, our disclosure controls and procedures were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the quarter ended March 31, 2013, management utilized additional personnel and external advisors in the review of various aspects of the Company’s financial reporting to remediate the material weakness in internal control over financial reporting that existed as of December 31, 2012. This material weakness was primarily related to an inadequate segregation of duties, as all financial and accounting duties were performed by our Chief Financial Officer. Management plans to hire additional accounting personnel in the second quarter of 2013.</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the Company has in-licensed its product candidates from third parties, any dispute with or non-performance by its licensors will adversely affect its ability to develop and commercialize the applicable product candidates.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3" w:name="page24"/>
    <w:bookmarkEnd w:id="23"/>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submit an Investigational New Drug application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ublituximab and TGR-1202 enabling the conduct of studies in the FDA’s Division of Hematology and Oncology; there can be no assurance given that we will be successful in obtaining an active IND for ublituximab or TGR-1202 in any other division under whose supervision we may seek to develop our product candidates, or that the FDA will allow us to continue the development of our product candidates in those divisions where we maintain an active IND.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plan on conducting additional Phase I, II and III clinical trials for ublituximab. Early clinical results seen with ublituximab in a small number of patients may not be reproduced in larger clinical trials. Additionally, individually reported outcomes of patients treated in clinical trials may not be representative of the entire population of treated patients in such studies. If the results from later trials are different from those found in the earlier studies of ublituximab,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4" w:name="page25"/>
    <w:bookmarkEnd w:id="24"/>
    <w:p>
      <w:pPr>
        <w:ind w:firstLine="648"/>
        <w:spacing w:after="0" w:line="289" w:lineRule="auto"/>
        <w:rPr>
          <w:sz w:val="20"/>
          <w:szCs w:val="20"/>
          <w:color w:val="auto"/>
        </w:rPr>
      </w:pPr>
      <w:r>
        <w:rPr>
          <w:rFonts w:ascii="Arial" w:cs="Arial" w:eastAsia="Arial" w:hAnsi="Arial"/>
          <w:sz w:val="16"/>
          <w:szCs w:val="16"/>
          <w:color w:val="auto"/>
        </w:rPr>
        <w:t>TGR-1202 has only recently entered into a first-in-human Phase I clinical trial. At this time it is difficult to predict TGR-1202’s pharmacologic properties in humans and whether it will be able to inhibit PI3k delta in humans. We will assess such pharmacologic properties in our first in human phase 1 study. There can be no assurances given that TGR-1202 will exhibit sufficient pharmacologic properties following review of the initial data from this first Phase 1 study to support further development of TGR-1202. Furthermore, such pharmacologic data arising from this first Phase 1 study may be inconclusive or not reproducible in later clinical trials. In such situation, we may conduct additional clinical trials only to learn later that TGR-1202 lacks adequate pharmacologic properties. Additionally, even if we believed that TGR-1202 possessed adequate pharmacologic properties, that still does not ensure that TGR-1202 will be a safe, active, or effective pharmaceutical agent. If TGR-1202 were ultimately determined to lack adequate pharmacologic properties or fail to be a safe, active, or effective pharmaceutical agent, we would have to cease development, which could have a material adverse effect on our business. In such event, despite the rights we retain to back-up compounds, our PI3k Delta program would be significantly delayed or terminated.</w:t>
      </w:r>
    </w:p>
    <w:p>
      <w:pPr>
        <w:spacing w:after="0" w:line="16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ublituximab and our other product candidates have demonstrated a toxicity profile that was deemed acceptable by the investigators performing such studies. Such interpretation may not be shared by future investigators or by the FDA and in the case of ublituximab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ublituximab, the toxicity when manufactured under different conditions is not known, nor is the toxicity of transgenically derived ublituximab, and it is possible that additional and/or different adverse events may appear upon the human use of those formulations and those adverse events may arise with greater frequency, intensity and duration than in the current formulation. With respect to TGR-1202, we are unfamiliar with the adverse event profile as it has only recently been dosed in humans. If any of our product candidates cause unacceptable adverse events in clinical trials, we may not be able to obtain marketing approval and generate revenues from its sale, which could have a material adverse impact on the Company.</w:t>
      </w:r>
    </w:p>
    <w:p>
      <w:pPr>
        <w:spacing w:after="0" w:line="173"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the Company and the FDA must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to the Company and delay our ability to generate product revenues.</w:t>
      </w:r>
    </w:p>
    <w:p>
      <w:pPr>
        <w:spacing w:after="0" w:line="2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including without limitation, the introduction of transgenically derived ublituximab.</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640" w:firstLine="648"/>
        <w:spacing w:after="0" w:line="210"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(Ofatumomab) among others, each of which is currently approved for the treatment of various diseases including NHL and CLL. In addition, a number of pharmaceutical companies are developing anti-CD20 antibodies which, if approved, would potentially compete with TG-1101, including, but not limited to, GA-101 (obinutuzumab), under clinical development by the Roche Group. New developments, including the development of other pharmaceutical technologies and methods of treating disease, occur in the pharmaceutical and life sciences industries at a rapid pace.</w:t>
      </w:r>
    </w:p>
    <w:p>
      <w:pPr>
        <w:spacing w:after="0" w:line="20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With respect to TGR-1202, although no PI3K delta inhibitors have been approved by the FDA, there are several PI3K delta targeted compounds in development, including, but not limited to, Gilead’s GS-1101 (formerly known as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(under clinical development by Pharmacyclics), or the blc-2 inhibitor ABT-199 (under clinical development by Abbott Laboratories).</w:t>
      </w:r>
    </w:p>
    <w:p>
      <w:pPr>
        <w:spacing w:after="0" w:line="173"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28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 If that is the case, we may need to rely exclusively on transgenically manufactured material, which may introduce additional risk and uncertainty the extent of which cannot be fully determined today.</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Company does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the Company’s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the Company’s current or future supply of any or our product candidates should fail to meet specifications during its stability program there could be a significant interruption of our supply of drug, which would adversely affect the Company’s clinical development and commercialization of the product. Regarding ublituximab, the proprietary transgenic technology that supports the manufacture of transgenically derived ublituximab is not easily transferrable, if at all, and it is expected that GTC will be the sole supplier of transgenically derived ublituximab at a single site for the foreseeable future.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the Company or its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any product candidate that the Company successfully develops does not achieve broad market acceptance among physicians, patients, healthcare payors, and the medical community, the revenues that we generate from its sales will be limited.</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we may incur substantial liabilities and may be required to limit commercialization of our product candidates.</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the Company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1" w:name="page32"/>
    <w:bookmarkEnd w:id="31"/>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the Company could cause its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The Company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taxes that the Company is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March 31, 2013, the Company has 6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the Company is not able to effectively expand its organization by hiring new employees and expanding its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Company fails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the Company continues to expand its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healthcare regulations, it could face substantial penalties and its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 uses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filing are based on the assumption of further financing.</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timelines and projections in this filing are predicated upon the assumption that we will raise additional financing in the future to continue the development of our product candidates. In the event the Company does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such as the Exchange Transaction between the Company and TG Bio and the Collaboration Agreement between the Company and Rhizen. Acquisitions, investments and strategic alliances involve a number of special problems and risks, including, but not limited to:</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Company’s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Currently, the composition of matter patent and several method of use patents for ublituximab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35" w:name="page36"/>
    <w:bookmarkEnd w:id="35"/>
    <w:p>
      <w:pPr>
        <w:ind w:left="980" w:right="160" w:hanging="324"/>
        <w:spacing w:after="0" w:line="25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Going forward, if we do not win the filing race, we will not be entitled to inventive priority;</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4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0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the Company or its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ublituximab.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ublituximab, then we will need to either prevail in a litigation to challenge those patents or negotiate a settlement agreement with the patent holders. If we are unable to do so we may be forced to delay the launch of ublituximab or launch at the risk of litigation for patent infringement, which may have a material adverse effect on the Company.</w:t>
      </w:r>
    </w:p>
    <w:p>
      <w:pPr>
        <w:spacing w:after="0" w:line="19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2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6" w:name="page37"/>
    <w:bookmarkEnd w:id="36"/>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23"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the Company has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will need to raise additional capital to continue to operate its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March 31, 2013, we had net cash on hand of approximately $15,188,000. We believe that our cash on hand will sustain our operations for the next 15-18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the Company’s equity securities, which would have a dilutive effect on your holdings of our capital stock.</w:t>
      </w:r>
    </w:p>
    <w:p>
      <w:pPr>
        <w:spacing w:after="0" w:line="17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The Company’s prospects must be considered in light of the uncertainties, risks, expenses and difficulties frequently encountered by companies in their early stages of operations and the competitive environment in which we operate.</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has never been profitable, and, as of March 31, 2013, we had an accumulated deficit of approximately $22,599,000. We have generated operating losses in all periods since the Company was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right="4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the Company is unable to generate significant continuing revenues, we will not become profitable and we may be unable to continue our operations without continued funding.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8" w:name="page39"/>
    <w:bookmarkEnd w:id="38"/>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Until the Company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60%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not listed on a national exchange and there is a limited market for the Common Stock which may make it more difficult for you to sell your stock.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common stock, par value $0.001 per share (the “Common Stock”), is quoted on the OTC Bulletin Board under the symbol "TGTX." There is a limited trading market for our Common Stock which negatively impacts the liquidity of our Common Stock not only in terms of the number of shares that can be bought and sold at a given price, but also through delays in the timing of transactions and reduction in security analysts’ and the media’s coverage of us. Accordingly, there can be no assurance as to the liquidity of any markets that may develop for the Common Stock, the ability of holders of our Common Stock to sell the Common Stock, or the prices at which holders may be able to sell the Common Stock. While we have applied for listing on the NASDAQ Capital Market, no assurance can be given as to when, if ever, our common stock will be accepted for listing by NASDAQ.</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fact that our Common Stock is not listed on a national exchange may negatively impact our ability to attract investors and to use our Common Stock to raise capital to fund our operations.</w:t>
      </w:r>
    </w:p>
    <w:p>
      <w:pPr>
        <w:spacing w:after="0" w:line="170"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order to maintain liquidity in our Common Stock, we depend upon the continuing availability of a market on which our securities may be traded. We need to raise substantial additional funds in the future to continue our operations and the fact that our Common Stock is not listed on a national exchange may impact our ability to attract investors and to use our Common Stock to raise sufficient capital to continue to fund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file periodic reports with the SEC our common stock may be removed from the OTCBB.</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Over-The-Counter Bulletin Board ("OTCBB") rules relating to the timely filing of periodic reports with the SEC, any OTCBB issuer which fails to file a periodic report (Form 10-Qs or 10-Ks) by the due date of such report (as extended by the filing of a Form 12b-25), three (3) times during any twenty-four (24) month period is automatically de-listed from the OTCBB. In the event an issuer is de-listed, such issuer would not be eligible to be re-listed on the OTCBB for a period of one-year, during which time any subsequent late filing would reset the one-year period of de-listing. If the Company is late in its filings three (3) times in any twenty-four (24) month period and is de-listed from the OTCBB, the Common Stock would likely be listed for trading only on the “Pink Sheets,” which generally provide an even less liquid market than the OTCBB. In such event, investors may find it more difficult to trade the Common Stock or to obtain accurate, current information concerning market prices for the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There is a risk of market fraud.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OTCBB securities are frequent targets of fraud or market manipulation. Not only because of their generally low price, but also because the OTCBB reporting requirements for these securities are less stringent than for listed or NASDAQ traded securities, and no exchange requirements are imposed. Dealers may dominate the market and set prices that are not based on competitive forces. Individuals or groups may create fraudulent markets and control the sudden, sharp increase of price and trading volume and the equally sudden collapse of market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impose certain restrictions on marketability of our securities.</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9"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must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TG Therapeutics, Inc. dated April 26, 2012 (incorporated by reference to Exhibit 3.2 to the Registrant’s Quarterly Report on Form 10-Q for the quarter ended June 30, 2012).</w:t>
      </w:r>
    </w:p>
    <w:p>
      <w:pPr>
        <w:spacing w:after="0" w:line="170" w:lineRule="exact"/>
        <w:rPr>
          <w:sz w:val="20"/>
          <w:szCs w:val="20"/>
          <w:color w:val="auto"/>
        </w:rPr>
      </w:pPr>
    </w:p>
    <w:p>
      <w:pPr>
        <w:ind w:left="1360" w:right="440" w:hanging="704"/>
        <w:spacing w:after="0" w:line="277" w:lineRule="auto"/>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TG Therapeutics, Inc. dated May 14, 2012 (incorporated by reference to Exhibit 3.2 to the Registrant’s Quarterly Report on Form 10-Q for the quarter ended March 31, 2012).</w:t>
      </w:r>
    </w:p>
    <w:p>
      <w:pPr>
        <w:spacing w:after="0" w:line="170" w:lineRule="exact"/>
        <w:rPr>
          <w:sz w:val="20"/>
          <w:szCs w:val="20"/>
          <w:color w:val="auto"/>
        </w:rPr>
      </w:pPr>
    </w:p>
    <w:p>
      <w:pPr>
        <w:ind w:left="1360" w:right="140" w:hanging="704"/>
        <w:spacing w:after="0" w:line="277"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14, 2013.</w:t>
      </w:r>
    </w:p>
    <w:p>
      <w:pPr>
        <w:spacing w:after="0" w:line="170" w:lineRule="exact"/>
        <w:rPr>
          <w:sz w:val="20"/>
          <w:szCs w:val="20"/>
          <w:color w:val="auto"/>
        </w:rPr>
      </w:pPr>
    </w:p>
    <w:p>
      <w:pPr>
        <w:ind w:left="1360" w:right="200" w:hanging="704"/>
        <w:spacing w:after="0" w:line="277" w:lineRule="auto"/>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14, 2013.</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2002, dated May 14, 2013.</w:t>
      </w:r>
    </w:p>
    <w:p>
      <w:pPr>
        <w:spacing w:after="0" w:line="21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2002, dated May 14, 2013.</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180" w:type="dxa"/>
            <w:vAlign w:val="bottom"/>
            <w:gridSpan w:val="2"/>
          </w:tcPr>
          <w:p>
            <w:pPr>
              <w:ind w:left="2080"/>
              <w:spacing w:after="0"/>
              <w:rPr>
                <w:sz w:val="20"/>
                <w:szCs w:val="20"/>
                <w:color w:val="auto"/>
              </w:rPr>
            </w:pPr>
            <w:r>
              <w:rPr>
                <w:rFonts w:ascii="Arial" w:cs="Arial" w:eastAsia="Arial" w:hAnsi="Arial"/>
                <w:sz w:val="18"/>
                <w:szCs w:val="18"/>
                <w:color w:val="auto"/>
              </w:rPr>
              <w:t>TG THERAPEUTICS, INC.</w:t>
            </w:r>
          </w:p>
        </w:tc>
        <w:tc>
          <w:tcPr>
            <w:tcW w:w="172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14, 2013</w:t>
            </w:r>
          </w:p>
        </w:tc>
        <w:tc>
          <w:tcPr>
            <w:tcW w:w="6180" w:type="dxa"/>
            <w:vAlign w:val="bottom"/>
            <w:gridSpan w:val="2"/>
          </w:tcPr>
          <w:p>
            <w:pPr>
              <w:ind w:left="2080"/>
              <w:spacing w:after="0"/>
              <w:rPr>
                <w:sz w:val="20"/>
                <w:szCs w:val="20"/>
                <w:color w:val="auto"/>
              </w:rPr>
            </w:pPr>
            <w:r>
              <w:rPr>
                <w:rFonts w:ascii="Arial" w:cs="Arial" w:eastAsia="Arial" w:hAnsi="Arial"/>
                <w:sz w:val="18"/>
                <w:szCs w:val="18"/>
                <w:color w:val="auto"/>
              </w:rPr>
              <w:t>By:  /s/ Sean A. Power</w:t>
            </w:r>
          </w:p>
        </w:tc>
        <w:tc>
          <w:tcPr>
            <w:tcW w:w="1720" w:type="dxa"/>
            <w:vAlign w:val="bottom"/>
          </w:tcPr>
          <w:p>
            <w:pPr>
              <w:spacing w:after="0"/>
              <w:rPr>
                <w:sz w:val="24"/>
                <w:szCs w:val="24"/>
                <w:color w:val="auto"/>
              </w:rPr>
            </w:pPr>
          </w:p>
        </w:tc>
      </w:tr>
      <w:tr>
        <w:trPr>
          <w:trHeight w:val="224"/>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spacing w:after="0"/>
              <w:rPr>
                <w:sz w:val="19"/>
                <w:szCs w:val="19"/>
                <w:color w:val="auto"/>
              </w:rPr>
            </w:pPr>
          </w:p>
        </w:tc>
      </w:tr>
      <w:tr>
        <w:trPr>
          <w:trHeight w:val="418"/>
        </w:trPr>
        <w:tc>
          <w:tcPr>
            <w:tcW w:w="3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720" w:type="dxa"/>
            <w:vAlign w:val="bottom"/>
          </w:tcPr>
          <w:p>
            <w:pPr>
              <w:spacing w:after="0"/>
              <w:rPr>
                <w:sz w:val="24"/>
                <w:szCs w:val="24"/>
                <w:color w:val="auto"/>
              </w:rPr>
            </w:pPr>
          </w:p>
        </w:tc>
      </w:tr>
      <w:tr>
        <w:trPr>
          <w:trHeight w:val="648"/>
        </w:trPr>
        <w:tc>
          <w:tcPr>
            <w:tcW w:w="3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43</w:t>
            </w:r>
          </w:p>
        </w:tc>
        <w:tc>
          <w:tcPr>
            <w:tcW w:w="3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25" w:lineRule="exact"/>
        <w:rPr>
          <w:sz w:val="20"/>
          <w:szCs w:val="20"/>
          <w:color w:val="auto"/>
        </w:rPr>
      </w:pPr>
    </w:p>
    <w:p>
      <w:pPr>
        <w:ind w:left="1360" w:hanging="704"/>
        <w:spacing w:after="0" w:line="277"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14, 2013.</w:t>
      </w:r>
    </w:p>
    <w:p>
      <w:pPr>
        <w:spacing w:after="0" w:line="170" w:lineRule="exact"/>
        <w:rPr>
          <w:sz w:val="20"/>
          <w:szCs w:val="20"/>
          <w:color w:val="auto"/>
        </w:rPr>
      </w:pPr>
    </w:p>
    <w:p>
      <w:pPr>
        <w:ind w:left="1360" w:right="60" w:hanging="704"/>
        <w:spacing w:after="0" w:line="277" w:lineRule="auto"/>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14, 2013.</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2002, dated May 14, 2013.</w:t>
      </w:r>
    </w:p>
    <w:p>
      <w:pPr>
        <w:spacing w:after="0" w:line="21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2002, dated May 14, 2013.</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78"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00" w:right="520" w:hanging="372"/>
        <w:spacing w:after="0" w:line="264"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383"/>
        <w:spacing w:after="0" w:line="264"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40" w:hanging="372"/>
        <w:spacing w:after="0" w:line="308"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83"/>
        <w:spacing w:after="0" w:line="264"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72"/>
        <w:spacing w:after="0" w:line="277"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383"/>
        <w:spacing w:after="0" w:line="277"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Date: May 14, 2013</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1720" w:type="dxa"/>
            <w:vAlign w:val="bottom"/>
          </w:tcPr>
          <w:p>
            <w:pPr>
              <w:spacing w:after="0"/>
              <w:rPr>
                <w:sz w:val="20"/>
                <w:szCs w:val="20"/>
                <w:color w:val="auto"/>
              </w:rPr>
            </w:pPr>
          </w:p>
        </w:tc>
      </w:tr>
      <w:tr>
        <w:trPr>
          <w:trHeight w:val="195"/>
        </w:trPr>
        <w:tc>
          <w:tcPr>
            <w:tcW w:w="478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c>
          <w:tcPr>
            <w:tcW w:w="1720" w:type="dxa"/>
            <w:vAlign w:val="bottom"/>
          </w:tcPr>
          <w:p>
            <w:pPr>
              <w:spacing w:after="0"/>
              <w:rPr>
                <w:sz w:val="16"/>
                <w:szCs w:val="16"/>
                <w:color w:val="auto"/>
              </w:rPr>
            </w:pPr>
          </w:p>
        </w:tc>
      </w:tr>
      <w:tr>
        <w:trPr>
          <w:trHeight w:val="230"/>
        </w:trPr>
        <w:tc>
          <w:tcPr>
            <w:tcW w:w="4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2"/>
              </w:rPr>
              <w:t>Executive Chairman, Interim Chief Executive Officer and President</w:t>
            </w:r>
          </w:p>
        </w:tc>
        <w:tc>
          <w:tcPr>
            <w:tcW w:w="1720" w:type="dxa"/>
            <w:vAlign w:val="bottom"/>
          </w:tcPr>
          <w:p>
            <w:pPr>
              <w:spacing w:after="0"/>
              <w:rPr>
                <w:sz w:val="20"/>
                <w:szCs w:val="20"/>
                <w:color w:val="auto"/>
              </w:rPr>
            </w:pPr>
          </w:p>
        </w:tc>
      </w:tr>
      <w:tr>
        <w:trPr>
          <w:trHeight w:val="432"/>
        </w:trPr>
        <w:tc>
          <w:tcPr>
            <w:tcW w:w="478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24"/>
                <w:szCs w:val="24"/>
                <w:color w:val="auto"/>
              </w:rPr>
            </w:pPr>
          </w:p>
        </w:tc>
      </w:tr>
      <w:tr>
        <w:trPr>
          <w:trHeight w:val="648"/>
        </w:trPr>
        <w:tc>
          <w:tcPr>
            <w:tcW w:w="47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00" w:right="520" w:hanging="372"/>
        <w:spacing w:after="0" w:line="264"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383"/>
        <w:spacing w:after="0" w:line="264"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40" w:hanging="372"/>
        <w:spacing w:after="0" w:line="308"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83"/>
        <w:spacing w:after="0" w:line="264"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72"/>
        <w:spacing w:after="0" w:line="277"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383"/>
        <w:spacing w:after="0" w:line="277"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Date: May 14, 2013</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c>
          <w:tcPr>
            <w:tcW w:w="2860" w:type="dxa"/>
            <w:vAlign w:val="bottom"/>
          </w:tcPr>
          <w:p>
            <w:pPr>
              <w:spacing w:after="0"/>
              <w:rPr>
                <w:sz w:val="20"/>
                <w:szCs w:val="20"/>
                <w:color w:val="auto"/>
              </w:rPr>
            </w:pPr>
          </w:p>
        </w:tc>
      </w:tr>
      <w:tr>
        <w:trPr>
          <w:trHeight w:val="195"/>
        </w:trPr>
        <w:tc>
          <w:tcPr>
            <w:tcW w:w="490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Sean A. Power</w:t>
            </w:r>
          </w:p>
        </w:tc>
        <w:tc>
          <w:tcPr>
            <w:tcW w:w="286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6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8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2013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Date: May 14, 2013</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1720" w:type="dxa"/>
            <w:vAlign w:val="bottom"/>
          </w:tcPr>
          <w:p>
            <w:pPr>
              <w:spacing w:after="0"/>
              <w:rPr>
                <w:sz w:val="20"/>
                <w:szCs w:val="20"/>
                <w:color w:val="auto"/>
              </w:rPr>
            </w:pPr>
          </w:p>
        </w:tc>
      </w:tr>
      <w:tr>
        <w:trPr>
          <w:trHeight w:val="195"/>
        </w:trPr>
        <w:tc>
          <w:tcPr>
            <w:tcW w:w="478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c>
          <w:tcPr>
            <w:tcW w:w="1720" w:type="dxa"/>
            <w:vAlign w:val="bottom"/>
          </w:tcPr>
          <w:p>
            <w:pPr>
              <w:spacing w:after="0"/>
              <w:rPr>
                <w:sz w:val="16"/>
                <w:szCs w:val="16"/>
                <w:color w:val="auto"/>
              </w:rPr>
            </w:pPr>
          </w:p>
        </w:tc>
      </w:tr>
      <w:tr>
        <w:trPr>
          <w:trHeight w:val="230"/>
        </w:trPr>
        <w:tc>
          <w:tcPr>
            <w:tcW w:w="4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2"/>
              </w:rPr>
              <w:t>Executive Chairman, Interim Chief Executive Officer and President</w:t>
            </w:r>
          </w:p>
        </w:tc>
        <w:tc>
          <w:tcPr>
            <w:tcW w:w="1720" w:type="dxa"/>
            <w:vAlign w:val="bottom"/>
          </w:tcPr>
          <w:p>
            <w:pPr>
              <w:spacing w:after="0"/>
              <w:rPr>
                <w:sz w:val="20"/>
                <w:szCs w:val="20"/>
                <w:color w:val="auto"/>
              </w:rPr>
            </w:pPr>
          </w:p>
        </w:tc>
      </w:tr>
      <w:tr>
        <w:trPr>
          <w:trHeight w:val="432"/>
        </w:trPr>
        <w:tc>
          <w:tcPr>
            <w:tcW w:w="478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24"/>
                <w:szCs w:val="24"/>
                <w:color w:val="auto"/>
              </w:rPr>
            </w:pPr>
          </w:p>
        </w:tc>
      </w:tr>
      <w:tr>
        <w:trPr>
          <w:trHeight w:val="648"/>
        </w:trPr>
        <w:tc>
          <w:tcPr>
            <w:tcW w:w="47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2013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Date: May 14, 2013</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c>
          <w:tcPr>
            <w:tcW w:w="2860" w:type="dxa"/>
            <w:vAlign w:val="bottom"/>
          </w:tcPr>
          <w:p>
            <w:pPr>
              <w:spacing w:after="0"/>
              <w:rPr>
                <w:sz w:val="20"/>
                <w:szCs w:val="20"/>
                <w:color w:val="auto"/>
              </w:rPr>
            </w:pPr>
          </w:p>
        </w:tc>
      </w:tr>
      <w:tr>
        <w:trPr>
          <w:trHeight w:val="195"/>
        </w:trPr>
        <w:tc>
          <w:tcPr>
            <w:tcW w:w="4780" w:type="dxa"/>
            <w:vAlign w:val="bottom"/>
          </w:tcPr>
          <w:p>
            <w:pPr>
              <w:spacing w:after="0"/>
              <w:rPr>
                <w:sz w:val="16"/>
                <w:szCs w:val="16"/>
                <w:color w:val="auto"/>
              </w:rPr>
            </w:pPr>
          </w:p>
        </w:tc>
        <w:tc>
          <w:tcPr>
            <w:tcW w:w="3780" w:type="dxa"/>
            <w:vAlign w:val="bottom"/>
          </w:tcPr>
          <w:p>
            <w:pPr>
              <w:spacing w:after="0" w:line="195" w:lineRule="exact"/>
              <w:rPr>
                <w:sz w:val="20"/>
                <w:szCs w:val="20"/>
                <w:color w:val="auto"/>
              </w:rPr>
            </w:pPr>
            <w:r>
              <w:rPr>
                <w:rFonts w:ascii="Arial" w:cs="Arial" w:eastAsia="Arial" w:hAnsi="Arial"/>
                <w:sz w:val="18"/>
                <w:szCs w:val="18"/>
                <w:color w:val="auto"/>
              </w:rPr>
              <w:t>Sean A. Power</w:t>
            </w:r>
          </w:p>
        </w:tc>
        <w:tc>
          <w:tcPr>
            <w:tcW w:w="286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60" w:type="dxa"/>
            <w:vAlign w:val="bottom"/>
          </w:tcPr>
          <w:p>
            <w:pPr>
              <w:spacing w:after="0"/>
              <w:rPr>
                <w:sz w:val="18"/>
                <w:szCs w:val="18"/>
                <w:color w:val="auto"/>
              </w:rPr>
            </w:pPr>
          </w:p>
        </w:tc>
      </w:tr>
      <w:tr>
        <w:trPr>
          <w:trHeight w:val="230"/>
        </w:trPr>
        <w:tc>
          <w:tcPr>
            <w:tcW w:w="47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860" w:type="dxa"/>
            <w:vAlign w:val="bottom"/>
          </w:tcPr>
          <w:p>
            <w:pPr>
              <w:spacing w:after="0"/>
              <w:rPr>
                <w:sz w:val="20"/>
                <w:szCs w:val="20"/>
                <w:color w:val="auto"/>
              </w:rPr>
            </w:pPr>
          </w:p>
        </w:tc>
      </w:tr>
      <w:tr>
        <w:trPr>
          <w:trHeight w:val="648"/>
        </w:trPr>
        <w:tc>
          <w:tcPr>
            <w:tcW w:w="4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2019-12-06T14:04:43Z</dcterms:created>
  <dcterms:modified xsi:type="dcterms:W3CDTF">2019-12-06T14:04:43Z</dcterms:modified>
</cp:coreProperties>
</file>