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180" w:right="2700" w:hanging="1316"/>
        <w:spacing w:after="0" w:line="275" w:lineRule="auto"/>
        <w:tabs>
          <w:tab w:leader="none" w:pos="306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180" w:right="2700" w:hanging="1323"/>
        <w:spacing w:after="0" w:line="275" w:lineRule="auto"/>
        <w:tabs>
          <w:tab w:leader="none" w:pos="3058"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000-30929</w:t>
      </w:r>
    </w:p>
    <w:p>
      <w:pPr>
        <w:spacing w:after="0" w:line="21"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___________________</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639" w:right="239" w:bottom="1440" w:gutter="0" w:footer="0" w:header="0"/>
        </w:sectPr>
      </w:pPr>
    </w:p>
    <w:p>
      <w:pPr>
        <w:spacing w:after="0" w:line="20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36-3898269</w:t>
      </w:r>
    </w:p>
    <w:p>
      <w:pPr>
        <w:spacing w:after="0" w:line="21" w:lineRule="exact"/>
        <w:rPr>
          <w:sz w:val="24"/>
          <w:szCs w:val="24"/>
          <w:color w:val="auto"/>
        </w:rPr>
      </w:pPr>
    </w:p>
    <w:p>
      <w:pPr>
        <w:jc w:val="center"/>
        <w:ind w:right="15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39" w:right="239" w:bottom="1440" w:gutter="0" w:footer="0" w:header="0"/>
          <w:type w:val="continuous"/>
        </w:sectPr>
      </w:pPr>
    </w:p>
    <w:p>
      <w:pPr>
        <w:spacing w:after="0" w:line="36"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 Gansevoort Street, 9th Floor</w:t>
      </w:r>
    </w:p>
    <w:p>
      <w:pPr>
        <w:spacing w:after="0" w:line="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 554-4484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9" w:lineRule="exact"/>
        <w:rPr>
          <w:sz w:val="24"/>
          <w:szCs w:val="24"/>
          <w:color w:val="auto"/>
        </w:rPr>
      </w:pPr>
    </w:p>
    <w:p>
      <w:pPr>
        <w:jc w:val="both"/>
        <w:ind w:right="16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639" w:right="239" w:bottom="1440" w:gutter="0" w:footer="0" w:header="0"/>
          <w:type w:val="continuous"/>
        </w:sectPr>
      </w:pPr>
    </w:p>
    <w:p>
      <w:pPr>
        <w:spacing w:after="0" w:line="1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320" w:space="720"/>
            <w:col w:w="1380"/>
          </w:cols>
          <w:pgMar w:left="240" w:top="639"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580" w:space="720"/>
            <w:col w:w="2120"/>
          </w:cols>
          <w:pgMar w:left="240" w:top="639" w:right="239" w:bottom="1440" w:gutter="0" w:footer="0" w:header="0"/>
          <w:type w:val="continuous"/>
        </w:sectPr>
      </w:pPr>
    </w:p>
    <w:p>
      <w:pPr>
        <w:spacing w:after="0" w:line="48" w:lineRule="exact"/>
        <w:rPr>
          <w:sz w:val="24"/>
          <w:szCs w:val="24"/>
          <w:color w:val="auto"/>
        </w:rPr>
      </w:pPr>
    </w:p>
    <w:p>
      <w:pPr>
        <w:ind w:left="93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39" w:right="239" w:bottom="1440" w:gutter="0" w:footer="0" w:header="0"/>
          <w:type w:val="continuous"/>
        </w:sectPr>
      </w:pP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There were 66,775,146 shares of the registrant’s common stock, $0.001 par value, outstanding as of May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39"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 ENDED MARCH 31, 2017</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CAUTIONARY NOTICE REGARDING FORWARD-LOOKING STATEMENTS</w:t>
            </w:r>
          </w:p>
        </w:tc>
        <w:tc>
          <w:tcPr>
            <w:tcW w:w="13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FINANCIAL INFORMATION</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4</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4</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Condensed Consolidated Balance Sheets as of March 31, 2017 (unaudited) and December 31, 2016</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4</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Condensed Consolidated Statements of Operations for the three months ended March 31, 2017 and 2016 (unaudited)</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5</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Condensed Consolidated Statement of Stockholders’ Equity for the three months ended March 31, 2017 (unaudited)</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6</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Condensed Consolidated Statements of Cash Flows for the three months ended March 31, 2017 and 2016 (unaudited)</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7</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to Condensed Consolidated Financial Statements (unaudited)</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18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27</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28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II</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INFORMATION</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28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28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1A</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28</w:t>
            </w:r>
          </w:p>
        </w:tc>
      </w:tr>
      <w:tr>
        <w:trPr>
          <w:trHeight w:val="216"/>
        </w:trPr>
        <w:tc>
          <w:tcPr>
            <w:tcW w:w="98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6</w:t>
            </w:r>
          </w:p>
        </w:tc>
        <w:tc>
          <w:tcPr>
            <w:tcW w:w="9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Exhibits</w:t>
            </w:r>
          </w:p>
        </w:tc>
        <w:tc>
          <w:tcPr>
            <w:tcW w:w="13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79"/>
              </w:rPr>
              <w:t>46</w:t>
            </w:r>
          </w:p>
        </w:tc>
      </w:tr>
      <w:tr>
        <w:trPr>
          <w:trHeight w:val="646"/>
        </w:trPr>
        <w:tc>
          <w:tcPr>
            <w:tcW w:w="980" w:type="dxa"/>
            <w:vAlign w:val="bottom"/>
          </w:tcPr>
          <w:p>
            <w:pPr>
              <w:spacing w:after="0"/>
              <w:rPr>
                <w:sz w:val="24"/>
                <w:szCs w:val="24"/>
                <w:color w:val="auto"/>
              </w:rPr>
            </w:pPr>
          </w:p>
        </w:tc>
        <w:tc>
          <w:tcPr>
            <w:tcW w:w="9100" w:type="dxa"/>
            <w:vAlign w:val="bottom"/>
          </w:tcPr>
          <w:p>
            <w:pPr>
              <w:ind w:left="478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r>
      <w:tr>
        <w:trPr>
          <w:trHeight w:val="218"/>
        </w:trPr>
        <w:tc>
          <w:tcPr>
            <w:tcW w:w="980" w:type="dxa"/>
            <w:vAlign w:val="bottom"/>
            <w:tcBorders>
              <w:bottom w:val="single" w:sz="8" w:color="auto"/>
            </w:tcBorders>
          </w:tcPr>
          <w:p>
            <w:pPr>
              <w:spacing w:after="0"/>
              <w:rPr>
                <w:sz w:val="18"/>
                <w:szCs w:val="18"/>
                <w:color w:val="auto"/>
              </w:rPr>
            </w:pPr>
          </w:p>
        </w:tc>
        <w:tc>
          <w:tcPr>
            <w:tcW w:w="9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bl>
    <w:p>
      <w:pPr>
        <w:sectPr>
          <w:pgSz w:w="11900" w:h="16838" w:orient="portrait"/>
          <w:cols w:equalWidth="0" w:num="1">
            <w:col w:w="11420"/>
          </w:cols>
          <w:pgMar w:left="240" w:top="557" w:right="239" w:bottom="1440" w:gutter="0" w:footer="0" w:header="0"/>
        </w:sectPr>
      </w:pPr>
    </w:p>
    <w:bookmarkStart w:id="2" w:name="page3"/>
    <w:bookmarkEnd w:id="2"/>
    <w:p>
      <w:pPr>
        <w:ind w:left="18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“plan,” “intend”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6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acceptance of our products by doctors, patients or payors;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obtain reimbursement for our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volatility;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 FINANCIAL STATEMENTS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Balance Sheets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March 31,</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4"/>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b w:val="1"/>
                <w:bCs w:val="1"/>
                <w:color w:val="auto"/>
              </w:rPr>
              <w:t>(Note 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95,637,572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25,031,280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13,823,332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19,853,860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Prepaid research and development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8,422,375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5,678,755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1,057,715</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216,397</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118,963,818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50,864,144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2,491,211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2,042,281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799,391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799,391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110,067</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164,375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123,256,432</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54,781,547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18,916,064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15,267,668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152,381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Notes payable</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174,657</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19,726,657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16,878,440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1,307,063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1,180,953</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1,219,048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22,214,673</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18,913,745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0"/>
              </w:rPr>
              <w:t>Preferred stock, $0.001 par value per share (10,000,000 shares authorized, none issued and outstanding as of 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2"/>
          </w:tcPr>
          <w:p>
            <w:pPr>
              <w:spacing w:after="0"/>
              <w:rPr>
                <w:sz w:val="20"/>
                <w:szCs w:val="20"/>
                <w:color w:val="auto"/>
              </w:rPr>
            </w:pPr>
            <w:r>
              <w:rPr>
                <w:rFonts w:ascii="Arial" w:cs="Arial" w:eastAsia="Arial" w:hAnsi="Arial"/>
                <w:sz w:val="18"/>
                <w:szCs w:val="18"/>
                <w:color w:val="auto"/>
              </w:rPr>
              <w:t>2017 and December 31, 2016)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$0.001 par value per share (150,000,000 shares authorized, 66,816,455 and 56,820,423 shares issued,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66,775,146 and 56,779,114 shares outstanding at March 31, 2017 and December 31, 2016, respectively)</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66,817</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56,820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365,323,608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272,432,139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41,309 shares at March 31, 2017 and December 31, 2016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(264,114,329)</w:t>
            </w:r>
          </w:p>
        </w:tc>
        <w:tc>
          <w:tcPr>
            <w:tcW w:w="1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(236,386,820)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101,041,759</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35,867,802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123,256,432</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54,781,547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w w:val="91"/>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License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38,095</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38,095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2,306,099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386,925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20,375,794</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11,230,415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22,681,893</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11,617,340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3,689,356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1,312,040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1,333,268</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1,100,871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5,022,624</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2,412,911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27,704,517</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14,030,251</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(27,666,422)</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(13,992,156)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(44,696)</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61,087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(143,494)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(27,727,509)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(13,848,662)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 per common share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53,157,851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48,908,278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540" w:type="dxa"/>
            <w:vAlign w:val="bottom"/>
            <w:tcBorders>
              <w:right w:val="single" w:sz="8" w:color="CCEEFF"/>
            </w:tcBorders>
            <w:shd w:val="clear" w:color="auto" w:fill="CCEEFF"/>
          </w:tcPr>
          <w:p>
            <w:pPr>
              <w:spacing w:after="0"/>
              <w:rPr>
                <w:sz w:val="19"/>
                <w:szCs w:val="19"/>
                <w:color w:val="auto"/>
              </w:rPr>
            </w:pPr>
          </w:p>
        </w:tc>
        <w:tc>
          <w:tcPr>
            <w:tcW w:w="2080" w:type="dxa"/>
            <w:vAlign w:val="bottom"/>
            <w:gridSpan w:val="6"/>
            <w:shd w:val="clear" w:color="auto" w:fill="CCEEFF"/>
          </w:tcPr>
          <w:p>
            <w:pPr>
              <w:jc w:val="right"/>
              <w:ind w:right="64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gridSpan w:val="5"/>
            <w:shd w:val="clear" w:color="auto" w:fill="CCEEFF"/>
          </w:tcPr>
          <w:p>
            <w:pPr>
              <w:ind w:left="2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0" w:type="dxa"/>
            <w:vAlign w:val="bottom"/>
            <w:tcBorders>
              <w:top w:val="single" w:sz="8" w:color="CCEEFF"/>
            </w:tcBorders>
            <w:gridSpan w:val="2"/>
          </w:tcPr>
          <w:p>
            <w:pPr>
              <w:jc w:val="right"/>
              <w:ind w:right="420"/>
              <w:spacing w:after="0"/>
              <w:rPr>
                <w:sz w:val="20"/>
                <w:szCs w:val="20"/>
                <w:color w:val="auto"/>
              </w:rPr>
            </w:pPr>
            <w:r>
              <w:rPr>
                <w:rFonts w:ascii="Arial" w:cs="Arial" w:eastAsia="Arial" w:hAnsi="Arial"/>
                <w:sz w:val="16"/>
                <w:szCs w:val="16"/>
                <w:b w:val="1"/>
                <w:bCs w:val="1"/>
                <w:color w:val="auto"/>
                <w:w w:val="97"/>
              </w:rPr>
              <w:t>Additional</w:t>
            </w: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80" w:type="dxa"/>
            <w:vAlign w:val="bottom"/>
            <w:tcBorders>
              <w:top w:val="single" w:sz="8" w:color="CCEEFF"/>
            </w:tcBorders>
            <w:gridSpan w:val="2"/>
          </w:tcPr>
          <w:p>
            <w:pPr>
              <w:jc w:val="center"/>
              <w:ind w:right="36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Amount</w:t>
            </w: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6"/>
              </w:rPr>
              <w:t>paid-in capital</w:t>
            </w:r>
          </w:p>
        </w:tc>
        <w:tc>
          <w:tcPr>
            <w:tcW w:w="240" w:type="dxa"/>
            <w:vAlign w:val="bottom"/>
          </w:tcPr>
          <w:p>
            <w:pPr>
              <w:spacing w:after="0"/>
              <w:rPr>
                <w:sz w:val="19"/>
                <w:szCs w:val="19"/>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Deficit</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January 1, 2017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56,820,422</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56,820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272,432,139</w:t>
            </w:r>
          </w:p>
        </w:tc>
        <w:tc>
          <w:tcPr>
            <w:tcW w:w="2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41,309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(234,337)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(236,386,820)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35,867,802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Issuance of common stock in connection with</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6"/>
                <w:szCs w:val="16"/>
                <w:color w:val="auto"/>
              </w:rPr>
              <w:t>exercise of warrants</w:t>
            </w:r>
          </w:p>
        </w:tc>
        <w:tc>
          <w:tcPr>
            <w:tcW w:w="920" w:type="dxa"/>
            <w:vAlign w:val="bottom"/>
          </w:tcPr>
          <w:p>
            <w:pPr>
              <w:jc w:val="right"/>
              <w:spacing w:after="0"/>
              <w:rPr>
                <w:sz w:val="20"/>
                <w:szCs w:val="20"/>
                <w:color w:val="auto"/>
              </w:rPr>
            </w:pPr>
            <w:r>
              <w:rPr>
                <w:rFonts w:ascii="Arial" w:cs="Arial" w:eastAsia="Arial" w:hAnsi="Arial"/>
                <w:sz w:val="16"/>
                <w:szCs w:val="16"/>
                <w:color w:val="auto"/>
              </w:rPr>
              <w:t>887,585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888</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2,142,196</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2,143,084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Forfeiture of restricted stock</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(4,495)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Issuance of common stock in public offering (net of</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offering costs of $3,589,875)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5,897,436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5,898</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53,713,519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53,719,417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6"/>
                <w:szCs w:val="16"/>
                <w:color w:val="auto"/>
                <w:w w:val="95"/>
              </w:rPr>
              <w:t>Issuance of common stock in At-the-Market offering</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rPr>
                <w:sz w:val="20"/>
                <w:szCs w:val="20"/>
                <w:color w:val="auto"/>
              </w:rPr>
            </w:pPr>
            <w:r>
              <w:rPr>
                <w:rFonts w:ascii="Arial" w:cs="Arial" w:eastAsia="Arial" w:hAnsi="Arial"/>
                <w:sz w:val="16"/>
                <w:szCs w:val="16"/>
                <w:color w:val="auto"/>
              </w:rPr>
              <w:t>(net of offering costs of $554,067)</w:t>
            </w:r>
          </w:p>
        </w:tc>
        <w:tc>
          <w:tcPr>
            <w:tcW w:w="920" w:type="dxa"/>
            <w:vAlign w:val="bottom"/>
          </w:tcPr>
          <w:p>
            <w:pPr>
              <w:jc w:val="right"/>
              <w:spacing w:after="0"/>
              <w:rPr>
                <w:sz w:val="20"/>
                <w:szCs w:val="20"/>
                <w:color w:val="auto"/>
              </w:rPr>
            </w:pPr>
            <w:r>
              <w:rPr>
                <w:rFonts w:ascii="Arial" w:cs="Arial" w:eastAsia="Arial" w:hAnsi="Arial"/>
                <w:sz w:val="16"/>
                <w:szCs w:val="16"/>
                <w:color w:val="auto"/>
              </w:rPr>
              <w:t>3,104,253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3,104</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31,040,406</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31,043,510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Compensation in respect of restricted stock granted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 employees, directors and consultants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5,995,455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5,995,455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(27,727,509)</w:t>
            </w:r>
          </w:p>
        </w:tc>
        <w:tc>
          <w:tcPr>
            <w:tcW w:w="18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(27,727,509)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March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66,816,455</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66,817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365,323,608</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41,309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 (234,337)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(264,114,329)</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101,041,759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(27,727,509)</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(13,848,662)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5,995,455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1,698,965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20,416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30,528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Increase in prepaid research and development and other current assets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(3,584,938)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(2,250,490)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(increase) in leasehold interest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19,587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Decrease in accrued interest receivable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61,028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assets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242,372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Increase (decrease) in accounts payable and accrued expenses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2,551,726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(1,575,974)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rent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22,289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160"/>
              <w:spacing w:after="0"/>
              <w:rPr>
                <w:sz w:val="20"/>
                <w:szCs w:val="20"/>
                <w:color w:val="auto"/>
              </w:rPr>
            </w:pPr>
            <w:r>
              <w:rPr>
                <w:rFonts w:ascii="Arial" w:cs="Arial" w:eastAsia="Arial" w:hAnsi="Arial"/>
                <w:sz w:val="18"/>
                <w:szCs w:val="18"/>
                <w:color w:val="auto"/>
              </w:rPr>
              <w:t>Decrease in deferred revenue</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(38,095)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(38,096)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(22,302,364)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(16,673,541)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held-to-maturity securities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maturity of short-term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6,000,000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(1,923,531)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2,143,084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84,765,572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86,908,656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70,606,292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(18,582,909)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25,031,280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55,061,329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95,637,572</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36,478,420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Reclassification of deferred financing costs to additional paid-in capital</w:t>
            </w:r>
          </w:p>
        </w:tc>
        <w:tc>
          <w:tcPr>
            <w:tcW w:w="1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(2,645)</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Accrued offering costs</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190,709</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with TG-1101 also in clinical development for autoimmune disorders. The Company also has pre-clinical programs to develop IRAK4 (interleukin-1 receptor-associated kinase 4) inhibitors, BET (Bromodomain and Extra Terminal) inhibitors, and anti-PD-L1 and anti-GITR antibodies.</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2016. The accompanying condensed December 31, 2016 balance sheet has been derived from these statements. The results of operations for the three months ended March 31, 2017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attain profitable operations. As of March 31, 2017, we have an accumulated deficit of approximately $264.1 million.</w:t>
      </w:r>
    </w:p>
    <w:p>
      <w:pPr>
        <w:spacing w:after="0" w:line="186"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completing any post-approval regulatory obligations; and successfully commercializing our drug candidates alone or with one or more partners. We may continue to incur substantial operating losses even if we begin to generate revenues from our drug candidates.</w:t>
      </w:r>
    </w:p>
    <w:p>
      <w:pPr>
        <w:spacing w:after="0" w:line="170"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As of March 31, 2017, we had approximately $109.5 million in cash, cash equivalents, investment securities, and interest receivable, which we believe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strategic plan, including the commercialization of any of our drug candidates.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4" w:lineRule="exact"/>
        <w:rPr>
          <w:sz w:val="20"/>
          <w:szCs w:val="20"/>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3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Actual results could differ from those estimates. Such differences could be material to the consolidated financial statements.</w:t>
      </w:r>
    </w:p>
    <w:p>
      <w:pPr>
        <w:spacing w:after="0" w:line="19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three months or less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580" w:firstLine="648"/>
        <w:spacing w:after="0" w:line="332" w:lineRule="auto"/>
        <w:rPr>
          <w:sz w:val="20"/>
          <w:szCs w:val="20"/>
          <w:color w:val="auto"/>
        </w:rPr>
      </w:pPr>
      <w:r>
        <w:rPr>
          <w:rFonts w:ascii="Arial" w:cs="Arial" w:eastAsia="Arial" w:hAnsi="Arial"/>
          <w:sz w:val="16"/>
          <w:szCs w:val="16"/>
          <w:color w:val="auto"/>
        </w:rPr>
        <w:t>We record cash pledged or held in trust as restricted cash. As of March 31, 2017 and December 31, 2016, we have approximately $0.6 million of restricted cash pledged to secure a line of credit as a security deposit for an Office Agreement (see Note 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Investment securities at March 31, 2017 and December 31, 2016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both"/>
        <w:ind w:right="360" w:firstLine="648"/>
        <w:spacing w:after="0" w:line="306" w:lineRule="auto"/>
        <w:rPr>
          <w:sz w:val="20"/>
          <w:szCs w:val="20"/>
          <w:color w:val="auto"/>
        </w:rPr>
      </w:pPr>
      <w:r>
        <w:rPr>
          <w:rFonts w:ascii="Arial" w:cs="Arial" w:eastAsia="Arial" w:hAnsi="Arial"/>
          <w:sz w:val="16"/>
          <w:szCs w:val="16"/>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would be included in interest and other (income) expense, net. Dividend and interest income are recognized when earned.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40" w:firstLine="648"/>
        <w:spacing w:after="0" w:line="310" w:lineRule="auto"/>
        <w:rPr>
          <w:sz w:val="20"/>
          <w:szCs w:val="20"/>
          <w:color w:val="auto"/>
        </w:rPr>
      </w:pPr>
      <w:r>
        <w:rPr>
          <w:rFonts w:ascii="Arial" w:cs="Arial" w:eastAsia="Arial" w:hAnsi="Arial"/>
          <w:sz w:val="15"/>
          <w:szCs w:val="15"/>
          <w:color w:val="auto"/>
        </w:rPr>
        <w:t>We recognize license revenue in accordance with the revenue recognition guidance of the FASB Codification. We analyze each 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liability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202"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18"/>
          <w:szCs w:val="18"/>
          <w:color w:val="auto"/>
        </w:rPr>
        <w:t>Prepaid research and development in our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March 31, 2017 and December 31, 2016, we recorded approximately $8.4 million and $5.7 million, respectively, in prepaid research and development related to such advance agreements.</w:t>
      </w:r>
    </w:p>
    <w:p>
      <w:pPr>
        <w:spacing w:after="0" w:line="19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stock-based payments to consultants and other third-parties (including related parties), noncash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(including related parties) are then revalued, or the total compensation is recalculated based on the then current fair value, at each subsequent reporting date.</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periods presented or because such potentially dilutive securities were out of the money and the Company realized net income during the periods presented. The amounts of potentially dilutive securities excluded from the calculation were 3,634,008 and 6,869,500 for the three months ended March 31, 2017 and 2016, respectively. The following outstanding shares of potentially dilutive securities were excluded from the computation of net loss per share attributable to common stockholders for the periods presented because including them would have been antidilutive:</w:t>
      </w:r>
    </w:p>
    <w:p>
      <w:pPr>
        <w:spacing w:after="0" w:line="166"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78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ind w:right="592"/>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720" w:type="dxa"/>
            <w:vAlign w:val="bottom"/>
          </w:tcPr>
          <w:p>
            <w:pPr>
              <w:jc w:val="right"/>
              <w:spacing w:after="0"/>
              <w:rPr>
                <w:sz w:val="20"/>
                <w:szCs w:val="20"/>
                <w:color w:val="auto"/>
              </w:rPr>
            </w:pPr>
            <w:r>
              <w:rPr>
                <w:rFonts w:ascii="Arial" w:cs="Arial" w:eastAsia="Arial" w:hAnsi="Arial"/>
                <w:sz w:val="18"/>
                <w:szCs w:val="18"/>
                <w:color w:val="auto"/>
              </w:rPr>
              <w:t>3,619,016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5,674,415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1,177,137</w:t>
            </w:r>
          </w:p>
        </w:tc>
        <w:tc>
          <w:tcPr>
            <w:tcW w:w="20" w:type="dxa"/>
            <w:vAlign w:val="bottom"/>
          </w:tcPr>
          <w:p>
            <w:pPr>
              <w:spacing w:after="0"/>
              <w:rPr>
                <w:sz w:val="18"/>
                <w:szCs w:val="18"/>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Shares issuable upon note conversion</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17,948</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3,634,008</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6,869,500</w:t>
            </w:r>
          </w:p>
        </w:tc>
        <w:tc>
          <w:tcPr>
            <w:tcW w:w="20" w:type="dxa"/>
            <w:vAlign w:val="bottom"/>
          </w:tcPr>
          <w:p>
            <w:pPr>
              <w:spacing w:after="0"/>
              <w:rPr>
                <w:sz w:val="22"/>
                <w:szCs w:val="22"/>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ind w:right="80" w:firstLine="648"/>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 Expense and Deferred Rent</w:t>
      </w:r>
    </w:p>
    <w:p>
      <w:pPr>
        <w:spacing w:after="0" w:line="225" w:lineRule="exact"/>
        <w:rPr>
          <w:sz w:val="20"/>
          <w:szCs w:val="20"/>
          <w:color w:val="auto"/>
        </w:rPr>
      </w:pPr>
    </w:p>
    <w:p>
      <w:pPr>
        <w:ind w:right="140" w:firstLine="648"/>
        <w:spacing w:after="0" w:line="335" w:lineRule="auto"/>
        <w:rPr>
          <w:sz w:val="20"/>
          <w:szCs w:val="20"/>
          <w:color w:val="auto"/>
        </w:rPr>
      </w:pPr>
      <w:r>
        <w:rPr>
          <w:rFonts w:ascii="Arial" w:cs="Arial" w:eastAsia="Arial" w:hAnsi="Arial"/>
          <w:sz w:val="15"/>
          <w:szCs w:val="15"/>
          <w:color w:val="auto"/>
        </w:rPr>
        <w:t>Rent expense and lease incentives, including landlord construction allowances, are recognized on a straight-line basis over the lease term, commencing generally on the date the Company takes possession of the leased property. The Company records lease incentives as deferred rent and recognizes the lease incentives as reductions of rental expense. The unamortized portion of deferred rent is included in deferred rent in the condensed consolidated balance sheets.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640" w:type="dxa"/>
            <w:vAlign w:val="bottom"/>
            <w:gridSpan w:val="2"/>
          </w:tcPr>
          <w:p>
            <w:pPr>
              <w:spacing w:after="0"/>
              <w:rPr>
                <w:sz w:val="20"/>
                <w:szCs w:val="20"/>
                <w:color w:val="auto"/>
              </w:rPr>
            </w:pPr>
            <w:r>
              <w:rPr>
                <w:rFonts w:ascii="Arial" w:cs="Arial" w:eastAsia="Arial" w:hAnsi="Arial"/>
                <w:sz w:val="18"/>
                <w:szCs w:val="18"/>
                <w:b w:val="1"/>
                <w:bCs w:val="1"/>
                <w:color w:val="auto"/>
                <w:w w:val="95"/>
              </w:rPr>
              <w:t>NOTE 2</w:t>
            </w:r>
          </w:p>
        </w:tc>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 CASH AND CASH EQUIVALENTS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60" w:type="dxa"/>
            <w:vAlign w:val="bottom"/>
            <w:gridSpan w:val="3"/>
          </w:tcPr>
          <w:p>
            <w:pPr>
              <w:ind w:left="20"/>
              <w:spacing w:after="0"/>
              <w:rPr>
                <w:sz w:val="20"/>
                <w:szCs w:val="20"/>
                <w:color w:val="auto"/>
              </w:rPr>
            </w:pPr>
            <w:r>
              <w:rPr>
                <w:rFonts w:ascii="Arial" w:cs="Arial" w:eastAsia="Arial" w:hAnsi="Arial"/>
                <w:sz w:val="18"/>
                <w:szCs w:val="18"/>
                <w:color w:val="auto"/>
              </w:rPr>
              <w:t>The following tables summarize our cash and cash equivalents at March 31, 2017 and December 31, 2016:</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March 31, 2017</w:t>
            </w:r>
          </w:p>
        </w:tc>
        <w:tc>
          <w:tcPr>
            <w:tcW w:w="380" w:type="dxa"/>
            <w:vAlign w:val="bottom"/>
          </w:tcPr>
          <w:p>
            <w:pPr>
              <w:spacing w:after="0"/>
              <w:rPr>
                <w:sz w:val="24"/>
                <w:szCs w:val="24"/>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15,106,834</w:t>
            </w: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20,978,947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Checking and bank deposits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80,530,738</w:t>
            </w:r>
          </w:p>
        </w:tc>
        <w:tc>
          <w:tcPr>
            <w:tcW w:w="3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4,052,333</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Total</w:t>
            </w:r>
          </w:p>
        </w:tc>
        <w:tc>
          <w:tcPr>
            <w:tcW w:w="7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95,637,572</w:t>
            </w: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25,031,280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NOTE 3</w:t>
            </w:r>
          </w:p>
        </w:tc>
        <w:tc>
          <w:tcPr>
            <w:tcW w:w="7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INVESTMENT SECURITIES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640" w:type="dxa"/>
            <w:vAlign w:val="bottom"/>
            <w:gridSpan w:val="2"/>
            <w:vMerge w:val="continue"/>
          </w:tcPr>
          <w:p>
            <w:pPr>
              <w:spacing w:after="0"/>
              <w:rPr>
                <w:sz w:val="24"/>
                <w:szCs w:val="24"/>
                <w:color w:val="auto"/>
              </w:rPr>
            </w:pPr>
          </w:p>
        </w:tc>
        <w:tc>
          <w:tcPr>
            <w:tcW w:w="7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Our investments as of March 31, 2017 and December 31, 2016 are classified as held-to-maturity. Held-to-maturity investments are recorded at amortized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March 31, 2017 and December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March 31, 2017</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90"/>
              </w:rPr>
              <w:t>Amortized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0"/>
              </w:rPr>
              <w:t>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77"/>
              </w:rPr>
              <w:t>cost, as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holding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April 2017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13,823,332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5,255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13,818,684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13,823,332</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13,818,684</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90"/>
              </w:rPr>
              <w:t>Amortized</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0"/>
              </w:rPr>
              <w:t>Gross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12"/>
              <w:spacing w:after="0" w:line="20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77"/>
              </w:rPr>
              <w:t>cost, as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unrealized</w:t>
            </w:r>
          </w:p>
        </w:tc>
        <w:tc>
          <w:tcPr>
            <w:tcW w:w="28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holding gains</w:t>
            </w:r>
          </w:p>
        </w:tc>
        <w:tc>
          <w:tcPr>
            <w:tcW w:w="26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0"/>
              </w:rPr>
              <w:t>holding losses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2"/>
              </w:rPr>
              <w:t>Obligations of domestic governmental agencies (maturing between February 2017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September 2017)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3,270</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19,853,860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19,854,638</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9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 w:name="page13"/>
    <w:bookmarkEnd w:id="12"/>
    <w:p>
      <w:pPr>
        <w:ind w:right="100" w:firstLine="648"/>
        <w:spacing w:after="0" w:line="268" w:lineRule="auto"/>
        <w:rPr>
          <w:sz w:val="20"/>
          <w:szCs w:val="20"/>
          <w:color w:val="auto"/>
        </w:rPr>
      </w:pPr>
      <w:r>
        <w:rPr>
          <w:rFonts w:ascii="Arial" w:cs="Arial" w:eastAsia="Arial" w:hAnsi="Arial"/>
          <w:sz w:val="18"/>
          <w:szCs w:val="18"/>
          <w:color w:val="auto"/>
        </w:rPr>
        <w:t>As of March 31, 2017 and December 31, 2016, the fair values of cash and cash equivalents, restricted cash, and notes and interest payable, approximate their carrying value.</w:t>
      </w:r>
    </w:p>
    <w:p>
      <w:pPr>
        <w:spacing w:after="0" w:line="18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cumulative liability to the Ariston subsidiary including accrued and unpaid interest of the 5% Notes was approximately $16.9 million at March 31, 2017 and $16.7 million at December 31, 2016. No payments have been made on the 5% Notes as of March 31, 2017.</w:t>
      </w:r>
    </w:p>
    <w:p>
      <w:pPr>
        <w:spacing w:after="0" w:line="186"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2017 and December 31, 2016.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March 31, 2017 and December 31,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340" w:type="dxa"/>
            <w:vAlign w:val="bottom"/>
            <w:gridSpan w:val="12"/>
          </w:tcPr>
          <w:p>
            <w:pPr>
              <w:jc w:val="center"/>
              <w:ind w:right="120"/>
              <w:spacing w:after="0"/>
              <w:rPr>
                <w:sz w:val="20"/>
                <w:szCs w:val="20"/>
                <w:color w:val="auto"/>
              </w:rPr>
            </w:pPr>
            <w:r>
              <w:rPr>
                <w:rFonts w:ascii="Arial" w:cs="Arial" w:eastAsia="Arial" w:hAnsi="Arial"/>
                <w:sz w:val="18"/>
                <w:szCs w:val="18"/>
                <w:b w:val="1"/>
                <w:bCs w:val="1"/>
                <w:color w:val="auto"/>
                <w:w w:val="89"/>
              </w:rPr>
              <w:t>Financial liabilities at fair value as of March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174,657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174,657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174,657</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340" w:type="dxa"/>
            <w:vAlign w:val="bottom"/>
            <w:gridSpan w:val="12"/>
          </w:tcPr>
          <w:p>
            <w:pPr>
              <w:jc w:val="center"/>
              <w:ind w:right="140"/>
              <w:spacing w:after="0"/>
              <w:rPr>
                <w:sz w:val="20"/>
                <w:szCs w:val="20"/>
                <w:color w:val="auto"/>
              </w:rPr>
            </w:pPr>
            <w:r>
              <w:rPr>
                <w:rFonts w:ascii="Arial" w:cs="Arial" w:eastAsia="Arial" w:hAnsi="Arial"/>
                <w:sz w:val="18"/>
                <w:szCs w:val="18"/>
                <w:b w:val="1"/>
                <w:bCs w:val="1"/>
                <w:color w:val="auto"/>
                <w:w w:val="88"/>
              </w:rPr>
              <w:t>Financial liabilities at fair value as of 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3</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920" w:type="dxa"/>
            <w:vAlign w:val="bottom"/>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68,875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0180" w:type="dxa"/>
            <w:vAlign w:val="bottom"/>
          </w:tcPr>
          <w:p>
            <w:pPr>
              <w:ind w:left="64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2017:</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0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Interest accrued on face value of 5% Notes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202,748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liabilities</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Fair value at March 31, 2017</w:t>
            </w: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174,657</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40"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In December 2014, we filed a shelf registration statement on Form S-3 (the "2015 S-3"), which was declared effective in January 2015. Under the 2015 S-3, the Company may sell up to a total of $250 million of its securities. In connection with the 2015 S-3, we amended our 2013 At-the-Market Issuance Sales Agreement with MLV &amp; Co. LLC (the "2015 ATM") such that we may issue and sell additional shares of our common stock, having an aggregate offering price of up to $175.0 million, from time to time through MLV &amp; Co. LLC ("MLV") and FBR Capital Markets &amp; Co. ("FBR", each of MLV and FBR individually an "Agent" and collectively the "Agents"), acting as the sales agents. Under the 2015 ATM we pay the Agents a commission rate of up to 3.0% of the gross proceeds from the sale of any shares of common stock sold through the Agents.</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three months ended March 31, 2017, we sold a total of 3,104,253 shares of common stock under the 2015 ATM for total gross proceeds of approximately $31.6 million at an average selling price of $10.18 per share, resulting in net proceeds of approximately $31.0 million after deducting commissions and other transaction costs.</w:t>
      </w:r>
    </w:p>
    <w:p>
      <w:pPr>
        <w:spacing w:after="0" w:line="194"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On March 9, 2017, we announced the pricing of an underwritten public offering of 5,128,206 shares of our common stock (plus a 30-day underwriter option to purchase up to an additional 769,230 shares of common stock, which was exercised) at a price of $9.75 per share. Net proceeds from this offering, including the overallotment, were approximately $54 million, net of underwriting discounts and offering expenses of approximately $3.5 million. The offering closed on March 14, 2017.</w:t>
      </w:r>
    </w:p>
    <w:p>
      <w:pPr>
        <w:spacing w:after="0" w:line="19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The 2015 S-3 is currently our only active shelf registration statement. After deducting shares already sold, including under the 2015 ATM, there is approximately $88.2 million of common stock that remains available for sale under the 2015 S-3. We may offer the securities under the 2015 S-3 from time to time in response to market conditions or other circumstances if we believe such a plan of financing is in the best interests of our stockholders. We believe that the 2015 S-3 provides us with the flexibility to raise additional capital to finance our operations as needed.</w:t>
      </w:r>
    </w:p>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right="480" w:firstLine="648"/>
        <w:spacing w:after="0" w:line="332" w:lineRule="auto"/>
        <w:rPr>
          <w:sz w:val="20"/>
          <w:szCs w:val="20"/>
          <w:color w:val="auto"/>
        </w:rPr>
      </w:pPr>
      <w:r>
        <w:rPr>
          <w:rFonts w:ascii="Arial" w:cs="Arial" w:eastAsia="Arial" w:hAnsi="Arial"/>
          <w:sz w:val="16"/>
          <w:szCs w:val="16"/>
          <w:color w:val="auto"/>
        </w:rPr>
        <w:t>The TG Therapeutics, Inc. Amended and Restated 2012 Incentive Plan (“2012 Incentive Plan”) was approved by stockholders in June 2015. As of March 31, 2017, no options were outstanding and up to an additional 2,180,005 shares may be issued under the 2012 Incentive Plan.</w:t>
      </w:r>
    </w:p>
    <w:p>
      <w:pPr>
        <w:spacing w:after="0" w:line="13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as of December 15, 2011 (together with the Amendment, the “Employment Agreement”) with Michael S. Weiss, our Executive Chairman and interim Chief Executive Officer and President of the Company.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 on market capitalization thresholds ranging from $375 million to $750 million. Collectively, Mr. Weiss and the Advisor were granted fewer shares than Mr. Weiss forfeited. In accordance with GAAP, there was no incremental stock compensation expense recognition as a result of the modification.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three months ended March 31, 2017: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4"/>
              </w:rPr>
              <w:t>Average</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1"/>
              </w:rPr>
              <w:t>Grant Date</w:t>
            </w: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8,642,055</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(3,629,798)</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5,119,016</w:t>
            </w: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Total expense associated with restricted stock grants was approximately $6.0 million and $1.7 million during the three months ended March 31, 2017 and 2016, respectively. As of March 31, 2017, there was approximately $9.6 million of total unrecognized compensation cost related to unvested time-based restricted stock, which is expected to be recognized over a weighted average period of 1.4 years. This amount does not include, as of March 31, 2017, 305,000 shares of restricted stock outstanding which are milestone-based and vest upon certain corporate milestones; and 2,397,583 shares of restricted stock outstanding issued to non-employees, the expense for which is determined each reporting period at the measurement date. The expense is recognized over the vesting period of the award. Until the measurement date is reached for milestone awards, the total amount of compensation expense remains uncertain. We record compensation expense based on the fair value of the award at the reporting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6"/>
              </w:rPr>
              <w:t>Weighted</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85"/>
              </w:rPr>
              <w:t>Aggregate</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5"/>
              </w:rPr>
              <w:t>average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1"/>
              </w:rPr>
              <w:t>Intrinsic</w:t>
            </w:r>
          </w:p>
        </w:tc>
      </w:tr>
      <w:tr>
        <w:trPr>
          <w:trHeight w:val="237"/>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Warrants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ind w:right="52"/>
              <w:spacing w:after="0"/>
              <w:rPr>
                <w:sz w:val="20"/>
                <w:szCs w:val="20"/>
                <w:color w:val="auto"/>
              </w:rPr>
            </w:pPr>
            <w:r>
              <w:rPr>
                <w:rFonts w:ascii="Arial" w:cs="Arial" w:eastAsia="Arial" w:hAnsi="Arial"/>
                <w:sz w:val="18"/>
                <w:szCs w:val="18"/>
                <w:b w:val="1"/>
                <w:bCs w:val="1"/>
                <w:color w:val="auto"/>
                <w:w w:val="87"/>
              </w:rPr>
              <w:t>Value</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tcPr>
          <w:p>
            <w:pPr>
              <w:jc w:val="right"/>
              <w:spacing w:after="0"/>
              <w:rPr>
                <w:sz w:val="20"/>
                <w:szCs w:val="20"/>
                <w:color w:val="auto"/>
              </w:rPr>
            </w:pPr>
            <w:r>
              <w:rPr>
                <w:rFonts w:ascii="Arial" w:cs="Arial" w:eastAsia="Arial" w:hAnsi="Arial"/>
                <w:sz w:val="18"/>
                <w:szCs w:val="18"/>
                <w:color w:val="auto"/>
              </w:rPr>
              <w:t>913,381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1,961,403</w:t>
            </w:r>
          </w:p>
        </w:tc>
        <w:tc>
          <w:tcPr>
            <w:tcW w:w="1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(887,585)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(25,796)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2017</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any stock options during the three months ended March 31, 2017 and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restricted stock and stock options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2017 and 2016: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20" w:type="dxa"/>
            <w:vAlign w:val="bottom"/>
            <w:gridSpan w:val="6"/>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5"/>
              </w:rPr>
              <w:t>Stock-based compensation expense associated with restricted stock</w:t>
            </w:r>
          </w:p>
        </w:tc>
        <w:tc>
          <w:tcPr>
            <w:tcW w:w="3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5,995,455</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1,698,965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5,995,455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1,698,965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960" w:type="dxa"/>
            <w:vAlign w:val="bottom"/>
            <w:vMerge w:val="restart"/>
          </w:tcPr>
          <w:p>
            <w:pPr>
              <w:jc w:val="right"/>
              <w:ind w:right="2212"/>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63" w:right="239" w:bottom="1049"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 NOTES PAYABLE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notes payable: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March 31, 2017</w:t>
            </w: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gridSpan w:val="6"/>
            <w:shd w:val="clear" w:color="auto" w:fill="CCEEFF"/>
          </w:tcPr>
          <w:p>
            <w:pPr>
              <w:jc w:val="center"/>
              <w:ind w:left="512"/>
              <w:spacing w:after="0"/>
              <w:rPr>
                <w:sz w:val="20"/>
                <w:szCs w:val="20"/>
                <w:color w:val="auto"/>
              </w:rPr>
            </w:pPr>
            <w:r>
              <w:rPr>
                <w:rFonts w:ascii="Arial" w:cs="Arial" w:eastAsia="Arial" w:hAnsi="Arial"/>
                <w:sz w:val="18"/>
                <w:szCs w:val="18"/>
                <w:b w:val="1"/>
                <w:bCs w:val="1"/>
                <w:color w:val="auto"/>
                <w:w w:val="87"/>
              </w:rPr>
              <w:t>December 31, 2016</w:t>
            </w: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360"/>
              <w:spacing w:after="0" w:line="201" w:lineRule="exact"/>
              <w:rPr>
                <w:sz w:val="20"/>
                <w:szCs w:val="20"/>
                <w:color w:val="auto"/>
              </w:rPr>
            </w:pPr>
            <w:r>
              <w:rPr>
                <w:rFonts w:ascii="Arial" w:cs="Arial" w:eastAsia="Arial" w:hAnsi="Arial"/>
                <w:sz w:val="18"/>
                <w:szCs w:val="18"/>
                <w:b w:val="1"/>
                <w:bCs w:val="1"/>
                <w:color w:val="auto"/>
                <w:w w:val="92"/>
              </w:rPr>
              <w:t>Non-</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2"/>
              <w:spacing w:after="0" w:line="201" w:lineRule="exact"/>
              <w:rPr>
                <w:sz w:val="20"/>
                <w:szCs w:val="20"/>
                <w:color w:val="auto"/>
              </w:rPr>
            </w:pPr>
            <w:r>
              <w:rPr>
                <w:rFonts w:ascii="Arial" w:cs="Arial" w:eastAsia="Arial" w:hAnsi="Arial"/>
                <w:sz w:val="18"/>
                <w:szCs w:val="18"/>
                <w:b w:val="1"/>
                <w:bCs w:val="1"/>
                <w:color w:val="auto"/>
                <w:w w:val="87"/>
              </w:rPr>
              <w:t>Non-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w w:val="95"/>
              </w:rPr>
              <w:t>Current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current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w w:val="95"/>
              </w:rPr>
              <w:t>Current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2"/>
              <w:spacing w:after="0"/>
              <w:rPr>
                <w:sz w:val="20"/>
                <w:szCs w:val="20"/>
                <w:color w:val="auto"/>
              </w:rPr>
            </w:pPr>
            <w:r>
              <w:rPr>
                <w:rFonts w:ascii="Arial" w:cs="Arial" w:eastAsia="Arial" w:hAnsi="Arial"/>
                <w:sz w:val="18"/>
                <w:szCs w:val="18"/>
                <w:b w:val="1"/>
                <w:bCs w:val="1"/>
                <w:color w:val="auto"/>
                <w:w w:val="90"/>
              </w:rPr>
              <w:t>current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portion, net</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portion, net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174,657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174,657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174,657</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68,875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$16.9 million at March 31, 2017 and $16.7 million at December 31, 2016. No payments have been made on the 5% Notes as of March 31, 2017.</w:t>
      </w:r>
    </w:p>
    <w:p>
      <w:pPr>
        <w:spacing w:after="0" w:line="186" w:lineRule="exact"/>
        <w:rPr>
          <w:sz w:val="20"/>
          <w:szCs w:val="20"/>
          <w:color w:val="auto"/>
        </w:rPr>
      </w:pPr>
    </w:p>
    <w:p>
      <w:pPr>
        <w:ind w:right="560" w:firstLine="648"/>
        <w:spacing w:after="0" w:line="332" w:lineRule="auto"/>
        <w:rPr>
          <w:sz w:val="20"/>
          <w:szCs w:val="20"/>
          <w:color w:val="auto"/>
        </w:rPr>
      </w:pPr>
      <w:r>
        <w:rPr>
          <w:rFonts w:ascii="Arial" w:cs="Arial" w:eastAsia="Arial" w:hAnsi="Arial"/>
          <w:sz w:val="16"/>
          <w:szCs w:val="16"/>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(see Note 8), for the development and commercialization of Jubilant’s novel BET inhibitor program in the field of hematological malignancies.</w:t>
      </w:r>
    </w:p>
    <w:p>
      <w:pPr>
        <w:spacing w:after="0" w:line="19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Under the terms of the agreement, we paid Checkpoint an up-front licensing fee of $1.0 million and will make additional payments contingent on certain preclinical, clinical, and regulatory milestones, including commercial milestones totaling up to approximately $177 million and a single-digit royalty on net sales. TG will also provide funding to support certain targeted research efforts at Jubilant.</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TG-1101</w:t>
      </w:r>
    </w:p>
    <w:p>
      <w:pPr>
        <w:spacing w:after="0" w:line="225" w:lineRule="exact"/>
        <w:rPr>
          <w:sz w:val="20"/>
          <w:szCs w:val="20"/>
          <w:color w:val="auto"/>
        </w:rPr>
      </w:pPr>
    </w:p>
    <w:p>
      <w:pPr>
        <w:ind w:right="480"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relating to the development and commercialization of TG-1101 in South Korea and Southeast Asia. Under the terms of the sublicense agreement, Ildong has been granted a royalty bearing, exclusive right, including the right to grant sublicenses, to develop and commercialize TG-1101 in South Korea, Taiwan, Singapore, Indonesia, Malaysia, Thailand, Philippines, Vietnam, and Myanmar.</w:t>
      </w:r>
    </w:p>
    <w:p>
      <w:pPr>
        <w:spacing w:after="0" w:line="197" w:lineRule="exact"/>
        <w:rPr>
          <w:sz w:val="20"/>
          <w:szCs w:val="20"/>
          <w:color w:val="auto"/>
        </w:rPr>
      </w:pPr>
    </w:p>
    <w:p>
      <w:pPr>
        <w:ind w:right="200" w:firstLine="648"/>
        <w:spacing w:after="0" w:line="314" w:lineRule="auto"/>
        <w:rPr>
          <w:sz w:val="20"/>
          <w:szCs w:val="20"/>
          <w:color w:val="auto"/>
        </w:rPr>
      </w:pPr>
      <w:r>
        <w:rPr>
          <w:rFonts w:ascii="Arial" w:cs="Arial" w:eastAsia="Arial" w:hAnsi="Arial"/>
          <w:sz w:val="15"/>
          <w:szCs w:val="15"/>
          <w:color w:val="auto"/>
        </w:rPr>
        <w:t>An upfront payment of $2.0 million which was received in December 2012 (net of $0.3 million of income tax withholdings), is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2017 and 2016, and, at March 31, 2017 and December 31, 2016, have deferred revenue of approximately $1.3 million and $1.4 million, respectively, associated with this $2.0 million payment (approximately $0.2 million of which has been classified in current liabilities at March 31, 2017 and December 31, 2016).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LFB Biotechnologies</w:t>
      </w:r>
    </w:p>
    <w:p>
      <w:pPr>
        <w:spacing w:after="0" w:line="225" w:lineRule="exact"/>
        <w:rPr>
          <w:sz w:val="20"/>
          <w:szCs w:val="20"/>
          <w:color w:val="auto"/>
        </w:rPr>
      </w:pPr>
    </w:p>
    <w:p>
      <w:pPr>
        <w:ind w:right="120" w:firstLine="648"/>
        <w:spacing w:after="0" w:line="294" w:lineRule="auto"/>
        <w:rPr>
          <w:sz w:val="20"/>
          <w:szCs w:val="20"/>
          <w:color w:val="auto"/>
        </w:rPr>
      </w:pPr>
      <w:r>
        <w:rPr>
          <w:rFonts w:ascii="Arial" w:cs="Arial" w:eastAsia="Arial" w:hAnsi="Arial"/>
          <w:sz w:val="16"/>
          <w:szCs w:val="16"/>
          <w:color w:val="auto"/>
        </w:rPr>
        <w:t>On January 30, 2012, we entered into an exclusive license agreement with LFB Biotechnologies, GTC Biotherapeutics and LFB/GTC LLC, all wholly-owned subsidiaries of LFB Group, relating to the development of ublituximab (the “LFB License Agreement”). In connection with the LFB License Agreement, LFB Group was issued 5,000,000 shares of common stock, and a warrant to purchase 2,500,000 shares of common stock at a purchase price of $0.001 per share. In addition, on November 9, 2012, we nominated Dr. Yann Echelard to our Board of Directors as LFB Group’s nominee. LFB Group maintains the right to nominate a board member until such time as LFB Group owns less than 10% of the outstanding common stock.</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Under the terms of the LFB License Agreement, we utilize LFB Group for certain development and manufacturing services. We incurred expenses of approximately $27,000 and no such expenses during the three months ended March 31, 2017 and 2016, respectively, which have been included in other research and development expenses in the accompanying condensed consolidated statements of operations. As of March 31, 2017 and December 31, 2016, we had approximately $17,000 and $0.4 million, respectively, recorded in accounts payable related to the LFB License Agreement. In conjunction with the development and manufacturing services discussed above, certain agreements between us and LFB Group require payments in advance of services performed or goods delivered. Accordingly, as of March 31, 2017 and December 31, 2016, we recorded approximately $1.6 million and $1.3 million, respectively, in prepaid research and development for such advance payments.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Parties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March 2014, we entered into a shared services agreement (the “Opus Shared Services Agreement”) with Opus Point Partners Management, LLC (“Opus”) in which the parties agreed to share the costs of a rented facility and certain other services. Our Executive Chairman and Interim Chief Executive Officer is a Managing Member of Opus. During the three months ended March 31, 2017 and 2016, we incurred expenses of approximately $0 and $0.1 million, respectively, principally for rent, related to this agreement. The Opus Shared Services Agreement is no longer in effect as we began occupying new space in April 2016.</w:t>
      </w:r>
    </w:p>
    <w:p>
      <w:pPr>
        <w:spacing w:after="0" w:line="19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October 2014, we entered into an agreement (the “Office Agreement”) with Fortress Biotech, Inc. (“Fortress”), to occupy approximately 45% of the 24,000 square feet of New York City office space leased by Fortress,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months ended March 31, 2017, we recorded rent expense of approximately $0.4 million and at March 31, 2017, have deferred rent of approximately $1.3 million. Mr. Weiss, our Executive Chairman and Interim CEO, is also Executive Vice Chairman of Fortress.</w:t>
      </w:r>
    </w:p>
    <w:p>
      <w:pPr>
        <w:spacing w:after="0" w:line="174" w:lineRule="exact"/>
        <w:rPr>
          <w:sz w:val="20"/>
          <w:szCs w:val="20"/>
          <w:color w:val="auto"/>
        </w:rPr>
      </w:pPr>
    </w:p>
    <w:p>
      <w:pPr>
        <w:ind w:right="260" w:firstLine="648"/>
        <w:spacing w:after="0" w:line="294" w:lineRule="auto"/>
        <w:rPr>
          <w:sz w:val="20"/>
          <w:szCs w:val="20"/>
          <w:color w:val="auto"/>
        </w:rPr>
      </w:pPr>
      <w:r>
        <w:rPr>
          <w:rFonts w:ascii="Arial" w:cs="Arial" w:eastAsia="Arial" w:hAnsi="Arial"/>
          <w:sz w:val="16"/>
          <w:szCs w:val="16"/>
          <w:color w:val="auto"/>
        </w:rPr>
        <w:t>Under the Office Agreement, we agreed to pay Fortress our portion of the build out costs, which have been allocated to us at the 45% rate mentioned above. The allocated build-out costs have been recorded in Leasehold Interest and will be amortized over the 15-year term of the Office Agreement. After an initial commitment period of the 45% rate for a period of three (3) years, we and Fortress will determine actual office space utilization annually and if our utilization differs from the amount we have been billed, we will either receive credits or be assessed incremental utilization charges. As of March 31, 2017, we had approximately $0.1 million recorded in accounts payable related mostly to the build-out costs.</w:t>
      </w:r>
    </w:p>
    <w:p>
      <w:pPr>
        <w:spacing w:after="0" w:line="170"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July 2015, we entered into a Shared Services Agreement (the “Shared Services Agreement”) with Fortress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$0.3 million and $0.1 million for shared services for the three months ended March 31, 2017 and 2016, respectively, primarily related to shared personnel.</w:t>
      </w:r>
    </w:p>
    <w:p>
      <w:pPr>
        <w:spacing w:after="0" w:line="167"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In May 2016, as part of a broader agreement with Jubilant, an India-based biotechnology company, we entered into the JBET Agreement with Checkpoint, a subsidiary of Fortress, for the development and commercialization of Jubilant’s novel BET inhibitor program in the field of hematological malignancies. We paid Checkpoint an up-front licensing fee of $1.0 million and incurred expenses of $0.2 million for the first milestone achievement as part of the JBET Agreement recorded in other research and development. As of March 31, 2017 and December 31, 2016, we had approximately $0.7 million and $0.8 million, respectively, recorded in accounts payable, related to the JBET Agreement. Mr. Weiss is also the Executive Chairman of Checkpoint.</w:t>
      </w:r>
    </w:p>
    <w:p>
      <w:pPr>
        <w:spacing w:after="0" w:line="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LITIGATION</w:t>
      </w:r>
    </w:p>
    <w:p>
      <w:pPr>
        <w:spacing w:after="0" w:line="23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 xml:space="preserve">On January 6, 2017, a purported securities class action complaint was filed in New York federal court against the Company and certain of its directors, officers or consultants on behalf of all shareholders who purchased or otherwise acquired TG Therapeutics common stock between September 15, 2014 and October 12, 2016 (the “Class Period”). The case was captioned </w:t>
      </w:r>
      <w:r>
        <w:rPr>
          <w:rFonts w:ascii="Arial" w:cs="Arial" w:eastAsia="Arial" w:hAnsi="Arial"/>
          <w:sz w:val="16"/>
          <w:szCs w:val="16"/>
          <w:i w:val="1"/>
          <w:iCs w:val="1"/>
          <w:color w:val="auto"/>
        </w:rPr>
        <w:t>John Lyon v. TG Therapeutics, Michael S. Weiss, Sean A. Power and Robert Niecestro</w:t>
      </w:r>
      <w:r>
        <w:rPr>
          <w:rFonts w:ascii="Arial" w:cs="Arial" w:eastAsia="Arial" w:hAnsi="Arial"/>
          <w:sz w:val="16"/>
          <w:szCs w:val="16"/>
          <w:color w:val="auto"/>
        </w:rPr>
        <w:t xml:space="preserve">, Case No. 1:17-cv-00112-VM (S.D.N.Y.). The complaint alleged that, throughout the Class Period various statements made by the Company regarding its GENUINE Phase 3 trial were materially false or misleading when made in violation of the Securities Exchange Act of 1934 and Rule 10b-5 promulgated thereunder. On January 24, 2017, a second purported class action complaint was filed in New York federal court against the Company and certain of its directors, officers or consultants on behalf of all shareholders who purchased or otherwise acquired TG Therapeutics common stock between September 15, 2014 and October 12, 2016. The case was captioned </w:t>
      </w:r>
      <w:r>
        <w:rPr>
          <w:rFonts w:ascii="Arial" w:cs="Arial" w:eastAsia="Arial" w:hAnsi="Arial"/>
          <w:sz w:val="16"/>
          <w:szCs w:val="16"/>
          <w:i w:val="1"/>
          <w:iCs w:val="1"/>
          <w:color w:val="auto"/>
        </w:rPr>
        <w:t>Kenneth C. Wyzgoski v. TG Therapeutics, Michael S. Weiss, Sean A. Power and Robert Niecestro</w:t>
      </w:r>
      <w:r>
        <w:rPr>
          <w:rFonts w:ascii="Arial" w:cs="Arial" w:eastAsia="Arial" w:hAnsi="Arial"/>
          <w:sz w:val="16"/>
          <w:szCs w:val="16"/>
          <w:color w:val="auto"/>
        </w:rPr>
        <w:t xml:space="preserve">, Case No. 1:17-cv-00508-VM (S.D.N.Y.). The claims and allegations in the Wyzgoski complaint were substantially identical to those in the Lyon case. By order dated March 23, 2017, the court consolidated the Lyon and Wyzgoski cases into one action, captioned </w:t>
      </w:r>
      <w:r>
        <w:rPr>
          <w:rFonts w:ascii="Arial" w:cs="Arial" w:eastAsia="Arial" w:hAnsi="Arial"/>
          <w:sz w:val="16"/>
          <w:szCs w:val="16"/>
          <w:i w:val="1"/>
          <w:iCs w:val="1"/>
          <w:color w:val="auto"/>
        </w:rPr>
        <w:t>In re TG Therapeutics Securities Litigation</w:t>
      </w:r>
      <w:r>
        <w:rPr>
          <w:rFonts w:ascii="Arial" w:cs="Arial" w:eastAsia="Arial" w:hAnsi="Arial"/>
          <w:sz w:val="16"/>
          <w:szCs w:val="16"/>
          <w:color w:val="auto"/>
        </w:rPr>
        <w:t>, Case No. 1:17-cv-00112-VM (S.D.N.Y.), appointed lead plaintiffs in the case, and approved lead plaintiffs’ selection of lead counsel. On April 5, 2017 the Court so ordered a stipulation pursuant to which lead plaintiffs voluntarily dismissed the consolidated action in its entirety without prejudice. The Company denies the allegations and claims made in the above-referenced actions and no consideration was given by the Company in connection with lead plaintiffs’ voluntary dismissal of the consolidated action.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ind w:right="20" w:firstLine="648"/>
        <w:spacing w:after="0" w:line="323" w:lineRule="auto"/>
        <w:rPr>
          <w:sz w:val="20"/>
          <w:szCs w:val="20"/>
          <w:color w:val="auto"/>
        </w:rPr>
      </w:pPr>
      <w:r>
        <w:rPr>
          <w:rFonts w:ascii="Arial" w:cs="Arial" w:eastAsia="Arial" w:hAnsi="Arial"/>
          <w:sz w:val="15"/>
          <w:szCs w:val="15"/>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52" w:lineRule="exact"/>
        <w:rPr>
          <w:sz w:val="20"/>
          <w:szCs w:val="20"/>
          <w:color w:val="auto"/>
        </w:rPr>
      </w:pPr>
    </w:p>
    <w:p>
      <w:pPr>
        <w:ind w:right="260" w:firstLine="648"/>
        <w:spacing w:after="0" w:line="306" w:lineRule="auto"/>
        <w:rPr>
          <w:sz w:val="20"/>
          <w:szCs w:val="20"/>
          <w:color w:val="auto"/>
        </w:rPr>
      </w:pPr>
      <w:r>
        <w:rPr>
          <w:rFonts w:ascii="Arial" w:cs="Arial" w:eastAsia="Arial" w:hAnsi="Arial"/>
          <w:sz w:val="16"/>
          <w:szCs w:val="16"/>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a biopharmaceutical company focused on the acquisition, development and commercialization of novel treatments for B-cell malignancies and autoimmune diseases. Currently, we are developing two therapies targeting hematologic malignancies. TG-1101 (ublituximab) is a novel, glycoengineered monoclonal antibody that targets a specific and unique epitope on the CD20 antigen found on mature B-lymphocytes. We are also developing TGR-1202, an orally available PI3K delta inhibitor. The delta isoform of PI3K is strongly expressed in cells of hematopoietic origin and is believed to be important in the proliferation and survival of B-lymphocytes. Both TG-1101 and TGR-1202 are in clinical development for patients with hematologic malignancies, with TG-1101 also in clinical development for autoimmune disorders. The Company also has pre-clinical programs to develop IRAK4 (interleukin-1 receptor-associated kinase 4) inhibitors, BET inhibitors, and anti-PD-L1 and anti-GITR antibodies.</w:t>
      </w:r>
    </w:p>
    <w:p>
      <w:pPr>
        <w:spacing w:after="0" w:line="17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TG-1101 (ublituximab) is a chimeric, glycoengineered monoclonal antibody that targets a unique epitope on the CD20 antigen found on the surface of B-lymphocytes developed to aid in the depletion of circulating B-cells. We hold exclusive worldwide rights to develop and commercialize TG-1101 for all indications, except for the territories of France and Belgium which have been retained by LFB Biotechnologies, and South Korea and Southeast Asia which were licensed by us to Ildong in November 2012.</w:t>
      </w:r>
    </w:p>
    <w:p>
      <w:pPr>
        <w:spacing w:after="0" w:line="19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Generally, anti-CD20 antibodies are believed to exert their B-cell depleting effects through three primary mechanisms: antibody dependent cell-mediated cytotoxicity (“ADCC”), complement dependent cytotoxicity (“CDC”), and direct or programmed cell death (“DCD” or “PCD”). TG-1101 has been specifically glycoengineered to enhance ADCC activity, which should enhance its ability to deplete B-cells and may improve its anti-cancer effects when compared to Rituxan®, the leading anti-CD20 monoclonal antibody, which had worldwide sales in 2016 of more than $7 billion.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Two single-agent, dose-escalation, Phase I studies were undertaken with TG-1101 to establish an optimal dose in patients with Non-Hodgkin’s Lymphoma (“NHL”) and Chronic Lymphocytic Leukemia (“CLL”). A two part first-in-human Phase I clinical trial was first completed in France in which TG-1101 was evaluated in relapsed or refractory CLL. Subsequently, a single-agent Phase I study was undertaken in the US enrolling patients with both NHL and CLL. In both studies, single agent therapy with TG-1101 was deemed well tolerated by treating investigators and displayed promising clinical activity in relapsed and refractory patients.</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ind w:right="40" w:firstLine="648"/>
        <w:spacing w:after="0" w:line="259" w:lineRule="auto"/>
        <w:rPr>
          <w:sz w:val="20"/>
          <w:szCs w:val="20"/>
          <w:color w:val="auto"/>
        </w:rPr>
      </w:pPr>
      <w:r>
        <w:rPr>
          <w:rFonts w:ascii="Arial" w:cs="Arial" w:eastAsia="Arial" w:hAnsi="Arial"/>
          <w:sz w:val="18"/>
          <w:szCs w:val="18"/>
          <w:color w:val="auto"/>
        </w:rPr>
        <w:t>In oncology settings, anti-CD20 therapy is generally used in combination with other anti-cancer agents where it demonstrates maximum activity as opposed to single agent usage. As a result, subsequent clinical development for TG-1101 has focused on combination therapy. Currently, our priority combination trials for TG-1101 are:</w:t>
      </w:r>
    </w:p>
    <w:p>
      <w:pPr>
        <w:spacing w:after="0" w:line="194" w:lineRule="exact"/>
        <w:rPr>
          <w:sz w:val="20"/>
          <w:szCs w:val="20"/>
          <w:color w:val="auto"/>
        </w:rPr>
      </w:pPr>
    </w:p>
    <w:p>
      <w:pPr>
        <w:ind w:left="660" w:right="20" w:hanging="21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GENUINE Trial – a randomized controlled Phase 3 trial evaluating TG-1101 in combination with ibrutinib, for previously treated CLL patients with high risk cytogenetics;</w:t>
      </w:r>
    </w:p>
    <w:p>
      <w:pPr>
        <w:ind w:left="660" w:hanging="21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UNITY-CLL Trial – a randomized controlled Phase 3 trial evaluating TG-1101 in combination with TGR-1202, the Company’s development stage PI3K delta inhibitor, for patients with front line and previously treated CLL;</w:t>
      </w:r>
    </w:p>
    <w:p>
      <w:pPr>
        <w:ind w:left="660" w:hanging="21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UNITY-DLBCL Trial – registration-directed UNITY-DLBCL Phase 2b clinical study evaluating TG-1101, in combination with TGR-1202, as well as TGR-1202 alone, in patients with previously treated Diffuse Large B-Cell Lymphoma (DLBCL); and</w:t>
      </w:r>
    </w:p>
    <w:p>
      <w:pPr>
        <w:ind w:left="660" w:hanging="21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TG-1101 + TGR-1202 + Pembrolizumab for patients with CLL.</w:t>
      </w:r>
    </w:p>
    <w:p>
      <w:pPr>
        <w:spacing w:after="0" w:line="219" w:lineRule="exact"/>
        <w:rPr>
          <w:sz w:val="20"/>
          <w:szCs w:val="20"/>
          <w:color w:val="auto"/>
        </w:rPr>
      </w:pPr>
    </w:p>
    <w:p>
      <w:pPr>
        <w:ind w:right="60" w:firstLine="648"/>
        <w:spacing w:after="0" w:line="332" w:lineRule="auto"/>
        <w:rPr>
          <w:sz w:val="20"/>
          <w:szCs w:val="20"/>
          <w:color w:val="auto"/>
        </w:rPr>
      </w:pPr>
      <w:r>
        <w:rPr>
          <w:rFonts w:ascii="Arial" w:cs="Arial" w:eastAsia="Arial" w:hAnsi="Arial"/>
          <w:sz w:val="16"/>
          <w:szCs w:val="16"/>
          <w:color w:val="auto"/>
        </w:rPr>
        <w:t>In addition, TG-1101 is being evaluated in a Phase 2 study for the treatment of Multiple Sclerosis (MS) and in an investigator initiated Phase 1 study for the treatment of acute neuromyelitis optica (NMO) relapses, with additional autoimmune related indications planned to be studied.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Manufacturing of TG-1101 is currently performed by our partner, LFB Biotechnologies, and a secondary contract manufacturer based in the US.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details on our priority ongoing trials for TG-1101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 Ibrutinib Phase 3 Study Program – The GENUINE Trial</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GENUINE trial is a randomized controlled clinical trial in patients with previously treated CLL with specific high-risk cytogenetic abnormalities, with patients randomized to receive either TG-1101 plus ibrutinib or ibrutinib alone. In October 2016, we announced revisions to the design of the GENUINE study to accelerate its completion. Initially the study was being conducted pursuant to a Special Protocol Assessment (SPA) with the U.S. Food and Drug Administration (FDA), and was designed to enroll approximately 330 patients, with a two-part analysis of both overall response rate (ORR) and progression-free survival (PFS). The trial was amended in October 2016 to enroll approximately 120 patients, with the PFS analysis component removed. Following the revisions, the sole primary endpoint of the study is ORR, and the SPA is no longer in effect. We have communicated with the FDA regarding our intention to file a Biologics Licensing Application (BLA) for accelerated approval and the FDA has agreed that a pre-BLA meeting can be requested based on ORR data from the GENUINE study.</w:t>
      </w:r>
    </w:p>
    <w:p>
      <w:pPr>
        <w:spacing w:after="0" w:line="17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March 6, 2017, we announced positive topline results from our Phase 3 GENUINE clinical trial of TG-1101 plus ibrutinib in patients with previously treated high-risk CLL. For the study, high-risk was defined as having any one or more of the following cytogenetic abnormalities: 17p deletion, 11q deletion or p53 mutation. The multicenter, randomized trial (NCT02301156), which assessed the efficacy and safety of TG-1101 plus ibrutinib, met its primary endpoint, demonstrating a statistically significant improvement in Overall Response Rate (ORR) compared to ibrutinib alone in both the Intent to Treat (ITT) population (p=0.001) and Treated population (p &lt; 0.001). The ITT population includes all 126 randomized patients (64 in the TG-1101 + ibrutinib arm and 62 in the ibrutinib alone arm) while the Treated population includes all ITT patients that received at least one dose of either study drug (59 in the TG-1101 + ibrutinib arm and 58 in the ibrutinib alone arm).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3900" w:type="dxa"/>
            <w:vAlign w:val="bottom"/>
          </w:tcPr>
          <w:p>
            <w:pPr>
              <w:ind w:left="2060"/>
              <w:spacing w:after="0"/>
              <w:rPr>
                <w:sz w:val="20"/>
                <w:szCs w:val="20"/>
                <w:color w:val="auto"/>
              </w:rPr>
            </w:pPr>
            <w:r>
              <w:rPr>
                <w:rFonts w:ascii="Arial" w:cs="Arial" w:eastAsia="Arial" w:hAnsi="Arial"/>
                <w:sz w:val="18"/>
                <w:szCs w:val="18"/>
                <w:b w:val="1"/>
                <w:bCs w:val="1"/>
                <w:color w:val="auto"/>
                <w:w w:val="88"/>
              </w:rPr>
              <w:t>Overall Response Rates</w:t>
            </w:r>
          </w:p>
        </w:tc>
        <w:tc>
          <w:tcPr>
            <w:tcW w:w="18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590"/>
        </w:trPr>
        <w:tc>
          <w:tcPr>
            <w:tcW w:w="2760" w:type="dxa"/>
            <w:vAlign w:val="bottom"/>
          </w:tcPr>
          <w:p>
            <w:pPr>
              <w:spacing w:after="0"/>
              <w:rPr>
                <w:sz w:val="24"/>
                <w:szCs w:val="24"/>
                <w:color w:val="auto"/>
              </w:rPr>
            </w:pPr>
          </w:p>
        </w:tc>
        <w:tc>
          <w:tcPr>
            <w:tcW w:w="39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TG-1101 plus Ibrutinib</w:t>
            </w:r>
          </w:p>
        </w:tc>
        <w:tc>
          <w:tcPr>
            <w:tcW w:w="1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Ibrutinib</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P-value</w:t>
            </w:r>
          </w:p>
        </w:tc>
      </w:tr>
      <w:tr>
        <w:trPr>
          <w:trHeight w:val="208"/>
        </w:trPr>
        <w:tc>
          <w:tcPr>
            <w:tcW w:w="2760" w:type="dxa"/>
            <w:vAlign w:val="bottom"/>
          </w:tcPr>
          <w:p>
            <w:pPr>
              <w:spacing w:after="0"/>
              <w:rPr>
                <w:sz w:val="20"/>
                <w:szCs w:val="20"/>
                <w:color w:val="auto"/>
              </w:rPr>
            </w:pPr>
            <w:r>
              <w:rPr>
                <w:rFonts w:ascii="Arial" w:cs="Arial" w:eastAsia="Arial" w:hAnsi="Arial"/>
                <w:sz w:val="18"/>
                <w:szCs w:val="18"/>
                <w:color w:val="auto"/>
              </w:rPr>
              <w:t>Treated Population (n)</w:t>
            </w:r>
          </w:p>
        </w:tc>
        <w:tc>
          <w:tcPr>
            <w:tcW w:w="3900" w:type="dxa"/>
            <w:vAlign w:val="bottom"/>
          </w:tcPr>
          <w:p>
            <w:pPr>
              <w:jc w:val="center"/>
              <w:ind w:right="932"/>
              <w:spacing w:after="0"/>
              <w:rPr>
                <w:sz w:val="20"/>
                <w:szCs w:val="20"/>
                <w:color w:val="auto"/>
              </w:rPr>
            </w:pPr>
            <w:r>
              <w:rPr>
                <w:rFonts w:ascii="Arial" w:cs="Arial" w:eastAsia="Arial" w:hAnsi="Arial"/>
                <w:sz w:val="18"/>
                <w:szCs w:val="18"/>
                <w:color w:val="auto"/>
                <w:w w:val="88"/>
              </w:rPr>
              <w:t>n=59</w:t>
            </w:r>
          </w:p>
        </w:tc>
        <w:tc>
          <w:tcPr>
            <w:tcW w:w="1880" w:type="dxa"/>
            <w:vAlign w:val="bottom"/>
          </w:tcPr>
          <w:p>
            <w:pPr>
              <w:jc w:val="center"/>
              <w:ind w:right="952"/>
              <w:spacing w:after="0"/>
              <w:rPr>
                <w:sz w:val="20"/>
                <w:szCs w:val="20"/>
                <w:color w:val="auto"/>
              </w:rPr>
            </w:pPr>
            <w:r>
              <w:rPr>
                <w:rFonts w:ascii="Arial" w:cs="Arial" w:eastAsia="Arial" w:hAnsi="Arial"/>
                <w:sz w:val="18"/>
                <w:szCs w:val="18"/>
                <w:color w:val="auto"/>
                <w:w w:val="88"/>
              </w:rPr>
              <w:t>n=58</w:t>
            </w:r>
          </w:p>
        </w:tc>
        <w:tc>
          <w:tcPr>
            <w:tcW w:w="2880" w:type="dxa"/>
            <w:vAlign w:val="bottom"/>
          </w:tcPr>
          <w:p>
            <w:pPr>
              <w:spacing w:after="0"/>
              <w:rPr>
                <w:sz w:val="18"/>
                <w:szCs w:val="18"/>
                <w:color w:val="auto"/>
              </w:rPr>
            </w:pP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Overall Response Rate</w:t>
            </w:r>
          </w:p>
        </w:tc>
        <w:tc>
          <w:tcPr>
            <w:tcW w:w="3900" w:type="dxa"/>
            <w:vAlign w:val="bottom"/>
          </w:tcPr>
          <w:p>
            <w:pPr>
              <w:jc w:val="right"/>
              <w:ind w:right="2212"/>
              <w:spacing w:after="0"/>
              <w:rPr>
                <w:sz w:val="20"/>
                <w:szCs w:val="20"/>
                <w:color w:val="auto"/>
              </w:rPr>
            </w:pPr>
            <w:r>
              <w:rPr>
                <w:rFonts w:ascii="Arial" w:cs="Arial" w:eastAsia="Arial" w:hAnsi="Arial"/>
                <w:sz w:val="18"/>
                <w:szCs w:val="18"/>
                <w:color w:val="auto"/>
              </w:rPr>
              <w:t>80%</w:t>
            </w:r>
          </w:p>
        </w:tc>
        <w:tc>
          <w:tcPr>
            <w:tcW w:w="1880" w:type="dxa"/>
            <w:vAlign w:val="bottom"/>
          </w:tcPr>
          <w:p>
            <w:pPr>
              <w:jc w:val="right"/>
              <w:ind w:right="1212"/>
              <w:spacing w:after="0"/>
              <w:rPr>
                <w:sz w:val="20"/>
                <w:szCs w:val="20"/>
                <w:color w:val="auto"/>
              </w:rPr>
            </w:pPr>
            <w:r>
              <w:rPr>
                <w:rFonts w:ascii="Arial" w:cs="Arial" w:eastAsia="Arial" w:hAnsi="Arial"/>
                <w:sz w:val="18"/>
                <w:szCs w:val="18"/>
                <w:color w:val="auto"/>
              </w:rPr>
              <w:t>47%</w:t>
            </w:r>
          </w:p>
        </w:tc>
        <w:tc>
          <w:tcPr>
            <w:tcW w:w="2880" w:type="dxa"/>
            <w:vAlign w:val="bottom"/>
          </w:tcPr>
          <w:p>
            <w:pPr>
              <w:jc w:val="center"/>
              <w:spacing w:after="0"/>
              <w:rPr>
                <w:sz w:val="20"/>
                <w:szCs w:val="20"/>
                <w:color w:val="auto"/>
              </w:rPr>
            </w:pPr>
            <w:r>
              <w:rPr>
                <w:rFonts w:ascii="Arial" w:cs="Arial" w:eastAsia="Arial" w:hAnsi="Arial"/>
                <w:sz w:val="18"/>
                <w:szCs w:val="18"/>
                <w:color w:val="auto"/>
                <w:w w:val="87"/>
              </w:rPr>
              <w:t>P &lt; 0.001</w:t>
            </w:r>
          </w:p>
        </w:tc>
      </w:tr>
    </w:tbl>
    <w:p>
      <w:pPr>
        <w:spacing w:after="0" w:line="200" w:lineRule="exact"/>
        <w:rPr>
          <w:sz w:val="20"/>
          <w:szCs w:val="20"/>
          <w:color w:val="auto"/>
        </w:rPr>
      </w:pPr>
    </w:p>
    <w:p>
      <w:pPr>
        <w:spacing w:after="0" w:line="22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All responses were assessed by independent blinded central review using the iwCLL 2008 guidelines. Per iwCLL guidelines, responders require confirmation of response for a minimum duration of 2 months. As of the date of the analysis, each arm had responders that were awaiting confirmation visits which are scheduled to occur over the next two months. During the study it was infrequent (less than 3% in the combination arm) for initial responses to fail to be confirmed. Median follow-up for the study was approximately 12 months.</w:t>
      </w:r>
    </w:p>
    <w:p>
      <w:pPr>
        <w:spacing w:after="0" w:line="197"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In addition to ORR, observed advantages were seen for the combination in a number of secondary and other efficacy measures, including radiographic Complete Response (CR) rate, Progression Free Survival and Time to Response. Sufficient data on MRD negative status and bone marrow confirmation of radiographic CRs were not available at the time of analysis. From a safety standpoint, the combination was well tolerated with a safety profile consistent with the Phase 2 study of ublituximab plus ibrutinib recently published in the British Journal of Haematology.</w:t>
      </w:r>
    </w:p>
    <w:p>
      <w:pPr>
        <w:spacing w:after="0" w:line="16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 full analysis of the Phase 3 GENUINE data along with detailed efficacy and safety results will be presented in an oral presentation at the upcoming 2017 Annual Meeting of the American Society of Clinical Oncology (“ASCO”) and we plan to request a meeting with the FDA as soon as possible thereafter to discuss the filing of the data for accelerated approval.</w:t>
      </w: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TG-1101 in Combination with TGR-1202 Phase 3 Study Program – The UNITY-CLL Trial</w:t>
      </w:r>
    </w:p>
    <w:p>
      <w:pPr>
        <w:spacing w:after="0" w:line="225" w:lineRule="exact"/>
        <w:rPr>
          <w:sz w:val="20"/>
          <w:szCs w:val="20"/>
          <w:color w:val="auto"/>
        </w:rPr>
      </w:pPr>
    </w:p>
    <w:p>
      <w:pPr>
        <w:jc w:val="both"/>
        <w:ind w:right="320" w:firstLine="648"/>
        <w:spacing w:after="0" w:line="335" w:lineRule="auto"/>
        <w:rPr>
          <w:sz w:val="20"/>
          <w:szCs w:val="20"/>
          <w:color w:val="auto"/>
        </w:rPr>
      </w:pPr>
      <w:r>
        <w:rPr>
          <w:rFonts w:ascii="Arial" w:cs="Arial" w:eastAsia="Arial" w:hAnsi="Arial"/>
          <w:sz w:val="15"/>
          <w:szCs w:val="15"/>
          <w:color w:val="auto"/>
        </w:rPr>
        <w:t>In September 2015, we reached an agreement with the FDA regarding an SPA on the design, endpoints and statistical analysis approach of a Phase 3 clinical trial for the proprietary combination of TG-1101 plus TGR-1202, for the treatment of CLL. The SPA provides agreement that the Phase 3 trial design adequately addresses objectives that, if met, would support the regulatory submission for drug approval of both TG-1101 and TGR-1202 in combination.</w:t>
      </w:r>
    </w:p>
    <w:p>
      <w:pPr>
        <w:spacing w:after="0" w:line="142"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Phase 3 trial, called the UNITY-CLL trial, is a randomized controlled clinical trial that includes two key objectives: first, to demonstrate contribution of each agent in the TG-1101 + TGR-1202 regimen (the combination sometimes referred to as "1303"), and second, to demonstrate superiority in Progression Free Survival (PFS) over the standard of care to support the submission for full approval of the combination. The study will randomize patients into four treatment arms: TG-1101 + TGR-1202, TG-1101 alone, TGR-1202 alone, and an active control arm of obinutuzumab (GAZYVA®) + chlorambucil. An early interim analysis will assess contribution of each single agent in the TG-1101 + TGR-1202 combination regimen, which, if successful, will allow early termination of both single agent arms. A second interim analysis will be conducted following full enrollment into the study, which, if positive, we plan to utilize for accelerated approval. Assuming early termination of the TG-1101 and TGR-1202 single agent arms, the study will enroll approximately 450 patients to be utilized for the interim analysis and primary analysis data sets, not accounting for over enrollment anticipated in the single agent arms while the interim analysis data set is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TG-1101 in Combination with TGR-1202 Phase 2b Registration-Directed Program – The UNITY-DLBCL Trial</w:t>
      </w:r>
    </w:p>
    <w:p>
      <w:pPr>
        <w:spacing w:after="0" w:line="225"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In June 2016, we commenced a registration-directed UNITY-DLBCL Phase 2b clinical study evaluating TG-1101 in combination with TGR-1202, as well as TGR-1202 alone, in patients with previously treated DLBCL.</w:t>
      </w:r>
    </w:p>
    <w:p>
      <w:pPr>
        <w:spacing w:after="0" w:line="186"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study, entitled "A Phase 2b Randomized Study to Assess the Efficacy and Safety of the Combination of Ublituximab + TGR-1202 and TGR-1202 alone in Patients with Previously Treated Diffuse Large B-Cell Lymphoma," is being led by Owen A. O'Connor, MD, PhD, Professor of Medicine and Experimental Therapeutics, and Director of the Center for Lymphoid Malignancies at Columbia University Medical Center. The primary objective of the study is to assess the efficacy of TGR-1202 alone and in combination with TG-1101 in patients with previously treated DLBCL as measured by Overall Response Rate (ORR). The study will also provide important information as to the contribution of each agent, TGR-1202 and TG-1101, to the combination regimen of both agents. In addition to monitoring for safety and efficacy this study will analyze the impact of cell of origin (GCB vs. non-GCB), mutational status and select biomarkers of efficacy.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TG-1101 in Relapsing Forms of Multiple Sclerosis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May 2016, we commenced our first study of TG-1101 in patients with relapsing remitting multiple sclerosis (RRMS), a chronic demyelinating disease of the central nervous system (CNS).</w:t>
      </w:r>
    </w:p>
    <w:p>
      <w:pPr>
        <w:spacing w:after="0" w:line="18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study, entitled "A Placebo-Controlled Multi-Center Phase 2 Dose Finding Study of Ublituximab, a Third-Generation Anti-CD20 Monoclonal Antibody, in Patients with Relapsing Forms of Multiple Sclerosis," is being led by Edward Fox, MD, PhD, Director of the Multiple Sclerosis Clinic of Central Texas and Clinical Assistant Professor at the University of Texas Medical Branch in Round Rock, TX. The primary objective of the study is to determine the optimal dosing regimen for TG-1101 with a focus on accelerating infusion times. In addition to monitoring for safety and tolerability at each dosing cohort, B-cell depletion and established MS efficacy endpoints will also be evaluated.</w:t>
      </w:r>
    </w:p>
    <w:p>
      <w:pPr>
        <w:spacing w:after="0" w:line="19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January 2017, we announced the completion of enrollment into Part 1 of this study and B-cell depletion data from patients treated to date. Part 1 of the study explored TG-1101 at an initial dose of 600 mg administered as a 150 mg infusion on day 1 and 450 mg infusion on day 15, followed by either 450 mg or 600 mg at week 24. The day 15 and week 24 doses were subject to accelerated infusion times by cohort, down to a 1-hour infusion by cohort 3. The median B-cell depletion for all patients in Part 1 was 99% and TG-1101 was well-tolerated with no grade 3/4 adverse events reported, including in patients receiving the one-hour infusion at the target Phase 3 dose and infusion rate. For Part 2 of the trial, the Company has added expansion cohorts and will explore accelerated dosing of the initial 150mg dose.</w:t>
      </w:r>
    </w:p>
    <w:p>
      <w:pPr>
        <w:spacing w:after="0" w:line="195" w:lineRule="exact"/>
        <w:rPr>
          <w:sz w:val="20"/>
          <w:szCs w:val="20"/>
          <w:color w:val="auto"/>
        </w:rPr>
      </w:pPr>
    </w:p>
    <w:p>
      <w:pPr>
        <w:ind w:right="840" w:firstLine="648"/>
        <w:spacing w:after="0" w:line="219" w:lineRule="auto"/>
        <w:rPr>
          <w:sz w:val="20"/>
          <w:szCs w:val="20"/>
          <w:color w:val="auto"/>
        </w:rPr>
      </w:pPr>
      <w:r>
        <w:rPr>
          <w:rFonts w:ascii="Arial" w:cs="Arial" w:eastAsia="Arial" w:hAnsi="Arial"/>
          <w:sz w:val="18"/>
          <w:szCs w:val="18"/>
          <w:color w:val="auto"/>
        </w:rPr>
        <w:t>In April 2017, we presented additional data from the study at the American Academy of Neurology 69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Annual meeting, with additional data presentations expected at upcoming medical conferences.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Updates for the combination of TG-1101 and TGR-1202</w:t>
      </w:r>
    </w:p>
    <w:p>
      <w:pPr>
        <w:spacing w:after="0" w:line="225" w:lineRule="exact"/>
        <w:rPr>
          <w:sz w:val="20"/>
          <w:szCs w:val="20"/>
          <w:color w:val="auto"/>
        </w:rPr>
      </w:pPr>
    </w:p>
    <w:p>
      <w:pPr>
        <w:ind w:right="660" w:firstLine="648"/>
        <w:spacing w:after="0" w:line="268" w:lineRule="auto"/>
        <w:rPr>
          <w:sz w:val="20"/>
          <w:szCs w:val="20"/>
          <w:color w:val="auto"/>
        </w:rPr>
      </w:pPr>
      <w:r>
        <w:rPr>
          <w:rFonts w:ascii="Arial" w:cs="Arial" w:eastAsia="Arial" w:hAnsi="Arial"/>
          <w:sz w:val="18"/>
          <w:szCs w:val="18"/>
          <w:color w:val="auto"/>
        </w:rPr>
        <w:t>In January 2017, we announced that the FDA has granted orphan drug designation covering the combination of TG-1101 and TGR-1202 for the treatment of patients with CLL and DLBCL.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TGR-1202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phosphoinositide-3-kinases (“PI3Ks”) are a family of enzymes involved in various cellular functions, including cell proliferation and survival, cell differentiation, intracellular trafficking, and immunity. There are four isoforms of PI3K (alpha, beta, delta, and gamma), of which the delta isoform is strongly expressed in cells of hematopoietic origin, and often implicated in B-cell related lymphomas.</w:t>
      </w:r>
    </w:p>
    <w:p>
      <w:pPr>
        <w:spacing w:after="0" w:line="194" w:lineRule="exact"/>
        <w:rPr>
          <w:sz w:val="20"/>
          <w:szCs w:val="20"/>
          <w:color w:val="auto"/>
        </w:rPr>
      </w:pPr>
    </w:p>
    <w:p>
      <w:pPr>
        <w:ind w:right="140" w:firstLine="648"/>
        <w:spacing w:after="0" w:line="332" w:lineRule="auto"/>
        <w:rPr>
          <w:sz w:val="20"/>
          <w:szCs w:val="20"/>
          <w:color w:val="auto"/>
        </w:rPr>
      </w:pPr>
      <w:r>
        <w:rPr>
          <w:rFonts w:ascii="Arial" w:cs="Arial" w:eastAsia="Arial" w:hAnsi="Arial"/>
          <w:sz w:val="16"/>
          <w:szCs w:val="16"/>
          <w:color w:val="auto"/>
        </w:rPr>
        <w:t>TGR-1202 is an orally available PI3K delta inhibitor with nanomolar potency to the delta isoform and high selectivity over the alpha, beta, and gamma isoforms. TGR-1202 has demonstrated activity in several pre-clinical models and primary cells from patients with hematologic malignancies.</w:t>
      </w:r>
    </w:p>
    <w:p>
      <w:pPr>
        <w:spacing w:after="0" w:line="13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hold exclusive worldwide rights to develop and commercialize TGR-1202 for all indications worldwide, except for India which has been retained by Rhizen Pharmaceuticals S A.</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593"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Clinical Trials Overview and Recent Developments</w:t>
      </w:r>
    </w:p>
    <w:p>
      <w:pPr>
        <w:spacing w:after="0" w:line="225"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Initial clinical development of TGR-1202 focused on establishing preliminary safety and efficacy in a wide variety of hematologic malignancies. Upon identification of safe and active doses of TGR-1202, a combination clinical trial program was opened, exploring TGR-1202 in combination with a variety of agents. In addition to the previously described studies in combination with TG-1101, our current priority clinical trials that are ongoing or have been completed for TGR-1202 include:</w:t>
      </w:r>
    </w:p>
    <w:p>
      <w:pPr>
        <w:spacing w:after="0" w:line="197" w:lineRule="exact"/>
        <w:rPr>
          <w:sz w:val="20"/>
          <w:szCs w:val="20"/>
          <w:color w:val="auto"/>
        </w:rPr>
      </w:pPr>
    </w:p>
    <w:p>
      <w:pPr>
        <w:ind w:left="660" w:hanging="21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TGR-1202 in combination with the anti-CD20 antibody, obinutuzumab (GAZYVA® ) and chlorambucil in patients with CLL;</w:t>
      </w:r>
    </w:p>
    <w:p>
      <w:pPr>
        <w:spacing w:after="0" w:line="15"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TGR-1202 in combination with the anti-CD30 antibody drug conjugate, brentuximab vedotin (ADCETRIS® ), in patients with relapsed or refractory Hodgkin’s lymphoma;</w:t>
      </w:r>
    </w:p>
    <w:p>
      <w:pPr>
        <w:ind w:left="660" w:hanging="21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TGR-1202 in combination with the BTK inhibitor, ibrutinib, in patients with previously treated CLL and MCL, as well as in patients with DLBCL; and</w:t>
      </w:r>
    </w:p>
    <w:p>
      <w:pPr>
        <w:spacing w:after="0" w:line="32" w:lineRule="exact"/>
        <w:rPr>
          <w:rFonts w:ascii="Arial" w:cs="Arial" w:eastAsia="Arial" w:hAnsi="Arial"/>
          <w:sz w:val="16"/>
          <w:szCs w:val="16"/>
          <w:color w:val="auto"/>
        </w:rPr>
      </w:pPr>
    </w:p>
    <w:p>
      <w:pPr>
        <w:ind w:left="660" w:hanging="21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TGR-1202 in combination with the JAK inhibitor, ruxolitinib (JAKAFI® ), in patients with previously treated Myelofibrosis or Polycythemia Vera</w:t>
      </w:r>
    </w:p>
    <w:p>
      <w:pPr>
        <w:spacing w:after="0" w:line="32" w:lineRule="exact"/>
        <w:rPr>
          <w:rFonts w:ascii="Arial" w:cs="Arial" w:eastAsia="Arial" w:hAnsi="Arial"/>
          <w:sz w:val="16"/>
          <w:szCs w:val="16"/>
          <w:color w:val="auto"/>
        </w:rPr>
      </w:pPr>
    </w:p>
    <w:p>
      <w:pPr>
        <w:ind w:left="660" w:hanging="21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TGR-1202 monotherapy in patients with CLL who were previously intolerant to prior BTK or PI3K inhibitor therapy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 Agent TGR-1202 in Patients with Relapsed/Refractory Hematologic Malignancies</w:t>
      </w:r>
    </w:p>
    <w:p>
      <w:pPr>
        <w:spacing w:after="0" w:line="225"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January 2013, the Company initiated a Phase I, open label, multi-center, first-in-human clinical trial of TGR-1202 in patients with hematologic malignancies. The study entitled TGR-1202-101, "A Phase I Dose Escalation Study Evaluating the Safety and Efficacy of TGR-1202 in Patients with Relapsed or Refractory Hematologic Malignancies," is being run in collaboration with the Sarah Cannon Research Institute in Nashville, TN with Howard “Skip” Burris, MD, Executive Director, Drug Development as the acting Study Chair. Enrollment is open to patients with relapsed or refractory NHL, CLL, and other select hematologic malignancies. As of February 2016, this study has closed to enrollment.</w:t>
      </w:r>
    </w:p>
    <w:p>
      <w:pPr>
        <w:spacing w:after="0" w:line="170" w:lineRule="exact"/>
        <w:rPr>
          <w:sz w:val="20"/>
          <w:szCs w:val="20"/>
          <w:color w:val="auto"/>
        </w:rPr>
      </w:pPr>
    </w:p>
    <w:p>
      <w:pPr>
        <w:ind w:right="720" w:firstLine="648"/>
        <w:spacing w:after="0" w:line="268" w:lineRule="auto"/>
        <w:rPr>
          <w:sz w:val="20"/>
          <w:szCs w:val="20"/>
          <w:color w:val="auto"/>
        </w:rPr>
      </w:pPr>
      <w:r>
        <w:rPr>
          <w:rFonts w:ascii="Arial" w:cs="Arial" w:eastAsia="Arial" w:hAnsi="Arial"/>
          <w:sz w:val="18"/>
          <w:szCs w:val="18"/>
          <w:color w:val="auto"/>
        </w:rPr>
        <w:t>Data from this ongoing Phase I study was most recently presented at the 57th Annual American Society of Hematology (ASH) meeting held in December 2015, with updated data presented as part of an integrated analysis as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Long-term Follow-up Integrated Analysis in Patients with Relapsed/Refractory Hematologic Malignancies</w:t>
      </w:r>
    </w:p>
    <w:p>
      <w:pPr>
        <w:spacing w:after="0" w:line="22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In June 2016, at the 52nd Annual Meeting of the American Society of Clinical Oncology (ASCO) and at the 21st Congress of the European Hematology Association (EHA), the Company presented integrated data with long term follow-up from 165 patients exposed to TGR-1202 monotherapy or the combination of TGR-1202 plus TG-1101, which continued to demonstrate high response rates in CLL, NHL, and DLBCL coupled with a favorable safety profile.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Combination with obinutuzumab and chlorambucil in patients with CLL</w:t>
      </w:r>
    </w:p>
    <w:p>
      <w:pPr>
        <w:spacing w:after="0" w:line="225"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March 2014, the Company initiated a Phase I/Ib, open label, multi-center, clinical trial of TGR-1202 in combination with obinutuzumab and chlorambucil in patients with CLL, both treatment naïve and relapsed. The study entitled TGR-GA-106, "A Multi-center Phase I/Ib Study Evaluating the Efficacy and Safety of TGR-1202, a Novel PI3K Delta Inhibitor, in Combination with Obinutuzumab and Chlorambucil in Patients with Chronic Lymphocytic Leukemia (CLL)," is being led by Dr. Daruka Mahadevan of the West Clinic in Memphis, TN. As of February 2016, this study has completed enrollment.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from the study was presented at the 57th Annual American Society of Hematology (ASH) meeting held in December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Combination Trials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TGR-1202 is being evaluated in combination with the anti-CD30 antibody drug conjugate, brentuximab vedotin, in patients with relapsed or refractory Hodgkin’s lymphoma; in combination with the BTK inhibitor, ibrutinib, in patients with CLL and MCL; and in combination with the JAK inhibitor, ruxolitinib, in patients with Myelofibrosis or Polycythemia Vera. Additional investigator sponsored trials are also underway which are combining TGR-1202 with other approved agents for the treatment of B-cell malignancies.</w:t>
      </w:r>
    </w:p>
    <w:p>
      <w:pPr>
        <w:spacing w:after="0" w:line="197"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Preliminary data from studies evaluating TGR-1202 + brentuximab vedotin and TGR-1202 + ibrutinib were presented at the 58th Annual American Society of Hematology (ASH) meeting held in December 2016. Both combinations appeared well tolerated. In particular, the combination of TGR-1202 + ibrutinib resulted in an 88% (15 of 17) Overall Response Rate (ORR) (including Complete Response (CR), Partial Response (PR), and Partial Response with lymphocytosis (PR-L)) in patients with CLL, with 1 patient achieving a bone marrow confirmed CR and 5 patients with a &gt; 80% nodal reduction, nearing radiographic CR.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 is anticipated that results from these studies will be presented or updated at future medical conferences.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TGR-1202 in Solid Tumors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to the exploration of TGR-1202 in various hematologic malignancies, a study was opened in October 2015 to evaluate TGR-1202 as a single agent as well as in combination with various chemotherapies for the treatment of select solid tumors. The study, entitled TGR-1202-102, “A Phase I Study Evaluating the Safety and Efficacy of TGR-1202 Alone and in Combination with either nab-paclitaxel + Gemcitabine or with FOLFOX in Patients with Select Relapsed or Refractory Solid Tumors” is being run in collaboration with the Sarah Cannon Research Institute in Nashville, TN with Johanna Bendell, MD, Director of GI Oncology Research as the acting study chair.</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IRAK4</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We hold global rights to develop and commercialize the IRAK4 program, which was licensed from Ligand Pharmaceuticals. Our IRAK4 program is currently in pre-clinical development.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PD-L1 and GITR</w:t>
      </w:r>
    </w:p>
    <w:p>
      <w:pPr>
        <w:spacing w:after="0" w:line="225" w:lineRule="exact"/>
        <w:rPr>
          <w:sz w:val="20"/>
          <w:szCs w:val="20"/>
          <w:color w:val="auto"/>
        </w:rPr>
      </w:pPr>
    </w:p>
    <w:p>
      <w:pPr>
        <w:ind w:right="320" w:firstLine="648"/>
        <w:spacing w:after="0" w:line="306" w:lineRule="auto"/>
        <w:rPr>
          <w:sz w:val="20"/>
          <w:szCs w:val="20"/>
          <w:color w:val="auto"/>
        </w:rPr>
      </w:pPr>
      <w:r>
        <w:rPr>
          <w:rFonts w:ascii="Arial" w:cs="Arial" w:eastAsia="Arial" w:hAnsi="Arial"/>
          <w:sz w:val="16"/>
          <w:szCs w:val="16"/>
          <w:color w:val="auto"/>
        </w:rPr>
        <w:t>In March 2015, we entered into a global collaboration agreement for the development and commercialization of anti-PD-L1 and anti-GITR antibody research programs in the field of hematological malignancies. Our anti-PD-L1 and anti-GITR programs are currently in pre-clinical development, with pre-clinical data most recently presented at the American Association for Cancer Research Annual Meeting in March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May 2016, as part of a broader agreement with Jubilant Biosys (“Jubilant”), an India-based biotechnology company, we entered into a sub-license agreement (“JBET Agreement”) with Checkpoint Therapeutics, Inc. (“Checkpoint”), a subsidiary of Fortress, for the development and commercialization of Jubilant’s novel BET inhibitor program in the field of hematological malignancies. The BET inhibitor program is the subject of a family of patents covering compounds that inhibit BRD4, a member of the BET (Bromodomain and Extra Terminal) domain for cancer treatment. Our BET inhibitor program is currently in pre-clinical development.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We expense our research and development costs as they are incurred.</w:t>
      </w:r>
    </w:p>
    <w:p>
      <w:pPr>
        <w:spacing w:after="0" w:line="161" w:lineRule="exact"/>
        <w:rPr>
          <w:sz w:val="20"/>
          <w:szCs w:val="20"/>
          <w:color w:val="auto"/>
        </w:rPr>
      </w:pPr>
    </w:p>
    <w:p>
      <w:pPr>
        <w:ind w:right="320"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options and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2" w:name="page23"/>
    <w:bookmarkEnd w:id="22"/>
    <w:p>
      <w:pPr>
        <w:ind w:right="40"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indications, there is no guarantee that we will be able to record commercial sales of any of our drug candidates in the near future. In addition, we expect losses to continue as we continue to fund in-licensing and development of new drug candidates. As we continue our development efforts, we may enter into additional third-party collaborative agreements and may incur additional expenses, such as licensing fees and milestone payments. In addition, we may need to establish the commercial infrastructure required to manufacture, market and sell our drug candidates following approval, if any, by the FDA, which would result in us incurring additional expenses. As a result, our quarterly results may fluctuate and a quarter-by-quarter comparison of our operating results may not be a meaningful indication of our future performance.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and 2016</w:t>
      </w:r>
    </w:p>
    <w:p>
      <w:pPr>
        <w:spacing w:after="0" w:line="23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$38,095 for each of the three months ended March 31, 2017 and 2016. License revenue is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$2,306,099 for the three months ended March 31, 2017, as compared to $386,925 during the comparable period in 2016. The increase in noncash compensation expense was primarily related to restricted stock grants to personnel in 2017 and an increase in the measurement date fair value of certain consultant restricted stock during the period ended March 31, 2017.</w:t>
      </w:r>
    </w:p>
    <w:p>
      <w:pPr>
        <w:spacing w:after="0" w:line="19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Other Research and Development Expenses</w:t>
      </w:r>
      <w:r>
        <w:rPr>
          <w:rFonts w:ascii="Arial" w:cs="Arial" w:eastAsia="Arial" w:hAnsi="Arial"/>
          <w:sz w:val="18"/>
          <w:szCs w:val="18"/>
          <w:color w:val="auto"/>
        </w:rPr>
        <w:t>. Other research and development expenses increased by $9,145,379 to $20,375,794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2017, as compared to $11,230,415 for the three months ended March 31, 2016. The increase was mainly due to the ongoing clinical development programs and related manufacturing costs for TG-1101 and TGR-1202 during the three months ended March 31, 2017. We expect our other research and development costs to increase modestly for the remainder of 2017 as the enrollment of additional patients in our Phase 3 clinical trials increases and we prepare for launch.</w:t>
      </w:r>
    </w:p>
    <w:p>
      <w:pPr>
        <w:spacing w:after="0" w:line="197"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i w:val="1"/>
          <w:iCs w:val="1"/>
          <w:color w:val="auto"/>
        </w:rPr>
        <w:t xml:space="preserve">Noncash Compensation Expense (General and Administrative). </w:t>
      </w:r>
      <w:r>
        <w:rPr>
          <w:rFonts w:ascii="Arial" w:cs="Arial" w:eastAsia="Arial" w:hAnsi="Arial"/>
          <w:sz w:val="16"/>
          <w:szCs w:val="16"/>
          <w:color w:val="auto"/>
        </w:rPr>
        <w:t>Noncash compensation expense (general and administrative) related to equity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grants increased by $2,377,316 to $3,689,356 for the three months ended March 31, 2017, as compared to $1,312,040 for the three months ended March 31, 2016. The increase in noncash compensation expense was primarily related to an increase in the measurement date fair value of certain consultant restricted stock and restricted stock granted to executive personnel during the three months ended March 31, 2017.</w:t>
      </w:r>
    </w:p>
    <w:p>
      <w:pPr>
        <w:spacing w:after="0" w:line="16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increased by $232,397 to $1,333,268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2017, as compared to $1,100,871 for the three months ended March 31, 2016. The increase was due primarily to rent related expenses of our new office space, as well as increased personnel and other general and administrative costs. We expect our other general and administrative expenses to remain at a comparable level for the remainder of 2017.</w:t>
      </w:r>
    </w:p>
    <w:p>
      <w:pPr>
        <w:spacing w:after="0" w:line="197"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 Other income decreased by $204,581 to $61,087 of expense for the three months ended March 31,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$143,494 of income for the three months ended March 31, 2016. The decrease is mainly due to a decrease in the change in fair value of notes payable and a decrease in interest income for the three months ended March 31, 2017.</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Our primary sources of cash have been from the sale of equity securities, warrant exercises, and the upfront payment from our Sublicense Agreement with Ildong.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2017, we had approximately $109.5 million in cash and cash equivalents, investment securities, and interest receivable.</w:t>
      </w:r>
    </w:p>
    <w:p>
      <w:pPr>
        <w:spacing w:after="0" w:line="248"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As of March 31, 2017 we anticipate that our cash and cash equivalents and investments will be sufficient to fund the Company’s planned operations through 2018.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2017 was $22,302,364 as compared to $16,673,541 for the three months ended March 31, 2016. The increase in cash used in operating activities was due primarily to increased expenditures associated with our clinical development programs for TG-1101 and TGR-1202.</w:t>
      </w:r>
    </w:p>
    <w:p>
      <w:pPr>
        <w:spacing w:after="0" w:line="19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For the three months ended March 31, 2017, net cash provided by investing activities was $6,000,000 as compared to net cash used in investing activities of $1,923,531 for the three months ended March 31, 2016. The increase in net cash provided by investing activities was primarily due to the maturity and sale of treasury securities during the three months ended March 31, 2017.</w:t>
      </w:r>
    </w:p>
    <w:p>
      <w:pPr>
        <w:spacing w:after="0" w:line="194" w:lineRule="exact"/>
        <w:rPr>
          <w:sz w:val="20"/>
          <w:szCs w:val="20"/>
          <w:color w:val="auto"/>
        </w:rPr>
      </w:pPr>
    </w:p>
    <w:p>
      <w:pPr>
        <w:ind w:right="460" w:firstLine="648"/>
        <w:spacing w:after="0" w:line="332" w:lineRule="auto"/>
        <w:rPr>
          <w:sz w:val="20"/>
          <w:szCs w:val="20"/>
          <w:color w:val="auto"/>
        </w:rPr>
      </w:pPr>
      <w:r>
        <w:rPr>
          <w:rFonts w:ascii="Arial" w:cs="Arial" w:eastAsia="Arial" w:hAnsi="Arial"/>
          <w:sz w:val="16"/>
          <w:szCs w:val="16"/>
          <w:color w:val="auto"/>
        </w:rPr>
        <w:t>For the three months ended March 31, 2017, net cash provided by financing activities of $86,908,656 related to net proceeds from the issuance of common stock as part of our underwritten public offering in March 2017 and our ATM program, as well as proceeds from the exercise of warrants.</w:t>
      </w:r>
    </w:p>
    <w:p>
      <w:pPr>
        <w:spacing w:after="0" w:line="13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consolidated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 We recognize license revenue in accordance with the revenue recognition guidance of the FASB Codification. We analyze each</w:t>
      </w:r>
      <w:r>
        <w:rPr>
          <w:rFonts w:ascii="Arial" w:cs="Arial" w:eastAsia="Arial" w:hAnsi="Arial"/>
          <w:sz w:val="16"/>
          <w:szCs w:val="16"/>
          <w:i w:val="1"/>
          <w:iCs w:val="1"/>
          <w:color w:val="auto"/>
        </w:rPr>
        <w:t xml:space="preserve"> </w:t>
      </w:r>
      <w:r>
        <w:rPr>
          <w:rFonts w:ascii="Arial" w:cs="Arial" w:eastAsia="Arial" w:hAnsi="Arial"/>
          <w:sz w:val="16"/>
          <w:szCs w:val="16"/>
          <w:color w:val="auto"/>
        </w:rPr>
        <w:t>element of our licensing agreement to determine the appropriate revenue recognition. The terms of the license agreement may include payments to us of non-refundable up-front license fees, milestone payments if specified objectives are achieved, and/or royalties on product sales. We recognize revenue from upfront payments over the period of significant involvement under the related agreements unless the fee is in exchange for products delivered or services rendered that represent the culmination of a separate earnings process and no further performance obligation exists under the contract. We recognize milestone payments as revenue upon the achievement of specified milestones only if (1) the milestone payment is non-refundable, (2) substantive effort is involved in achieving the milestone, (3) the amount of the milestone is reasonable in relation to the effort expended or the risk associated with achievement of the milestone, and (4) the milestone is at risk for both parties. If any of these conditions are not met, we defer the milestone payment and recognize it as revenue over the estimated period of performance under the contract.</w:t>
      </w:r>
    </w:p>
    <w:p>
      <w:pPr>
        <w:spacing w:after="0" w:line="17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color w:val="auto"/>
        </w:rPr>
        <w:t>. 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and director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and warrants issued to employees, consultants and other third-parties vest upon the achievement of certain milestones, the total expense is uncertain.</w:t>
      </w:r>
    </w:p>
    <w:p>
      <w:pPr>
        <w:spacing w:after="0" w:line="177" w:lineRule="exact"/>
        <w:rPr>
          <w:sz w:val="20"/>
          <w:szCs w:val="20"/>
          <w:color w:val="auto"/>
        </w:rPr>
      </w:pPr>
    </w:p>
    <w:p>
      <w:pPr>
        <w:ind w:right="160" w:firstLine="648"/>
        <w:spacing w:after="0" w:line="314" w:lineRule="auto"/>
        <w:rPr>
          <w:sz w:val="20"/>
          <w:szCs w:val="20"/>
          <w:color w:val="auto"/>
        </w:rPr>
      </w:pPr>
      <w:r>
        <w:rPr>
          <w:rFonts w:ascii="Arial" w:cs="Arial" w:eastAsia="Arial" w:hAnsi="Arial"/>
          <w:sz w:val="15"/>
          <w:szCs w:val="15"/>
          <w:color w:val="auto"/>
        </w:rPr>
        <w:t>Total compensation expense for options and restricted stock issued to consultants is determined at the “measurement date.” The expense is recognized over the vesting period for the options and restricted stock. Until the measurement date is reached, the total amount of compensation expense remains uncertain. We record stock-based compensation expense based on the fair value of the equity awards at the reporting date. These equity awards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5" w:name="page26"/>
    <w:bookmarkEnd w:id="25"/>
    <w:p>
      <w:pPr>
        <w:ind w:firstLine="648"/>
        <w:spacing w:after="0" w:line="286" w:lineRule="auto"/>
        <w:rPr>
          <w:sz w:val="20"/>
          <w:szCs w:val="20"/>
          <w:color w:val="auto"/>
        </w:rPr>
      </w:pPr>
      <w:r>
        <w:rPr>
          <w:rFonts w:ascii="Arial" w:cs="Arial" w:eastAsia="Arial" w:hAnsi="Arial"/>
          <w:sz w:val="16"/>
          <w:szCs w:val="16"/>
          <w:i w:val="1"/>
          <w:iCs w:val="1"/>
          <w:color w:val="auto"/>
        </w:rPr>
        <w:t xml:space="preserve">Accruals for Clinical Research Organization and Clinical Site Costs. </w:t>
      </w:r>
      <w:r>
        <w:rPr>
          <w:rFonts w:ascii="Arial" w:cs="Arial" w:eastAsia="Arial" w:hAnsi="Arial"/>
          <w:sz w:val="16"/>
          <w:szCs w:val="16"/>
          <w:color w:val="auto"/>
        </w:rPr>
        <w:t>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Accounting Related to Goodwill. </w:t>
      </w:r>
      <w:r>
        <w:rPr>
          <w:rFonts w:ascii="Arial" w:cs="Arial" w:eastAsia="Arial" w:hAnsi="Arial"/>
          <w:sz w:val="16"/>
          <w:szCs w:val="16"/>
          <w:color w:val="auto"/>
        </w:rPr>
        <w:t>As of March 31, 2017 and December 31, 2016, there was $799,391 of goodwill on our condensed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sheets. Goodwill is reviewed for impairment annually, or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w:t>
      </w:r>
    </w:p>
    <w:p>
      <w:pPr>
        <w:spacing w:after="0" w:line="174"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are required to perform impairment tests annually, at December 31, and whenever events or changes in circumstances suggest that the carrying value of an asset may not be recoverable. For all of our acquisitions, various analyses, assumptions and estimates were made at the time of each acquisition that were used to determine the valuation of goodwill and intangibles. In future years, the possibility exists that changes in forecasts and estimates from those used at the acquisition date could result in impairment indicators.</w:t>
      </w:r>
    </w:p>
    <w:p>
      <w:pPr>
        <w:spacing w:after="0" w:line="19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condensed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17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Fair Value of 5% Notes Payable. </w:t>
      </w:r>
      <w:r>
        <w:rPr>
          <w:rFonts w:ascii="Arial" w:cs="Arial" w:eastAsia="Arial" w:hAnsi="Arial"/>
          <w:sz w:val="18"/>
          <w:szCs w:val="18"/>
          <w:color w:val="auto"/>
        </w:rPr>
        <w:t>We measure certain financial assets and liabilities at fair value on a recurring basis in the financial statements.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ranks the quality and reliability of inputs, or assumptions, used in the determination of fair value and requires financial assets and liabilities carried at fair value to be classified and disclosed in one of three categories.</w:t>
      </w:r>
    </w:p>
    <w:p>
      <w:pPr>
        <w:spacing w:after="0" w:line="194"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We elected the fair value option for valuing the 5% Notes. We elected the fair value option in order to reflect in our financial statements the assumptions that market participants use in evaluating these financial instruments.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In January 2017, the Financial Accounting Standards Board ("FASB") issued Accounting Standards Update (“ASU”) No. 2017-04, “Simplifying the Test for Goodwill Impairment” (“ASU 2017-04”). ASU 2017-04 removes the requirement to compare the implied fair value of goodwill with its carrying amount as part of step 2 of the goodwill impairment test. As a result,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however, the loss recognized should not exceed the total amount of goodwill allocated to that reporting unit. In addition, ASU 2017-04:</w:t>
      </w:r>
    </w:p>
    <w:p>
      <w:pPr>
        <w:spacing w:after="0" w:line="4" w:lineRule="exact"/>
        <w:rPr>
          <w:sz w:val="20"/>
          <w:szCs w:val="20"/>
          <w:color w:val="auto"/>
        </w:rPr>
      </w:pPr>
    </w:p>
    <w:p>
      <w:pPr>
        <w:ind w:left="98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Clarifies the requirements for excluding and allocating foreign currency translation adjustments to reporting units in connection with an entity’s testing of reporting units for goodwill impairment.</w:t>
      </w:r>
    </w:p>
    <w:p>
      <w:pPr>
        <w:ind w:left="980" w:right="20" w:hanging="324"/>
        <w:spacing w:after="0" w:line="250"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Clarifies that an entity should consider income tax effects from any tax deductible goodwill on the carrying amount of the reporting unit when measuring the goodwill impairment loss, if applicable.</w:t>
      </w:r>
    </w:p>
    <w:p>
      <w:pPr>
        <w:ind w:left="980" w:hanging="324"/>
        <w:spacing w:after="0" w:line="261"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Makes minor changes to the overview and background sections of certain Accounting Standards Codification (“ASC” or “Codification”) subtopics and topics as part of the Board’s initiative to unify and improve those sections throughout the Codification.</w:t>
      </w:r>
    </w:p>
    <w:p>
      <w:pPr>
        <w:spacing w:after="0" w:line="192" w:lineRule="exact"/>
        <w:rPr>
          <w:sz w:val="20"/>
          <w:szCs w:val="20"/>
          <w:color w:val="auto"/>
        </w:rPr>
      </w:pPr>
    </w:p>
    <w:p>
      <w:pPr>
        <w:ind w:right="380" w:firstLine="648"/>
        <w:spacing w:after="0" w:line="332" w:lineRule="auto"/>
        <w:rPr>
          <w:sz w:val="20"/>
          <w:szCs w:val="20"/>
          <w:color w:val="auto"/>
        </w:rPr>
      </w:pPr>
      <w:r>
        <w:rPr>
          <w:rFonts w:ascii="Arial" w:cs="Arial" w:eastAsia="Arial" w:hAnsi="Arial"/>
          <w:sz w:val="16"/>
          <w:szCs w:val="16"/>
          <w:color w:val="auto"/>
        </w:rPr>
        <w:t>ASU 2017-04 is effective prospectively for annual and interim periods beginning on or after December 15, 2019, and early adoption is permitted on testing dates after January 1, 2017. We are currently evaluating the impact the adoption of ASU 2017-04 will have on our consolidated financial statements.</w:t>
      </w:r>
    </w:p>
    <w:p>
      <w:pPr>
        <w:spacing w:after="0" w:line="13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2017, our portfolio of financial instruments consists of cash equivalents, including bank deposits, and investments. Due to the short-term nature of our investments, we believe there is no material exposure to interest rate risk, and/or credit risk, arising from our investments.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March 31, 2017,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2017,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18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120" w:firstLine="648"/>
        <w:spacing w:after="0" w:line="332" w:lineRule="auto"/>
        <w:rPr>
          <w:sz w:val="20"/>
          <w:szCs w:val="20"/>
          <w:color w:val="auto"/>
        </w:rPr>
      </w:pPr>
      <w:r>
        <w:rPr>
          <w:rFonts w:ascii="Arial" w:cs="Arial" w:eastAsia="Arial" w:hAnsi="Arial"/>
          <w:sz w:val="16"/>
          <w:szCs w:val="16"/>
          <w:color w:val="auto"/>
        </w:rPr>
        <w:t>You should carefully consider the following risks and uncertainties. If any of the following occurs, our business, financial condition or operating results could be materially harmed. These factors could cause the trading price of our common stock to decline, and you could lose all or part of your investment.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product candidates have been in-licensed from third parties. Under the terms of our license agreements, the licensors generally will have the right to terminate such agreement in the event of a material breach by us. The licensors will also have the right to terminate the agreement in the event we fail to use diligent and reasonable efforts to develop and commercialize the product candidate worldwide.</w:t>
      </w:r>
    </w:p>
    <w:p>
      <w:pPr>
        <w:spacing w:after="0" w:line="19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such agreement, our ability to develop and commercialize the affected product candidate and our ability to enter into collaboration or marketing agreements for the affected product candidate may be adversely affected. Any loss of our rights under these license agreements would delay or completely terminate its product development efforts for the affected product candidate.</w:t>
      </w:r>
    </w:p>
    <w:p>
      <w:pPr>
        <w:spacing w:after="0" w:line="197"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do not have full internal development capabilities, and are thus reliant upon our partners and third parties to generate clinical, preclinical and quality data necessary to support the regulatory applications needed to conduct clinical trials and file for marketing approval.</w:t>
      </w:r>
    </w:p>
    <w:p>
      <w:pPr>
        <w:spacing w:after="0" w:line="13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submit and maintain an IND, Biologics License Application (“BLA”), or New Drug Application (“NDA”) to the FDA, it is necessary to submit all information on the clinical, non-clinical, chemistry, manufacturing, controls and quality aspects of the product candidate. We rely on our third party contractors and our licensing partners to provide a significant portion of this data. If we are unable to obtain this data, or the data is not sufficient to meet the regulatory requirements, we may experience significant delays in our development programs. Additionally, an IND must be active in each division in which we intend to conduct clinical trials. Currently we do not have an active IND for any of the IRAK4 or BET inhibitors, nor for our anti-PD-L1 and anti-GITR antibodies. Additionally, there can be no assurance given that any of the molecules under development in our IRAK4 or BET inhibitor program or in our anti-PD-L1 and anti-GITR antibody research program will demonstrate sufficient pharmacologic properties during pre-clinical evaluation to advance to IND enabling studies, or that such IND enabling studies, if any are conducted, will provide data sufficient to support the filing of an IND, or that such IND, if filed, would be accepted by any FDA division under which we would seek to develop any product candidate. While we maintain an active IND for TG-1101 and TGR-1202 enabling the conduct of studies in the FDA’s Division of Hematology and Oncology, and an active IND for TG-1101 under the FDA’s Division of Neurology, there can be no assurance that we will be successful in obtaining an active IND for TG-1101 or TGR-1202 in any other division under whose supervision we may seek to develop our product candidates, or that the FDA will allow us to continue the development of our product candidates in those divisions where we maintain an active IND.</w:t>
      </w:r>
    </w:p>
    <w:p>
      <w:pPr>
        <w:spacing w:after="0" w:line="3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8" w:name="page29"/>
    <w:bookmarkEnd w:id="28"/>
    <w:p>
      <w:pPr>
        <w:ind w:right="680"/>
        <w:spacing w:after="0" w:line="268" w:lineRule="auto"/>
        <w:rPr>
          <w:sz w:val="20"/>
          <w:szCs w:val="20"/>
          <w:color w:val="auto"/>
        </w:rPr>
      </w:pPr>
      <w:r>
        <w:rPr>
          <w:rFonts w:ascii="Arial" w:cs="Arial" w:eastAsia="Arial" w:hAnsi="Arial"/>
          <w:sz w:val="18"/>
          <w:szCs w:val="18"/>
          <w:b w:val="1"/>
          <w:bCs w:val="1"/>
          <w:i w:val="1"/>
          <w:iCs w:val="1"/>
          <w:color w:val="auto"/>
        </w:rPr>
        <w:t>We are highly dependent on the success of our product candidates and cannot give any assurance that these or any future product candidates will be successfully commercialized.</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any of several reasons.</w:t>
      </w:r>
    </w:p>
    <w:p>
      <w:pPr>
        <w:spacing w:after="0" w:line="194"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w:t>
      </w:r>
    </w:p>
    <w:p>
      <w:pPr>
        <w:spacing w:after="0" w:line="18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Pharmaceutical development has inherent risk. We will be required to demonstrate through adequate and well-controlled clinical trials that our product candidates are effective with a favorable benefit-risk profile for use in diverse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suffer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19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We plan on conducting additional Phase I, II and III clinical trials for TG-1101 and TGR-1202. Early clinical results seen with TG-1101 and TGR-1202 in a small number of patients may not be reproduced in expanded or larger clinical trials. Additionally, individually reported outcomes of patients treated in clinical trials may not be representative of the entire population of treated patients in such studies. Further, larger scale Phase III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If the results from expansion cohorts or later trials are different from those found in the earlier studies of TG-1101 and TGR-1202, we may need to terminate or revise our clinical development plan, which could extend the time for conducting our development program and could have a material adverse effect on our business. Our IRAK4, BET, anti-PD-L1 and anti-GITR programs are all in pre-clinical development and no assurance can be given that they will advance into clinical development. If the results from additional pre-clinical studies or early clinical trials differ from those found in earlier studies, our clinical development plans and timelines for this program could be adversely affected which could have a material adverse effect on our business. Many drugs fail in the early stages of clinical development for safety and tolerability issues, accordingly if our pre-clinical assets advance into clinical development, no assurance can be made that a safe and efficacious dose can be found.</w:t>
      </w:r>
    </w:p>
    <w:p>
      <w:pPr>
        <w:spacing w:after="0" w:line="18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complete our clinical trial programs, or if such clinical trials take longer to complete than we project, our ability to execute our current business strategy will be adversely affected.</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Certain clinical trials are designed to continue until a pre-determined number of events have occurred in the patients enrolled. Trials such as this are subject to delays stemming from patient withdrawal and from lower than expected event rates. They may also incur additional costs if enrollment is increased in order to achieve the desired number of events. If we experience delays in identifying and contracting with sites and/or in patient enrollment in our clinical trial programs, we may incur additional costs and delays in our development programs, and may not be able to complete our clinical trials in a cost-effective or timely manner. In addition, conducting multi-national studies adds another level of complexity and risk. We are subject to events affecting countries outside the U.S. Negative or inconclusive results from the clinical trials we conduct or unanticipated adverse medical events could cause us to have to repeat or terminate the clinical trials.</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September 2015 we announced a Phase 3 clinical trial for the combination of TG-1101 + TGR-1202 for patients with CLL, which is being conducted pursuant to an SPA with the FDA. Many companies which have been granted SPAs and/or the right to utilize the FDA’s Fast Track or accelerated approval process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data prior to making its final decision. The FDA may also seek the guidance of an outside advisory committee prior to making its final decision.</w:t>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sufficiency of our GENUINE trial design and results are subject to FDA’s discretion.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March 6, 2017, we announced topline data from our Phase 3 “GENUINE” clinical trial of TG-1101 in combination with ibrutinib as a treatment for patients with previously treated high risk Chronic Lymphocytic Leukemia, or CLL. This trial, as originally designed, was prepared under FDA’s SPA procedures, in which FDA agrees in advance of commencement of a Phase III clinical trial that the trial’s design, clinical endpoints and statistical analyses will constitute a pivotal study for purposes of regulatory approval, assuming that the resulting data is sufficiently favorable. In October 2016, after consulting with the FDA, we amended the protocol which had the effect of reducing the number of enrolled patients to approximately 120 and eliminating progression-free survival as a primary endpoint, leaving overall response rate as the sole primary endpoint. In doing so, the trial’s SPA was rescinded.</w:t>
      </w:r>
    </w:p>
    <w:p>
      <w:pPr>
        <w:spacing w:after="0" w:line="17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that the revised trial design and the resulting data could support FDA approval, but that is a question wholly within FDA’s discretion to determine. Whether or not FDA accepts the data for filing will depend on FDA’s views on the adequacy of the filing. Consequently, there can be no assurance that FDA will approve TG-1101, or even whether FDA will agree to meet with us to discuss the matter.</w:t>
      </w:r>
    </w:p>
    <w:p>
      <w:pPr>
        <w:spacing w:after="0" w:line="19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 critical area of inquiry in the GENUINE clinical trial will be the overall response rate observed. As per applicable disease evaluation criteria, responders require confirmation of response for a minimum duration of two months. As of the date of analysis, nine patients that demonstrated a response in the combination therapy arm of the trial were awaiting confirmation visits, which are expected to occur over the two months following the analysis of the primary endpoint. During the study, less than 3% of patients who demonstrated a response in the combination therapy arm of the trial failed to be a confirmed response at subsequent follow-up. Nevertheless, if one or more of the nine patients awaiting confirmation do not maintain their response at the next checkpoint, our previously reported results could be adversely affected, perhaps materially so, which could adversely affect the likelihood of regulatory approval.</w:t>
      </w:r>
    </w:p>
    <w:p>
      <w:pPr>
        <w:spacing w:after="0" w:line="174"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 or “fast track” status to commercialize our product candidates.</w:t>
      </w:r>
    </w:p>
    <w:p>
      <w:pPr>
        <w:spacing w:after="0" w:line="116"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or in foreign markets. In the United States, we are not permitted to market our product candidates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Even with “fast track” or “priority review” status which we intend to seek for our product candidates, where possible, including with regard to TG-1101, such designations do not necessarily mean a faster development process or regulatory review process or necessarily confer any advantage with respect to approval compared to conventional FDA procedures.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Risk Evaluation and Mitigation Strategy (“REMS”) requiring prescriber training, post-market registries, or otherwise restricting the marketing and dissemination of these products. Despite the time and expense invested in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many of these countries, and other regulatory agencies around the world.</w:t>
      </w:r>
    </w:p>
    <w:p>
      <w:pPr>
        <w:spacing w:after="0" w:line="182"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2" w:lineRule="exact"/>
        <w:rPr>
          <w:sz w:val="20"/>
          <w:szCs w:val="20"/>
          <w:color w:val="auto"/>
        </w:rPr>
      </w:pPr>
    </w:p>
    <w:p>
      <w:pPr>
        <w:ind w:left="660" w:hanging="21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660" w:right="20" w:hanging="21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any indication;</w:t>
      </w:r>
    </w:p>
    <w:p>
      <w:pPr>
        <w:ind w:left="660" w:hanging="21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not accept clinical data from trials which are conducted by individual investigators or in countries where the standard of care is potentially different from the United States;</w:t>
      </w:r>
    </w:p>
    <w:p>
      <w:pPr>
        <w:ind w:left="660" w:right="20" w:hanging="21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660" w:hanging="21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660" w:hanging="21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660" w:hanging="21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or our collaborators contract for clinical and commercial supplies; or</w:t>
      </w:r>
    </w:p>
    <w:p>
      <w:pPr>
        <w:ind w:left="660" w:right="20" w:hanging="21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0" w:name="page31"/>
    <w:bookmarkEnd w:id="30"/>
    <w:p>
      <w:pPr>
        <w:jc w:val="both"/>
        <w:ind w:right="140" w:firstLine="648"/>
        <w:spacing w:after="0" w:line="298" w:lineRule="auto"/>
        <w:rPr>
          <w:sz w:val="20"/>
          <w:szCs w:val="20"/>
          <w:color w:val="auto"/>
        </w:rPr>
      </w:pPr>
      <w:r>
        <w:rPr>
          <w:rFonts w:ascii="Arial" w:cs="Arial" w:eastAsia="Arial" w:hAnsi="Arial"/>
          <w:sz w:val="16"/>
          <w:szCs w:val="16"/>
          <w:color w:val="auto"/>
        </w:rPr>
        <w:t>In addition, recent events raising questions about the safety of certain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Any product candidate we advance into clinical trials may cause unacceptable adverse events or have other properties that may delay or prevent their regulatory approval or commercialization or limit their commercial potential.</w:t>
      </w:r>
    </w:p>
    <w:p>
      <w:pPr>
        <w:spacing w:after="0" w:line="186" w:lineRule="exact"/>
        <w:rPr>
          <w:sz w:val="20"/>
          <w:szCs w:val="20"/>
          <w:color w:val="auto"/>
        </w:rPr>
      </w:pPr>
    </w:p>
    <w:p>
      <w:pPr>
        <w:ind w:right="40" w:firstLine="648"/>
        <w:spacing w:after="0" w:line="306" w:lineRule="auto"/>
        <w:rPr>
          <w:sz w:val="20"/>
          <w:szCs w:val="20"/>
          <w:color w:val="auto"/>
        </w:rPr>
      </w:pPr>
      <w:r>
        <w:rPr>
          <w:rFonts w:ascii="Arial" w:cs="Arial" w:eastAsia="Arial" w:hAnsi="Arial"/>
          <w:sz w:val="16"/>
          <w:szCs w:val="16"/>
          <w:color w:val="auto"/>
        </w:rPr>
        <w:t>Unacceptable adverse events caused by any of our product candidates that we take into clinical trials could cause either us or regulatory authorities to interrupt, delay, modify or halt clinical trials and could result in the denial of regulatory approval by the FDA or other regulatory authorities for any or all targeted indications. This, in turn, could prevent us from commercializing the affected product candidate and generating revenues from its sale.</w:t>
      </w:r>
    </w:p>
    <w:p>
      <w:pPr>
        <w:spacing w:after="0" w:line="16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have not completed testing of any of our product candidates for the treatment of the indications for which we intend to seek product approval in humans, and we currently do not know the extent that adverse events, if any, will be observed in patients who receive any of our product candidates. To date, clinical trials using TG-1101 and TGR-1202 have demonstrated a toxicity profile that was deemed acceptable by the investigators performing such studies. Such interpretation may not be shared by future investigators or by the FDA and in the case of TG-1101 and TGR-1202, even if deemed acceptable for oncology applications, it may not be acceptable for diseases outside the oncology setting, and likewise for any other product candidates we may develop. Additionally, the severity, duration and incidence of adverse events may increase in larger study populations. With respect to both TG-1101 and TGR-1202, the toxicity when manufactured under different conditions and in different formulations is not known, and it is possible that additional and/or different adverse events may appear upon the human use of those formulations and those adverse events may arise with greater frequency, intensity and duration than in the current formulation. Further, with respect to TGR-1202, although several hundred patients have been dosed amongst all ongoing TGR-1202 studies, the full adverse effect profile of TGR-1202 is not known. It is also unknown as additional patients are exposed for longer durations to TGR-1202, whether greater frequency and/or severity of adverse events are likely to occur. Common toxicities of other drugs in the same class as TGR-1202 include high levels of liver toxicity, infections and colitis, the latter of which notably has presented with later onset, with incidence increasing with duration of exposure. To date, the incidence of these events has been limited for TGR-1202, however no assurance can be given that this safety and tolerability profile will continue to be demonstrated in the future as higher doses, longer durations of exposure, and multiple drug combinations are explored.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Additionally, in combination clinical development, there is an inherent risk of drug-drug interactions between combination agents which may affect each component’s individual pharmacologic properties and the overall efficacy and safety of the combination regimen. Both TG-1101 and TGR-1202 are being evaluated in combination together, as well as with a variety of other active anti-cancer agents, which may cause unforeseen toxicity, or impact the severity, duration, and incidence of adverse events observed compared to those seen in the single agent studies of these agents.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99" w:lineRule="exact"/>
        <w:rPr>
          <w:sz w:val="20"/>
          <w:szCs w:val="20"/>
          <w:color w:val="auto"/>
        </w:rPr>
      </w:pPr>
    </w:p>
    <w:p>
      <w:pPr>
        <w:ind w:right="460" w:firstLine="648"/>
        <w:spacing w:after="0" w:line="254" w:lineRule="auto"/>
        <w:rPr>
          <w:sz w:val="20"/>
          <w:szCs w:val="20"/>
          <w:color w:val="auto"/>
        </w:rPr>
      </w:pPr>
      <w:r>
        <w:rPr>
          <w:rFonts w:ascii="Arial" w:cs="Arial" w:eastAsia="Arial" w:hAnsi="Arial"/>
          <w:sz w:val="18"/>
          <w:szCs w:val="18"/>
          <w:color w:val="auto"/>
        </w:rPr>
        <w:t>If any of our product candidates receives marketing approval and we, or others, later identify unacceptable adverse events caused by the product, a number of significant negative consequences could result, including:</w:t>
      </w: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affected product;</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affected product;</w:t>
      </w:r>
    </w:p>
    <w:p>
      <w:pPr>
        <w:ind w:left="660" w:hanging="21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be required to change the way the product is administered, conduct additional clinical trials or change the labeling of the product;</w:t>
      </w:r>
    </w:p>
    <w:p>
      <w:pPr>
        <w:spacing w:after="0" w:line="32" w:lineRule="exact"/>
        <w:rPr>
          <w:rFonts w:ascii="Arial" w:cs="Arial" w:eastAsia="Arial" w:hAnsi="Arial"/>
          <w:sz w:val="16"/>
          <w:szCs w:val="16"/>
          <w:color w:val="auto"/>
        </w:rPr>
      </w:pP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delay or prevent us from generating any revenues from the sale of the affected product.</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1" w:name="page32"/>
    <w:bookmarkEnd w:id="31"/>
    <w:p>
      <w:pPr>
        <w:ind w:right="180"/>
        <w:spacing w:after="0" w:line="268" w:lineRule="auto"/>
        <w:rPr>
          <w:sz w:val="20"/>
          <w:szCs w:val="20"/>
          <w:color w:val="auto"/>
        </w:rPr>
      </w:pPr>
      <w:r>
        <w:rPr>
          <w:rFonts w:ascii="Arial" w:cs="Arial" w:eastAsia="Arial" w:hAnsi="Arial"/>
          <w:sz w:val="18"/>
          <w:szCs w:val="18"/>
          <w:b w:val="1"/>
          <w:bCs w:val="1"/>
          <w:i w:val="1"/>
          <w:iCs w:val="1"/>
          <w:color w:val="auto"/>
        </w:rPr>
        <w:t>We may experience delays in the commencement of our clinical trials or in the receipt of data from preclinical and clinical trials conducted by third parties, which could result in increased costs and delay our ability to pursue regulatory approval.</w:t>
      </w:r>
    </w:p>
    <w:p>
      <w:pPr>
        <w:spacing w:after="0" w:line="186" w:lineRule="exact"/>
        <w:rPr>
          <w:sz w:val="20"/>
          <w:szCs w:val="20"/>
          <w:color w:val="auto"/>
        </w:rPr>
      </w:pPr>
    </w:p>
    <w:p>
      <w:pPr>
        <w:ind w:right="280" w:firstLine="648"/>
        <w:spacing w:after="0" w:line="298" w:lineRule="auto"/>
        <w:rPr>
          <w:sz w:val="20"/>
          <w:szCs w:val="20"/>
          <w:color w:val="auto"/>
        </w:rPr>
      </w:pPr>
      <w:r>
        <w:rPr>
          <w:rFonts w:ascii="Arial" w:cs="Arial" w:eastAsia="Arial" w:hAnsi="Arial"/>
          <w:sz w:val="16"/>
          <w:szCs w:val="16"/>
          <w:color w:val="auto"/>
        </w:rPr>
        <w:t>Delays in the commencement of clinical trials and delays in the receipt of data from preclinical or clinical trials conducted by third parties could significantly impact our product development costs. Before we can initiate clinical trials in the United States for our product candidates, we need to submit the results of preclinical testing, usually in animals, to the FDA as part of an IND, along with other information including information about product chemistry, manufacturing and controls and its proposed clinical trial protocol for our product candidates.</w:t>
      </w:r>
    </w:p>
    <w:p>
      <w:pPr>
        <w:spacing w:after="0" w:line="16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plan to rely on preclinical and clinical trial data from third parties, if any, for the IND submissions for our product candidates. If receipt of that data is delayed for any reason, including reasons outside of our control, it will delay our plans for IND filings, and clinical trial plans. This, in turn, will delay our ability to make subsequent regulatory filings and ultimately, to commercialize our products if regulatory approval is obtained. If those third parties do not make this data available to us, we will likely, on our own, have to develop all the necessary preclinical and clinical data which will lead to additional delays and increase the costs of our development of our product candidates.</w:t>
      </w:r>
    </w:p>
    <w:p>
      <w:pPr>
        <w:spacing w:after="0" w:line="19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Before we can test any product candidate in human clinical trials the product candidate enters the preclinical testing stage. Preclinical tests include laboratory evaluations of product chemistry, toxicity and formulation, as well as in-vitro and animal studies to assess the potential safety and activity of the pharmaceutical product candidate. The conduct of the preclinical tests must comply with federal regulations and requirements including good laboratory practices (“GLP”).</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IND on a clinical hold within that 30-day time period. In such a case, we must work with the FDA to resolve any outstanding concerns before the clinical trials can begin. The FDA may also impose clinical holds on a product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clinical trial.</w:t>
      </w:r>
    </w:p>
    <w:p>
      <w:pPr>
        <w:spacing w:after="0" w:line="198"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FDA may require that we conduct additional preclinical testing for any product candidate before it allows us to initiate the clinical testing under any IND, which may lead to additional delays and increase the costs of our preclinical development.</w:t>
      </w:r>
    </w:p>
    <w:p>
      <w:pPr>
        <w:spacing w:after="0" w:line="186"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Even assuming an active IND for a product candidate, we do not know whether our planned clinical trials for any such product candidate will begin on time, or at all. The commencement of clinical trials can be delayed for a variety of reasons, including delays in:</w:t>
      </w:r>
    </w:p>
    <w:p>
      <w:pPr>
        <w:spacing w:after="0" w:line="186" w:lineRule="exact"/>
        <w:rPr>
          <w:sz w:val="20"/>
          <w:szCs w:val="20"/>
          <w:color w:val="auto"/>
        </w:rPr>
      </w:pP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5" w:lineRule="exact"/>
        <w:rPr>
          <w:rFonts w:ascii="Arial" w:cs="Arial" w:eastAsia="Arial" w:hAnsi="Arial"/>
          <w:sz w:val="18"/>
          <w:szCs w:val="18"/>
          <w:color w:val="auto"/>
        </w:rPr>
      </w:pP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9" w:lineRule="exact"/>
        <w:rPr>
          <w:rFonts w:ascii="Arial" w:cs="Arial" w:eastAsia="Arial" w:hAnsi="Arial"/>
          <w:sz w:val="18"/>
          <w:szCs w:val="18"/>
          <w:color w:val="auto"/>
        </w:rPr>
      </w:pPr>
    </w:p>
    <w:p>
      <w:pPr>
        <w:ind w:left="660" w:hanging="21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reaching agreement on acceptable terms with prospective contract research organizations (“CROs”) and trial sites, the terms of which can be subject to extensive negotiation, may be subject to modification from time to time and may vary significantly among different CROs and trial sites</w:t>
      </w:r>
    </w:p>
    <w:p>
      <w:pPr>
        <w:spacing w:after="0" w:line="1" w:lineRule="exact"/>
        <w:rPr>
          <w:rFonts w:ascii="Arial" w:cs="Arial" w:eastAsia="Arial" w:hAnsi="Arial"/>
          <w:sz w:val="16"/>
          <w:szCs w:val="16"/>
          <w:color w:val="auto"/>
        </w:rPr>
      </w:pP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sufficient quantities of a product candidate for use in clinical trials;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institutional review board (“IRB”) or ethics committee approval to conduct a clinical trial at a prospective site;</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identifying, recruiting and enrolling patients to participate in a clinical trial;</w:t>
      </w:r>
    </w:p>
    <w:p>
      <w:pPr>
        <w:spacing w:after="0" w:line="9" w:lineRule="exact"/>
        <w:rPr>
          <w:rFonts w:ascii="Arial" w:cs="Arial" w:eastAsia="Arial" w:hAnsi="Arial"/>
          <w:sz w:val="18"/>
          <w:szCs w:val="18"/>
          <w:color w:val="auto"/>
        </w:rPr>
      </w:pPr>
    </w:p>
    <w:p>
      <w:pPr>
        <w:ind w:left="660" w:right="20" w:hanging="21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withdraw due to adverse events from the therapy, insufficient efficacy, fatigue with the clinical trial process or personal issues; and</w:t>
      </w:r>
    </w:p>
    <w:p>
      <w:pPr>
        <w:ind w:left="660" w:hanging="21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safety findings.</w:t>
      </w:r>
    </w:p>
    <w:p>
      <w:pPr>
        <w:spacing w:after="0" w:line="21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Any delays in the commencement of our clinical trials will delay our ability to pursue regulatory approval for our product candidates. In addition, many of the factors that cause, or lead to, a delay in the commencement of clinical trials may also ultimately lead to the denial of regulatory approval of a product candidate.</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Delays in the completion of clinical testing could result in increased costs and delay our ability to generate product revenues.</w:t>
      </w:r>
    </w:p>
    <w:p>
      <w:pPr>
        <w:spacing w:after="0" w:line="225" w:lineRule="exact"/>
        <w:rPr>
          <w:sz w:val="20"/>
          <w:szCs w:val="20"/>
          <w:color w:val="auto"/>
        </w:rPr>
      </w:pPr>
    </w:p>
    <w:p>
      <w:pPr>
        <w:ind w:right="280" w:firstLine="648"/>
        <w:spacing w:after="0" w:line="252" w:lineRule="auto"/>
        <w:rPr>
          <w:sz w:val="20"/>
          <w:szCs w:val="20"/>
          <w:color w:val="auto"/>
        </w:rPr>
      </w:pPr>
      <w:r>
        <w:rPr>
          <w:rFonts w:ascii="Arial" w:cs="Arial" w:eastAsia="Arial" w:hAnsi="Arial"/>
          <w:sz w:val="18"/>
          <w:szCs w:val="18"/>
          <w:color w:val="auto"/>
        </w:rPr>
        <w:t>Once a clinical trial has begun, patient recruitment and enrollment may be slower than we anticipate. Clinical trials may also be delayed as a result of ambiguous or negative interim results. Further, a clinical trial may be suspended or terminated by us, an IRB, an ethics committee or a Data Safety and Monitoring Committee overseeing the clinical trial, any of our clinical trial sites with respect to that site or the FDA or other regulatory authorities due to a number of factors, including:</w:t>
      </w:r>
    </w:p>
    <w:p>
      <w:pPr>
        <w:spacing w:after="0" w:line="1" w:lineRule="exact"/>
        <w:rPr>
          <w:sz w:val="20"/>
          <w:szCs w:val="20"/>
          <w:color w:val="auto"/>
        </w:rPr>
      </w:pPr>
    </w:p>
    <w:p>
      <w:pPr>
        <w:ind w:left="660" w:hanging="21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inspection of the clinical trial operations or clinical trial site by the FDA or other regulatory authorities resulting in the imposition of a clinical hold;</w:t>
      </w:r>
    </w:p>
    <w:p>
      <w:pPr>
        <w:spacing w:after="0" w:line="32" w:lineRule="exact"/>
        <w:rPr>
          <w:rFonts w:ascii="Arial" w:cs="Arial" w:eastAsia="Arial" w:hAnsi="Arial"/>
          <w:sz w:val="16"/>
          <w:szCs w:val="16"/>
          <w:color w:val="auto"/>
        </w:rPr>
      </w:pPr>
    </w:p>
    <w:p>
      <w:pPr>
        <w:ind w:left="660" w:hanging="21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the clinical trial presents unacceptable health risks;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4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Changes in regulatory requirements and guidance also may occur and we may need to amend clinical trial protocols to reflect these changes. Amendments may require us to resubmit our clinical trial protocols to IRBs for re-examination, which may impact the costs, timing and successful completion of a clinical trial. If we experience delays in the completion of, or if we must terminate, any clinical trial of any product candidate that we advance into clinical trials, our ability to obtain regulatory approval for that product candidate will be delayed and the commercial prospects, if any, for the product candidate may be harmed. In addition, many of these factors may also ultimately lead to the denial of regulatory approval of a product candidate. Even if we ultimately commercialize any of our product candidates, other therapies for the same indications may have been introduced to the market during the period we have been delayed and such therapies may have established a competitive advantage over our product candidates.</w:t>
      </w:r>
    </w:p>
    <w:p>
      <w:pPr>
        <w:spacing w:after="0" w:line="17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We intend to rely on third parties to help conduct our planned clinical trials. If these third parties do not meet their deadlines or otherwise conduct the trials as required, we may not be able to obtain regulatory approval for or commercialize our product candidates when expected or at all.</w:t>
      </w:r>
    </w:p>
    <w:p>
      <w:pPr>
        <w:spacing w:after="0" w:line="13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We intend to use CROs to assist in the conduct of our planned clinical trials and will rely upon medical institutions, clinical investigators and contract laboratories to conduct our trials in accordance with our clinical protocols. Our future CROs, investigators and other third parties may play a significant role in the conduct of these trials and the subsequent collection and analysis of data from the clinical trials.</w:t>
      </w:r>
    </w:p>
    <w:p>
      <w:pPr>
        <w:spacing w:after="0" w:line="161"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color w:val="auto"/>
        </w:rPr>
        <w:t>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w:t>
      </w:r>
    </w:p>
    <w:p>
      <w:pPr>
        <w:spacing w:after="0" w:line="19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may be jeopardized.</w:t>
      </w:r>
    </w:p>
    <w:p>
      <w:pPr>
        <w:spacing w:after="0" w:line="19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and process improvements implemented in the production of those product candidates may affect their ultimate activity or function.</w:t>
      </w:r>
    </w:p>
    <w:p>
      <w:pPr>
        <w:spacing w:after="0" w:line="186" w:lineRule="exact"/>
        <w:rPr>
          <w:sz w:val="20"/>
          <w:szCs w:val="20"/>
          <w:color w:val="auto"/>
        </w:rPr>
      </w:pPr>
    </w:p>
    <w:p>
      <w:pPr>
        <w:ind w:right="20" w:firstLine="648"/>
        <w:spacing w:after="0" w:line="306" w:lineRule="auto"/>
        <w:rPr>
          <w:sz w:val="20"/>
          <w:szCs w:val="20"/>
          <w:color w:val="auto"/>
        </w:rPr>
      </w:pPr>
      <w:r>
        <w:rPr>
          <w:rFonts w:ascii="Arial" w:cs="Arial" w:eastAsia="Arial" w:hAnsi="Arial"/>
          <w:sz w:val="15"/>
          <w:szCs w:val="15"/>
          <w:color w:val="auto"/>
        </w:rPr>
        <w:t>Our product candidates are in the initial stages of development and are currently manufactured in small batches for use in pre-clinical and clinical studies. Process improvements implemented to date have changed, and process improvements in the future may change, the activity profile of the product candidates, which may affect the safety and efficacy of the products. No assurance can be given that the material manufactured from any of the optimized processes will perform comparably to the product candidates as manufactured to date and used in currently available pre-clinical data and or in early clinical trials reported in this or any previous filing. Additionally, future clinical trial results will be subject to the same level of uncertainty if, following such trials, additional process improvements are made. In addition, we have recently engaged a secondary manufacturer for TG-1101 to meet our current clinical and future commercial needs and anticipate engaging additional manufacturing sources for TGR-1202 to meet expanded clinical trial and commercial needs. While material produced from this secondary manufacturer for TG-1101 has to date demonstrated acceptable comparability, no assurance can be given that any additional manufacturers will be successful or that material manufactured by the additional manufacturers will perform comparably to TG-1101 or TGR-1202 as manufactured to date and used in currently available pre-clinical data and or in early clinical trials reported in this or any previous filing, or that the relevant regulatory agencies will agree with our interpretation of comparability. If a secondary manufacturer is not successful in replicating the product or experiences delays, or if regulatory authorities impose unforeseen requirements with respect to product comparability from multiple manufacturing sources, we may experience delays in clinical development.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structures.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w:t>
      </w:r>
    </w:p>
    <w:p>
      <w:pPr>
        <w:spacing w:after="0" w:line="172"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b w:val="1"/>
          <w:bCs w:val="1"/>
          <w:i w:val="1"/>
          <w:iCs w:val="1"/>
          <w:color w:val="auto"/>
        </w:rPr>
        <w:t>If our competitors develop treatments for the target indications for which any of our product candidates may be approved, and they are approved more quickly, marketed more effectively or demonstrated to be more effective than our product candidates, our commercial opportunity will be reduced or eliminated.</w:t>
      </w:r>
    </w:p>
    <w:p>
      <w:pPr>
        <w:spacing w:after="0" w:line="19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201"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color w:val="auto"/>
        </w:rPr>
        <w:t>The cancer indications for which we are developing our products have a number of established therapies with which we will compete. Most major pharmaceutical companies and many biotechnology companies are aggressively pursuing new cancer development programs for the treatment of NHL, CLL, and other B-cell proliferative malignancies, including both therapies with traditional, as well as novel, mechanisms of action. Additionally, numerous established therapies exist for the autoimmune disorders for which we are developing TG-1101, including and in particular, multiple sclerosis (MS).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If approved, we expect TG-1101 to compete directly with Roche Group’s Rituxan® (rituximab) and Gazyva® (obinutuzumab or GA-101), and Novartis’ Arzerra® (ofatumumab) among others, each of which is currently approved for the treatment of various diseases including NHL and CLL. In addition, a number of pharmaceutical companies are developing antibodies targeting CD20, CD19, and other B-cell associated targets, chimeric antigen receptor T-cell (CAR-T) immunotherapy, and other B-cell ablative therapy which, if approved, would potentially compete with TG-1101 both in oncology settings as well as in autoimmune disorders. Recently, the Roche Group’s anti-CD20 antibody ocrelizumab was approved for the treatment of MS. Genmab and GSK’s (ofatumumab) is also under clinical development for patients with MS. New developments, including the development of other pharmaceutical technologies and methods of treating disease, occur in the pharmaceutical and life sciences industries at a rapid pace.</w:t>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4" w:name="page35"/>
    <w:bookmarkEnd w:id="34"/>
    <w:p>
      <w:pPr>
        <w:ind w:firstLine="648"/>
        <w:spacing w:after="0" w:line="294" w:lineRule="auto"/>
        <w:rPr>
          <w:sz w:val="20"/>
          <w:szCs w:val="20"/>
          <w:color w:val="auto"/>
        </w:rPr>
      </w:pPr>
      <w:r>
        <w:rPr>
          <w:rFonts w:ascii="Arial" w:cs="Arial" w:eastAsia="Arial" w:hAnsi="Arial"/>
          <w:sz w:val="16"/>
          <w:szCs w:val="16"/>
          <w:color w:val="auto"/>
        </w:rPr>
        <w:t>With respect to TGR-1202, there are several PI3K delta targeted compounds both approved, such as Gilead’s Zydelig™ (idelalisib), and in development, including, but not limited to, Verastem’s duvelisib which if approved we would expect to compete directly with TGR-1202. In addition, there are numerous other novel therapies targeting similar pathways to TGR-1202 both approved and in development, which could also compete with TGR-1202 in similar indications, such as the BTK inhibitor, ibrutinib (FDA approved for MCL, CLL, Marginal Zone Lymphoma and WM and marketed by AbbVie and Janssen), the BTK inhibitor acalabrutinib (under development by AstraZeneca), or the BCL-2 inhibitor ABT-199 (FDA approved for CLL and marketed by AbbVie and Roche).</w:t>
      </w:r>
    </w:p>
    <w:p>
      <w:pPr>
        <w:spacing w:after="0" w:line="170" w:lineRule="exact"/>
        <w:rPr>
          <w:sz w:val="20"/>
          <w:szCs w:val="20"/>
          <w:color w:val="auto"/>
        </w:rPr>
      </w:pPr>
    </w:p>
    <w:p>
      <w:pPr>
        <w:ind w:right="800" w:firstLine="648"/>
        <w:spacing w:after="0" w:line="254" w:lineRule="auto"/>
        <w:rPr>
          <w:sz w:val="20"/>
          <w:szCs w:val="20"/>
          <w:color w:val="auto"/>
        </w:rPr>
      </w:pPr>
      <w:r>
        <w:rPr>
          <w:rFonts w:ascii="Arial" w:cs="Arial" w:eastAsia="Arial" w:hAnsi="Arial"/>
          <w:sz w:val="18"/>
          <w:szCs w:val="18"/>
          <w:color w:val="auto"/>
        </w:rPr>
        <w:t>These developments may render our product candidates obsolete or noncompetitive. Compared to us, many of our potential competitors have substantially greater:</w:t>
      </w:r>
    </w:p>
    <w:p>
      <w:pPr>
        <w:ind w:left="660" w:hanging="21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9"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us or may obtain patent protection or other intellectual property rights that limit our ability to develop or commercialize our product candidates. Our competitors may also develop products for the treatment of lymphoma, CLL, or other B-cell and autoimmune related disorders that are more effective, better tolerated, more useful and less costly than ours and may also be more successful in manufacturing and marketing their products. Our competitors may succeed in obtaining approvals from the FDA and foreign regulatory authorities for their product candidates sooner than we do for our products.</w:t>
      </w:r>
    </w:p>
    <w:p>
      <w:pPr>
        <w:spacing w:after="0" w:line="170" w:lineRule="exact"/>
        <w:rPr>
          <w:sz w:val="20"/>
          <w:szCs w:val="20"/>
          <w:color w:val="auto"/>
        </w:rPr>
      </w:pPr>
    </w:p>
    <w:p>
      <w:pPr>
        <w:ind w:right="54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and enrolling patients for clinical trials and in identifying and in-licensing new product candidates.</w:t>
      </w:r>
    </w:p>
    <w:p>
      <w:pPr>
        <w:spacing w:after="0" w:line="18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We rely completely on third parties to manufacture our preclinical and clinical pharmaceutical supplies and we intend to rely on third parties to produce commercial supplies of any approved product candidate, and our commercialization of any of our product candidates could be stopped, delayed or made less profitable if those third parties fail to obtain approval of the FDA, fail to provide us with sufficient quantities of pharmaceutical product or fail to do so at acceptable quality levels or prices.</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product candidates must be approved by the FDA pursuant to inspections that will be conducted only after we submit a BLA or NDA to the FDA, if at all. We do not control the manufacturing process of our product candidates and are completely dependent on our contract manufacturing partners for compliance with the FDA’s requirements for manufacture of finished pharmaceutical products (good manufacturing practices, GMP). If our contract manufacturers cannot successfully manufacture material that conforms to our target product specifications, patent specifications, and/or the FDA’s strict regulatory requirements of safety, purity and potency, we will not be able to secure and/or maintain FDA approval for our product candidates. In addition, we have no control over the ability of our contract manufacturers to maintain adequate quality control, quality assurance and qualified personnel. If our contract manufacturers cannot meet FDA standards, we may need to find alternative manufacturing facilities, which would significantly impact our ability to develop, obtain regulatory approval for or market our product candidates.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current contract manufacturers or with any fill/finish suppliers, and though we intend to do so prior to commercial launch of our product candidates in order to ensure that we maintain adequate supplies of finished product, we may be unable to enter into such an agreement or do so on commercially reasonable terms, which could have a material adverse impact upon our business.</w:t>
      </w: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63" w:right="279" w:bottom="1440" w:gutter="0" w:footer="0" w:header="0"/>
        </w:sectPr>
      </w:pPr>
    </w:p>
    <w:bookmarkStart w:id="35" w:name="page36"/>
    <w:bookmarkEnd w:id="35"/>
    <w:p>
      <w:pPr>
        <w:ind w:right="20" w:firstLine="648"/>
        <w:spacing w:after="0" w:line="253" w:lineRule="auto"/>
        <w:rPr>
          <w:sz w:val="20"/>
          <w:szCs w:val="20"/>
          <w:color w:val="auto"/>
        </w:rPr>
      </w:pPr>
      <w:r>
        <w:rPr>
          <w:rFonts w:ascii="Arial" w:cs="Arial" w:eastAsia="Arial" w:hAnsi="Arial"/>
          <w:sz w:val="18"/>
          <w:szCs w:val="18"/>
          <w:color w:val="auto"/>
        </w:rPr>
        <w:t>In most cases, our manufacturing partners are single source suppliers. It is expected that our manufacturing partners will be sole source suppliers from single site locations for the foreseeable future.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20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no experience in marketing pharmaceutical products. If we are unable to establish sales and marketing capabilities or fail to enter into agreements with third parties to market and sell any products we may develop, we may not be able to effectively market and sell our products and generate product revenue.</w:t>
      </w:r>
    </w:p>
    <w:p>
      <w:pPr>
        <w:spacing w:after="0" w:line="194"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We do not currently have the infrastructure for the sales, marketing and distribution of our biotechnology products, and we must build this infrastructure or make arrangements with third parties to perform these functions in order to commercialize our products. We plan to either develop internally or enter into collaborations or other commercial arrangements to develop further, promote and sell all or a portion of our product candidates.</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establishment and development of a sales force, either by us or jointly with a development partner, or the establishment of a contract sales force to market any products we may develop will be expensive and time-consuming and could delay any product launch, and we cannot be certain that we or our development partners would be able to successfully develop this capability. If we or our development partners are unable to establish sales and marketing capability or any other non-technical capabilities necessary to commercialize any products we may develop, we will need to contract with third parties to market and sell such products. We currently possess limited resources and may not be successful in establishing our own internal sales force or in establishing arrangements with third parties on acceptable terms, if at all.</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jc w:val="both"/>
        <w:ind w:right="20" w:firstLine="648"/>
        <w:spacing w:after="0" w:line="284"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is also necessary for commercial success. The degree of market acceptance of any of our approved products will depend on a number of factors, including:</w:t>
      </w:r>
    </w:p>
    <w:p>
      <w:pPr>
        <w:spacing w:after="0" w:line="1" w:lineRule="exact"/>
        <w:rPr>
          <w:sz w:val="20"/>
          <w:szCs w:val="20"/>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safety of product candidates seen in a broader patient group, including its use outside the approved indications;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adverse events;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9"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63" w:right="299" w:bottom="1440" w:gutter="0" w:footer="0" w:header="0"/>
        </w:sectPr>
      </w:pPr>
    </w:p>
    <w:bookmarkStart w:id="36" w:name="page37"/>
    <w:bookmarkEnd w:id="36"/>
    <w:p>
      <w:pPr>
        <w:ind w:right="60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firstLine="648"/>
        <w:spacing w:after="0" w:line="251"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will face an even greater risk if we sell our product candidates commercially. Although we are not aware of any historical or anticipated product liability claims against us, if we cannot successfully defend ourselves against product liability claims, we may incur substantial liabilities or be required to cease clinical trials of our drug candidates or limit commercialization of any approved products. An individual may bring a liability claim against us if one of our product candidates causes, or merely appears to have caused, an injury. If we cannot successfully defend our self against product liability claims, we will incur substantial liabilities. Regardless of merit or eventual outcome, liability claims may result in:</w:t>
      </w:r>
    </w:p>
    <w:p>
      <w:pPr>
        <w:spacing w:after="0" w:line="4" w:lineRule="exact"/>
        <w:rPr>
          <w:sz w:val="20"/>
          <w:szCs w:val="20"/>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impairment to our business reputation;</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1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believe that we have obtained sufficient product liability insurance coverage for our clinical trials. We intend to expand our insurance coverage to include the sale of commercial products if marketing approval is obtained for any of our product candidates. However, we may be unable to obtain this product liability insurance on commercially reasonable terms and with insurance coverage that will be adequate to satisfy any liability that may arise. On occasion, large judgments have been awarded in class action or individual lawsuits relating to marketed pharmaceuticals. A successful product liability claim or series of claims brought against us could cause our stock price to decline and, if judgments exceed our insurance coverage, could decrease our cash and adversely affect our business.</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Reimbursement may be limited or unavailable in certain market segments for our product candidates, which could make it difficult for us to sell our products profitably.</w:t>
      </w:r>
    </w:p>
    <w:p>
      <w:pPr>
        <w:spacing w:after="0" w:line="18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intend to seek approval to market our future products in both the United States and in countries and territories outside the United States. If we obtain approval in one or more foreign countries, we will be subject to rules and regulations in those countries relating to our product. In some foreign countries, particularly in the European Union, the pricing of prescription pharmaceuticals and biologics is subject to governmental control. In these countries, pricing negotiations with governmental authorities can take considerable time after the receipt of marketing approval for a product candidate. In addition, market acceptance and sales of our product candidates will depend significantly on the availability of adequate coverage and reimbursement from third-party payors for any of our product candidates and may be affected by existing and future healthcare reform measures.</w:t>
      </w:r>
    </w:p>
    <w:p>
      <w:pPr>
        <w:spacing w:after="0" w:line="17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pharmaceuticals they will pay for and establish reimbursement levels. Reimbursement by a third-party payor may depend upon a number of factors, including the third-party payor’s determination that use of a product is:</w:t>
      </w:r>
    </w:p>
    <w:p>
      <w:pPr>
        <w:ind w:left="740" w:hanging="2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9" w:lineRule="exact"/>
        <w:rPr>
          <w:rFonts w:ascii="Arial" w:cs="Arial" w:eastAsia="Arial" w:hAnsi="Arial"/>
          <w:sz w:val="18"/>
          <w:szCs w:val="18"/>
          <w:color w:val="auto"/>
        </w:rPr>
      </w:pPr>
    </w:p>
    <w:p>
      <w:pPr>
        <w:ind w:left="740" w:hanging="29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7" w:name="page38"/>
    <w:bookmarkEnd w:id="37"/>
    <w:p>
      <w:pPr>
        <w:ind w:firstLine="648"/>
        <w:spacing w:after="0" w:line="253" w:lineRule="auto"/>
        <w:rPr>
          <w:sz w:val="20"/>
          <w:szCs w:val="20"/>
          <w:color w:val="auto"/>
        </w:rPr>
      </w:pPr>
      <w:r>
        <w:rPr>
          <w:rFonts w:ascii="Arial" w:cs="Arial" w:eastAsia="Arial" w:hAnsi="Arial"/>
          <w:sz w:val="18"/>
          <w:szCs w:val="18"/>
          <w:color w:val="auto"/>
        </w:rPr>
        <w:t>Obtaining coverage and reimbursement approval for a product from a government or other third-party payor is a time consuming and costly process that could require that we provide supporting scientific, clinical and cost-effectiveness data for the use of our products to the payor. We may not be able to provide data sufficient to gain acceptance with respect to coverage and reimbursement. If reimbursement of our future products is unavailable or limited in scope or amount, or if pricing is set at unsatisfactory levels, we may be unable to achieve or sustain profitability. Additionally, while we may seek approval of our products in combination with each other, there can be no guarantee that we will obtain coverage and reimbursement for any of our products together, or that such reimbursement will incentivize the use of our products in combination with each other as opposed to in combination with other agents which may be priced more favorably to the medical community.</w:t>
      </w:r>
    </w:p>
    <w:p>
      <w:pPr>
        <w:spacing w:after="0" w:line="201"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 Most recently, the Patient Protection and Affordable Care Act, as amended by the Health Care and Education Reconciliation Act of 2010, collectively, the “Affordable Care Act,” was enacted. The Affordable Care Act contains a number of provisions, including those governing enrollment in federal healthcare programs, the increased use of comparative effectiveness research on healthcare products, reimbursement and fraud and abuse changes, and a new regulatory pathway for the approval of biosimilar biological products, all of which will impact existing government healthcare programs and will result in the development of new programs. An expansion in the government’s role in the U.S. healthcare industry may further lower rates of reimbursement for pharmaceutical and biotechnology products.</w:t>
      </w:r>
    </w:p>
    <w:p>
      <w:pPr>
        <w:spacing w:after="0" w:line="17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There have been, and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 w:lineRule="exact"/>
        <w:rPr>
          <w:sz w:val="20"/>
          <w:szCs w:val="20"/>
          <w:color w:val="auto"/>
        </w:rPr>
      </w:pPr>
    </w:p>
    <w:p>
      <w:pPr>
        <w:ind w:left="660" w:hanging="21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this growth.</w:t>
      </w:r>
    </w:p>
    <w:p>
      <w:pPr>
        <w:spacing w:after="0" w:line="186"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As of May 1, 2017, we had sixty-three full and part time employees. Over time, we will need to expand our managerial, operational, financial and other resources in order to manage and fund our operations and clinical trials, continue research and development activities, and commercialize our product candidates. Our management and scientific personnel, systems and facilities currently in place may not be adequate to support our future growth. Our need to effectively manage our operations, growth, and various projects requires that we:</w:t>
      </w:r>
    </w:p>
    <w:p>
      <w:pPr>
        <w:spacing w:after="0" w:line="1" w:lineRule="exact"/>
        <w:rPr>
          <w:sz w:val="20"/>
          <w:szCs w:val="20"/>
          <w:color w:val="auto"/>
        </w:rPr>
      </w:pPr>
    </w:p>
    <w:p>
      <w:pPr>
        <w:ind w:left="660" w:hanging="21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 our clinical trials effectively;</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manage our internal development efforts effectively while carrying out our contractual obligations to licensors, contractors and other third parties;</w:t>
      </w:r>
    </w:p>
    <w:p>
      <w:pPr>
        <w:spacing w:after="0" w:line="32" w:lineRule="exact"/>
        <w:rPr>
          <w:rFonts w:ascii="Arial" w:cs="Arial" w:eastAsia="Arial" w:hAnsi="Arial"/>
          <w:sz w:val="16"/>
          <w:szCs w:val="16"/>
          <w:color w:val="auto"/>
        </w:rPr>
      </w:pPr>
    </w:p>
    <w:p>
      <w:pPr>
        <w:ind w:left="660" w:hanging="21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38" w:name="page39"/>
    <w:bookmarkEnd w:id="38"/>
    <w:p>
      <w:pPr>
        <w:ind w:right="40" w:firstLine="648"/>
        <w:spacing w:after="0" w:line="308" w:lineRule="auto"/>
        <w:rPr>
          <w:sz w:val="20"/>
          <w:szCs w:val="20"/>
          <w:color w:val="auto"/>
        </w:rPr>
      </w:pPr>
      <w:r>
        <w:rPr>
          <w:rFonts w:ascii="Arial" w:cs="Arial" w:eastAsia="Arial" w:hAnsi="Arial"/>
          <w:sz w:val="15"/>
          <w:szCs w:val="15"/>
          <w:color w:val="auto"/>
        </w:rPr>
        <w:t>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6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We will need to expand and effectively manage our managerial, operational, financial and other resources in order to successfully pursue our clinical development and commercialization efforts for our product candidates and future product candidates. We are highly dependent on the development, regulatory, commercial and financial expertise of the members of our senior management. The loss of the services of any of our senior management could delay or prevent the further development and potential commercialization of our product candidates and, if we are not successful in finding suitable replacements, could harm our business. We do not maintain “key man” insurance policies on the lives of these individuals. We will need to hire additional personnel as we continue to expand our manufacturing, research and development activities.</w:t>
      </w:r>
    </w:p>
    <w:p>
      <w:pPr>
        <w:spacing w:after="0" w:line="174" w:lineRule="exact"/>
        <w:rPr>
          <w:sz w:val="20"/>
          <w:szCs w:val="20"/>
          <w:color w:val="auto"/>
        </w:rPr>
      </w:pPr>
    </w:p>
    <w:p>
      <w:pPr>
        <w:jc w:val="both"/>
        <w:ind w:right="220" w:firstLine="648"/>
        <w:spacing w:after="0" w:line="294"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and we may not be able to do so in the future due to the intense competition for qualified personnel among biotechnology, pharmaceutical and other businesses. Our industry has experienced a high rate of turnover of management personnel in recent years.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186" w:lineRule="exact"/>
        <w:rPr>
          <w:sz w:val="20"/>
          <w:szCs w:val="20"/>
          <w:color w:val="auto"/>
        </w:rPr>
      </w:pPr>
    </w:p>
    <w:p>
      <w:pPr>
        <w:ind w:firstLine="648"/>
        <w:spacing w:after="0" w:line="306" w:lineRule="auto"/>
        <w:rPr>
          <w:sz w:val="20"/>
          <w:szCs w:val="20"/>
          <w:color w:val="auto"/>
        </w:rPr>
      </w:pPr>
      <w:r>
        <w:rPr>
          <w:rFonts w:ascii="Arial" w:cs="Arial" w:eastAsia="Arial" w:hAnsi="Arial"/>
          <w:sz w:val="15"/>
          <w:szCs w:val="15"/>
          <w:color w:val="auto"/>
        </w:rPr>
        <w:t>In addition to FDA restrictions on the marketing of pharmaceutical and biotechnology products, several other types of state and federal laws have been applied to restrict certain marketing practices in the pharmaceutical and medical device industries in recent years, as well as consulting or other service agreements with physicians or other potential referral sources. These laws include anti-kickback statutes and false claims statutes that prohibit,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federally-financed healthcare programs, and knowingly presenting, or causing to be presented, a false claim for payment to the federal government, or knowingly making, or causing to be made, a false statement to get a false claim paid. The majority of states also have statutes or regulations similar to the federal anti-kickback law and false claims laws, which apply to items and services reimbursed under Medicaid and other state programs, or, in several states, apply regardless of the payor. Although there are a number of statutory exemptions and regulatory safe harbors protecting certain common activities from prosecution, the exemptions and safe harbors are drawn narrowly, and any practices we adopt may not, in all cases, meet all of the criteria for safe harbor protection from anti-kickback liability. Sanctions under these federal and state laws may include civil monetary penalties, exclusion of a manufacturer’s products from reimbursement under government programs, criminal fines and imprisonment. Any challenge to its business practices under these laws could have a material adverse effect on our business, financial condition, and results of operations.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9" w:name="page40"/>
    <w:bookmarkEnd w:id="39"/>
    <w:p>
      <w:pPr>
        <w:ind w:right="100"/>
        <w:spacing w:after="0" w:line="268" w:lineRule="auto"/>
        <w:rPr>
          <w:sz w:val="20"/>
          <w:szCs w:val="20"/>
          <w:color w:val="auto"/>
        </w:rPr>
      </w:pPr>
      <w:r>
        <w:rPr>
          <w:rFonts w:ascii="Arial" w:cs="Arial" w:eastAsia="Arial" w:hAnsi="Arial"/>
          <w:sz w:val="18"/>
          <w:szCs w:val="18"/>
          <w:b w:val="1"/>
          <w:bCs w:val="1"/>
          <w:i w:val="1"/>
          <w:iCs w:val="1"/>
          <w:color w:val="auto"/>
        </w:rPr>
        <w:t>We use biological and hazardous materials, and any claims relating to improper handling, storage or disposal of these materials could be time consuming or costly.</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use hazardous materials, including chemicals and biological agents and compounds, which could be dangerous to human health and safety or the environment. Our operations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pharmaceutical development efforts.</w:t>
      </w:r>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In addition, we cannot entirely eliminate the risk of accidental injury or contamination from these materials or wastes. If one of our employees was accidentally injured from the use, storage, handling or disposal of these materials or wastes, the medical costs related to his or her treatment would be covered by our workers’ compensation insurance policy. However, we do not carry specific biological or hazardous waste insurance coverage and our property and casualty and general liability insurance policies specifically exclude coverage for damages and fines arising from biological or hazardous waste exposure or contamination. Accordingly, in the event of contamination or injury, we could be held liable for damages or penalized with fines in an amount exceeding our resources, and our clinical trials or regulatory approvals could be suspended, or operations otherwise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0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Acquisitions</w:t>
      </w:r>
    </w:p>
    <w:p>
      <w:pPr>
        <w:spacing w:after="0" w:line="23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b w:val="1"/>
          <w:bCs w:val="1"/>
          <w:i w:val="1"/>
          <w:iCs w:val="1"/>
          <w:color w:val="auto"/>
        </w:rPr>
        <w:t>Acquisitions, investments and strategic alliances that we may make in the future may use significant resources, result in disruptions to our business or distractions of our management, may not proceed as planned, and could expose us to unforeseen liabilities.</w:t>
      </w:r>
    </w:p>
    <w:p>
      <w:pPr>
        <w:spacing w:after="0" w:line="139" w:lineRule="exact"/>
        <w:rPr>
          <w:sz w:val="20"/>
          <w:szCs w:val="20"/>
          <w:color w:val="auto"/>
        </w:rPr>
      </w:pPr>
    </w:p>
    <w:p>
      <w:pPr>
        <w:ind w:right="440" w:firstLine="648"/>
        <w:spacing w:after="0" w:line="286" w:lineRule="auto"/>
        <w:rPr>
          <w:sz w:val="20"/>
          <w:szCs w:val="20"/>
          <w:color w:val="auto"/>
        </w:rPr>
      </w:pPr>
      <w:r>
        <w:rPr>
          <w:rFonts w:ascii="Arial" w:cs="Arial" w:eastAsia="Arial" w:hAnsi="Arial"/>
          <w:sz w:val="16"/>
          <w:szCs w:val="16"/>
          <w:color w:val="auto"/>
        </w:rPr>
        <w:t>We may seek to expand our business through the acquisition of, investments in and strategic alliances with companies, technologies, products, and services. Acquisitions, investments and strategic alliances involve a number of special problems and risks, including, but not limited to:</w:t>
      </w: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integrating acquired technologies, products, services, operations and personnel with the existing businesses;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in connection with both negotiating the acquisitions and integrating the businesses;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9"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implementing and maintaining effective internal control over financial reporting at businesses that we acquire, particularly if they are not located near our existing operations;</w:t>
      </w: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costly and time-consuming litigation, including stockholder lawsuits;</w:t>
      </w:r>
    </w:p>
    <w:p>
      <w:pPr>
        <w:spacing w:after="0" w:line="9"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issuance of securities to equity holders of the company being acquired with rights that are superior to the rights of holders of our common stock or which may have a dilutive effect on our stockholders;</w:t>
      </w: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of loss of invested capital;</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incur additional debt or use cash;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requirement to record potentially significant additional future operating costs for the amortization of intangible assets.</w:t>
      </w:r>
    </w:p>
    <w:p>
      <w:pPr>
        <w:spacing w:after="0" w:line="21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a result of these or other problems and risks, businesses we acquire may not produce the revenues, earnings, or business synergies that we anticipated, and acquired products, services, or technologies might not perform as we expected. As a result, we may incur higher costs and realize lower revenues than we had anticipated. We may not be able to successfully address these problems and we cannot assure you that the acquisitions will be successfully identified and completed or that, if acquisitions are completed, the acquired businesses, products, services, or technologies will generate sufficient revenue to offset the associated costs or other negative effects on our business.</w:t>
      </w:r>
    </w:p>
    <w:p>
      <w:pPr>
        <w:spacing w:after="0" w:line="197" w:lineRule="exact"/>
        <w:rPr>
          <w:sz w:val="20"/>
          <w:szCs w:val="20"/>
          <w:color w:val="auto"/>
        </w:rPr>
      </w:pPr>
    </w:p>
    <w:p>
      <w:pPr>
        <w:ind w:right="500" w:firstLine="648"/>
        <w:spacing w:after="0" w:line="268" w:lineRule="auto"/>
        <w:rPr>
          <w:sz w:val="20"/>
          <w:szCs w:val="20"/>
          <w:color w:val="auto"/>
        </w:rPr>
      </w:pPr>
      <w:r>
        <w:rPr>
          <w:rFonts w:ascii="Arial" w:cs="Arial" w:eastAsia="Arial" w:hAnsi="Arial"/>
          <w:sz w:val="18"/>
          <w:szCs w:val="18"/>
          <w:color w:val="auto"/>
        </w:rPr>
        <w:t>Any of these risks can be greater if an acquisition is large relative to our size. Failure to effectively manage our growth through acquisitions could adversely affect our growth prospects, business, results of operations, financial condition and cash flows.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63"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upon our ability to protect our intellectual property and proprietary technologies, and the intellectual property protection for our product candidates depends significantly on third parties.</w:t>
      </w:r>
    </w:p>
    <w:p>
      <w:pPr>
        <w:spacing w:after="0" w:line="186" w:lineRule="exact"/>
        <w:rPr>
          <w:sz w:val="20"/>
          <w:szCs w:val="20"/>
          <w:color w:val="auto"/>
        </w:rPr>
      </w:pPr>
    </w:p>
    <w:p>
      <w:pPr>
        <w:ind w:right="440" w:firstLine="648"/>
        <w:spacing w:after="0" w:line="318" w:lineRule="auto"/>
        <w:rPr>
          <w:sz w:val="20"/>
          <w:szCs w:val="20"/>
          <w:color w:val="auto"/>
        </w:rPr>
      </w:pPr>
      <w:r>
        <w:rPr>
          <w:rFonts w:ascii="Arial" w:cs="Arial" w:eastAsia="Arial" w:hAnsi="Arial"/>
          <w:sz w:val="15"/>
          <w:szCs w:val="15"/>
          <w:color w:val="auto"/>
        </w:rPr>
        <w:t>Our commercial success depends on obtaining and maintaining patent protection and trade secret protection for our product candidates and their formulations and uses, as well as successfully defending these patents against third-party challenges. If any of our licensors or partners fails to appropriately prosecute and maintain patent protection for these product candidates,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have a material adverse effect on our financial condition and results of operations.</w:t>
      </w:r>
    </w:p>
    <w:p>
      <w:pPr>
        <w:spacing w:after="0" w:line="15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Currently, the composition of matter patent and several method of use patents for TG-1101 and TGR-1202 in various indications and settings have been applied for but have not yet been issued, or have been issued in certain territories but not under all jurisdictions in which such applications have been filed. While composition of matter patents have been granted in the US for TG-1101 and TGR-1202, no patents to date have been issued for our IRAK4 inhibitor and anti-PD-L1 and anti-GITR programs.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15" w:lineRule="exact"/>
        <w:rPr>
          <w:sz w:val="20"/>
          <w:szCs w:val="20"/>
          <w:color w:val="auto"/>
        </w:rPr>
      </w:pPr>
    </w:p>
    <w:p>
      <w:pPr>
        <w:ind w:left="660" w:hanging="21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9"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660" w:hanging="21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March 16, 2013, the U.S. converted from a “first to invent” to a “first to file” system. If we do not win the filing race, we will not be entitled to inventive priority;</w:t>
      </w:r>
    </w:p>
    <w:p>
      <w:pPr>
        <w:jc w:val="both"/>
        <w:ind w:left="660" w:hanging="21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make, use, and sell our potential products either in the United States or in international markets;</w:t>
      </w:r>
    </w:p>
    <w:p>
      <w:pPr>
        <w:spacing w:after="0" w:line="1" w:lineRule="exact"/>
        <w:rPr>
          <w:rFonts w:ascii="Arial" w:cs="Arial" w:eastAsia="Arial" w:hAnsi="Arial"/>
          <w:sz w:val="18"/>
          <w:szCs w:val="18"/>
          <w:color w:val="auto"/>
        </w:rPr>
      </w:pPr>
    </w:p>
    <w:p>
      <w:pPr>
        <w:ind w:left="660" w:hanging="21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6"/>
          <w:szCs w:val="16"/>
          <w:color w:val="auto"/>
        </w:rPr>
      </w:pPr>
    </w:p>
    <w:p>
      <w:pPr>
        <w:ind w:left="660" w:hanging="218"/>
        <w:spacing w:after="0" w:line="26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48"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In addition to patents, we and our partners also rely on trade secrets and proprietary know-how. Although we have taken steps to protect our trade secrets and unpatented know-how, including entering into confidentiality agreements with third parties, and confidential information and inventions agreements with employees, consultants and advisors, third parties may still obtain this information or we may be unable to protect its rights. If any of these events occurs, or we otherwise lose protection for our trade secrets or proprietary know-how, the value of this information may be greatly reduced.</w:t>
      </w:r>
    </w:p>
    <w:p>
      <w:pPr>
        <w:spacing w:after="0" w:line="167"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commercial success also depends upon our ability and the ability of any of our future collaborators to develop, manufacture, market and sell our product candidates without infringing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For example, Roche has the Cabilly patents in the U.S. that block the commercialization of antibody products derived from a single cell line, like TG-1101. Also, Roche, Biogen Idec, and Genentech hold patents for the use of anti-CD20 antibodies utilized in the treatment of CLL in the U.S. While these patents have been challenged, to the best of our knowledge, those matters were settled in a way that permitted additional anti-CD20 antibodies to be marketed for CLL. If those patents are still enforced at the time we are intending to launch TG-1101, then we will need to either prevail in a litigation to challenge those patents or negotiate a settlement agreement with the patent holders. If we are unable to do so we may be forced to delay the launch of TG-1101 or launch at the risk of litigation for patent infringement, which may have a material adverse effect on our business and results of operations.</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1" w:name="page42"/>
    <w:bookmarkEnd w:id="41"/>
    <w:p>
      <w:pPr>
        <w:ind w:right="420" w:firstLine="648"/>
        <w:spacing w:after="0" w:line="259" w:lineRule="auto"/>
        <w:rPr>
          <w:sz w:val="20"/>
          <w:szCs w:val="20"/>
          <w:color w:val="auto"/>
        </w:rPr>
      </w:pPr>
      <w:r>
        <w:rPr>
          <w:rFonts w:ascii="Arial" w:cs="Arial" w:eastAsia="Arial" w:hAnsi="Arial"/>
          <w:sz w:val="18"/>
          <w:szCs w:val="18"/>
          <w:color w:val="auto"/>
        </w:rPr>
        <w:t>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w:t>
      </w:r>
    </w:p>
    <w:p>
      <w:pPr>
        <w:spacing w:after="0" w:line="194" w:lineRule="exact"/>
        <w:rPr>
          <w:sz w:val="20"/>
          <w:szCs w:val="20"/>
          <w:color w:val="auto"/>
        </w:rPr>
      </w:pPr>
    </w:p>
    <w:p>
      <w:pPr>
        <w:ind w:right="180" w:firstLine="648"/>
        <w:spacing w:after="0" w:line="332"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biopharmaceutical industries generally. If a third party claims that we or any collaborators of ours infringe their intellectual property rights, we may have to:</w:t>
      </w:r>
    </w:p>
    <w:p>
      <w:pPr>
        <w:spacing w:after="0" w:line="139" w:lineRule="exact"/>
        <w:rPr>
          <w:sz w:val="20"/>
          <w:szCs w:val="20"/>
          <w:color w:val="auto"/>
        </w:rPr>
      </w:pPr>
    </w:p>
    <w:p>
      <w:pPr>
        <w:ind w:left="660" w:hanging="21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15" w:lineRule="exact"/>
        <w:rPr>
          <w:rFonts w:ascii="Arial" w:cs="Arial" w:eastAsia="Arial" w:hAnsi="Arial"/>
          <w:sz w:val="18"/>
          <w:szCs w:val="18"/>
          <w:color w:val="auto"/>
        </w:rPr>
      </w:pPr>
    </w:p>
    <w:p>
      <w:pPr>
        <w:ind w:left="660" w:hanging="21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 an infringing product candidate or redesign its products or processes to avoid infringement;</w:t>
      </w:r>
    </w:p>
    <w:p>
      <w:pPr>
        <w:spacing w:after="0" w:line="9" w:lineRule="exact"/>
        <w:rPr>
          <w:rFonts w:ascii="Arial" w:cs="Arial" w:eastAsia="Arial" w:hAnsi="Arial"/>
          <w:sz w:val="18"/>
          <w:szCs w:val="18"/>
          <w:color w:val="auto"/>
        </w:rPr>
      </w:pPr>
    </w:p>
    <w:p>
      <w:pPr>
        <w:ind w:left="660" w:hanging="21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and attorneys’ fees, which we may have to pay if a court decides that the product or proprietary technology at issue infringes on or violates the third party’s rights;</w:t>
      </w:r>
    </w:p>
    <w:p>
      <w:pPr>
        <w:ind w:left="660" w:hanging="21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royalties, fees and/or grant cross licenses to our technology; and/or</w:t>
      </w:r>
    </w:p>
    <w:p>
      <w:pPr>
        <w:spacing w:after="0" w:line="9" w:lineRule="exact"/>
        <w:rPr>
          <w:rFonts w:ascii="Arial" w:cs="Arial" w:eastAsia="Arial" w:hAnsi="Arial"/>
          <w:sz w:val="18"/>
          <w:szCs w:val="18"/>
          <w:color w:val="auto"/>
        </w:rPr>
      </w:pPr>
    </w:p>
    <w:p>
      <w:pPr>
        <w:ind w:left="660" w:hanging="21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 litigation or administrative proceedings which may be costly whether we win or lose, and which could result in a substantial diversion of our financial and management resources.</w:t>
      </w:r>
    </w:p>
    <w:p>
      <w:pPr>
        <w:spacing w:after="0" w:line="192"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The adverse result could also put related patent applications at risk of not issuing.</w:t>
      </w:r>
    </w:p>
    <w:p>
      <w:pPr>
        <w:spacing w:after="0" w:line="198"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Interference proceedings provoked by third parties or brought by the U.S. Patent and Trademark Office (“PTO”)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4"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consultants or independent contractors have wrongfully used or disclosed alleged trade secrets of their other clients or former employers to it.</w:t>
      </w:r>
    </w:p>
    <w:p>
      <w:pPr>
        <w:spacing w:after="0" w:line="18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As is common in the biotechnology and pharmaceutical industry, we engage the services of consultants to assist us in the development of our product candidates. Many of these consultants were previously employed at, may have previously been, or are currently providing consulting services to, other biotechnology or pharmaceutical companies, including our competitors or potential competitors. Although no claims against us are currently pending, we may be subject to claims that these consultants or we have inadvertently or otherwise used or disclosed trade secrets or other proprietary information of their former employers or their former or current customers. Litigation may be necessary to defend against these claims. Even if we are successful in defending against these claims, litigation could result in substantial costs and be a distraction to management and day-to-day business operations.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auto"/>
        </w:rPr>
        <w:t>Risks Relating to Our Finances and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raise additional capital to continue to operate our business.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March 31, 2017, we had approximately $109.5 million in cash, cash equivalents, investment securities, and interest receivable, which we believe will be sufficient to fund the company’s planned operations through 2018. As a result, we will need additional capital to continue our operations beyond that time. 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and marketing efforts and forego attractive business opportunities. Any additional sources of financing will likely involve the issuance of our equity securities, which would have a dilutive effect to stockholders.</w:t>
      </w:r>
    </w:p>
    <w:p>
      <w:pPr>
        <w:spacing w:after="0" w:line="172" w:lineRule="exact"/>
        <w:rPr>
          <w:sz w:val="20"/>
          <w:szCs w:val="20"/>
          <w:color w:val="auto"/>
        </w:rPr>
      </w:pPr>
    </w:p>
    <w:p>
      <w:pPr>
        <w:ind w:right="300" w:firstLine="648"/>
        <w:spacing w:after="0" w:line="332" w:lineRule="auto"/>
        <w:rPr>
          <w:sz w:val="20"/>
          <w:szCs w:val="20"/>
          <w:color w:val="auto"/>
        </w:rPr>
      </w:pPr>
      <w:r>
        <w:rPr>
          <w:rFonts w:ascii="Arial" w:cs="Arial" w:eastAsia="Arial" w:hAnsi="Arial"/>
          <w:sz w:val="16"/>
          <w:szCs w:val="16"/>
          <w:color w:val="auto"/>
        </w:rPr>
        <w:t>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w:t>
      </w:r>
    </w:p>
    <w:p>
      <w:pPr>
        <w:spacing w:after="0" w:line="139"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We have a history of operating losses, expect to continue to incur losses, and are unable to predict the extent of future losses or when we will become profitable, if ever.</w:t>
      </w:r>
    </w:p>
    <w:p>
      <w:pPr>
        <w:spacing w:after="0" w:line="18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not yet applied for or demonstrated an ability to obtain regulatory approval for or commercialize a product candidate. Our short operating history makes it difficult to evaluate our business prospects and consequently, any predictions about our future performance may not be as accurate as they could be if we had a history of successfully developing and commercializing pharmaceutical or biotechnology products. Our prospects must be considered in light of the uncertainties, risks, expenses and difficulties frequently encountered by companies in the early stages of operations and the competitive environment in which we operate.</w:t>
      </w:r>
    </w:p>
    <w:p>
      <w:pPr>
        <w:spacing w:after="0" w:line="19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never been profitable and, as of March 31, 2017, we had an accumulated deficit of $264.1 million. We have generated operating losses in all periods since we were incorporated. We expect to make substantial expenditures resulting in increased operating costs in the future and our accumulated deficit will increase significantly as we expand development and clinical trial efforts for our product candidates. Our losses have had, and are expected to continue to have, an adverse impact on our working capital, total assets and stockholders’ equity. Because of the risks and uncertainties associated with product development, we are unable to predict the extent of any future losses or when we will become profitable, if ever. Even if we achieve profitability, we may not be able to sustain or increase profitability on an ongoing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become profitable.</w:t>
      </w:r>
    </w:p>
    <w:p>
      <w:pPr>
        <w:spacing w:after="0" w:line="225" w:lineRule="exact"/>
        <w:rPr>
          <w:sz w:val="20"/>
          <w:szCs w:val="20"/>
          <w:color w:val="auto"/>
        </w:rPr>
      </w:pPr>
    </w:p>
    <w:p>
      <w:pPr>
        <w:ind w:right="280" w:firstLine="648"/>
        <w:spacing w:after="0" w:line="283" w:lineRule="auto"/>
        <w:rPr>
          <w:sz w:val="20"/>
          <w:szCs w:val="20"/>
          <w:color w:val="auto"/>
        </w:rPr>
      </w:pPr>
      <w:r>
        <w:rPr>
          <w:rFonts w:ascii="Arial" w:cs="Arial" w:eastAsia="Arial" w:hAnsi="Arial"/>
          <w:sz w:val="16"/>
          <w:szCs w:val="16"/>
          <w:color w:val="auto"/>
        </w:rPr>
        <w:t>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 (or utilize early access programs to generate such revenue). To date, our product candidates have not generated any revenues, and we do not know when, or if, we will generate any revenue. Our ability to generate revenue depends on a number of factors, including, but not limited to:</w:t>
      </w:r>
    </w:p>
    <w:p>
      <w:pPr>
        <w:spacing w:after="0" w:line="3" w:lineRule="exact"/>
        <w:rPr>
          <w:sz w:val="20"/>
          <w:szCs w:val="20"/>
          <w:color w:val="auto"/>
        </w:rPr>
      </w:pPr>
    </w:p>
    <w:p>
      <w:pPr>
        <w:ind w:left="660" w:hanging="218"/>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successful completion of preclinical studies of our product candidates;</w:t>
      </w:r>
    </w:p>
    <w:p>
      <w:pPr>
        <w:spacing w:after="0" w:line="9" w:lineRule="exact"/>
        <w:rPr>
          <w:rFonts w:ascii="Arial" w:cs="Arial" w:eastAsia="Arial" w:hAnsi="Arial"/>
          <w:sz w:val="18"/>
          <w:szCs w:val="18"/>
          <w:b w:val="1"/>
          <w:bCs w:val="1"/>
          <w:color w:val="auto"/>
        </w:rPr>
      </w:pPr>
    </w:p>
    <w:p>
      <w:pPr>
        <w:ind w:left="660" w:hanging="218"/>
        <w:spacing w:after="0"/>
        <w:tabs>
          <w:tab w:leader="none" w:pos="66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successful commencement and completion of clinical trials of our product candidates and any future product candidates we advance into clinical trials;</w:t>
      </w:r>
    </w:p>
    <w:p>
      <w:pPr>
        <w:spacing w:after="0" w:line="32" w:lineRule="exact"/>
        <w:rPr>
          <w:rFonts w:ascii="Arial" w:cs="Arial" w:eastAsia="Arial" w:hAnsi="Arial"/>
          <w:sz w:val="16"/>
          <w:szCs w:val="16"/>
          <w:b w:val="1"/>
          <w:bCs w:val="1"/>
          <w:color w:val="auto"/>
        </w:rPr>
      </w:pPr>
    </w:p>
    <w:p>
      <w:pPr>
        <w:ind w:left="660" w:hanging="218"/>
        <w:spacing w:after="0" w:line="250"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achievement of regulatory approval for our product candidates and any future product candidates we advance into clinical trials (unless we successfully utilize early access programs which allow for revenue generation prior to approval);</w:t>
      </w:r>
    </w:p>
    <w:p>
      <w:pPr>
        <w:ind w:left="660" w:hanging="218"/>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manufacturing commercial quantities of our products at acceptable cost levels if regulatory approvals are obtained;</w:t>
      </w:r>
    </w:p>
    <w:p>
      <w:pPr>
        <w:spacing w:after="0" w:line="9" w:lineRule="exact"/>
        <w:rPr>
          <w:rFonts w:ascii="Arial" w:cs="Arial" w:eastAsia="Arial" w:hAnsi="Arial"/>
          <w:sz w:val="18"/>
          <w:szCs w:val="18"/>
          <w:b w:val="1"/>
          <w:bCs w:val="1"/>
          <w:color w:val="auto"/>
        </w:rPr>
      </w:pPr>
    </w:p>
    <w:p>
      <w:pPr>
        <w:ind w:left="660" w:hanging="21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sales, distribution and marketing of our future products, if any;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entry into collaborative arrangements or co-promotion agreements to market and sell our products.</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will need substantial additional funding and may be unable to raise capital when needed, which would force us to delay, reduce or eliminate our development programs or commercialization efforts.</w:t>
      </w:r>
    </w:p>
    <w:p>
      <w:pPr>
        <w:spacing w:after="0" w:line="186"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We expect to spend substantial amounts on development, including significant amounts on conducting clinical trials for our product candidates, manufacturing clinical supplies and expanding our pharmaceutical development programs. We expect that our monthly cash used by operations will continue to increase for the next several years. We anticipate that we will continue to incur operating losses for the foreseeable future.</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3" w:name="page44"/>
    <w:bookmarkEnd w:id="43"/>
    <w:p>
      <w:pPr>
        <w:ind w:right="160" w:firstLine="648"/>
        <w:spacing w:after="0" w:line="291" w:lineRule="auto"/>
        <w:rPr>
          <w:sz w:val="20"/>
          <w:szCs w:val="20"/>
          <w:color w:val="auto"/>
        </w:rPr>
      </w:pPr>
      <w:r>
        <w:rPr>
          <w:rFonts w:ascii="Arial" w:cs="Arial" w:eastAsia="Arial" w:hAnsi="Arial"/>
          <w:sz w:val="16"/>
          <w:szCs w:val="16"/>
          <w:color w:val="auto"/>
        </w:rPr>
        <w:t>We will require substantial additional funds to support our continued research and development activities, as well as the anticipated costs of preclinical studies and clinical trials, regulatory approvals, and eventual commercialization. We anticipate that we will incur operating losses for the foreseeable future. We have based these estimates, however, on assumptions that may prove to be wrong, and we could expend our available financial resources much faster than we currently expect. Further, we will need to raise additional capital to fund our operations and continue to conduct clinical trials to support potential regulatory approval of marketing applications. Future capital requirements will also depend on the extent to which we acquire or in-license additional product candidates. We currently have no commitments or agreements relating to any of these types of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660" w:hanging="218"/>
        <w:spacing w:after="0" w:line="25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jc w:val="both"/>
        <w:ind w:right="60" w:firstLine="648"/>
        <w:spacing w:after="0" w:line="303" w:lineRule="auto"/>
        <w:rPr>
          <w:sz w:val="20"/>
          <w:szCs w:val="20"/>
          <w:color w:val="auto"/>
        </w:rPr>
      </w:pPr>
      <w:r>
        <w:rPr>
          <w:rFonts w:ascii="Arial" w:cs="Arial" w:eastAsia="Arial" w:hAnsi="Arial"/>
          <w:sz w:val="15"/>
          <w:szCs w:val="15"/>
          <w:color w:val="auto"/>
        </w:rPr>
        <w:t>Until we can generate a sufficient amount of product revenue and achieve profitability, we expect to finance future cash needs through public or private equity offerings, debt financings or corporate collaboration and licensing arrangements, as well as through interest income earned on cash balances. If we were to be unable to raise additional capital, we would have to significantly delay, scale back or discontinue one or more of our pharmaceutical development programs.</w:t>
      </w:r>
    </w:p>
    <w:p>
      <w:pPr>
        <w:spacing w:after="0" w:line="1"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We also may be required to relinquish, license or otherwise dispose of rights to product candidates or products that it would otherwise seek to develop or commercialize itself on terms that are less favorable than might otherwise be available.</w:t>
      </w:r>
    </w:p>
    <w:p>
      <w:pPr>
        <w:spacing w:after="0" w:line="19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86" w:lineRule="exact"/>
        <w:rPr>
          <w:sz w:val="20"/>
          <w:szCs w:val="20"/>
          <w:color w:val="auto"/>
        </w:rPr>
      </w:pPr>
    </w:p>
    <w:p>
      <w:pPr>
        <w:ind w:right="200" w:firstLine="648"/>
        <w:spacing w:after="0" w:line="298" w:lineRule="auto"/>
        <w:rPr>
          <w:sz w:val="20"/>
          <w:szCs w:val="20"/>
          <w:color w:val="auto"/>
        </w:rPr>
      </w:pPr>
      <w:r>
        <w:rPr>
          <w:rFonts w:ascii="Arial" w:cs="Arial" w:eastAsia="Arial" w:hAnsi="Arial"/>
          <w:sz w:val="16"/>
          <w:szCs w:val="16"/>
          <w:color w:val="auto"/>
        </w:rPr>
        <w:t>We may raise additional funds through public or private equity offerings, debt financings or licensing arrangements. To the extent that we raise additional capital by issuing equity securities, the share ownership of existing stockholders will be diluted. Any future debt financing we enter into may involve covenants that restrict our operations, including limitations on our ability to incur liens or additional debt, pay dividends, redeem our stock, make certain investments and engage in certain merger, consolidation or asset sale transactions, among other restrictions.</w:t>
      </w:r>
    </w:p>
    <w:p>
      <w:pPr>
        <w:spacing w:after="0" w:line="167" w:lineRule="exact"/>
        <w:rPr>
          <w:sz w:val="20"/>
          <w:szCs w:val="20"/>
          <w:color w:val="auto"/>
        </w:rPr>
      </w:pPr>
    </w:p>
    <w:p>
      <w:pPr>
        <w:ind w:right="300" w:firstLine="648"/>
        <w:spacing w:after="0" w:line="256" w:lineRule="auto"/>
        <w:rPr>
          <w:sz w:val="20"/>
          <w:szCs w:val="20"/>
          <w:color w:val="auto"/>
        </w:rPr>
      </w:pPr>
      <w:r>
        <w:rPr>
          <w:rFonts w:ascii="Arial" w:cs="Arial" w:eastAsia="Arial" w:hAnsi="Arial"/>
          <w:sz w:val="18"/>
          <w:szCs w:val="18"/>
          <w:color w:val="auto"/>
        </w:rPr>
        <w:t>In addition, if we raise additional funds through licensing arrangements, it may be necessary to relinquish potentially valuable rights to our product candidates, or grant licenses on terms that are not favorable to us. If adequate funds are not available, our ability to achieve profitability or to respond to competitive pressures would be significantly limited and we may be required to delay, significantly curtail or eliminate the development of one or more of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controlled by current officers, directors and principal stockholders.</w:t>
      </w:r>
    </w:p>
    <w:p>
      <w:pPr>
        <w:spacing w:after="0" w:line="225" w:lineRule="exact"/>
        <w:rPr>
          <w:sz w:val="20"/>
          <w:szCs w:val="20"/>
          <w:color w:val="auto"/>
        </w:rPr>
      </w:pPr>
    </w:p>
    <w:p>
      <w:pPr>
        <w:ind w:right="280" w:firstLine="648"/>
        <w:spacing w:after="0" w:line="306" w:lineRule="auto"/>
        <w:rPr>
          <w:sz w:val="20"/>
          <w:szCs w:val="20"/>
          <w:color w:val="auto"/>
        </w:rPr>
      </w:pPr>
      <w:r>
        <w:rPr>
          <w:rFonts w:ascii="Arial" w:cs="Arial" w:eastAsia="Arial" w:hAnsi="Arial"/>
          <w:sz w:val="16"/>
          <w:szCs w:val="16"/>
          <w:color w:val="auto"/>
        </w:rPr>
        <w:t>Our directors, executive officers, their affiliates, and our principal stockholders beneficially own approximately 45% of our outstanding voting stock, including shares underlying outstanding options and warrants. Our directors, officers and principal stockholders, taken as a whole, have the ability to exert substantial influence over the election of our Board of Directors and the outcome of issues submitted to our stockholders.</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86" w:lineRule="exact"/>
        <w:rPr>
          <w:sz w:val="20"/>
          <w:szCs w:val="20"/>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5"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660" w:hanging="21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19"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and any return on investment may be limited to the value of your stock.</w:t>
      </w:r>
    </w:p>
    <w:p>
      <w:pPr>
        <w:spacing w:after="0" w:line="18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have never paid dividends on our common stock and do not anticipate paying any dividends for the foreseeable future. You should not rely on an investment in our stock if you require dividend income. Further, you will only realize income on an investment in our stock in the event you sell or otherwise dispose of your shares at a price higher than the price you paid for your shares. Such a gain would result only from an increase in the market price of our common stock, which is uncertain and unpredictable.</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00" w:lineRule="exact"/>
        <w:rPr>
          <w:sz w:val="20"/>
          <w:szCs w:val="20"/>
          <w:color w:val="auto"/>
        </w:rPr>
      </w:pPr>
    </w:p>
    <w:p>
      <w:pPr>
        <w:spacing w:after="0" w:line="24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31.1</w:t>
            </w:r>
          </w:p>
        </w:tc>
        <w:tc>
          <w:tcPr>
            <w:tcW w:w="10180" w:type="dxa"/>
            <w:vAlign w:val="bottom"/>
          </w:tcPr>
          <w:p>
            <w:pPr>
              <w:ind w:left="300"/>
              <w:spacing w:after="0"/>
              <w:rPr>
                <w:sz w:val="20"/>
                <w:szCs w:val="20"/>
                <w:color w:val="auto"/>
              </w:rPr>
            </w:pPr>
            <w:r>
              <w:rPr>
                <w:rFonts w:ascii="Arial" w:cs="Arial" w:eastAsia="Arial" w:hAnsi="Arial"/>
                <w:sz w:val="18"/>
                <w:szCs w:val="18"/>
                <w:color w:val="auto"/>
                <w:w w:val="90"/>
              </w:rPr>
              <w:t>Certification of Chief Executive Officer pursuant to Rule 13a-14(a)/15d-14(a), as adopted pursuant to Section 302 of the Sarbanes-Oxley</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Act of 2002, dated May 10,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Rule 13a-14(a)/15d-14(a), as adopted pursuant to Section 302 of the Sarbanes-Oxley Act</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of 2002, dated May 10,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101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 of</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2002, dated May 10, 2017.</w:t>
            </w:r>
          </w:p>
        </w:tc>
      </w:tr>
      <w:tr>
        <w:trPr>
          <w:trHeight w:val="426"/>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18 U.S.C. §1350, as adopted pursuant to Section 906 of the Sarbanes-Oxley Act of 2002,</w:t>
            </w:r>
          </w:p>
        </w:tc>
      </w:tr>
      <w:tr>
        <w:trPr>
          <w:trHeight w:val="222"/>
        </w:trPr>
        <w:tc>
          <w:tcPr>
            <w:tcW w:w="6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dated May 10, 2017.</w:t>
            </w:r>
          </w:p>
        </w:tc>
      </w:tr>
    </w:tbl>
    <w:p>
      <w:pPr>
        <w:spacing w:after="0" w:line="210" w:lineRule="exact"/>
        <w:rPr>
          <w:sz w:val="20"/>
          <w:szCs w:val="20"/>
          <w:color w:val="auto"/>
        </w:rPr>
      </w:pPr>
    </w:p>
    <w:p>
      <w:pPr>
        <w:ind w:left="1320" w:hanging="911"/>
        <w:spacing w:after="0" w:line="298" w:lineRule="auto"/>
        <w:tabs>
          <w:tab w:leader="none" w:pos="1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2017,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148590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557"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TG THERAPEUTICS, INC.</w:t>
      </w:r>
    </w:p>
    <w:p>
      <w:pPr>
        <w:spacing w:after="0" w:line="225" w:lineRule="exact"/>
        <w:rPr>
          <w:sz w:val="20"/>
          <w:szCs w:val="20"/>
          <w:color w:val="auto"/>
        </w:rPr>
      </w:pPr>
    </w:p>
    <w:p>
      <w:pPr>
        <w:ind w:left="180"/>
        <w:spacing w:after="0"/>
        <w:tabs>
          <w:tab w:leader="none" w:pos="552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5"/>
          <w:szCs w:val="15"/>
          <w:color w:val="auto"/>
        </w:rPr>
        <w:t>By: /s/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10795</wp:posOffset>
            </wp:positionV>
            <wp:extent cx="383349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33495" cy="17145"/>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3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773" w:right="9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1018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1200" w:type="dxa"/>
            <w:vAlign w:val="bottom"/>
            <w:gridSpan w:val="2"/>
          </w:tcPr>
          <w:p>
            <w:pPr>
              <w:spacing w:after="0"/>
              <w:rPr>
                <w:sz w:val="20"/>
                <w:szCs w:val="20"/>
                <w:color w:val="auto"/>
              </w:rPr>
            </w:pPr>
            <w:r>
              <w:rPr>
                <w:rFonts w:ascii="Arial" w:cs="Arial" w:eastAsia="Arial" w:hAnsi="Arial"/>
                <w:sz w:val="18"/>
                <w:szCs w:val="18"/>
                <w:color w:val="auto"/>
              </w:rPr>
              <w:t>The following exhibits are included as part of this Quarterly Report on Form 10-Q:</w:t>
            </w:r>
          </w:p>
        </w:tc>
      </w:tr>
      <w:tr>
        <w:trPr>
          <w:trHeight w:val="426"/>
        </w:trPr>
        <w:tc>
          <w:tcPr>
            <w:tcW w:w="102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10180" w:type="dxa"/>
            <w:vAlign w:val="bottom"/>
          </w:tcPr>
          <w:p>
            <w:pPr>
              <w:ind w:left="300"/>
              <w:spacing w:after="0"/>
              <w:rPr>
                <w:sz w:val="20"/>
                <w:szCs w:val="20"/>
                <w:color w:val="auto"/>
              </w:rPr>
            </w:pPr>
            <w:r>
              <w:rPr>
                <w:rFonts w:ascii="Arial" w:cs="Arial" w:eastAsia="Arial" w:hAnsi="Arial"/>
                <w:sz w:val="18"/>
                <w:szCs w:val="18"/>
                <w:color w:val="auto"/>
                <w:w w:val="90"/>
              </w:rPr>
              <w:t>Certification of Chief Executive Officer pursuant to Rule 13a-14(a)/15d-14(a), as adopted pursuant to Section 302 of the Sarbanes-Oxley</w:t>
            </w:r>
          </w:p>
        </w:tc>
      </w:tr>
      <w:tr>
        <w:trPr>
          <w:trHeight w:val="222"/>
        </w:trPr>
        <w:tc>
          <w:tcPr>
            <w:tcW w:w="10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Act of 2002, dated May 10, 2017.</w:t>
            </w:r>
          </w:p>
        </w:tc>
      </w:tr>
      <w:tr>
        <w:trPr>
          <w:trHeight w:val="426"/>
        </w:trPr>
        <w:tc>
          <w:tcPr>
            <w:tcW w:w="102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Rule 13a-14(a)/15d-14(a), as adopted pursuant to Section 302 of the Sarbanes-Oxley Act</w:t>
            </w:r>
          </w:p>
        </w:tc>
      </w:tr>
      <w:tr>
        <w:trPr>
          <w:trHeight w:val="222"/>
        </w:trPr>
        <w:tc>
          <w:tcPr>
            <w:tcW w:w="10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of 2002, dated May 10, 2017.</w:t>
            </w:r>
          </w:p>
        </w:tc>
      </w:tr>
      <w:tr>
        <w:trPr>
          <w:trHeight w:val="426"/>
        </w:trPr>
        <w:tc>
          <w:tcPr>
            <w:tcW w:w="1020" w:type="dxa"/>
            <w:vAlign w:val="bottom"/>
          </w:tcPr>
          <w:p>
            <w:pPr>
              <w:jc w:val="right"/>
              <w:ind w:right="212"/>
              <w:spacing w:after="0"/>
              <w:rPr>
                <w:sz w:val="20"/>
                <w:szCs w:val="20"/>
                <w:color w:val="auto"/>
              </w:rPr>
            </w:pPr>
            <w:r>
              <w:rPr>
                <w:rFonts w:ascii="Arial" w:cs="Arial" w:eastAsia="Arial" w:hAnsi="Arial"/>
                <w:sz w:val="18"/>
                <w:szCs w:val="18"/>
                <w:color w:val="auto"/>
              </w:rPr>
              <w:t>32.1</w:t>
            </w:r>
          </w:p>
        </w:tc>
        <w:tc>
          <w:tcPr>
            <w:tcW w:w="10180" w:type="dxa"/>
            <w:vAlign w:val="bottom"/>
          </w:tcPr>
          <w:p>
            <w:pPr>
              <w:ind w:left="300"/>
              <w:spacing w:after="0"/>
              <w:rPr>
                <w:sz w:val="20"/>
                <w:szCs w:val="20"/>
                <w:color w:val="auto"/>
              </w:rPr>
            </w:pPr>
            <w:r>
              <w:rPr>
                <w:rFonts w:ascii="Arial" w:cs="Arial" w:eastAsia="Arial" w:hAnsi="Arial"/>
                <w:sz w:val="18"/>
                <w:szCs w:val="18"/>
                <w:color w:val="auto"/>
                <w:w w:val="92"/>
              </w:rPr>
              <w:t>Certification of Chief Executive Officer pursuant to 18 U.S.C. §1350, as adopted pursuant to Section 906 of the Sarbanes-Oxley Act of</w:t>
            </w:r>
          </w:p>
        </w:tc>
      </w:tr>
      <w:tr>
        <w:trPr>
          <w:trHeight w:val="222"/>
        </w:trPr>
        <w:tc>
          <w:tcPr>
            <w:tcW w:w="10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2002, dated May 10, 2017.</w:t>
            </w:r>
          </w:p>
        </w:tc>
      </w:tr>
      <w:tr>
        <w:trPr>
          <w:trHeight w:val="426"/>
        </w:trPr>
        <w:tc>
          <w:tcPr>
            <w:tcW w:w="1020" w:type="dxa"/>
            <w:vAlign w:val="bottom"/>
          </w:tcPr>
          <w:p>
            <w:pPr>
              <w:jc w:val="right"/>
              <w:ind w:right="212"/>
              <w:spacing w:after="0"/>
              <w:rPr>
                <w:sz w:val="20"/>
                <w:szCs w:val="20"/>
                <w:color w:val="auto"/>
              </w:rPr>
            </w:pPr>
            <w:r>
              <w:rPr>
                <w:rFonts w:ascii="Arial" w:cs="Arial" w:eastAsia="Arial" w:hAnsi="Arial"/>
                <w:sz w:val="18"/>
                <w:szCs w:val="18"/>
                <w:color w:val="auto"/>
              </w:rPr>
              <w:t>32.2</w:t>
            </w:r>
          </w:p>
        </w:tc>
        <w:tc>
          <w:tcPr>
            <w:tcW w:w="10180" w:type="dxa"/>
            <w:vAlign w:val="bottom"/>
          </w:tcPr>
          <w:p>
            <w:pPr>
              <w:ind w:left="300"/>
              <w:spacing w:after="0"/>
              <w:rPr>
                <w:sz w:val="20"/>
                <w:szCs w:val="20"/>
                <w:color w:val="auto"/>
              </w:rPr>
            </w:pPr>
            <w:r>
              <w:rPr>
                <w:rFonts w:ascii="Arial" w:cs="Arial" w:eastAsia="Arial" w:hAnsi="Arial"/>
                <w:sz w:val="18"/>
                <w:szCs w:val="18"/>
                <w:color w:val="auto"/>
                <w:w w:val="88"/>
              </w:rPr>
              <w:t>Certification of Chief Financial Officer pursuant to 18 U.S.C. §1350, as adopted pursuant to Section 906 of the Sarbanes-Oxley Act of 2002,</w:t>
            </w:r>
          </w:p>
        </w:tc>
      </w:tr>
      <w:tr>
        <w:trPr>
          <w:trHeight w:val="222"/>
        </w:trPr>
        <w:tc>
          <w:tcPr>
            <w:tcW w:w="1020" w:type="dxa"/>
            <w:vAlign w:val="bottom"/>
          </w:tcPr>
          <w:p>
            <w:pPr>
              <w:spacing w:after="0"/>
              <w:rPr>
                <w:sz w:val="19"/>
                <w:szCs w:val="19"/>
                <w:color w:val="auto"/>
              </w:rPr>
            </w:pPr>
          </w:p>
        </w:tc>
        <w:tc>
          <w:tcPr>
            <w:tcW w:w="10180" w:type="dxa"/>
            <w:vAlign w:val="bottom"/>
          </w:tcPr>
          <w:p>
            <w:pPr>
              <w:ind w:left="300"/>
              <w:spacing w:after="0"/>
              <w:rPr>
                <w:sz w:val="20"/>
                <w:szCs w:val="20"/>
                <w:color w:val="auto"/>
              </w:rPr>
            </w:pPr>
            <w:r>
              <w:rPr>
                <w:rFonts w:ascii="Arial" w:cs="Arial" w:eastAsia="Arial" w:hAnsi="Arial"/>
                <w:sz w:val="18"/>
                <w:szCs w:val="18"/>
                <w:color w:val="auto"/>
              </w:rPr>
              <w:t>dated May 10, 2017.</w:t>
            </w:r>
          </w:p>
        </w:tc>
      </w:tr>
    </w:tbl>
    <w:p>
      <w:pPr>
        <w:spacing w:after="0" w:line="210" w:lineRule="exact"/>
        <w:rPr>
          <w:sz w:val="20"/>
          <w:szCs w:val="20"/>
          <w:color w:val="auto"/>
        </w:rPr>
      </w:pPr>
    </w:p>
    <w:p>
      <w:pPr>
        <w:ind w:left="1320" w:hanging="911"/>
        <w:spacing w:after="0" w:line="298" w:lineRule="auto"/>
        <w:tabs>
          <w:tab w:leader="none" w:pos="1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Quarterly Report on Form 10-Q for the period ended March 31, 2017, formatted in Extensible Business Reporting Language (XBRL): (i) the Condensed Consolidated Balance Sheets, (ii) the Condensed Consolidated Statements of Operations, (iii) the Condensed Consolidated Statement of Stockholders’ Equity, (iv) the Condensed Consolidated Statements of Cash Flows, and (v) Notes to the Condensed Consolidated Financial Statements (filed herewith).</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557"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2017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2017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May 10, 2017</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0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5"/>
    </w:lvl>
    <w:lvl w:ilvl="1">
      <w:lvlJc w:val="left"/>
      <w:lvlText w:val="%2)"/>
      <w:numFmt w:val="lowerLetter"/>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2019-12-06T04:03:55Z</dcterms:created>
  <dcterms:modified xsi:type="dcterms:W3CDTF">2019-12-06T04:03:55Z</dcterms:modified>
</cp:coreProperties>
</file>