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gtx20231231_10k.htm"/>
      <w:bookmarkStart w:id="1" w:name="kstgtx20231231_10k"/>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UNITED STATES</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SECURITIES AND EXCHANGE COMMISSION</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FORM</w:t>
      </w:r>
      <w:r>
        <w:rPr>
          <w:rFonts w:ascii="Times New Roman" w:hAnsi="Times New Roman"/>
          <w:caps w:val="false"/>
          <w:smallCaps w:val="false"/>
          <w:sz w:val="16"/>
        </w:rPr>
        <w:t> </w:t>
      </w:r>
      <w:r>
        <w:rPr>
          <w:rFonts w:ascii="Times New Roman" w:hAnsi="Times New Roman"/>
          <w:b/>
          <w:caps w:val="false"/>
          <w:smallCaps w:val="false"/>
          <w:sz w:val="16"/>
        </w:rPr>
        <w:t>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6"/>
        </w:rPr>
        <w:t>ANNUAL REPORT PURSUANT TO SECTION</w:t>
      </w:r>
      <w:r>
        <w:rPr>
          <w:rFonts w:ascii="Times New Roman" w:hAnsi="Times New Roman"/>
          <w:caps w:val="false"/>
          <w:smallCaps w:val="false"/>
          <w:sz w:val="16"/>
        </w:rPr>
        <w:t> </w:t>
      </w:r>
      <w:r>
        <w:rPr>
          <w:rFonts w:ascii="Times New Roman" w:hAnsi="Times New Roman"/>
          <w:b/>
          <w:caps w:val="false"/>
          <w:smallCaps w:val="false"/>
          <w:sz w:val="16"/>
        </w:rPr>
        <w:t>13 OR 15(d)</w:t>
      </w:r>
      <w:r>
        <w:rPr>
          <w:rFonts w:ascii="Times New Roman" w:hAnsi="Times New Roman"/>
          <w:caps w:val="false"/>
          <w:smallCaps w:val="false"/>
          <w:sz w:val="16"/>
        </w:rPr>
        <w:t> </w:t>
      </w:r>
      <w:r>
        <w:rPr>
          <w:rFonts w:ascii="Times New Roman" w:hAnsi="Times New Roman"/>
          <w:b/>
          <w:caps w:val="false"/>
          <w:smallCaps w:val="false"/>
          <w:sz w:val="16"/>
        </w:rPr>
        <w:t>OF THE SECURITIES EXCHANGE ACT OF 1934</w:t>
      </w:r>
    </w:p>
    <w:p>
      <w:pPr>
        <w:pStyle w:val="TextBody"/>
        <w:bidi w:val="0"/>
        <w:spacing w:before="0" w:after="0"/>
        <w:ind w:left="0" w:right="0" w:firstLine="360"/>
        <w:jc w:val="center"/>
        <w:rPr>
          <w:rFonts w:ascii="Times New Roman" w:hAnsi="Times New Roman"/>
          <w:caps w:val="false"/>
          <w:smallCaps w:val="false"/>
          <w:sz w:val="16"/>
        </w:rPr>
      </w:pPr>
      <w:r>
        <w:rPr>
          <w:rFonts w:ascii="Times New Roman" w:hAnsi="Times New Roman"/>
          <w:b/>
          <w:caps w:val="false"/>
          <w:smallCaps w:val="false"/>
          <w:sz w:val="16"/>
        </w:rPr>
        <w:t>For the fiscal</w:t>
      </w:r>
      <w:r>
        <w:rPr>
          <w:rFonts w:ascii="Times New Roman" w:hAnsi="Times New Roman"/>
          <w:caps w:val="false"/>
          <w:smallCaps w:val="false"/>
          <w:sz w:val="16"/>
        </w:rPr>
        <w:t> </w:t>
      </w:r>
      <w:r>
        <w:rPr>
          <w:rFonts w:ascii="Times New Roman" w:hAnsi="Times New Roman"/>
          <w:b/>
          <w:caps w:val="false"/>
          <w:smallCaps w:val="false"/>
          <w:sz w:val="16"/>
        </w:rPr>
        <w:t>year ended December 31, 2023.</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16"/>
        </w:rPr>
        <w:t>TRANSITION REPORT PURSUANT TO SECTION</w:t>
      </w:r>
      <w:r>
        <w:rPr>
          <w:rFonts w:ascii="Times New Roman" w:hAnsi="Times New Roman"/>
          <w:caps w:val="false"/>
          <w:smallCaps w:val="false"/>
          <w:sz w:val="16"/>
        </w:rPr>
        <w:t> </w:t>
      </w:r>
      <w:r>
        <w:rPr>
          <w:rFonts w:ascii="Times New Roman" w:hAnsi="Times New Roman"/>
          <w:b/>
          <w:caps w:val="false"/>
          <w:smallCaps w:val="false"/>
          <w:sz w:val="16"/>
        </w:rPr>
        <w:t>13 OR 15(d)</w:t>
      </w:r>
      <w:r>
        <w:rPr>
          <w:rFonts w:ascii="Times New Roman" w:hAnsi="Times New Roman"/>
          <w:caps w:val="false"/>
          <w:smallCaps w:val="false"/>
          <w:sz w:val="16"/>
        </w:rPr>
        <w:t> </w:t>
      </w:r>
      <w:r>
        <w:rPr>
          <w:rFonts w:ascii="Times New Roman" w:hAnsi="Times New Roman"/>
          <w:b/>
          <w:caps w:val="false"/>
          <w:smallCaps w:val="false"/>
          <w:sz w:val="16"/>
        </w:rPr>
        <w:t>OF THE SECURITIES EXCHANGE ACT OF 1934</w:t>
      </w:r>
    </w:p>
    <w:p>
      <w:pPr>
        <w:pStyle w:val="TextBody"/>
        <w:bidi w:val="0"/>
        <w:spacing w:before="0" w:after="0"/>
        <w:ind w:left="0" w:right="0" w:firstLine="360"/>
        <w:jc w:val="center"/>
        <w:rPr>
          <w:rFonts w:ascii="Times New Roman" w:hAnsi="Times New Roman"/>
          <w:b/>
          <w:caps w:val="false"/>
          <w:smallCaps w:val="false"/>
          <w:sz w:val="16"/>
        </w:rPr>
      </w:pPr>
      <w:r>
        <w:rPr>
          <w:rFonts w:ascii="Times New Roman" w:hAnsi="Times New Roman"/>
          <w:b/>
          <w:caps w:val="false"/>
          <w:smallCaps w:val="false"/>
          <w:sz w:val="16"/>
        </w:rPr>
        <w:t>For the transition period from ________ to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Commission File Number 1-32639</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TG THERAPEUTICS,</w:t>
      </w:r>
      <w:r>
        <w:rPr>
          <w:rFonts w:ascii="Times New Roman" w:hAnsi="Times New Roman"/>
          <w:caps w:val="false"/>
          <w:smallCaps w:val="false"/>
          <w:sz w:val="16"/>
        </w:rPr>
        <w:t> </w:t>
      </w:r>
      <w:r>
        <w:rPr>
          <w:rFonts w:ascii="Times New Roman" w:hAnsi="Times New Roman"/>
          <w:b/>
          <w:caps w:val="false"/>
          <w:smallCaps w:val="false"/>
          <w:sz w:val="16"/>
        </w:rPr>
        <w:t>INC.</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4190"/>
        <w:gridCol w:w="2540"/>
      </w:tblGrid>
      <w:tr>
        <w:trPr/>
        <w:tc>
          <w:tcPr>
            <w:tcW w:w="419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Delaware</w:t>
            </w:r>
          </w:p>
        </w:tc>
        <w:tc>
          <w:tcPr>
            <w:tcW w:w="254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36-3898269</w:t>
            </w:r>
          </w:p>
        </w:tc>
      </w:tr>
      <w:tr>
        <w:trPr/>
        <w:tc>
          <w:tcPr>
            <w:tcW w:w="419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(State or other jurisdiction of incorporation or organization)</w:t>
            </w:r>
          </w:p>
        </w:tc>
        <w:tc>
          <w:tcPr>
            <w:tcW w:w="254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(I.R.S. Employer Identification No.)</w:t>
            </w:r>
          </w:p>
        </w:tc>
      </w:tr>
      <w:tr>
        <w:trPr/>
        <w:tc>
          <w:tcPr>
            <w:tcW w:w="41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19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3020 Carrington Mill Blvd, Suite 475</w:t>
            </w:r>
          </w:p>
        </w:tc>
        <w:tc>
          <w:tcPr>
            <w:tcW w:w="25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19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Morrisville, North Carolina</w:t>
            </w:r>
          </w:p>
        </w:tc>
        <w:tc>
          <w:tcPr>
            <w:tcW w:w="254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27560</w:t>
            </w:r>
          </w:p>
        </w:tc>
      </w:tr>
      <w:tr>
        <w:trPr/>
        <w:tc>
          <w:tcPr>
            <w:tcW w:w="419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(Address of principal executive offices)</w:t>
            </w:r>
          </w:p>
        </w:tc>
        <w:tc>
          <w:tcPr>
            <w:tcW w:w="254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Registrant</w:t>
      </w:r>
      <w:r>
        <w:rPr>
          <w:rFonts w:ascii="Times New Roman" w:hAnsi="Times New Roman"/>
          <w:caps w:val="false"/>
          <w:smallCaps w:val="false"/>
          <w:sz w:val="16"/>
        </w:rPr>
        <w:t>’</w:t>
      </w:r>
      <w:r>
        <w:rPr>
          <w:rFonts w:ascii="Times New Roman" w:hAnsi="Times New Roman"/>
          <w:b/>
          <w:caps w:val="false"/>
          <w:smallCaps w:val="false"/>
          <w:sz w:val="16"/>
        </w:rPr>
        <w:t>s telephone number, including area code: (212) 554-4484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Securities registered pursuant to Section</w:t>
      </w:r>
      <w:r>
        <w:rPr>
          <w:rFonts w:ascii="Times New Roman" w:hAnsi="Times New Roman"/>
          <w:caps w:val="false"/>
          <w:smallCaps w:val="false"/>
          <w:sz w:val="16"/>
        </w:rPr>
        <w:t> </w:t>
      </w:r>
      <w:r>
        <w:rPr>
          <w:rFonts w:ascii="Times New Roman" w:hAnsi="Times New Roman"/>
          <w:b/>
          <w:caps w:val="false"/>
          <w:smallCaps w:val="false"/>
          <w:sz w:val="16"/>
        </w:rPr>
        <w:t>12(b)</w:t>
      </w:r>
      <w:r>
        <w:rPr>
          <w:rFonts w:ascii="Times New Roman" w:hAnsi="Times New Roman"/>
          <w:caps w:val="false"/>
          <w:smallCaps w:val="false"/>
          <w:sz w:val="16"/>
        </w:rPr>
        <w:t> </w:t>
      </w:r>
      <w:r>
        <w:rPr>
          <w:rFonts w:ascii="Times New Roman" w:hAnsi="Times New Roman"/>
          <w:b/>
          <w:caps w:val="false"/>
          <w:smallCaps w:val="false"/>
          <w:sz w:val="16"/>
        </w:rPr>
        <w:t>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28" w:type="dxa"/>
          <w:left w:w="28" w:type="dxa"/>
          <w:bottom w:w="28" w:type="dxa"/>
          <w:right w:w="0" w:type="dxa"/>
        </w:tblCellMar>
      </w:tblPr>
      <w:tblGrid>
        <w:gridCol w:w="2555"/>
        <w:gridCol w:w="1595"/>
        <w:gridCol w:w="1775"/>
      </w:tblGrid>
      <w:tr>
        <w:trPr/>
        <w:tc>
          <w:tcPr>
            <w:tcW w:w="25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firstLine="180"/>
              <w:jc w:val="center"/>
              <w:rPr>
                <w:rFonts w:ascii="Times New Roman" w:hAnsi="Times New Roman"/>
                <w:b/>
                <w:caps w:val="false"/>
                <w:smallCaps w:val="false"/>
                <w:sz w:val="16"/>
              </w:rPr>
            </w:pPr>
            <w:r>
              <w:rPr>
                <w:rFonts w:ascii="Times New Roman" w:hAnsi="Times New Roman"/>
                <w:b/>
                <w:caps w:val="false"/>
                <w:smallCaps w:val="false"/>
                <w:sz w:val="16"/>
              </w:rPr>
              <w:t>Title of Class</w:t>
            </w:r>
          </w:p>
        </w:tc>
        <w:tc>
          <w:tcPr>
            <w:tcW w:w="15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firstLine="180"/>
              <w:jc w:val="center"/>
              <w:rPr>
                <w:rFonts w:ascii="Times New Roman" w:hAnsi="Times New Roman"/>
                <w:b/>
                <w:caps w:val="false"/>
                <w:smallCaps w:val="false"/>
                <w:sz w:val="16"/>
              </w:rPr>
            </w:pPr>
            <w:r>
              <w:rPr>
                <w:rFonts w:ascii="Times New Roman" w:hAnsi="Times New Roman"/>
                <w:b/>
                <w:caps w:val="false"/>
                <w:smallCaps w:val="false"/>
                <w:sz w:val="16"/>
              </w:rPr>
              <w:t xml:space="preserve">Trading Symbol(s) </w:t>
            </w:r>
          </w:p>
        </w:tc>
        <w:tc>
          <w:tcPr>
            <w:tcW w:w="17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firstLine="180"/>
              <w:jc w:val="center"/>
              <w:rPr>
                <w:rFonts w:ascii="Times New Roman" w:hAnsi="Times New Roman"/>
                <w:b/>
                <w:caps w:val="false"/>
                <w:smallCaps w:val="false"/>
                <w:sz w:val="16"/>
              </w:rPr>
            </w:pPr>
            <w:r>
              <w:rPr>
                <w:rFonts w:ascii="Times New Roman" w:hAnsi="Times New Roman"/>
                <w:b/>
                <w:caps w:val="false"/>
                <w:smallCaps w:val="false"/>
                <w:sz w:val="16"/>
              </w:rPr>
              <w:t xml:space="preserve">Exchange Name </w:t>
            </w:r>
          </w:p>
        </w:tc>
      </w:tr>
      <w:tr>
        <w:trPr/>
        <w:tc>
          <w:tcPr>
            <w:tcW w:w="2555" w:type="dxa"/>
            <w:tcBorders>
              <w:left w:val="single" w:sz="2" w:space="0" w:color="000000"/>
              <w:bottom w:val="single" w:sz="2" w:space="0" w:color="000000"/>
            </w:tcBorders>
            <w:tcMar>
              <w:top w:w="0" w:type="dxa"/>
            </w:tcMar>
            <w:vAlign w:val="center"/>
          </w:tcPr>
          <w:p>
            <w:pPr>
              <w:pStyle w:val="TableContents"/>
              <w:bidi w:val="0"/>
              <w:spacing w:before="0" w:after="0"/>
              <w:ind w:left="0" w:right="0" w:firstLine="180"/>
              <w:jc w:val="center"/>
              <w:rPr>
                <w:rFonts w:ascii="Times New Roman" w:hAnsi="Times New Roman"/>
                <w:caps w:val="false"/>
                <w:smallCaps w:val="false"/>
                <w:sz w:val="16"/>
              </w:rPr>
            </w:pPr>
            <w:r>
              <w:rPr>
                <w:rFonts w:ascii="Times New Roman" w:hAnsi="Times New Roman"/>
                <w:caps w:val="false"/>
                <w:smallCaps w:val="false"/>
                <w:sz w:val="16"/>
              </w:rPr>
              <w:t>Common Stock, par value $0.001</w:t>
            </w:r>
          </w:p>
        </w:tc>
        <w:tc>
          <w:tcPr>
            <w:tcW w:w="1595" w:type="dxa"/>
            <w:tcBorders>
              <w:left w:val="single" w:sz="2" w:space="0" w:color="000000"/>
              <w:bottom w:val="single" w:sz="2" w:space="0" w:color="000000"/>
            </w:tcBorders>
            <w:tcMar>
              <w:top w:w="0" w:type="dxa"/>
            </w:tcMar>
            <w:vAlign w:val="center"/>
          </w:tcPr>
          <w:p>
            <w:pPr>
              <w:pStyle w:val="TableContents"/>
              <w:bidi w:val="0"/>
              <w:spacing w:before="0" w:after="0"/>
              <w:ind w:left="0" w:right="0" w:firstLine="180"/>
              <w:jc w:val="center"/>
              <w:rPr>
                <w:rFonts w:ascii="Times New Roman" w:hAnsi="Times New Roman"/>
                <w:caps w:val="false"/>
                <w:smallCaps w:val="false"/>
                <w:sz w:val="16"/>
              </w:rPr>
            </w:pPr>
            <w:r>
              <w:rPr>
                <w:rFonts w:ascii="Times New Roman" w:hAnsi="Times New Roman"/>
                <w:caps w:val="false"/>
                <w:smallCaps w:val="false"/>
                <w:sz w:val="16"/>
              </w:rPr>
              <w:t>TGTX</w:t>
            </w:r>
          </w:p>
        </w:tc>
        <w:tc>
          <w:tcPr>
            <w:tcW w:w="17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firstLine="180"/>
              <w:jc w:val="center"/>
              <w:rPr>
                <w:rFonts w:ascii="Times New Roman" w:hAnsi="Times New Roman"/>
                <w:caps w:val="false"/>
                <w:smallCaps w:val="false"/>
                <w:sz w:val="16"/>
              </w:rPr>
            </w:pPr>
            <w:r>
              <w:rPr>
                <w:rFonts w:ascii="Times New Roman" w:hAnsi="Times New Roman"/>
                <w:caps w:val="false"/>
                <w:smallCaps w:val="false"/>
                <w:sz w:val="16"/>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Securities registered pursuant to Section</w:t>
      </w:r>
      <w:r>
        <w:rPr>
          <w:rFonts w:ascii="Times New Roman" w:hAnsi="Times New Roman"/>
          <w:caps w:val="false"/>
          <w:smallCaps w:val="false"/>
          <w:sz w:val="16"/>
        </w:rPr>
        <w:t> </w:t>
      </w:r>
      <w:r>
        <w:rPr>
          <w:rFonts w:ascii="Times New Roman" w:hAnsi="Times New Roman"/>
          <w:b/>
          <w:caps w:val="false"/>
          <w:smallCaps w:val="false"/>
          <w:sz w:val="16"/>
        </w:rPr>
        <w:t>12(g)</w:t>
      </w:r>
      <w:r>
        <w:rPr>
          <w:rFonts w:ascii="Times New Roman" w:hAnsi="Times New Roman"/>
          <w:caps w:val="false"/>
          <w:smallCaps w:val="false"/>
          <w:sz w:val="16"/>
        </w:rPr>
        <w:t> </w:t>
      </w:r>
      <w:r>
        <w:rPr>
          <w:rFonts w:ascii="Times New Roman" w:hAnsi="Times New Roman"/>
          <w:b/>
          <w:caps w:val="false"/>
          <w:smallCaps w:val="false"/>
          <w:sz w:val="16"/>
        </w:rPr>
        <w:t>of the Act:</w:t>
      </w:r>
      <w:r>
        <w:rPr>
          <w:rFonts w:ascii="Times New Roman" w:hAnsi="Times New Roman"/>
          <w:caps w:val="false"/>
          <w:smallCaps w:val="false"/>
          <w:sz w:val="16"/>
        </w:rPr>
        <w: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60"/>
        <w:gridCol w:w="2135"/>
      </w:tblGrid>
      <w:tr>
        <w:trPr/>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Large accelerated filer ☒</w:t>
            </w:r>
          </w:p>
        </w:tc>
        <w:tc>
          <w:tcPr>
            <w:tcW w:w="2135" w:type="dxa"/>
            <w:tcBorders/>
            <w:vAlign w:val="center"/>
          </w:tcPr>
          <w:p>
            <w:pPr>
              <w:pStyle w:val="TableContents"/>
              <w:bidi w:val="0"/>
              <w:spacing w:before="0" w:after="0"/>
              <w:ind w:left="0" w:right="0" w:hanging="0"/>
              <w:jc w:val="right"/>
              <w:rPr>
                <w:rFonts w:ascii="Times New Roman" w:hAnsi="Times New Roman"/>
                <w:caps w:val="false"/>
                <w:smallCaps w:val="false"/>
                <w:sz w:val="16"/>
              </w:rPr>
            </w:pPr>
            <w:r>
              <w:rPr>
                <w:rFonts w:ascii="Times New Roman" w:hAnsi="Times New Roman"/>
                <w:caps w:val="false"/>
                <w:smallCaps w:val="false"/>
                <w:sz w:val="16"/>
              </w:rPr>
              <w:t>Accelerated filer ☐</w:t>
            </w:r>
          </w:p>
        </w:tc>
      </w:tr>
      <w:tr>
        <w:trPr/>
        <w:tc>
          <w:tcPr>
            <w:tcW w:w="176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Non-accelerated filer ☐</w:t>
            </w:r>
          </w:p>
        </w:tc>
        <w:tc>
          <w:tcPr>
            <w:tcW w:w="2135" w:type="dxa"/>
            <w:tcBorders/>
            <w:vAlign w:val="center"/>
          </w:tcPr>
          <w:p>
            <w:pPr>
              <w:pStyle w:val="TableContents"/>
              <w:bidi w:val="0"/>
              <w:spacing w:before="0" w:after="0"/>
              <w:ind w:left="0" w:right="0" w:hanging="0"/>
              <w:jc w:val="right"/>
              <w:rPr>
                <w:rFonts w:ascii="Times New Roman" w:hAnsi="Times New Roman"/>
                <w:caps w:val="false"/>
                <w:smallCaps w:val="false"/>
                <w:sz w:val="16"/>
              </w:rPr>
            </w:pPr>
            <w:r>
              <w:rPr>
                <w:rFonts w:ascii="Times New Roman" w:hAnsi="Times New Roman"/>
                <w:caps w:val="false"/>
                <w:smallCaps w:val="false"/>
                <w:sz w:val="16"/>
              </w:rPr>
              <w:t>Smaller reporting company ☐</w:t>
            </w:r>
          </w:p>
        </w:tc>
      </w:tr>
      <w:tr>
        <w:trPr/>
        <w:tc>
          <w:tcPr>
            <w:tcW w:w="17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35" w:type="dxa"/>
            <w:tcBorders/>
            <w:vAlign w:val="center"/>
          </w:tcPr>
          <w:p>
            <w:pPr>
              <w:pStyle w:val="TableContents"/>
              <w:bidi w:val="0"/>
              <w:spacing w:before="0" w:after="0"/>
              <w:ind w:left="0" w:right="0" w:hanging="0"/>
              <w:jc w:val="right"/>
              <w:rPr>
                <w:rFonts w:ascii="Times New Roman" w:hAnsi="Times New Roman"/>
                <w:caps w:val="false"/>
                <w:smallCaps w:val="false"/>
                <w:sz w:val="16"/>
              </w:rPr>
            </w:pPr>
            <w:r>
              <w:rPr>
                <w:rFonts w:ascii="Times New Roman" w:hAnsi="Times New Roman"/>
                <w:caps w:val="false"/>
                <w:smallCaps w:val="false"/>
                <w:sz w:val="16"/>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The aggregate market value of voting common stock held by non-affiliates of the registrant (assuming, for purposes of this calculation, without conceding, that all executive officers and directors are “affiliates”) was $3.4 billion as of June 30, 2023, based on the closing sale price of such stock as reported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There were 154,420,772 shares of the registrant’s common stock, $0.001 par value, outstanding as of February 23, 2024.</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16"/>
        </w:rPr>
      </w:pPr>
      <w:r>
        <w:rPr>
          <w:rFonts w:ascii="Times New Roman" w:hAnsi="Times New Roman"/>
          <w:caps w:val="false"/>
          <w:smallCaps w:val="false"/>
          <w:sz w:val="16"/>
        </w:rPr>
        <w:t>Portions of the registrant’s Proxy Statement for the 2023 Annual Meeting of Stockholders are incorporated by reference in Part III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16"/>
        </w:rPr>
      </w:pPr>
      <w:r>
        <w:rPr>
          <w:rFonts w:ascii="Times New Roman" w:hAnsi="Times New Roman"/>
          <w:caps w:val="false"/>
          <w:smallCaps w:val="false"/>
          <w:sz w:val="16"/>
        </w:rPr>
        <w:t>Auditor Name: KPMG LLP   Auditor Location: New York, NY    Auditor Firm ID: 185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ANNUAL REPORT ON FORM</w:t>
      </w:r>
      <w:r>
        <w:rPr>
          <w:rFonts w:ascii="Times New Roman" w:hAnsi="Times New Roman"/>
          <w:caps w:val="false"/>
          <w:smallCaps w:val="false"/>
          <w:sz w:val="20"/>
        </w:rPr>
        <w:t> </w:t>
      </w:r>
      <w:r>
        <w:rPr>
          <w:rFonts w:ascii="Times New Roman" w:hAnsi="Times New Roman"/>
          <w:b/>
          <w:caps w:val="false"/>
          <w:smallCaps w:val="false"/>
          <w:sz w:val="20"/>
        </w:rPr>
        <w:t>10-K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FISCAL</w:t>
      </w:r>
      <w:r>
        <w:rPr>
          <w:rFonts w:ascii="Times New Roman" w:hAnsi="Times New Roman"/>
          <w:caps w:val="false"/>
          <w:smallCaps w:val="false"/>
          <w:sz w:val="20"/>
        </w:rPr>
        <w:t> </w:t>
      </w:r>
      <w:r>
        <w:rPr>
          <w:rFonts w:ascii="Times New Roman" w:hAnsi="Times New Roman"/>
          <w:b/>
          <w:caps w:val="false"/>
          <w:smallCaps w:val="false"/>
          <w:sz w:val="20"/>
        </w:rPr>
        <w:t xml:space="preserve">YEAR ENDED </w:t>
      </w:r>
      <w:r>
        <w:rPr>
          <w:rFonts w:ascii="Times New Roman" w:hAnsi="Times New Roman"/>
          <w:b/>
          <w:caps/>
          <w:sz w:val="20"/>
        </w:rP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1"/>
        <w:gridCol w:w="8823"/>
        <w:gridCol w:w="441"/>
      </w:tblGrid>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4" w:type="dxa"/>
            <w:gridSpan w:val="2"/>
            <w:tcBorders/>
            <w:vAlign w:val="center"/>
          </w:tcPr>
          <w:p>
            <w:pPr>
              <w:pStyle w:val="TableContents"/>
              <w:bidi w:val="0"/>
              <w:spacing w:before="0" w:after="0"/>
              <w:ind w:left="0" w:right="0" w:hanging="0"/>
              <w:jc w:val="left"/>
              <w:rPr/>
            </w:pPr>
            <w:hyperlink w:anchor="special">
              <w:r>
                <w:rPr>
                  <w:rStyle w:val="InternetLink"/>
                  <w:rFonts w:ascii="Times New Roman" w:hAnsi="Times New Roman"/>
                  <w:caps w:val="false"/>
                  <w:smallCaps w:val="false"/>
                  <w:sz w:val="20"/>
                </w:rPr>
                <w:t>SPECIAL CAUTIONARY NOTICE REGARDING FORWARD-LOOKING STATEMENTS</w:t>
              </w:r>
            </w:hyperlink>
          </w:p>
        </w:tc>
        <w:tc>
          <w:tcPr>
            <w:tcW w:w="441" w:type="dxa"/>
            <w:tcBorders/>
            <w:vAlign w:val="center"/>
          </w:tcPr>
          <w:p>
            <w:pPr>
              <w:pStyle w:val="TableContents"/>
              <w:bidi w:val="0"/>
              <w:spacing w:before="0" w:after="0"/>
              <w:ind w:left="0" w:right="0" w:hanging="0"/>
              <w:jc w:val="center"/>
              <w:rPr/>
            </w:pPr>
            <w:hyperlink w:anchor="special">
              <w:r>
                <w:rPr>
                  <w:rStyle w:val="InternetLink"/>
                  <w:rFonts w:ascii="Times New Roman" w:hAnsi="Times New Roman"/>
                  <w:caps w:val="false"/>
                  <w:smallCaps w:val="false"/>
                  <w:sz w:val="20"/>
                </w:rPr>
                <w:t>2</w:t>
              </w:r>
            </w:hyperlink>
          </w:p>
        </w:tc>
      </w:tr>
      <w:tr>
        <w:trPr/>
        <w:tc>
          <w:tcPr>
            <w:tcW w:w="9764" w:type="dxa"/>
            <w:gridSpan w:val="2"/>
            <w:tcBorders/>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rPr>
                <w:t>SUMMARY RISK FACTORS</w:t>
              </w:r>
            </w:hyperlink>
          </w:p>
        </w:tc>
        <w:tc>
          <w:tcPr>
            <w:tcW w:w="441" w:type="dxa"/>
            <w:tcBorders/>
            <w:vAlign w:val="center"/>
          </w:tcPr>
          <w:p>
            <w:pPr>
              <w:pStyle w:val="TableContents"/>
              <w:bidi w:val="0"/>
              <w:spacing w:before="0" w:after="0"/>
              <w:ind w:left="0" w:right="0" w:hanging="0"/>
              <w:jc w:val="center"/>
              <w:rPr/>
            </w:pPr>
            <w:hyperlink w:anchor="summary">
              <w:r>
                <w:rPr>
                  <w:rStyle w:val="InternetLink"/>
                  <w:rFonts w:ascii="Times New Roman" w:hAnsi="Times New Roman"/>
                  <w:caps w:val="false"/>
                  <w:smallCaps w:val="false"/>
                  <w:sz w:val="20"/>
                </w:rPr>
                <w:t>3</w:t>
              </w:r>
            </w:hyperlink>
          </w:p>
        </w:tc>
      </w:tr>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b/>
                  <w:caps w:val="false"/>
                  <w:smallCaps w:val="false"/>
                  <w:sz w:val="20"/>
                </w:rPr>
                <w:t>PART</w:t>
              </w:r>
            </w:hyperlink>
            <w:hyperlink w:anchor="part1">
              <w:r>
                <w:rPr>
                  <w:rStyle w:val="InternetLink"/>
                  <w:rFonts w:ascii="Times New Roman" w:hAnsi="Times New Roman"/>
                  <w:caps w:val="false"/>
                  <w:smallCaps w:val="false"/>
                  <w:sz w:val="20"/>
                </w:rPr>
                <w:t> </w:t>
              </w:r>
            </w:hyperlink>
            <w:hyperlink w:anchor="part1">
              <w:r>
                <w:rPr>
                  <w:rStyle w:val="InternetLink"/>
                  <w:rFonts w:ascii="Times New Roman" w:hAnsi="Times New Roman"/>
                  <w:b/>
                  <w:caps w:val="false"/>
                  <w:smallCaps w:val="false"/>
                  <w:sz w:val="20"/>
                </w:rPr>
                <w:t>I</w:t>
              </w:r>
            </w:hyperlink>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rPr>
                <w:t>5</w:t>
              </w:r>
            </w:hyperlink>
          </w:p>
        </w:tc>
      </w:tr>
      <w:tr>
        <w:trPr/>
        <w:tc>
          <w:tcPr>
            <w:tcW w:w="941" w:type="dxa"/>
            <w:tcBorders/>
            <w:vAlign w:val="center"/>
          </w:tcPr>
          <w:p>
            <w:pPr>
              <w:pStyle w:val="TableContents"/>
              <w:bidi w:val="0"/>
              <w:spacing w:before="0" w:after="283"/>
              <w:jc w:val="left"/>
              <w:rPr/>
            </w:pPr>
            <w:r>
              <w:rPr/>
              <w:t> </w:t>
            </w:r>
          </w:p>
        </w:tc>
        <w:tc>
          <w:tcPr>
            <w:tcW w:w="8823"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941" w:type="dxa"/>
            <w:tcBorders/>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rPr>
                <w:t>ITEM 1</w:t>
              </w:r>
            </w:hyperlink>
          </w:p>
        </w:tc>
        <w:tc>
          <w:tcPr>
            <w:tcW w:w="8823" w:type="dxa"/>
            <w:tcBorders/>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rPr>
                <w:t>Business</w:t>
              </w:r>
            </w:hyperlink>
          </w:p>
        </w:tc>
        <w:tc>
          <w:tcPr>
            <w:tcW w:w="441" w:type="dxa"/>
            <w:tcBorders/>
            <w:vAlign w:val="center"/>
          </w:tcPr>
          <w:p>
            <w:pPr>
              <w:pStyle w:val="TableContents"/>
              <w:bidi w:val="0"/>
              <w:spacing w:before="0" w:after="0"/>
              <w:ind w:left="0" w:right="0" w:hanging="0"/>
              <w:jc w:val="center"/>
              <w:rPr/>
            </w:pPr>
            <w:hyperlink w:anchor="item1">
              <w:r>
                <w:rPr>
                  <w:rStyle w:val="InternetLink"/>
                  <w:rFonts w:ascii="Times New Roman" w:hAnsi="Times New Roman"/>
                  <w:caps w:val="false"/>
                  <w:smallCaps w:val="false"/>
                  <w:sz w:val="20"/>
                </w:rPr>
                <w:t>5</w:t>
              </w:r>
            </w:hyperlink>
          </w:p>
        </w:tc>
      </w:tr>
      <w:tr>
        <w:trPr/>
        <w:tc>
          <w:tcPr>
            <w:tcW w:w="941" w:type="dxa"/>
            <w:tcBorders/>
            <w:vAlign w:val="center"/>
          </w:tcPr>
          <w:p>
            <w:pPr>
              <w:pStyle w:val="TableContents"/>
              <w:bidi w:val="0"/>
              <w:spacing w:before="0" w:after="0"/>
              <w:ind w:left="0" w:right="0" w:hanging="0"/>
              <w:jc w:val="left"/>
              <w:rPr/>
            </w:pPr>
            <w:hyperlink w:anchor="item1a">
              <w:r>
                <w:rPr>
                  <w:rStyle w:val="InternetLink"/>
                  <w:rFonts w:ascii="Times New Roman" w:hAnsi="Times New Roman"/>
                  <w:caps w:val="false"/>
                  <w:smallCaps w:val="false"/>
                  <w:sz w:val="20"/>
                </w:rPr>
                <w:t>ITEM 1A</w:t>
              </w:r>
            </w:hyperlink>
          </w:p>
        </w:tc>
        <w:tc>
          <w:tcPr>
            <w:tcW w:w="8823" w:type="dxa"/>
            <w:tcBorders/>
            <w:vAlign w:val="center"/>
          </w:tcPr>
          <w:p>
            <w:pPr>
              <w:pStyle w:val="TableContents"/>
              <w:bidi w:val="0"/>
              <w:spacing w:before="0" w:after="0"/>
              <w:ind w:left="0" w:right="0" w:hanging="0"/>
              <w:jc w:val="left"/>
              <w:rPr/>
            </w:pPr>
            <w:hyperlink w:anchor="item1a">
              <w:r>
                <w:rPr>
                  <w:rStyle w:val="InternetLink"/>
                  <w:rFonts w:ascii="Times New Roman" w:hAnsi="Times New Roman"/>
                  <w:caps w:val="false"/>
                  <w:smallCaps w:val="false"/>
                  <w:sz w:val="20"/>
                </w:rPr>
                <w:t>Risk Factors</w:t>
              </w:r>
            </w:hyperlink>
          </w:p>
        </w:tc>
        <w:tc>
          <w:tcPr>
            <w:tcW w:w="441" w:type="dxa"/>
            <w:tcBorders/>
            <w:vAlign w:val="center"/>
          </w:tcPr>
          <w:p>
            <w:pPr>
              <w:pStyle w:val="TableContents"/>
              <w:bidi w:val="0"/>
              <w:spacing w:before="0" w:after="0"/>
              <w:ind w:left="0" w:right="0" w:hanging="0"/>
              <w:jc w:val="center"/>
              <w:rPr/>
            </w:pPr>
            <w:hyperlink w:anchor="item1a">
              <w:r>
                <w:rPr>
                  <w:rStyle w:val="InternetLink"/>
                  <w:rFonts w:ascii="Times New Roman" w:hAnsi="Times New Roman"/>
                  <w:caps w:val="false"/>
                  <w:smallCaps w:val="false"/>
                  <w:sz w:val="20"/>
                </w:rPr>
                <w:t>21</w:t>
              </w:r>
            </w:hyperlink>
          </w:p>
        </w:tc>
      </w:tr>
      <w:tr>
        <w:trPr/>
        <w:tc>
          <w:tcPr>
            <w:tcW w:w="941" w:type="dxa"/>
            <w:tcBorders/>
            <w:vAlign w:val="center"/>
          </w:tcPr>
          <w:p>
            <w:pPr>
              <w:pStyle w:val="TableContents"/>
              <w:bidi w:val="0"/>
              <w:spacing w:before="0" w:after="0"/>
              <w:ind w:left="0" w:right="0" w:hanging="0"/>
              <w:jc w:val="left"/>
              <w:rPr/>
            </w:pPr>
            <w:hyperlink w:anchor="item1b">
              <w:r>
                <w:rPr>
                  <w:rStyle w:val="InternetLink"/>
                  <w:rFonts w:ascii="Times New Roman" w:hAnsi="Times New Roman"/>
                  <w:caps w:val="false"/>
                  <w:smallCaps w:val="false"/>
                  <w:sz w:val="20"/>
                </w:rPr>
                <w:t>ITEM 1B</w:t>
              </w:r>
            </w:hyperlink>
          </w:p>
        </w:tc>
        <w:tc>
          <w:tcPr>
            <w:tcW w:w="8823" w:type="dxa"/>
            <w:tcBorders/>
            <w:vAlign w:val="center"/>
          </w:tcPr>
          <w:p>
            <w:pPr>
              <w:pStyle w:val="TableContents"/>
              <w:bidi w:val="0"/>
              <w:spacing w:before="0" w:after="0"/>
              <w:ind w:left="0" w:right="0" w:hanging="0"/>
              <w:jc w:val="left"/>
              <w:rPr/>
            </w:pPr>
            <w:hyperlink w:anchor="item1b">
              <w:r>
                <w:rPr>
                  <w:rStyle w:val="InternetLink"/>
                  <w:rFonts w:ascii="Times New Roman" w:hAnsi="Times New Roman"/>
                  <w:caps w:val="false"/>
                  <w:smallCaps w:val="false"/>
                  <w:sz w:val="20"/>
                </w:rPr>
                <w:t>Unresolved Staff Comments</w:t>
              </w:r>
            </w:hyperlink>
          </w:p>
        </w:tc>
        <w:tc>
          <w:tcPr>
            <w:tcW w:w="441" w:type="dxa"/>
            <w:tcBorders/>
            <w:vAlign w:val="center"/>
          </w:tcPr>
          <w:p>
            <w:pPr>
              <w:pStyle w:val="TableContents"/>
              <w:bidi w:val="0"/>
              <w:spacing w:before="0" w:after="0"/>
              <w:ind w:left="0" w:right="0" w:hanging="0"/>
              <w:jc w:val="center"/>
              <w:rPr/>
            </w:pPr>
            <w:hyperlink w:anchor="item1b">
              <w:r>
                <w:rPr>
                  <w:rStyle w:val="InternetLink"/>
                  <w:rFonts w:ascii="Times New Roman" w:hAnsi="Times New Roman"/>
                  <w:caps w:val="false"/>
                  <w:smallCaps w:val="false"/>
                  <w:sz w:val="20"/>
                </w:rPr>
                <w:t>57</w:t>
              </w:r>
            </w:hyperlink>
          </w:p>
        </w:tc>
      </w:tr>
      <w:tr>
        <w:trPr/>
        <w:tc>
          <w:tcPr>
            <w:tcW w:w="941" w:type="dxa"/>
            <w:tcBorders/>
            <w:vAlign w:val="center"/>
          </w:tcPr>
          <w:p>
            <w:pPr>
              <w:pStyle w:val="TableContents"/>
              <w:bidi w:val="0"/>
              <w:spacing w:before="0" w:after="283"/>
              <w:jc w:val="left"/>
              <w:rPr/>
            </w:pPr>
            <w:hyperlink w:anchor="item1c">
              <w:r>
                <w:rPr>
                  <w:rStyle w:val="InternetLink"/>
                </w:rPr>
                <w:t>ITEM 1C</w:t>
              </w:r>
            </w:hyperlink>
          </w:p>
        </w:tc>
        <w:tc>
          <w:tcPr>
            <w:tcW w:w="8823" w:type="dxa"/>
            <w:tcBorders/>
            <w:vAlign w:val="center"/>
          </w:tcPr>
          <w:p>
            <w:pPr>
              <w:pStyle w:val="TableContents"/>
              <w:bidi w:val="0"/>
              <w:spacing w:before="0" w:after="283"/>
              <w:jc w:val="left"/>
              <w:rPr/>
            </w:pPr>
            <w:hyperlink w:anchor="item1c">
              <w:r>
                <w:rPr>
                  <w:rStyle w:val="InternetLink"/>
                  <w:u w:val="single"/>
                </w:rPr>
                <w:t>Cybersecurity</w:t>
              </w:r>
            </w:hyperlink>
          </w:p>
        </w:tc>
        <w:tc>
          <w:tcPr>
            <w:tcW w:w="441" w:type="dxa"/>
            <w:tcBorders/>
            <w:vAlign w:val="center"/>
          </w:tcPr>
          <w:p>
            <w:pPr>
              <w:pStyle w:val="TableContents"/>
              <w:bidi w:val="0"/>
              <w:spacing w:before="0" w:after="283"/>
              <w:jc w:val="center"/>
              <w:rPr/>
            </w:pPr>
            <w:hyperlink w:anchor="item1c">
              <w:r>
                <w:rPr>
                  <w:rStyle w:val="InternetLink"/>
                </w:rPr>
                <w:t>57</w:t>
              </w:r>
            </w:hyperlink>
          </w:p>
        </w:tc>
      </w:tr>
      <w:tr>
        <w:trPr/>
        <w:tc>
          <w:tcPr>
            <w:tcW w:w="941"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rPr>
                <w:t>ITEM 2</w:t>
              </w:r>
            </w:hyperlink>
          </w:p>
        </w:tc>
        <w:tc>
          <w:tcPr>
            <w:tcW w:w="8823"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rPr>
                <w:t>Properties</w:t>
              </w:r>
            </w:hyperlink>
          </w:p>
        </w:tc>
        <w:tc>
          <w:tcPr>
            <w:tcW w:w="441" w:type="dxa"/>
            <w:tcBorders/>
            <w:vAlign w:val="center"/>
          </w:tcPr>
          <w:p>
            <w:pPr>
              <w:pStyle w:val="TableContents"/>
              <w:bidi w:val="0"/>
              <w:spacing w:before="0" w:after="0"/>
              <w:ind w:left="0" w:right="0" w:hanging="0"/>
              <w:jc w:val="center"/>
              <w:rPr/>
            </w:pPr>
            <w:hyperlink w:anchor="item2">
              <w:r>
                <w:rPr>
                  <w:rStyle w:val="InternetLink"/>
                  <w:rFonts w:ascii="Times New Roman" w:hAnsi="Times New Roman"/>
                  <w:caps w:val="false"/>
                  <w:smallCaps w:val="false"/>
                  <w:sz w:val="20"/>
                </w:rPr>
                <w:t>57</w:t>
              </w:r>
            </w:hyperlink>
          </w:p>
        </w:tc>
      </w:tr>
      <w:tr>
        <w:trPr/>
        <w:tc>
          <w:tcPr>
            <w:tcW w:w="941"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rPr>
                <w:t>ITEM 3</w:t>
              </w:r>
            </w:hyperlink>
          </w:p>
        </w:tc>
        <w:tc>
          <w:tcPr>
            <w:tcW w:w="8823"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rPr>
                <w:t>Legal Proceedings</w:t>
              </w:r>
            </w:hyperlink>
          </w:p>
        </w:tc>
        <w:tc>
          <w:tcPr>
            <w:tcW w:w="441" w:type="dxa"/>
            <w:tcBorders/>
            <w:vAlign w:val="center"/>
          </w:tcPr>
          <w:p>
            <w:pPr>
              <w:pStyle w:val="TableContents"/>
              <w:bidi w:val="0"/>
              <w:spacing w:before="0" w:after="0"/>
              <w:ind w:left="0" w:right="0" w:hanging="0"/>
              <w:jc w:val="center"/>
              <w:rPr/>
            </w:pPr>
            <w:hyperlink w:anchor="item3">
              <w:r>
                <w:rPr>
                  <w:rStyle w:val="InternetLink"/>
                  <w:rFonts w:ascii="Times New Roman" w:hAnsi="Times New Roman"/>
                  <w:caps w:val="false"/>
                  <w:smallCaps w:val="false"/>
                  <w:sz w:val="20"/>
                </w:rPr>
                <w:t>57</w:t>
              </w:r>
            </w:hyperlink>
          </w:p>
        </w:tc>
      </w:tr>
      <w:tr>
        <w:trPr/>
        <w:tc>
          <w:tcPr>
            <w:tcW w:w="941"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rPr>
                <w:t>ITEM 4</w:t>
              </w:r>
            </w:hyperlink>
          </w:p>
        </w:tc>
        <w:tc>
          <w:tcPr>
            <w:tcW w:w="8823"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rPr>
                <w:t>Mine Safety Disclosures</w:t>
              </w:r>
            </w:hyperlink>
          </w:p>
        </w:tc>
        <w:tc>
          <w:tcPr>
            <w:tcW w:w="441" w:type="dxa"/>
            <w:tcBorders/>
            <w:vAlign w:val="center"/>
          </w:tcPr>
          <w:p>
            <w:pPr>
              <w:pStyle w:val="TableContents"/>
              <w:bidi w:val="0"/>
              <w:spacing w:before="0" w:after="0"/>
              <w:ind w:left="0" w:right="0" w:hanging="0"/>
              <w:jc w:val="center"/>
              <w:rPr/>
            </w:pPr>
            <w:hyperlink w:anchor="item4">
              <w:r>
                <w:rPr>
                  <w:rStyle w:val="InternetLink"/>
                  <w:rFonts w:ascii="Times New Roman" w:hAnsi="Times New Roman"/>
                  <w:caps w:val="false"/>
                  <w:smallCaps w:val="false"/>
                  <w:sz w:val="20"/>
                </w:rPr>
                <w:t>57</w:t>
              </w:r>
            </w:hyperlink>
          </w:p>
        </w:tc>
      </w:tr>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rPr>
                <w:t>PART II</w:t>
              </w:r>
            </w:hyperlink>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caps w:val="false"/>
                  <w:smallCaps w:val="false"/>
                  <w:sz w:val="20"/>
                </w:rPr>
                <w:t>58</w:t>
              </w:r>
            </w:hyperlink>
          </w:p>
        </w:tc>
      </w:tr>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left"/>
              <w:rPr/>
            </w:pPr>
            <w:hyperlink w:anchor="item5">
              <w:r>
                <w:rPr>
                  <w:rStyle w:val="InternetLink"/>
                  <w:rFonts w:ascii="Times New Roman" w:hAnsi="Times New Roman"/>
                  <w:caps w:val="false"/>
                  <w:smallCaps w:val="false"/>
                  <w:sz w:val="20"/>
                </w:rPr>
                <w:t>ITEM 5</w:t>
              </w:r>
            </w:hyperlink>
          </w:p>
        </w:tc>
        <w:tc>
          <w:tcPr>
            <w:tcW w:w="8823" w:type="dxa"/>
            <w:tcBorders/>
            <w:vAlign w:val="center"/>
          </w:tcPr>
          <w:p>
            <w:pPr>
              <w:pStyle w:val="TableContents"/>
              <w:bidi w:val="0"/>
              <w:spacing w:before="0" w:after="0"/>
              <w:ind w:left="0" w:right="0" w:hanging="0"/>
              <w:jc w:val="left"/>
              <w:rPr/>
            </w:pPr>
            <w:hyperlink w:anchor="item5">
              <w:r>
                <w:rPr>
                  <w:rStyle w:val="InternetLink"/>
                  <w:rFonts w:ascii="Times New Roman" w:hAnsi="Times New Roman"/>
                  <w:caps w:val="false"/>
                  <w:smallCaps w:val="false"/>
                  <w:sz w:val="20"/>
                </w:rPr>
                <w:t>Market for Registrant’s Common Equity, Related Stockholder Matters and Issuer Purchases of Equity Securities</w:t>
              </w:r>
            </w:hyperlink>
          </w:p>
        </w:tc>
        <w:tc>
          <w:tcPr>
            <w:tcW w:w="441" w:type="dxa"/>
            <w:tcBorders/>
            <w:vAlign w:val="center"/>
          </w:tcPr>
          <w:p>
            <w:pPr>
              <w:pStyle w:val="TableContents"/>
              <w:bidi w:val="0"/>
              <w:spacing w:before="0" w:after="0"/>
              <w:ind w:left="0" w:right="0" w:hanging="0"/>
              <w:jc w:val="center"/>
              <w:rPr/>
            </w:pPr>
            <w:hyperlink w:anchor="item5">
              <w:r>
                <w:rPr>
                  <w:rStyle w:val="InternetLink"/>
                  <w:rFonts w:ascii="Times New Roman" w:hAnsi="Times New Roman"/>
                  <w:caps w:val="false"/>
                  <w:smallCaps w:val="false"/>
                  <w:sz w:val="20"/>
                </w:rPr>
                <w:t>58</w:t>
              </w:r>
            </w:hyperlink>
          </w:p>
        </w:tc>
      </w:tr>
      <w:tr>
        <w:trPr/>
        <w:tc>
          <w:tcPr>
            <w:tcW w:w="941" w:type="dxa"/>
            <w:tcBorders/>
            <w:vAlign w:val="center"/>
          </w:tcPr>
          <w:p>
            <w:pPr>
              <w:pStyle w:val="TableContents"/>
              <w:bidi w:val="0"/>
              <w:spacing w:before="0" w:after="0"/>
              <w:ind w:left="0" w:right="0" w:hanging="0"/>
              <w:jc w:val="left"/>
              <w:rPr/>
            </w:pPr>
            <w:hyperlink w:anchor="item6">
              <w:r>
                <w:rPr>
                  <w:rStyle w:val="InternetLink"/>
                  <w:rFonts w:ascii="Times New Roman" w:hAnsi="Times New Roman"/>
                  <w:caps w:val="false"/>
                  <w:smallCaps w:val="false"/>
                  <w:sz w:val="20"/>
                </w:rPr>
                <w:t>ITEM 6</w:t>
              </w:r>
            </w:hyperlink>
          </w:p>
        </w:tc>
        <w:tc>
          <w:tcPr>
            <w:tcW w:w="8823" w:type="dxa"/>
            <w:tcBorders/>
            <w:vAlign w:val="center"/>
          </w:tcPr>
          <w:p>
            <w:pPr>
              <w:pStyle w:val="TableContents"/>
              <w:bidi w:val="0"/>
              <w:spacing w:before="0" w:after="0"/>
              <w:ind w:left="0" w:right="0" w:hanging="0"/>
              <w:jc w:val="left"/>
              <w:rPr/>
            </w:pPr>
            <w:hyperlink w:anchor="item6">
              <w:r>
                <w:rPr>
                  <w:rStyle w:val="InternetLink"/>
                  <w:rFonts w:ascii="Times New Roman" w:hAnsi="Times New Roman"/>
                  <w:caps w:val="false"/>
                  <w:smallCaps w:val="false"/>
                  <w:sz w:val="20"/>
                </w:rPr>
                <w:t>Removed and Reserved</w:t>
              </w:r>
            </w:hyperlink>
          </w:p>
        </w:tc>
        <w:tc>
          <w:tcPr>
            <w:tcW w:w="441" w:type="dxa"/>
            <w:tcBorders/>
            <w:vAlign w:val="center"/>
          </w:tcPr>
          <w:p>
            <w:pPr>
              <w:pStyle w:val="TableContents"/>
              <w:bidi w:val="0"/>
              <w:spacing w:before="0" w:after="0"/>
              <w:ind w:left="0" w:right="0" w:hanging="0"/>
              <w:jc w:val="center"/>
              <w:rPr/>
            </w:pPr>
            <w:hyperlink w:anchor="item6">
              <w:r>
                <w:rPr>
                  <w:rStyle w:val="InternetLink"/>
                  <w:rFonts w:ascii="Times New Roman" w:hAnsi="Times New Roman"/>
                  <w:caps w:val="false"/>
                  <w:smallCaps w:val="false"/>
                  <w:sz w:val="20"/>
                </w:rPr>
                <w:t>58</w:t>
              </w:r>
            </w:hyperlink>
          </w:p>
        </w:tc>
      </w:tr>
      <w:tr>
        <w:trPr/>
        <w:tc>
          <w:tcPr>
            <w:tcW w:w="941" w:type="dxa"/>
            <w:tcBorders/>
            <w:vAlign w:val="center"/>
          </w:tcPr>
          <w:p>
            <w:pPr>
              <w:pStyle w:val="TableContents"/>
              <w:bidi w:val="0"/>
              <w:spacing w:before="0" w:after="0"/>
              <w:ind w:left="0" w:right="0" w:hanging="0"/>
              <w:jc w:val="left"/>
              <w:rPr/>
            </w:pPr>
            <w:hyperlink w:anchor="item7">
              <w:r>
                <w:rPr>
                  <w:rStyle w:val="InternetLink"/>
                  <w:rFonts w:ascii="Times New Roman" w:hAnsi="Times New Roman"/>
                  <w:caps w:val="false"/>
                  <w:smallCaps w:val="false"/>
                  <w:sz w:val="20"/>
                </w:rPr>
                <w:t>ITEM 7</w:t>
              </w:r>
            </w:hyperlink>
          </w:p>
        </w:tc>
        <w:tc>
          <w:tcPr>
            <w:tcW w:w="8823" w:type="dxa"/>
            <w:tcBorders/>
            <w:vAlign w:val="center"/>
          </w:tcPr>
          <w:p>
            <w:pPr>
              <w:pStyle w:val="TableContents"/>
              <w:bidi w:val="0"/>
              <w:spacing w:before="0" w:after="0"/>
              <w:ind w:left="0" w:right="0" w:hanging="0"/>
              <w:jc w:val="left"/>
              <w:rPr/>
            </w:pPr>
            <w:hyperlink w:anchor="item7">
              <w:r>
                <w:rPr>
                  <w:rStyle w:val="InternetLink"/>
                  <w:rFonts w:ascii="Times New Roman" w:hAnsi="Times New Roman"/>
                  <w:caps w:val="false"/>
                  <w:smallCaps w:val="false"/>
                  <w:sz w:val="20"/>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center"/>
              <w:rPr/>
            </w:pPr>
            <w:hyperlink w:anchor="item7">
              <w:r>
                <w:rPr>
                  <w:rStyle w:val="InternetLink"/>
                  <w:rFonts w:ascii="Times New Roman" w:hAnsi="Times New Roman"/>
                  <w:caps w:val="false"/>
                  <w:smallCaps w:val="false"/>
                  <w:sz w:val="20"/>
                </w:rPr>
                <w:t>59</w:t>
              </w:r>
            </w:hyperlink>
          </w:p>
        </w:tc>
      </w:tr>
      <w:tr>
        <w:trPr/>
        <w:tc>
          <w:tcPr>
            <w:tcW w:w="941" w:type="dxa"/>
            <w:tcBorders/>
            <w:vAlign w:val="center"/>
          </w:tcPr>
          <w:p>
            <w:pPr>
              <w:pStyle w:val="TableContents"/>
              <w:bidi w:val="0"/>
              <w:spacing w:before="0" w:after="0"/>
              <w:ind w:left="0" w:right="0" w:hanging="0"/>
              <w:jc w:val="left"/>
              <w:rPr/>
            </w:pPr>
            <w:hyperlink w:anchor="item7a">
              <w:r>
                <w:rPr>
                  <w:rStyle w:val="InternetLink"/>
                  <w:rFonts w:ascii="Times New Roman" w:hAnsi="Times New Roman"/>
                  <w:caps w:val="false"/>
                  <w:smallCaps w:val="false"/>
                  <w:sz w:val="20"/>
                </w:rPr>
                <w:t>ITEM 7A</w:t>
              </w:r>
            </w:hyperlink>
          </w:p>
        </w:tc>
        <w:tc>
          <w:tcPr>
            <w:tcW w:w="8823" w:type="dxa"/>
            <w:tcBorders/>
            <w:vAlign w:val="center"/>
          </w:tcPr>
          <w:p>
            <w:pPr>
              <w:pStyle w:val="TableContents"/>
              <w:bidi w:val="0"/>
              <w:spacing w:before="0" w:after="0"/>
              <w:ind w:left="0" w:right="0" w:hanging="0"/>
              <w:jc w:val="left"/>
              <w:rPr/>
            </w:pPr>
            <w:hyperlink w:anchor="item7a">
              <w:r>
                <w:rPr>
                  <w:rStyle w:val="InternetLink"/>
                  <w:rFonts w:ascii="Times New Roman" w:hAnsi="Times New Roman"/>
                  <w:caps w:val="false"/>
                  <w:smallCaps w:val="false"/>
                  <w:sz w:val="20"/>
                </w:rPr>
                <w:t>Quantitative and Qualitative Disclosure About Market Risk</w:t>
              </w:r>
            </w:hyperlink>
          </w:p>
        </w:tc>
        <w:tc>
          <w:tcPr>
            <w:tcW w:w="441" w:type="dxa"/>
            <w:tcBorders/>
            <w:vAlign w:val="center"/>
          </w:tcPr>
          <w:p>
            <w:pPr>
              <w:pStyle w:val="TableContents"/>
              <w:bidi w:val="0"/>
              <w:spacing w:before="0" w:after="0"/>
              <w:ind w:left="0" w:right="0" w:hanging="0"/>
              <w:jc w:val="center"/>
              <w:rPr/>
            </w:pPr>
            <w:hyperlink w:anchor="item7a">
              <w:r>
                <w:rPr>
                  <w:rStyle w:val="InternetLink"/>
                  <w:rFonts w:ascii="Times New Roman" w:hAnsi="Times New Roman"/>
                  <w:caps w:val="false"/>
                  <w:smallCaps w:val="false"/>
                  <w:sz w:val="20"/>
                </w:rPr>
                <w:t>67</w:t>
              </w:r>
            </w:hyperlink>
          </w:p>
        </w:tc>
      </w:tr>
      <w:tr>
        <w:trPr/>
        <w:tc>
          <w:tcPr>
            <w:tcW w:w="941" w:type="dxa"/>
            <w:tcBorders/>
            <w:vAlign w:val="center"/>
          </w:tcPr>
          <w:p>
            <w:pPr>
              <w:pStyle w:val="TableContents"/>
              <w:bidi w:val="0"/>
              <w:spacing w:before="0" w:after="0"/>
              <w:ind w:left="0" w:right="0" w:hanging="0"/>
              <w:jc w:val="left"/>
              <w:rPr/>
            </w:pPr>
            <w:hyperlink w:anchor="item8">
              <w:r>
                <w:rPr>
                  <w:rStyle w:val="InternetLink"/>
                  <w:rFonts w:ascii="Times New Roman" w:hAnsi="Times New Roman"/>
                  <w:caps w:val="false"/>
                  <w:smallCaps w:val="false"/>
                  <w:sz w:val="20"/>
                </w:rPr>
                <w:t>ITEM 8</w:t>
              </w:r>
            </w:hyperlink>
          </w:p>
        </w:tc>
        <w:tc>
          <w:tcPr>
            <w:tcW w:w="8823" w:type="dxa"/>
            <w:tcBorders/>
            <w:vAlign w:val="center"/>
          </w:tcPr>
          <w:p>
            <w:pPr>
              <w:pStyle w:val="TableContents"/>
              <w:bidi w:val="0"/>
              <w:spacing w:before="0" w:after="0"/>
              <w:ind w:left="0" w:right="0" w:hanging="0"/>
              <w:jc w:val="left"/>
              <w:rPr/>
            </w:pPr>
            <w:hyperlink w:anchor="item8">
              <w:r>
                <w:rPr>
                  <w:rStyle w:val="InternetLink"/>
                  <w:rFonts w:ascii="Times New Roman" w:hAnsi="Times New Roman"/>
                  <w:caps w:val="false"/>
                  <w:smallCaps w:val="false"/>
                  <w:sz w:val="20"/>
                </w:rPr>
                <w:t>Financial Statements and Supplementary Data</w:t>
              </w:r>
            </w:hyperlink>
          </w:p>
        </w:tc>
        <w:tc>
          <w:tcPr>
            <w:tcW w:w="441" w:type="dxa"/>
            <w:tcBorders/>
            <w:vAlign w:val="center"/>
          </w:tcPr>
          <w:p>
            <w:pPr>
              <w:pStyle w:val="TableContents"/>
              <w:bidi w:val="0"/>
              <w:spacing w:before="0" w:after="0"/>
              <w:ind w:left="0" w:right="0" w:hanging="0"/>
              <w:jc w:val="center"/>
              <w:rPr/>
            </w:pPr>
            <w:hyperlink w:anchor="item8">
              <w:r>
                <w:rPr>
                  <w:rStyle w:val="InternetLink"/>
                  <w:rFonts w:ascii="Times New Roman" w:hAnsi="Times New Roman"/>
                  <w:caps w:val="false"/>
                  <w:smallCaps w:val="false"/>
                  <w:sz w:val="20"/>
                </w:rPr>
                <w:t>67</w:t>
              </w:r>
            </w:hyperlink>
          </w:p>
        </w:tc>
      </w:tr>
      <w:tr>
        <w:trPr/>
        <w:tc>
          <w:tcPr>
            <w:tcW w:w="941" w:type="dxa"/>
            <w:tcBorders/>
            <w:vAlign w:val="center"/>
          </w:tcPr>
          <w:p>
            <w:pPr>
              <w:pStyle w:val="TableContents"/>
              <w:bidi w:val="0"/>
              <w:spacing w:before="0" w:after="0"/>
              <w:ind w:left="0" w:right="0" w:hanging="0"/>
              <w:jc w:val="left"/>
              <w:rPr/>
            </w:pPr>
            <w:hyperlink w:anchor="item9">
              <w:r>
                <w:rPr>
                  <w:rStyle w:val="InternetLink"/>
                  <w:rFonts w:ascii="Times New Roman" w:hAnsi="Times New Roman"/>
                  <w:caps w:val="false"/>
                  <w:smallCaps w:val="false"/>
                  <w:sz w:val="20"/>
                </w:rPr>
                <w:t>ITEM 9</w:t>
              </w:r>
            </w:hyperlink>
          </w:p>
        </w:tc>
        <w:tc>
          <w:tcPr>
            <w:tcW w:w="8823" w:type="dxa"/>
            <w:tcBorders/>
            <w:vAlign w:val="center"/>
          </w:tcPr>
          <w:p>
            <w:pPr>
              <w:pStyle w:val="TableContents"/>
              <w:bidi w:val="0"/>
              <w:spacing w:before="0" w:after="0"/>
              <w:ind w:left="0" w:right="0" w:hanging="0"/>
              <w:jc w:val="left"/>
              <w:rPr/>
            </w:pPr>
            <w:hyperlink w:anchor="item9">
              <w:r>
                <w:rPr>
                  <w:rStyle w:val="InternetLink"/>
                  <w:rFonts w:ascii="Times New Roman" w:hAnsi="Times New Roman"/>
                  <w:caps w:val="false"/>
                  <w:smallCaps w:val="false"/>
                  <w:sz w:val="20"/>
                </w:rPr>
                <w:t>Changes in and Disagreements With Accountants on Accounting and Financial Disclosures</w:t>
              </w:r>
            </w:hyperlink>
          </w:p>
        </w:tc>
        <w:tc>
          <w:tcPr>
            <w:tcW w:w="441" w:type="dxa"/>
            <w:tcBorders/>
            <w:vAlign w:val="center"/>
          </w:tcPr>
          <w:p>
            <w:pPr>
              <w:pStyle w:val="TableContents"/>
              <w:bidi w:val="0"/>
              <w:spacing w:before="0" w:after="0"/>
              <w:ind w:left="0" w:right="0" w:hanging="0"/>
              <w:jc w:val="center"/>
              <w:rPr/>
            </w:pPr>
            <w:hyperlink w:anchor="item9">
              <w:r>
                <w:rPr>
                  <w:rStyle w:val="InternetLink"/>
                  <w:rFonts w:ascii="Times New Roman" w:hAnsi="Times New Roman"/>
                  <w:caps w:val="false"/>
                  <w:smallCaps w:val="false"/>
                  <w:sz w:val="20"/>
                </w:rPr>
                <w:t>67</w:t>
              </w:r>
            </w:hyperlink>
          </w:p>
        </w:tc>
      </w:tr>
      <w:tr>
        <w:trPr/>
        <w:tc>
          <w:tcPr>
            <w:tcW w:w="941" w:type="dxa"/>
            <w:tcBorders/>
            <w:vAlign w:val="center"/>
          </w:tcPr>
          <w:p>
            <w:pPr>
              <w:pStyle w:val="TableContents"/>
              <w:bidi w:val="0"/>
              <w:spacing w:before="0" w:after="0"/>
              <w:ind w:left="0" w:right="0" w:hanging="0"/>
              <w:jc w:val="left"/>
              <w:rPr/>
            </w:pPr>
            <w:hyperlink w:anchor="item9a">
              <w:r>
                <w:rPr>
                  <w:rStyle w:val="InternetLink"/>
                  <w:rFonts w:ascii="Times New Roman" w:hAnsi="Times New Roman"/>
                  <w:caps w:val="false"/>
                  <w:smallCaps w:val="false"/>
                  <w:sz w:val="20"/>
                </w:rPr>
                <w:t>ITEM 9A</w:t>
              </w:r>
            </w:hyperlink>
          </w:p>
        </w:tc>
        <w:tc>
          <w:tcPr>
            <w:tcW w:w="8823" w:type="dxa"/>
            <w:tcBorders/>
            <w:vAlign w:val="center"/>
          </w:tcPr>
          <w:p>
            <w:pPr>
              <w:pStyle w:val="TableContents"/>
              <w:bidi w:val="0"/>
              <w:spacing w:before="0" w:after="0"/>
              <w:ind w:left="0" w:right="0" w:hanging="0"/>
              <w:jc w:val="left"/>
              <w:rPr/>
            </w:pPr>
            <w:hyperlink w:anchor="item9a">
              <w:r>
                <w:rPr>
                  <w:rStyle w:val="InternetLink"/>
                  <w:rFonts w:ascii="Times New Roman" w:hAnsi="Times New Roman"/>
                  <w:caps w:val="false"/>
                  <w:smallCaps w:val="false"/>
                  <w:sz w:val="20"/>
                </w:rPr>
                <w:t>Controls and Procedures</w:t>
              </w:r>
            </w:hyperlink>
          </w:p>
        </w:tc>
        <w:tc>
          <w:tcPr>
            <w:tcW w:w="441" w:type="dxa"/>
            <w:tcBorders/>
            <w:vAlign w:val="center"/>
          </w:tcPr>
          <w:p>
            <w:pPr>
              <w:pStyle w:val="TableContents"/>
              <w:bidi w:val="0"/>
              <w:spacing w:before="0" w:after="0"/>
              <w:ind w:left="0" w:right="0" w:hanging="0"/>
              <w:jc w:val="center"/>
              <w:rPr/>
            </w:pPr>
            <w:hyperlink w:anchor="item9a">
              <w:r>
                <w:rPr>
                  <w:rStyle w:val="InternetLink"/>
                  <w:rFonts w:ascii="Times New Roman" w:hAnsi="Times New Roman"/>
                  <w:caps w:val="false"/>
                  <w:smallCaps w:val="false"/>
                  <w:sz w:val="20"/>
                </w:rPr>
                <w:t>67</w:t>
              </w:r>
            </w:hyperlink>
          </w:p>
        </w:tc>
      </w:tr>
      <w:tr>
        <w:trPr/>
        <w:tc>
          <w:tcPr>
            <w:tcW w:w="941" w:type="dxa"/>
            <w:tcBorders/>
            <w:vAlign w:val="center"/>
          </w:tcPr>
          <w:p>
            <w:pPr>
              <w:pStyle w:val="TableContents"/>
              <w:bidi w:val="0"/>
              <w:spacing w:before="0" w:after="0"/>
              <w:ind w:left="0" w:right="0" w:hanging="0"/>
              <w:jc w:val="left"/>
              <w:rPr/>
            </w:pPr>
            <w:hyperlink w:anchor="itme9b">
              <w:r>
                <w:rPr>
                  <w:rStyle w:val="InternetLink"/>
                  <w:rFonts w:ascii="Times New Roman" w:hAnsi="Times New Roman"/>
                  <w:caps w:val="false"/>
                  <w:smallCaps w:val="false"/>
                  <w:sz w:val="20"/>
                </w:rPr>
                <w:t>ITEM 9B</w:t>
              </w:r>
            </w:hyperlink>
          </w:p>
        </w:tc>
        <w:tc>
          <w:tcPr>
            <w:tcW w:w="8823" w:type="dxa"/>
            <w:tcBorders/>
            <w:vAlign w:val="center"/>
          </w:tcPr>
          <w:p>
            <w:pPr>
              <w:pStyle w:val="TableContents"/>
              <w:bidi w:val="0"/>
              <w:spacing w:before="0" w:after="0"/>
              <w:ind w:left="0" w:right="0" w:hanging="0"/>
              <w:jc w:val="left"/>
              <w:rPr/>
            </w:pPr>
            <w:hyperlink w:anchor="itme9b">
              <w:r>
                <w:rPr>
                  <w:rStyle w:val="InternetLink"/>
                  <w:rFonts w:ascii="Times New Roman" w:hAnsi="Times New Roman"/>
                  <w:caps w:val="false"/>
                  <w:smallCaps w:val="false"/>
                  <w:sz w:val="20"/>
                </w:rPr>
                <w:t>Other Information</w:t>
              </w:r>
            </w:hyperlink>
          </w:p>
        </w:tc>
        <w:tc>
          <w:tcPr>
            <w:tcW w:w="441" w:type="dxa"/>
            <w:tcBorders/>
            <w:vAlign w:val="center"/>
          </w:tcPr>
          <w:p>
            <w:pPr>
              <w:pStyle w:val="TableContents"/>
              <w:bidi w:val="0"/>
              <w:spacing w:before="0" w:after="0"/>
              <w:ind w:left="0" w:right="0" w:hanging="0"/>
              <w:jc w:val="center"/>
              <w:rPr/>
            </w:pPr>
            <w:hyperlink w:anchor="itme9b">
              <w:r>
                <w:rPr>
                  <w:rStyle w:val="InternetLink"/>
                  <w:rFonts w:ascii="Times New Roman" w:hAnsi="Times New Roman"/>
                  <w:caps w:val="false"/>
                  <w:smallCaps w:val="false"/>
                  <w:sz w:val="20"/>
                </w:rPr>
                <w:t>67</w:t>
              </w:r>
            </w:hyperlink>
          </w:p>
        </w:tc>
      </w:tr>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left"/>
              <w:rPr/>
            </w:pPr>
            <w:hyperlink w:anchor="part3">
              <w:r>
                <w:rPr>
                  <w:rStyle w:val="InternetLink"/>
                  <w:rFonts w:ascii="Times New Roman" w:hAnsi="Times New Roman"/>
                  <w:b/>
                  <w:caps w:val="false"/>
                  <w:smallCaps w:val="false"/>
                  <w:sz w:val="20"/>
                </w:rPr>
                <w:t>PART III</w:t>
              </w:r>
            </w:hyperlink>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3">
              <w:r>
                <w:rPr>
                  <w:rStyle w:val="InternetLink"/>
                  <w:rFonts w:ascii="Times New Roman" w:hAnsi="Times New Roman"/>
                  <w:caps w:val="false"/>
                  <w:smallCaps w:val="false"/>
                  <w:sz w:val="20"/>
                </w:rPr>
                <w:t>68</w:t>
              </w:r>
            </w:hyperlink>
          </w:p>
        </w:tc>
      </w:tr>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left"/>
              <w:rPr/>
            </w:pPr>
            <w:hyperlink w:anchor="item10">
              <w:r>
                <w:rPr>
                  <w:rStyle w:val="InternetLink"/>
                  <w:rFonts w:ascii="Times New Roman" w:hAnsi="Times New Roman"/>
                  <w:caps w:val="false"/>
                  <w:smallCaps w:val="false"/>
                  <w:sz w:val="20"/>
                </w:rPr>
                <w:t>ITEM 10</w:t>
              </w:r>
            </w:hyperlink>
          </w:p>
        </w:tc>
        <w:tc>
          <w:tcPr>
            <w:tcW w:w="8823" w:type="dxa"/>
            <w:tcBorders/>
            <w:vAlign w:val="center"/>
          </w:tcPr>
          <w:p>
            <w:pPr>
              <w:pStyle w:val="TableContents"/>
              <w:bidi w:val="0"/>
              <w:spacing w:before="0" w:after="0"/>
              <w:ind w:left="0" w:right="0" w:hanging="0"/>
              <w:jc w:val="left"/>
              <w:rPr/>
            </w:pPr>
            <w:hyperlink w:anchor="item10">
              <w:r>
                <w:rPr>
                  <w:rStyle w:val="InternetLink"/>
                  <w:rFonts w:ascii="Times New Roman" w:hAnsi="Times New Roman"/>
                  <w:caps w:val="false"/>
                  <w:smallCaps w:val="false"/>
                  <w:sz w:val="20"/>
                </w:rPr>
                <w:t>Directors, Executive Officers and Corporate Governance</w:t>
              </w:r>
            </w:hyperlink>
          </w:p>
        </w:tc>
        <w:tc>
          <w:tcPr>
            <w:tcW w:w="441" w:type="dxa"/>
            <w:tcBorders/>
            <w:vAlign w:val="center"/>
          </w:tcPr>
          <w:p>
            <w:pPr>
              <w:pStyle w:val="TableContents"/>
              <w:bidi w:val="0"/>
              <w:spacing w:before="0" w:after="0"/>
              <w:ind w:left="0" w:right="0" w:hanging="0"/>
              <w:jc w:val="center"/>
              <w:rPr/>
            </w:pPr>
            <w:hyperlink w:anchor="item10">
              <w:r>
                <w:rPr>
                  <w:rStyle w:val="InternetLink"/>
                  <w:rFonts w:ascii="Times New Roman" w:hAnsi="Times New Roman"/>
                  <w:caps w:val="false"/>
                  <w:smallCaps w:val="false"/>
                  <w:sz w:val="20"/>
                </w:rPr>
                <w:t>68</w:t>
              </w:r>
            </w:hyperlink>
          </w:p>
        </w:tc>
      </w:tr>
      <w:tr>
        <w:trPr/>
        <w:tc>
          <w:tcPr>
            <w:tcW w:w="941" w:type="dxa"/>
            <w:tcBorders/>
            <w:vAlign w:val="center"/>
          </w:tcPr>
          <w:p>
            <w:pPr>
              <w:pStyle w:val="TableContents"/>
              <w:bidi w:val="0"/>
              <w:spacing w:before="0" w:after="0"/>
              <w:ind w:left="0" w:right="0" w:hanging="0"/>
              <w:jc w:val="left"/>
              <w:rPr/>
            </w:pPr>
            <w:hyperlink w:anchor="item11">
              <w:r>
                <w:rPr>
                  <w:rStyle w:val="InternetLink"/>
                  <w:rFonts w:ascii="Times New Roman" w:hAnsi="Times New Roman"/>
                  <w:caps w:val="false"/>
                  <w:smallCaps w:val="false"/>
                  <w:sz w:val="20"/>
                </w:rPr>
                <w:t>ITEM 11</w:t>
              </w:r>
            </w:hyperlink>
          </w:p>
        </w:tc>
        <w:tc>
          <w:tcPr>
            <w:tcW w:w="8823" w:type="dxa"/>
            <w:tcBorders/>
            <w:vAlign w:val="center"/>
          </w:tcPr>
          <w:p>
            <w:pPr>
              <w:pStyle w:val="TableContents"/>
              <w:bidi w:val="0"/>
              <w:spacing w:before="0" w:after="0"/>
              <w:ind w:left="0" w:right="0" w:hanging="0"/>
              <w:jc w:val="left"/>
              <w:rPr/>
            </w:pPr>
            <w:hyperlink w:anchor="item11">
              <w:r>
                <w:rPr>
                  <w:rStyle w:val="InternetLink"/>
                  <w:rFonts w:ascii="Times New Roman" w:hAnsi="Times New Roman"/>
                  <w:caps w:val="false"/>
                  <w:smallCaps w:val="false"/>
                  <w:sz w:val="20"/>
                </w:rPr>
                <w:t>Executive Compensation</w:t>
              </w:r>
            </w:hyperlink>
          </w:p>
        </w:tc>
        <w:tc>
          <w:tcPr>
            <w:tcW w:w="441" w:type="dxa"/>
            <w:tcBorders/>
            <w:vAlign w:val="center"/>
          </w:tcPr>
          <w:p>
            <w:pPr>
              <w:pStyle w:val="TableContents"/>
              <w:bidi w:val="0"/>
              <w:spacing w:before="0" w:after="0"/>
              <w:ind w:left="0" w:right="0" w:hanging="0"/>
              <w:jc w:val="center"/>
              <w:rPr/>
            </w:pPr>
            <w:hyperlink w:anchor="item11">
              <w:r>
                <w:rPr>
                  <w:rStyle w:val="InternetLink"/>
                  <w:rFonts w:ascii="Times New Roman" w:hAnsi="Times New Roman"/>
                  <w:caps w:val="false"/>
                  <w:smallCaps w:val="false"/>
                  <w:sz w:val="20"/>
                </w:rPr>
                <w:t>68</w:t>
              </w:r>
            </w:hyperlink>
          </w:p>
        </w:tc>
      </w:tr>
      <w:tr>
        <w:trPr/>
        <w:tc>
          <w:tcPr>
            <w:tcW w:w="941" w:type="dxa"/>
            <w:tcBorders/>
            <w:vAlign w:val="center"/>
          </w:tcPr>
          <w:p>
            <w:pPr>
              <w:pStyle w:val="TableContents"/>
              <w:bidi w:val="0"/>
              <w:spacing w:before="0" w:after="0"/>
              <w:ind w:left="0" w:right="0" w:hanging="0"/>
              <w:jc w:val="left"/>
              <w:rPr/>
            </w:pPr>
            <w:hyperlink w:anchor="item12">
              <w:r>
                <w:rPr>
                  <w:rStyle w:val="InternetLink"/>
                  <w:rFonts w:ascii="Times New Roman" w:hAnsi="Times New Roman"/>
                  <w:caps w:val="false"/>
                  <w:smallCaps w:val="false"/>
                  <w:sz w:val="20"/>
                </w:rPr>
                <w:t>ITEM 12</w:t>
              </w:r>
            </w:hyperlink>
          </w:p>
        </w:tc>
        <w:tc>
          <w:tcPr>
            <w:tcW w:w="8823" w:type="dxa"/>
            <w:tcBorders/>
            <w:vAlign w:val="center"/>
          </w:tcPr>
          <w:p>
            <w:pPr>
              <w:pStyle w:val="TableContents"/>
              <w:bidi w:val="0"/>
              <w:spacing w:before="0" w:after="0"/>
              <w:ind w:left="0" w:right="0" w:hanging="0"/>
              <w:jc w:val="left"/>
              <w:rPr/>
            </w:pPr>
            <w:hyperlink w:anchor="item12">
              <w:r>
                <w:rPr>
                  <w:rStyle w:val="InternetLink"/>
                  <w:rFonts w:ascii="Times New Roman" w:hAnsi="Times New Roman"/>
                  <w:caps w:val="false"/>
                  <w:smallCaps w:val="false"/>
                  <w:sz w:val="20"/>
                </w:rPr>
                <w:t>Security Ownership of Certain Beneficial Owners and Management and Related Stockholder Matters</w:t>
              </w:r>
            </w:hyperlink>
          </w:p>
        </w:tc>
        <w:tc>
          <w:tcPr>
            <w:tcW w:w="441" w:type="dxa"/>
            <w:tcBorders/>
            <w:vAlign w:val="center"/>
          </w:tcPr>
          <w:p>
            <w:pPr>
              <w:pStyle w:val="TableContents"/>
              <w:bidi w:val="0"/>
              <w:spacing w:before="0" w:after="0"/>
              <w:ind w:left="0" w:right="0" w:hanging="0"/>
              <w:jc w:val="center"/>
              <w:rPr/>
            </w:pPr>
            <w:hyperlink w:anchor="item12">
              <w:r>
                <w:rPr>
                  <w:rStyle w:val="InternetLink"/>
                  <w:rFonts w:ascii="Times New Roman" w:hAnsi="Times New Roman"/>
                  <w:caps w:val="false"/>
                  <w:smallCaps w:val="false"/>
                  <w:sz w:val="20"/>
                </w:rPr>
                <w:t>68</w:t>
              </w:r>
            </w:hyperlink>
          </w:p>
        </w:tc>
      </w:tr>
      <w:tr>
        <w:trPr/>
        <w:tc>
          <w:tcPr>
            <w:tcW w:w="941" w:type="dxa"/>
            <w:tcBorders/>
            <w:vAlign w:val="center"/>
          </w:tcPr>
          <w:p>
            <w:pPr>
              <w:pStyle w:val="TableContents"/>
              <w:bidi w:val="0"/>
              <w:spacing w:before="0" w:after="0"/>
              <w:ind w:left="0" w:right="0" w:hanging="0"/>
              <w:jc w:val="left"/>
              <w:rPr/>
            </w:pPr>
            <w:hyperlink w:anchor="item13">
              <w:r>
                <w:rPr>
                  <w:rStyle w:val="InternetLink"/>
                  <w:rFonts w:ascii="Times New Roman" w:hAnsi="Times New Roman"/>
                  <w:caps w:val="false"/>
                  <w:smallCaps w:val="false"/>
                  <w:sz w:val="20"/>
                </w:rPr>
                <w:t>ITEM 13</w:t>
              </w:r>
            </w:hyperlink>
          </w:p>
        </w:tc>
        <w:tc>
          <w:tcPr>
            <w:tcW w:w="8823" w:type="dxa"/>
            <w:tcBorders/>
            <w:vAlign w:val="center"/>
          </w:tcPr>
          <w:p>
            <w:pPr>
              <w:pStyle w:val="TableContents"/>
              <w:bidi w:val="0"/>
              <w:spacing w:before="0" w:after="0"/>
              <w:ind w:left="0" w:right="0" w:hanging="0"/>
              <w:jc w:val="left"/>
              <w:rPr/>
            </w:pPr>
            <w:hyperlink w:anchor="item13">
              <w:r>
                <w:rPr>
                  <w:rStyle w:val="InternetLink"/>
                  <w:rFonts w:ascii="Times New Roman" w:hAnsi="Times New Roman"/>
                  <w:caps w:val="false"/>
                  <w:smallCaps w:val="false"/>
                  <w:sz w:val="20"/>
                </w:rPr>
                <w:t>Certain Relationships and Related Transactions, and Director Independence</w:t>
              </w:r>
            </w:hyperlink>
          </w:p>
        </w:tc>
        <w:tc>
          <w:tcPr>
            <w:tcW w:w="441" w:type="dxa"/>
            <w:tcBorders/>
            <w:vAlign w:val="center"/>
          </w:tcPr>
          <w:p>
            <w:pPr>
              <w:pStyle w:val="TableContents"/>
              <w:bidi w:val="0"/>
              <w:spacing w:before="0" w:after="0"/>
              <w:ind w:left="0" w:right="0" w:hanging="0"/>
              <w:jc w:val="center"/>
              <w:rPr/>
            </w:pPr>
            <w:hyperlink w:anchor="item13">
              <w:r>
                <w:rPr>
                  <w:rStyle w:val="InternetLink"/>
                  <w:rFonts w:ascii="Times New Roman" w:hAnsi="Times New Roman"/>
                  <w:caps w:val="false"/>
                  <w:smallCaps w:val="false"/>
                  <w:sz w:val="20"/>
                </w:rPr>
                <w:t>68</w:t>
              </w:r>
            </w:hyperlink>
          </w:p>
        </w:tc>
      </w:tr>
      <w:tr>
        <w:trPr/>
        <w:tc>
          <w:tcPr>
            <w:tcW w:w="941" w:type="dxa"/>
            <w:tcBorders/>
            <w:vAlign w:val="center"/>
          </w:tcPr>
          <w:p>
            <w:pPr>
              <w:pStyle w:val="TableContents"/>
              <w:bidi w:val="0"/>
              <w:spacing w:before="0" w:after="0"/>
              <w:ind w:left="0" w:right="0" w:hanging="0"/>
              <w:jc w:val="left"/>
              <w:rPr/>
            </w:pPr>
            <w:hyperlink w:anchor="item14">
              <w:r>
                <w:rPr>
                  <w:rStyle w:val="InternetLink"/>
                  <w:rFonts w:ascii="Times New Roman" w:hAnsi="Times New Roman"/>
                  <w:caps w:val="false"/>
                  <w:smallCaps w:val="false"/>
                  <w:sz w:val="20"/>
                </w:rPr>
                <w:t>ITEM 14</w:t>
              </w:r>
            </w:hyperlink>
          </w:p>
        </w:tc>
        <w:tc>
          <w:tcPr>
            <w:tcW w:w="8823" w:type="dxa"/>
            <w:tcBorders/>
            <w:vAlign w:val="center"/>
          </w:tcPr>
          <w:p>
            <w:pPr>
              <w:pStyle w:val="TableContents"/>
              <w:bidi w:val="0"/>
              <w:spacing w:before="0" w:after="0"/>
              <w:ind w:left="0" w:right="0" w:hanging="0"/>
              <w:jc w:val="left"/>
              <w:rPr/>
            </w:pPr>
            <w:hyperlink w:anchor="item14">
              <w:r>
                <w:rPr>
                  <w:rStyle w:val="InternetLink"/>
                  <w:rFonts w:ascii="Times New Roman" w:hAnsi="Times New Roman"/>
                  <w:caps w:val="false"/>
                  <w:smallCaps w:val="false"/>
                  <w:sz w:val="20"/>
                </w:rPr>
                <w:t>Principal Accounting Fees and Services</w:t>
              </w:r>
            </w:hyperlink>
          </w:p>
        </w:tc>
        <w:tc>
          <w:tcPr>
            <w:tcW w:w="441" w:type="dxa"/>
            <w:tcBorders/>
            <w:vAlign w:val="center"/>
          </w:tcPr>
          <w:p>
            <w:pPr>
              <w:pStyle w:val="TableContents"/>
              <w:bidi w:val="0"/>
              <w:spacing w:before="0" w:after="0"/>
              <w:ind w:left="0" w:right="0" w:hanging="0"/>
              <w:jc w:val="center"/>
              <w:rPr/>
            </w:pPr>
            <w:hyperlink w:anchor="item14">
              <w:r>
                <w:rPr>
                  <w:rStyle w:val="InternetLink"/>
                  <w:rFonts w:ascii="Times New Roman" w:hAnsi="Times New Roman"/>
                  <w:caps w:val="false"/>
                  <w:smallCaps w:val="false"/>
                  <w:sz w:val="20"/>
                </w:rPr>
                <w:t>68</w:t>
              </w:r>
            </w:hyperlink>
          </w:p>
        </w:tc>
      </w:tr>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left"/>
              <w:rPr/>
            </w:pPr>
            <w:hyperlink w:anchor="part4">
              <w:r>
                <w:rPr>
                  <w:rStyle w:val="InternetLink"/>
                  <w:rFonts w:ascii="Times New Roman" w:hAnsi="Times New Roman"/>
                  <w:b/>
                  <w:caps w:val="false"/>
                  <w:smallCaps w:val="false"/>
                  <w:sz w:val="20"/>
                </w:rPr>
                <w:t>PART IV</w:t>
              </w:r>
            </w:hyperlink>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center"/>
              <w:rPr/>
            </w:pPr>
            <w:hyperlink w:anchor="part4">
              <w:r>
                <w:rPr>
                  <w:rStyle w:val="InternetLink"/>
                  <w:rFonts w:ascii="Times New Roman" w:hAnsi="Times New Roman"/>
                  <w:caps w:val="false"/>
                  <w:smallCaps w:val="false"/>
                  <w:sz w:val="20"/>
                </w:rPr>
                <w:t>69</w:t>
              </w:r>
            </w:hyperlink>
          </w:p>
        </w:tc>
      </w:tr>
      <w:tr>
        <w:trPr/>
        <w:tc>
          <w:tcPr>
            <w:tcW w:w="9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941" w:type="dxa"/>
            <w:tcBorders/>
            <w:vAlign w:val="center"/>
          </w:tcPr>
          <w:p>
            <w:pPr>
              <w:pStyle w:val="TableContents"/>
              <w:bidi w:val="0"/>
              <w:spacing w:before="0" w:after="0"/>
              <w:ind w:left="0" w:right="0" w:hanging="0"/>
              <w:jc w:val="left"/>
              <w:rPr/>
            </w:pPr>
            <w:hyperlink w:anchor="item15">
              <w:r>
                <w:rPr>
                  <w:rStyle w:val="InternetLink"/>
                  <w:rFonts w:ascii="Times New Roman" w:hAnsi="Times New Roman"/>
                  <w:caps w:val="false"/>
                  <w:smallCaps w:val="false"/>
                  <w:sz w:val="20"/>
                </w:rPr>
                <w:t>ITEM 15</w:t>
              </w:r>
            </w:hyperlink>
          </w:p>
        </w:tc>
        <w:tc>
          <w:tcPr>
            <w:tcW w:w="8823" w:type="dxa"/>
            <w:tcBorders/>
            <w:vAlign w:val="center"/>
          </w:tcPr>
          <w:p>
            <w:pPr>
              <w:pStyle w:val="TableContents"/>
              <w:bidi w:val="0"/>
              <w:spacing w:before="0" w:after="0"/>
              <w:ind w:left="0" w:right="0" w:hanging="0"/>
              <w:jc w:val="left"/>
              <w:rPr/>
            </w:pPr>
            <w:hyperlink w:anchor="item15">
              <w:r>
                <w:rPr>
                  <w:rStyle w:val="InternetLink"/>
                  <w:rFonts w:ascii="Times New Roman" w:hAnsi="Times New Roman"/>
                  <w:caps w:val="false"/>
                  <w:smallCaps w:val="false"/>
                  <w:sz w:val="20"/>
                </w:rPr>
                <w:t>Exhibits and Financial Statement Schedules</w:t>
              </w:r>
            </w:hyperlink>
          </w:p>
        </w:tc>
        <w:tc>
          <w:tcPr>
            <w:tcW w:w="441" w:type="dxa"/>
            <w:tcBorders/>
            <w:vAlign w:val="center"/>
          </w:tcPr>
          <w:p>
            <w:pPr>
              <w:pStyle w:val="TableContents"/>
              <w:bidi w:val="0"/>
              <w:spacing w:before="0" w:after="0"/>
              <w:ind w:left="0" w:right="0" w:hanging="0"/>
              <w:jc w:val="center"/>
              <w:rPr/>
            </w:pPr>
            <w:hyperlink w:anchor="item15">
              <w:r>
                <w:rPr>
                  <w:rStyle w:val="InternetLink"/>
                  <w:rFonts w:ascii="Times New Roman" w:hAnsi="Times New Roman"/>
                  <w:caps w:val="false"/>
                  <w:smallCaps w:val="false"/>
                  <w:sz w:val="20"/>
                </w:rPr>
                <w:t>69</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special"/>
      <w:bookmarkEnd w:id="3"/>
      <w:r>
        <w:rPr>
          <w:rFonts w:ascii="Times New Roman" w:hAnsi="Times New Roman"/>
          <w:b/>
          <w:caps w:val="false"/>
          <w:smallCaps w:val="false"/>
          <w:sz w:val="20"/>
        </w:rPr>
        <w:t>SPECIAL CAUTIONARY NOTICE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(Securities Act), and the Securities Exchange Act of 1934, as amended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pStyle w:val="TextBody"/>
        <w:bidi w:val="0"/>
        <w:spacing w:before="0" w:after="0"/>
        <w:ind w:left="16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obtain and maintain regulatory approvals for our product candidates, including TG-1701, TG-1801, and Azercabtagene Zapreleucel (azer-cel), as well as any other product candidates, and our ability to maintain regulatory approval of BRIUMVI® (ublituximab) for the treatment of relapsing forms of multiple sclerosis (RMS) in the United States (U.S.), the European Union (EU) and the United Kingdom (UK);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adapt and expand our commercial infrastructure to successfully launch, market and sell BRIUMVI and our other product candidates; </w:t>
            </w:r>
          </w:p>
        </w:tc>
      </w:tr>
    </w:tbl>
    <w:tbl>
      <w:tblPr>
        <w:tblW w:w="7015" w:type="dxa"/>
        <w:jc w:val="left"/>
        <w:tblInd w:w="0" w:type="dxa"/>
        <w:tblLayout w:type="fixed"/>
        <w:tblCellMar>
          <w:top w:w="0" w:type="dxa"/>
          <w:left w:w="0" w:type="dxa"/>
          <w:bottom w:w="0" w:type="dxa"/>
          <w:right w:w="0" w:type="dxa"/>
        </w:tblCellMar>
      </w:tblPr>
      <w:tblGrid>
        <w:gridCol w:w="60"/>
        <w:gridCol w:w="170"/>
        <w:gridCol w:w="6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maintain a reliable supply of our products that meets market demand;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success of the ongoing commercialization of BRIUMVI or any future products or combinations of products, including the anticipated rate and degree of market acceptance and pricing and reimbursement; </w:t>
            </w:r>
          </w:p>
        </w:tc>
      </w:tr>
    </w:tbl>
    <w:tbl>
      <w:tblPr>
        <w:tblW w:w="7300" w:type="dxa"/>
        <w:jc w:val="left"/>
        <w:tblInd w:w="0" w:type="dxa"/>
        <w:tblLayout w:type="fixed"/>
        <w:tblCellMar>
          <w:top w:w="0" w:type="dxa"/>
          <w:left w:w="0" w:type="dxa"/>
          <w:bottom w:w="0" w:type="dxa"/>
          <w:right w:w="0" w:type="dxa"/>
        </w:tblCellMar>
      </w:tblPr>
      <w:tblGrid>
        <w:gridCol w:w="60"/>
        <w:gridCol w:w="170"/>
        <w:gridCol w:w="7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initiation, timing, progress and results of our pre-clinical studies and clinical trials; </w:t>
            </w:r>
          </w:p>
        </w:tc>
      </w:tr>
    </w:tbl>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advance drug candidates into, and successfully complete, clinical trials;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develop, formulate, manufacture and commercialize our product candidates;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 </w:t>
            </w:r>
          </w:p>
        </w:tc>
      </w:tr>
    </w:tbl>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implementation of our business model and strategic plans for our business and drug candidates;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scope of protection we are able to establish and maintain for intellectual property rights covering our product and product candidates; </w:t>
            </w:r>
          </w:p>
        </w:tc>
      </w:tr>
    </w:tbl>
    <w:tbl>
      <w:tblPr>
        <w:tblW w:w="8635" w:type="dxa"/>
        <w:jc w:val="left"/>
        <w:tblInd w:w="0" w:type="dxa"/>
        <w:tblLayout w:type="fixed"/>
        <w:tblCellMar>
          <w:top w:w="0" w:type="dxa"/>
          <w:left w:w="0" w:type="dxa"/>
          <w:bottom w:w="0" w:type="dxa"/>
          <w:right w:w="0" w:type="dxa"/>
        </w:tblCellMar>
      </w:tblPr>
      <w:tblGrid>
        <w:gridCol w:w="60"/>
        <w:gridCol w:w="170"/>
        <w:gridCol w:w="8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estimates of our expenses, future revenues, capital requirements and our needs for additional financing; </w:t>
            </w:r>
          </w:p>
        </w:tc>
      </w:tr>
    </w:tbl>
    <w:tbl>
      <w:tblPr>
        <w:tblW w:w="8380" w:type="dxa"/>
        <w:jc w:val="left"/>
        <w:tblInd w:w="0" w:type="dxa"/>
        <w:tblLayout w:type="fixed"/>
        <w:tblCellMar>
          <w:top w:w="0" w:type="dxa"/>
          <w:left w:w="0" w:type="dxa"/>
          <w:bottom w:w="0" w:type="dxa"/>
          <w:right w:w="0" w:type="dxa"/>
        </w:tblCellMar>
      </w:tblPr>
      <w:tblGrid>
        <w:gridCol w:w="60"/>
        <w:gridCol w:w="170"/>
        <w:gridCol w:w="8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maintain and establish collaborations and enter into strategic arrangements, if desired;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meet any of our financial projections or guidance, including without limitation short and long-term revenue projections or guidance and changes to the assumptions underlying those projections or guidance; </w:t>
            </w:r>
          </w:p>
        </w:tc>
      </w:tr>
    </w:tbl>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obtain sufficient capital to fund our planned operations; </w:t>
            </w:r>
          </w:p>
        </w:tc>
      </w:tr>
    </w:tbl>
    <w:tbl>
      <w:tblPr>
        <w:tblW w:w="7930" w:type="dxa"/>
        <w:jc w:val="left"/>
        <w:tblInd w:w="0" w:type="dxa"/>
        <w:tblLayout w:type="fixed"/>
        <w:tblCellMar>
          <w:top w:w="0" w:type="dxa"/>
          <w:left w:w="0" w:type="dxa"/>
          <w:bottom w:w="0" w:type="dxa"/>
          <w:right w:w="0" w:type="dxa"/>
        </w:tblCellMar>
      </w:tblPr>
      <w:tblGrid>
        <w:gridCol w:w="60"/>
        <w:gridCol w:w="170"/>
        <w:gridCol w:w="7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financial performance and cash burn management;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maintain or obtain adequate product liability and other insurance coverage; and  </w:t>
            </w:r>
          </w:p>
        </w:tc>
      </w:tr>
    </w:tbl>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developments relating to our competitors and our industry.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summary"/>
      <w:bookmarkEnd w:id="4"/>
      <w:r>
        <w:rPr>
          <w:rFonts w:ascii="Times New Roman" w:hAnsi="Times New Roman"/>
          <w:b/>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1A, and the other reports and documents that we have filed with the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Commercialization</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unable to maintain current approval of BRIUMVI, our business will be materially harmed.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cannot predict when or if we will obtain regulatory approval to commercialize our product candidates, including TG-1701 and TG-1801 in B-cell disorders or azer-cel in non-oncology indications.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limited experience operating as a commercial company, and, as a result, the marketing and sale of BRIUMVI for the treatment of RMS may be less successful than anticipated.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BRIUMVI or any of our future product candidates (if approved) do not achieve broad market acceptance among physicians, patients, payors or the medical community, the revenues that we generate from product sales will be limited.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market opportunities for BRIUMVI and any future products for which we may receive approval, including TG-1701 or TG-1801 in B-cell disorders or azer-cel in non-oncology indications, are smaller than we estimate or if any approval we obtain is based on a narrower patient population or the labeling includes warnings or limitations that are not acceptable to patients or healthcare providers, our revenue will be adversely affected.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face substantial competition for treatments for our target indications, including from companies with greater resources than we have, which may result in others commercializing drugs before or more successfully than we do, which could result in the reduction or elimination of our commercial opportunity.</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unable to generate sufficient revenue, we may need to raise substantial additional capital to sustain our business.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liability lawsuits could cause us to incur substantial liabilities and limit product commercialization.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Drug Development and Regulatory Approval</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unable to obtain or maintain regulatory approval for our product or product candidates and ultimately cannot commercialize one or more of them, or if we experience significant delays in doing so, our business will be materially harmed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product and product candidates may cause undesirable side effects that could delay or prevent their regulatory approval or significantly limit their commercial profile following marketing approval, if any, or result in withdrawal from the market if approved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products or product candidates we may advance through clinical development are subject to extensive regulation, which can be costly and time consuming, cause unanticipated delays, or prevent the receipt of the required approvals.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Governmental Regulation of the Pharmaceutical Industry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subject to extensive regulation, including new legislative and regulatory proposals, including efforts to control, set or cap pricing for approved drugs, which may increase our costs and adversely affect our ability to market our products, obtain collaborators and raise capital.</w:t>
            </w:r>
          </w:p>
        </w:tc>
      </w:tr>
    </w:tbl>
    <w:tbl>
      <w:tblPr>
        <w:tblW w:w="9145" w:type="dxa"/>
        <w:jc w:val="left"/>
        <w:tblInd w:w="0" w:type="dxa"/>
        <w:tblLayout w:type="fixed"/>
        <w:tblCellMar>
          <w:top w:w="0" w:type="dxa"/>
          <w:left w:w="0" w:type="dxa"/>
          <w:bottom w:w="0" w:type="dxa"/>
          <w:right w:w="0" w:type="dxa"/>
        </w:tblCellMar>
      </w:tblPr>
      <w:tblGrid>
        <w:gridCol w:w="170"/>
        <w:gridCol w:w="897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comply with various healthcare laws and regulations, we may incur losses or be subject to liability.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fail to comply with regulatory requirements, any product candidate may fail to receive regulatory approval and any product for which we obtain marketing approval could be subject to restrictions or withdrawal from the market and we may be subject to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Dependence on Third Parties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reliance on third parties for commercial and clinical supply of raw materials and our product and product candidates increases the risk that we will not have sufficient quantities of our product or product candidates or such quantities at an acceptable cost or quality, which could delay, prevent or impair our development or commercialization efforts.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we have in-licensed our product and product candidates from third parties, any dispute with, or non-performance by our licensors will adversely affect our ability to develop and commercialize the applicable product.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Intellectual Property</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patent protection could be reduced or eliminated for non-compliance with various procedural and other requirements imposed by governmental patent agencies.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need to license certain intellectual property from third parties, and such licenses may not be available or may not be available on commercially reasonable terms.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or our partners are sued for infringing intellectual property rights of third parties, it will be costly and time consuming to defend against such lawsuits, and an unfavorable outcome in any such lawsuit would have a material adverse effect on our business.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we are unable to protect the confidentiality of our trade secrets, our business may be significantly harmed.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Financial Position and Need for Additional Capital</w:t>
      </w:r>
    </w:p>
    <w:tbl>
      <w:tblPr>
        <w:tblW w:w="8605" w:type="dxa"/>
        <w:jc w:val="left"/>
        <w:tblInd w:w="0" w:type="dxa"/>
        <w:tblLayout w:type="fixed"/>
        <w:tblCellMar>
          <w:top w:w="0" w:type="dxa"/>
          <w:left w:w="0" w:type="dxa"/>
          <w:bottom w:w="0" w:type="dxa"/>
          <w:right w:w="0" w:type="dxa"/>
        </w:tblCellMar>
      </w:tblPr>
      <w:tblGrid>
        <w:gridCol w:w="170"/>
        <w:gridCol w:w="84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incurred significant operating losses since our inception, and we may incur losses in the future.</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do not expect to need to raise additional capital, we may need to do so. If we are unable to raise capital, if needed, we may be required to delay, limit, reduce or eliminate some of our drug development programs or commercialization efforts.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level of indebtedness and debt service obligations could adversely affect our financial condition and may make it more difficult for us to fund our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Risk Factors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Public health issues including an epidemic or global pandemic, including the pandemic caused by COVID-19, could have an adverse impact on our financial condition and results of operations and other aspects of our business.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BRIUMVI and other immunosuppressive products that we have in development.</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need to develop and expand our business, and we may encounter difficulties in managing this development and expansion.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continue our clinical development and commercialization activities will depend on our ability to attract and maintain key management and other personnel.</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of our executive officers, directors and other stockholders own more than 5% of our outstanding common stock and may be able to influence our management and the outcome of matters submitted to shareholders for approval.</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anti-takeover provisions in our charter documents and Delaware law could make a third-party acquisition more difficult, which could limit the price investors might be willing to pay for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stock price is, and we expect it to remain, volatile, which could limit investors’ ability to sell stock at a profit and could subject us to securities and shareholder derivative litigation.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disruptions of information technology systems, breaches of data security or unauthorized disclosures of sensitive data could harm our business and subject us to liability or reputational damage.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The foregoing is only a summary of some of our risks. These and other risks are discussed more fully in the section entitled “Risk Factors” in Part I, Item 1A and elsewhere in this Annual Report on Form 10-K (our Risk Factors).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5" w:name="part1"/>
      <w:bookmarkEnd w:id="5"/>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requires otherwise, references in this report to </w:t>
      </w:r>
      <w:r>
        <w:rPr>
          <w:rFonts w:ascii="Times New Roman" w:hAnsi="Times New Roman"/>
          <w:caps w:val="false"/>
          <w:smallCaps w:val="false"/>
          <w:sz w:val="20"/>
        </w:rPr>
        <w:t>“</w:t>
      </w:r>
      <w:r>
        <w:rPr>
          <w:rFonts w:ascii="Times New Roman" w:hAnsi="Times New Roman"/>
          <w:i/>
          <w:caps w:val="false"/>
          <w:smallCaps w:val="false"/>
          <w:sz w:val="20"/>
        </w:rPr>
        <w:t>TG,</w:t>
      </w:r>
      <w:r>
        <w:rPr>
          <w:rFonts w:ascii="Times New Roman" w:hAnsi="Times New Roman"/>
          <w:caps w:val="false"/>
          <w:smallCaps w:val="false"/>
          <w:sz w:val="20"/>
        </w:rPr>
        <w:t>”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TG Therapeutics, Inc. and our subsidiaries. Our name, logo and BRIUMVI are trademarks or tradenames of TG Therapeutics, Inc. All other trademarks, service marks or other tradenames appearing in this Annual Report on Form 10-K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6" w:name="item1"/>
      <w:bookmarkEnd w:id="6"/>
      <w:r>
        <w:rPr>
          <w:rFonts w:ascii="Times New Roman" w:hAnsi="Times New Roman"/>
          <w:b/>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fully-integrated, commercial stage, biopharmaceutical company focused on the acquisition, development and commercialization of novel treatments for B-cell mediated diseases. In addition to a research pipeline including several investigational medicines, TG has received approval from the U.S. Food and Drug Administration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and the Medicines and Healthcare products Regulatory Agency (MHRA) for BRIUMVI to treat adult patients with RMS who have active disease defined by clinical or imaging features in Europe and the United Kingdom (UK), respectively. We also actively evaluate complementary products, technologies and companies for in-licensing, partnership, acquisition and/or investment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Business Highlights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FDA Approval and U.S. Launch of BRIUMVI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December 28, 2022, we announced that the FDA granted approval of ublituximab, now referred to as BRIUMVI, for the treatment of RMS, to include clinically isolated syndrome, relapsing-remitting disease, and active secondary progressive disease, in adults. BRIUMVI is an anti-CD20 monoclonal antibody approved for patients with RMS that can be administered in a one-hour infusion following the starting dose. Approval was granted for this indication based on data from the ULTIMATE I &amp; II Phase 3 trials, which demonstrated superiority over teriflunomide in significantly reducing the annualized relapse rate (ARR, the primary endpoint), the number of T1 Gd-enhancing lesions and the number of new or enlarging T2 lesions. Results from the ULTIMATE I &amp; II trials were published in August 2022 in </w:t>
      </w:r>
      <w:r>
        <w:rPr>
          <w:rFonts w:ascii="Times New Roman" w:hAnsi="Times New Roman"/>
          <w:i/>
          <w:caps w:val="false"/>
          <w:smallCaps w:val="false"/>
          <w:sz w:val="20"/>
        </w:rPr>
        <w:t>The New England Journal of Medicine.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January 26, 2023, we announced the commercial launch of BRIUMVI, making it available to physicians and patients. We are committed to helping patients access BRIUMVI through the BRIUMVI Patient Support Program, which we launched following the approval, additional information can be found at www.briumvi.com.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Ex-U.S. Commercialization of BRIUMVI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On June 1, 2023, we announced that the EC granted approval of BRIUMVI for the treatment of adult patients with RMS who have active disease defined by clinical or imaging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On August 1, 2023, we announced an agreement with Neuraxpharm Pharmaceuticals, S.L. (Neuraxpharm), a leading European specialty pharmaceutical company focused on the treatment of central nervous system (CNS) disorders, for the ex-U.S. commercialization of BRIUMVI.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On November 1, 2023, we announced that we also received approval by the MHRA for BRIUMVI to treat adult patients with RMS with active disease defined by clinical or imaging features in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On February 26, 2024, we announced the commercial launch of BRIUMVI in the European Union (EU) by Neuraxpharm, with BRIUMVI made available for commercial sale in Germany, with additional EU markets expected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Pipeline Expansion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January 9, 2024, we entered into an agreement with Precision BioSciences, Inc. (Precision) to acquire a worldwide license to Precision’s Azercabtagene Zapreleucel (azer-cel), an allogeneic CD19 CAR T cell therapy program for autoimmune diseases and all other non-oncology indications. Azer-cel is an allogeneic (off the shelf) CAR T program, and the Company has near term plans to evaluate the program in multiple autoimmune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were incorporated in Delaware in 1993. Our executive offices are located at 3020 Carrington Mill Blvd, Suite 475, Morrisville, North Carolina, 27560. Our telephone number is 1-877-575-TGTX(8489), and our e-mail address is info@tgtxinc.com.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maintain a website with the address www.tgtherapeutics.com and maintain various social media accounts, including but not limited to </w:t>
      </w:r>
      <w:r>
        <w:rPr>
          <w:rFonts w:ascii="Times New Roman" w:hAnsi="Times New Roman"/>
          <w:caps w:val="false"/>
          <w:smallCaps w:val="false"/>
          <w:sz w:val="20"/>
          <w:u w:val="single"/>
        </w:rPr>
        <w:t xml:space="preserve">X (formerly </w:t>
      </w:r>
      <w:r>
        <w:rPr>
          <w:rFonts w:ascii="Times New Roman" w:hAnsi="Times New Roman"/>
          <w:caps w:val="false"/>
          <w:smallCaps w:val="false"/>
          <w:sz w:val="20"/>
        </w:rPr>
        <w:t>Twitter</w:t>
      </w:r>
      <w:r>
        <w:rPr>
          <w:rFonts w:ascii="Times New Roman" w:hAnsi="Times New Roman"/>
          <w:caps w:val="false"/>
          <w:smallCaps w:val="false"/>
          <w:sz w:val="20"/>
          <w:u w:val="single"/>
        </w:rPr>
        <w:t>)</w:t>
      </w:r>
      <w:r>
        <w:rPr>
          <w:rFonts w:ascii="Times New Roman" w:hAnsi="Times New Roman"/>
          <w:caps w:val="false"/>
          <w:smallCaps w:val="false"/>
          <w:sz w:val="20"/>
        </w:rPr>
        <w:t xml:space="preserve"> and LinkedIn. We also maintain websites related to BRIUMVI, including but not limited to www.BRIUMVI.com, and www.BRIUMVIPATIENTSUPPORT.com.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social media accounts as a part of, nor incorporating either by reference into, this report. The SEC maintains a website that contains annual, quarterly, and current reports, proxy statements, and other information that issuers (including us) file electronically with the SEC. The SEC’s website address is</w:t>
      </w:r>
      <w:r>
        <w:rPr>
          <w:rFonts w:ascii="Times New Roman" w:hAnsi="Times New Roman"/>
          <w:caps w:val="false"/>
          <w:smallCaps w:val="false"/>
          <w:sz w:val="20"/>
          <w:u w:val="single"/>
        </w:rPr>
        <w:t xml:space="preserve"> http://www.sec.gov</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intend to use our corporate website, SEC filings, press releases, public conference calls and webcasts as well as social media to communicate with our subscribers and the public. It is possible that the information we post on social media could be deemed to be material information. Therefore, in light of the SEC’s guidance, we encourage investors, the media and others interested in us to review the information we post on the U.S. social media channels listed on our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fully-integrated, commercial stage biopharmaceutical company focused on the acquisition, development and commercialization of novel treatments for B cell mediated diseases, our key corporate objectives include:</w:t>
      </w:r>
    </w:p>
    <w:tbl>
      <w:tblPr>
        <w:tblW w:w="7750" w:type="dxa"/>
        <w:jc w:val="left"/>
        <w:tblInd w:w="0" w:type="dxa"/>
        <w:tblLayout w:type="fixed"/>
        <w:tblCellMar>
          <w:top w:w="0" w:type="dxa"/>
          <w:left w:w="0" w:type="dxa"/>
          <w:bottom w:w="0" w:type="dxa"/>
          <w:right w:w="0" w:type="dxa"/>
        </w:tblCellMar>
      </w:tblPr>
      <w:tblGrid>
        <w:gridCol w:w="60"/>
        <w:gridCol w:w="170"/>
        <w:gridCol w:w="7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Successfully commercializing BRIUMVI in the U.S. for relapsing forms of multiple sclerosis;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Building upon the BRIUMVI approval to evaluate other uses for BRIUMVI in additional MS indications and/or other autoimmune diseases;</w:t>
            </w:r>
          </w:p>
        </w:tc>
      </w:tr>
    </w:tbl>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to expand our pipeline with mechanisms of importance to B-cell mediated diseases;</w:t>
            </w:r>
          </w:p>
        </w:tc>
      </w:tr>
    </w:tbl>
    <w:tbl>
      <w:tblPr>
        <w:tblW w:w="9775" w:type="dxa"/>
        <w:jc w:val="left"/>
        <w:tblInd w:w="0" w:type="dxa"/>
        <w:tblLayout w:type="fixed"/>
        <w:tblCellMar>
          <w:top w:w="0" w:type="dxa"/>
          <w:left w:w="0" w:type="dxa"/>
          <w:bottom w:w="0" w:type="dxa"/>
          <w:right w:w="0" w:type="dxa"/>
        </w:tblCellMar>
      </w:tblPr>
      <w:tblGrid>
        <w:gridCol w:w="60"/>
        <w:gridCol w:w="170"/>
        <w:gridCol w:w="9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Evaluating potential strategic collaborations to maximize the value of our programs and B-cell directed platform; and</w:t>
            </w:r>
          </w:p>
        </w:tc>
      </w:tr>
    </w:tbl>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our “patient first” culture as we grow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Approach and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Our approach to drug development is centered on developing therapies for </w:t>
      </w:r>
      <w:r>
        <w:rPr>
          <w:rFonts w:ascii="Times New Roman" w:hAnsi="Times New Roman"/>
          <w:caps w:val="false"/>
          <w:smallCaps w:val="false"/>
          <w:sz w:val="20"/>
          <w:u w:val="single"/>
        </w:rPr>
        <w:t>B-</w:t>
      </w:r>
      <w:r>
        <w:rPr>
          <w:rFonts w:ascii="Times New Roman" w:hAnsi="Times New Roman"/>
          <w:caps w:val="false"/>
          <w:smallCaps w:val="false"/>
          <w:sz w:val="20"/>
        </w:rPr>
        <w:t xml:space="preserve">cell </w:t>
      </w:r>
      <w:r>
        <w:rPr>
          <w:rFonts w:ascii="Times New Roman" w:hAnsi="Times New Roman"/>
          <w:caps w:val="false"/>
          <w:smallCaps w:val="false"/>
          <w:sz w:val="20"/>
          <w:u w:val="single"/>
        </w:rPr>
        <w:t xml:space="preserve">mediated </w:t>
      </w:r>
      <w:r>
        <w:rPr>
          <w:rFonts w:ascii="Times New Roman" w:hAnsi="Times New Roman"/>
          <w:caps w:val="false"/>
          <w:smallCaps w:val="false"/>
          <w:sz w:val="20"/>
        </w:rPr>
        <w:t>diseases. Our process begins by identifying validated targets against B-cell</w:t>
      </w:r>
      <w:r>
        <w:rPr>
          <w:rFonts w:ascii="Times New Roman" w:hAnsi="Times New Roman"/>
          <w:caps w:val="false"/>
          <w:smallCaps w:val="false"/>
          <w:sz w:val="20"/>
          <w:u w:val="single"/>
        </w:rPr>
        <w:t xml:space="preserve"> mediated</w:t>
      </w:r>
      <w:r>
        <w:rPr>
          <w:rFonts w:ascii="Times New Roman" w:hAnsi="Times New Roman"/>
          <w:caps w:val="false"/>
          <w:smallCaps w:val="false"/>
          <w:sz w:val="20"/>
        </w:rPr>
        <w:t xml:space="preserve"> diseases, and then searching for and, ideally, acquiring what we believe to be “best-in-class” compounds with complementary mechanisms against these targets.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ind w:left="0" w:right="0" w:firstLine="720"/>
        <w:jc w:val="left"/>
        <w:rPr>
          <w:sz w:val="20"/>
        </w:rPr>
      </w:pPr>
      <w:r>
        <w:rPr>
          <w:sz w:val="20"/>
        </w:rPr>
        <w:t xml:space="preserve">Our preference is to identify targets for which there is human clinical proof of concept that the mechanism is active in B-cell mediated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globally. This approach enables us to minimize target risk while looking for the best available drug candidates around the world. By focusing on B-cell mediated diseases and targets with a known activity profile, we believe that we can quickly identify the patients most likely to respond, resulting in a more efficient development path with the potential for a greater likelihood of success.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approach is enabled by our clinical development platform which includes an internal team with a deep understanding of B-cell mediated diseases and significant experience successfully obtaining FDA approval for innovative treatments for these complex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AUTOIMMUNE DISEASE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autoimmune disease occurs when the body’s immune system attacks and destroys healthy body tissue by mistake.  There are currently more than 80 types of autoimmune disorders that have been identified. Some of these diseases may result from inappropriate production of antibodies from the B-cells. These antibodies cannot discriminate “self” from “non-self,” and inadvertently mount a disabling immune response against normal organs. Some of these diseases may not be antibody mediated but may still result from aberrant activity of B-cells. Examples of common and very debilitating autoimmune disorders for which abnormally functioning B-cells have been implicated include multiple sclerosis (MS) and rheumatoid arthritis (RA).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The Company’s current focus is on MS.</w:t>
      </w:r>
    </w:p>
    <w:p>
      <w:pPr>
        <w:pStyle w:val="TextBody"/>
        <w:bidi w:val="0"/>
        <w:spacing w:before="0" w:after="0"/>
        <w:ind w:left="54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Multiple Sclerosis Overview</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RMS is a chronic demyelinating disease of the central nervous system (CNS) and includes people with relapsing-remitting multiple sclerosis (RRMS) and people with secondary progressive multiple sclerosis (SPMS) who continue to experience relapses. RRMS is the most common form of MS and is characterized by episodes of new or worsening signs or symptoms (relapses) followed by periods of recovery. MS is the most prevalent chronic inflammatory disease of the CNS. It is estimated that nearly 1 million people are living with MS in the United States and over 2.3 million people world-wide are living with 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We currently license worldwide development and commercial rights, subject to certain limited geographical restrictions, for all of our products under development. The following table summarizes the current status for our lead drug candidates as of February 2024.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0" w:type="dxa"/>
          <w:right w:w="28" w:type="dxa"/>
        </w:tblCellMar>
      </w:tblPr>
      <w:tblGrid>
        <w:gridCol w:w="3807"/>
        <w:gridCol w:w="60"/>
        <w:gridCol w:w="3232"/>
        <w:gridCol w:w="60"/>
        <w:gridCol w:w="3046"/>
      </w:tblGrid>
      <w:tr>
        <w:trPr/>
        <w:tc>
          <w:tcPr>
            <w:tcW w:w="3807" w:type="dxa"/>
            <w:tcBorders>
              <w:top w:val="single" w:sz="2" w:space="0" w:color="000000"/>
              <w:left w:val="single" w:sz="2" w:space="0" w:color="000000"/>
              <w:right w:val="single" w:sz="2" w:space="0" w:color="000000"/>
            </w:tcBorders>
            <w:vAlign w:val="center"/>
          </w:tcPr>
          <w:p>
            <w:pPr>
              <w:pStyle w:val="TableContents"/>
              <w:bidi w:val="0"/>
              <w:spacing w:before="0" w:after="283"/>
              <w:jc w:val="left"/>
              <w:rPr>
                <w:b/>
              </w:rPr>
            </w:pPr>
            <w:r>
              <w:rPr>
                <w:b/>
              </w:rPr>
              <w:t>Clinical Drug Candidate: (molecular target)</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3232"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Initial Target Disease</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3046" w:type="dxa"/>
            <w:tcBorders>
              <w:top w:val="single" w:sz="2" w:space="0" w:color="000000"/>
              <w:right w:val="single" w:sz="2" w:space="0" w:color="000000"/>
            </w:tcBorders>
            <w:tcMar>
              <w:left w:w="0" w:type="dxa"/>
            </w:tcMar>
            <w:vAlign w:val="center"/>
          </w:tcPr>
          <w:p>
            <w:pPr>
              <w:pStyle w:val="TableContents"/>
              <w:bidi w:val="0"/>
              <w:spacing w:before="0" w:after="283"/>
              <w:jc w:val="left"/>
              <w:rPr>
                <w:b/>
              </w:rPr>
            </w:pPr>
            <w:r>
              <w:rPr>
                <w:b/>
              </w:rPr>
              <w:t>Stage of Development (trial name)</w:t>
            </w:r>
          </w:p>
        </w:tc>
      </w:tr>
      <w:tr>
        <w:trPr/>
        <w:tc>
          <w:tcPr>
            <w:tcW w:w="3807"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Ublituximab (anti-CD20 mAb)</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23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Relapsing Forms of Multiple Sclerosis (RMS)</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0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APPROVED</w:t>
            </w:r>
          </w:p>
        </w:tc>
      </w:tr>
      <w:tr>
        <w:trPr/>
        <w:tc>
          <w:tcPr>
            <w:tcW w:w="3807"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TG-1701 (BTK inhibitor)</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23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B-cell disorders</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0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Phase 1 trial</w:t>
            </w:r>
          </w:p>
        </w:tc>
      </w:tr>
      <w:tr>
        <w:trPr/>
        <w:tc>
          <w:tcPr>
            <w:tcW w:w="3807"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TG-1801 (anti-CD47/CD19 bispecific mAb)</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232"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B-cell disorders</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jc w:val="left"/>
              <w:rPr/>
            </w:pPr>
            <w:r>
              <w:rPr/>
              <w:t> </w:t>
            </w:r>
          </w:p>
        </w:tc>
        <w:tc>
          <w:tcPr>
            <w:tcW w:w="3046"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Phase 1 trial</w:t>
            </w:r>
          </w:p>
        </w:tc>
      </w:tr>
      <w:tr>
        <w:trPr/>
        <w:tc>
          <w:tcPr>
            <w:tcW w:w="3807" w:type="dxa"/>
            <w:tcBorders/>
            <w:tcMar>
              <w:top w:w="0" w:type="dxa"/>
              <w:left w:w="0" w:type="dxa"/>
              <w:right w:w="0" w:type="dxa"/>
            </w:tcMar>
            <w:vAlign w:val="center"/>
          </w:tcPr>
          <w:p>
            <w:pPr>
              <w:pStyle w:val="TableContents"/>
              <w:bidi w:val="0"/>
              <w:spacing w:before="0" w:after="283"/>
              <w:jc w:val="left"/>
              <w:rPr/>
            </w:pPr>
            <w:r>
              <w:rPr/>
              <w:t>Azer-cel</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3232" w:type="dxa"/>
            <w:tcBorders/>
            <w:tcMar>
              <w:top w:w="0" w:type="dxa"/>
              <w:left w:w="0" w:type="dxa"/>
              <w:right w:w="0" w:type="dxa"/>
            </w:tcMar>
            <w:vAlign w:val="center"/>
          </w:tcPr>
          <w:p>
            <w:pPr>
              <w:pStyle w:val="TableContents"/>
              <w:bidi w:val="0"/>
              <w:spacing w:before="0" w:after="283"/>
              <w:jc w:val="left"/>
              <w:rPr/>
            </w:pPr>
            <w:r>
              <w:rPr/>
              <w:t>Auto-immune disorders</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3046" w:type="dxa"/>
            <w:tcBorders/>
            <w:tcMar>
              <w:top w:w="0" w:type="dxa"/>
              <w:left w:w="0" w:type="dxa"/>
              <w:right w:w="0" w:type="dxa"/>
            </w:tcMar>
            <w:vAlign w:val="center"/>
          </w:tcPr>
          <w:p>
            <w:pPr>
              <w:pStyle w:val="TableContents"/>
              <w:bidi w:val="0"/>
              <w:spacing w:before="0" w:after="283"/>
              <w:jc w:val="left"/>
              <w:rPr/>
            </w:pPr>
            <w:r>
              <w:rPr/>
              <w:t>Phase 1 (pending)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b/>
          <w:caps w:val="false"/>
          <w:smallCaps w:val="false"/>
          <w:sz w:val="20"/>
        </w:rPr>
        <w:t>BRIUMVI (ublituximab-xiiy)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BRIUMVI is the first and only anti-CD20 monoclonal antibody approved for the treatment of RMS, to include clinically isolated syndrome, relapsing-remitting disease, and active secondary progressive disease, in adults, that can be administered in a twice a year one-hour infusion following the starting dose.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Late-Stage Clinical Development of Ublituximab-xiiy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ULTIMATE I &amp; II Trials Evaluating Single Agent Ublituximab in RMS: </w:t>
      </w:r>
      <w:r>
        <w:rPr>
          <w:rFonts w:ascii="Times New Roman" w:hAnsi="Times New Roman"/>
          <w:caps w:val="false"/>
          <w:smallCaps w:val="false"/>
          <w:sz w:val="20"/>
        </w:rPr>
        <w:t>ULTIMATE I and ULTIMATE II are two independent Phase 3 trials. Each trial is a global, randomized, multi-center, double-blinded, double-dummy, active-controlled study evaluating the efficacy and safety/tolerability of ublituximab-xiiy (450mg dose administered by one hour intravenous infusion every six months, following a Day 1 infusion of 150mg over four hours, and a Day 15 infusion of 450mg over one hour) to teriflunomide (14mg oral tablets taken once daily) in subjects with RMS. The primary endpoint for each study was ARR following 96 weeks of treatment. This program was led by Lawrence Steinman, MD, George A. Zimmermann Professor and Professor of Pediatrics, Neurology and Neurological Sciences at Stanford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In December 2020, we announced positive topline results from the ULTIMATE I &amp; II trials. Both studies met their primary endpoint of significantly reducing ARR over a 96-week period (p&lt;0.005 in each study) with ublituximab-xiiy demonstrating an ARR of &lt;0.10 in each of the studies. Relative reductions of approximately 60% and 50% in ARR over teriflunomide were observed in ULTIMATE I &amp; II, respectively. Key secondary magnetic resonance imaging (MRI) endpoints were also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On August 22, 2022, the full results from the ULTIMATE I &amp; II trials were published in the New England Journal of Medicine.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ENHANCE Phase 3b Trial:</w:t>
      </w:r>
      <w:r>
        <w:rPr>
          <w:rFonts w:ascii="Times New Roman" w:hAnsi="Times New Roman"/>
          <w:caps w:val="false"/>
          <w:smallCaps w:val="false"/>
          <w:sz w:val="20"/>
        </w:rPr>
        <w:t> On October 11, 2023, we presented the first data from the ENHANCE Phase 3b trial evaluating BRIUMVI in  patients with RMS who switch from another anti-CD20 therapy to BRIUMVI. The presentation occurred at the 2023 European Committee for Treatment and Research in Multiple Sclerosis Annual Meeting.  In this study, patients with low levels of B-cells as pre-specified in the protocol are eligible to proceed directly to a full dose of BRIUMVI 450mg without receiving a 150 mg loading dose.  As of the presentation, 13 patients switched from Ocrevus to BRIUMVI 450mg as a 2-hour infusion with no infusion related reactions reported and no unexpected side effects.  An additional 2 patients switched from Ocrevus to BRIUMVI 450mg as a 1-hour infusion again with no infusion related reactions reported and no unexpected side effects.  The study has continued to enroll patients at 450mg as a 1-hour infusion and additional data is expected to be reported during the course of 2024. </w:t>
      </w:r>
    </w:p>
    <w:p>
      <w:pPr>
        <w:pStyle w:val="TextBody"/>
        <w:bidi w:val="0"/>
        <w:spacing w:before="0" w:after="0"/>
        <w:ind w:left="0" w:right="0" w:firstLine="18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Commercialization of BRIUMVI (ublituximab-xiiy)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On December 28, 2022, we announced the FDA approval of BRIUMVI (ublituximab-xiiy) for the treatment of RMS, to include clinically isolated syndrome, relapsing-remitting disease, and active secondary progressive disease, in adults, primarily based on results from the ULTIMATE I &amp; II Phase 3 trials, and on January 26, 2023, we announced the U.S. commercial launch of BRIUMVI, making it available to physicians and patients. On July 1, 2023, the permanent J-Code for BRIUMVI (J2329) became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Ex-U.S. Commercialization of BRIUMVI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On June 1,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On August 1, 2023, we announced an agreement with Neuraxpharm, a leading European specialty pharmaceutical company focused on the treatment of CNS disorders, for the Ex-US commercialization of BRIUMVI. Under the terms of the commercialization agreement, we received an upfront payment of $140 million, and are eligible to receive an additional $12.5 million upon launch in the first EU country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certain territories outside the United States, Canada and Mexico, the commercialization rights for which had been previously retained by TG, thus excluding certain Asian countries subject to previously existing partnerships. We retain an option to buy back all rights under the commercialization agreement for a period of two years in the event of a change in control of TG.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announced that we also received approval by the MHRA for BRIUMVI to treat adult patients with RMS with active disease defined by clinical or imaging features in the UK.</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26, 2024, we announced the commercial launch of BRIUMVI in the European Union (EU) by Neuraxpharm, with BRIUMVI made available for commercial sale in Germany, with additional EU markets expected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TG-1701 (BTK inhibitor)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TG-1701 is a novel, orally available and covalently-bound Bruton’s tyrosine kinase (BTK) inhibitor that exhibits strong selectivity to BTK in </w:t>
      </w:r>
      <w:r>
        <w:rPr>
          <w:rFonts w:ascii="Times New Roman" w:hAnsi="Times New Roman"/>
          <w:i/>
          <w:caps w:val="false"/>
          <w:smallCaps w:val="false"/>
          <w:sz w:val="20"/>
        </w:rPr>
        <w:t>in vitro</w:t>
      </w:r>
      <w:r>
        <w:rPr>
          <w:rFonts w:ascii="Times New Roman" w:hAnsi="Times New Roman"/>
          <w:caps w:val="false"/>
          <w:smallCaps w:val="false"/>
          <w:sz w:val="20"/>
        </w:rPr>
        <w:t xml:space="preserve"> kinase screening.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B-cell receptor (BCR) signaling is crucial for normal B-cell development and supports the survival and growth of B-cells.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evaluating TG-1701 in a Phase 1, multi-center, dose-escalation clinical trial in patients with B-cell malignancies. Data from this trial was last presented at the 2021 American Society of Hematology (ASH)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TG-1801 (anti-CD47/anti-CD19 bispecific monoclonal antibody)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TG-1801 is a potentially first-in-class, bispecific CD47 and CD19 antibody. It is the first therapy to target both CD19, a B-cell specific </w:t>
      </w:r>
      <w:r>
        <w:rPr>
          <w:rFonts w:ascii="Times New Roman" w:hAnsi="Times New Roman"/>
          <w:caps w:val="false"/>
          <w:smallCaps w:val="false"/>
          <w:sz w:val="20"/>
          <w:u w:val="single"/>
        </w:rPr>
        <w:t>marker</w:t>
      </w:r>
      <w:r>
        <w:rPr>
          <w:rFonts w:ascii="Times New Roman" w:hAnsi="Times New Roman"/>
          <w:caps w:val="false"/>
          <w:smallCaps w:val="false"/>
          <w:sz w:val="20"/>
        </w:rPr>
        <w:t xml:space="preserve"> widely expressed across B-cell malignancies, and CD47, the "don’t eat me" signal used by both healthy and tumor cells to evade macrophage mediated phagocytosis.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first quarter of 2019, we commenced a Phase 1 first-in-human, dose-escalation study of TG-1801 in patients with B-cell lymphoma. In December 2022, preliminary results from this first-in-human Phase 1 study were presented at the 64th American Society of Hematology (ASH) Annual Meeting &amp; Exposition.  TG-1801 was well tolerated as monotherapy and in combination with ublituximab with no maximum tolerable dose (MTD) identified and exhibited preliminary signs of efficacy in a variety of relapsed or refractory B-cell lymphomas.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In the first half of 2021, we commenced a second Phase 1 study of TG-1801 in the U.S. to continue dose optimization as monotherapy.</w:t>
      </w:r>
    </w:p>
    <w:p>
      <w:pPr>
        <w:pStyle w:val="TextBody"/>
        <w:bidi w:val="0"/>
        <w:spacing w:before="0" w:after="0"/>
        <w:ind w:left="70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Azercabtagene Zapreleucel (azer-cel)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Azer-cel is an allogeneic (off-the-shelf) CD19 CAR T cell therapy program for autoimmune diseases and all other non-oncology indications. Made from donor-derived T cells modified using a proprietary ARCUS genome editing technology, azer-cel recognizes the well characterized B-cell surface protein CD19, an important and validated target in several B-cell cancers and autoimmune diseases. Azer-cel is designed to avoid graft-versus-host disease (GvHD), a significant complication associated with other donor-derived, cell-based therapies. The Company has near term plans to evaluate the program in  autoimmune indications. </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INTELLECTUAL PROPERTY AND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 secret protection and confidentiality agreements to protect our interests. To this end, we seek to protect our proprietary technology and processes, in part, by entering into confidentiality agreements with our collaborators, scientific advisors, employees and consultants, and invention assignment agreements with our employees and consultants. There can be no assurance, however, that we can prevent unauthorized disclosure or use of our trade secrets, know-how and proprietary information despite the existence of confidentiality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issued patents and pending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patent applications in the U.S. are maintained in secrecy for a period of 18 months or more. Since publication of discoveries in the scientific or patent literature often lags behind actual discoveries, we are not certain that we were the first to make the inventions covered by each of our issued patents and pending patent applications or that we were the first to file patent applications covering such inventions. The patent positions of biotechnology and pharmaceutical companies are highly uncertain and involve complex legal and factual questions. To date, there has been no consistent policy regarding the breadth of claims allowed in biotechnology patents. Therefore, we cannot predict the breadth of claims that may be ultimately allowed from our pending patent applications, cannot predict whether the claims in our issued patents will be invalidated or modified through the district courts, Patent Trial and Appeal Board (PTAB) proceedings, or reexamination proceedings at the United States Patent and Trademark Office (USPTO), and thus cannot predict the enforceability of the claims in our issued patents or the claims that may ultimately issue from our pending patent applications. Third parties or competitors may challenge or circumvent our patents or patent applications, if issued. If our competitors prepare and file patent applications in the U.S. that claim technology also claimed by us in a pending patent application or issued patent, we may have to participate in interference proceedings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 Patent Term Restoration and Marketing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Depending upon the timing, duration and specifics of any FDA approval of our drug candidates, some of our U.S. patents may be eligible for limited patent term extension under the Drug Price Competition and Patent Term Restoration Act of 1984, commonly referred to as the Hatch-Waxman Act. The Hatch-Waxman Act permits restoration of the term of certain types of patents for up to five years as compensation for patent term lost during the FDA regulatory review process. However, patent term restoration cannot extend the remaining term of a patent beyond a total of 14 years from the product’s approval date. The patent term restoration period is generally one-half the time between the effective date of an Investigational New Drug (IND) application and the submission date of a New Drug Application (NDA) or BLA plus the time between the submission date of an NDA or BLA and the approval of that application. The calculation is subject to several subtractions for any portion of the regulatory review process that occurred before the date the patent was issued and any portion during which the FDA determined a lack of due diligence. Only one patent applicable to an approved drug is eligible for the extension and the application for the extension must be submitted prior to the expiration of the patent, and within 60 days of a product’s approval. The USPTO, in consultation with the FDA, reviews and approves the application for any patent term extension. Moreover, a patent can only be extended once, and thus, if a single patent is applicable to multiple products, it can only be extended based on one product. Following the approval of BRIUMVI in the U.S., we have applied for patent term extensions for certain of our issued U.S. patents covering our product and/or their methods of use. Similar provisions are available in Europe and certain other foreign jurisdictions to extend the term of a patent that covers an approved drug and have been filed for in certain European Patent (EP) countries.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Also, under the Hatch-Waxman Act, drugs that are new chemical entities (NCEs) are eligible for a five-year period of marketing exclusivity in the United States. During the exclusivity period, the FDA may not accept for review an abbreviated new drug application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Hatch-Waxman Act also provides three years of marketing exclusivity for a drug product that contains an active moiety that has been previously approved,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During this period, FDA will not approve an application filed by a third party for the protected conditions of use that relies on any of the data from the new clinical investigations that was submitted by the innovator company. Five-year and three-year exclusivity will not delay the submission or approval of a full NDA that does not rely on the innovator company’s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Biologics Price Competition and Innovation Act of 2009 (BPCIA) created an abbreviated pathway for companies to bring biologic drugs to market that are biosimilar to previously approved branded reference products by relying on clinical studies that were performed by the reference product sponsor. The BPCIA also created a 12-year period of data exclusivity for innovator biologics, whereby the FDA cannot approve a biological license application (BLA) for a biosimilar product relying on data for a specific reference product until 12 years after the reference product is first licensed. BLA supplements are not eligible for any additional exclusivity. The objectives of the BPCIA are conceptually similar to those of the Hatch-Waxman Act described above. The implementation of an abbreviated approval pathway for biosimilar products is under the direction of the FDA. Since the enactment of the BPCIA, the FDA has issued guidance on biosimilars, addressing scientific, quality and procedural issues relevant to an abbreviated application for a biosimilar product. As of December 2022, the FDA had approved 40 biosimilar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or those companies from which we have licensed our drug candidates,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combinations of our drugs together and with drugs developed by others. The intellectual property portfolios for our most advanced drug candidates as of February 2024 are summarized below. Each of these portfolios contains one or more pending patent applications covering our products and product candidates and uses and combinations thereof. For those patents, prosecution is in progress. Prosecution is a lengthy process, during which the scope of the claims initially submitted for examination by the USPTO is often significantly narrowed by the time they issue, if they issue at all. This may be the case with respect to our pending patent applications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BRIUMVI (ublituximab-xiiy)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applications include composition of matter patents relating to the structure and mechanism of action for ublituximab, as well as method of use patents which cover use of ublituximab in combination with various agents and for various therapeutic indications.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earliest in time patent families relate to compositions of matter for ublituximab</w:t>
      </w:r>
      <w:r>
        <w:rPr>
          <w:rFonts w:ascii="Times New Roman" w:hAnsi="Times New Roman"/>
          <w:caps w:val="false"/>
          <w:smallCaps w:val="false"/>
          <w:sz w:val="20"/>
          <w:u w:val="single"/>
        </w:rPr>
        <w:t>, which</w:t>
      </w:r>
      <w:r>
        <w:rPr>
          <w:rFonts w:ascii="Times New Roman" w:hAnsi="Times New Roman"/>
          <w:caps w:val="false"/>
          <w:smallCaps w:val="false"/>
          <w:sz w:val="20"/>
        </w:rPr>
        <w:t xml:space="preserve"> has been issued in the U.S., Europe and other jurisdictions, including Australia, Canada, China, Japan, Korea and India. The expected expiration for the composition of matter patent is 2029 in the U.S. and 2025 in Europe and other non-U.S. jurisdictions, exclusive of patent term extensions, which could result in later expiration dates. We also have a method of use patent on the combination of UKONIQ and ublituximab, which has been issued in the U.S., Europe, and other jurisdictions, including Australia, China, Korea, and Japan, and is pending in other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most recently filed patent family relates to compositions of matter comprising ublituximab, methods of manufacturing those compositions and methods for treating multiple sclerosis using those compositions. This family includes three issued U.S. patents and one recently allowed U.S. application. We also have patent applications pending in this family in the U.S., Argentina, the EU and Taiwan. The Patent Cooperation Treaty application , from which further national phase applications may be filed, is also pending. Patents issuing from this family may first begin to expire as early as 2042.</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the Biologics Price Competition and Innovation Act provides that BRIUMVI is eligible for 12 years of market exclusivity from the date of BRIUMVI’s U.S. approval. During this 12 year period a biosimilar product that references our BRIUMVI product, cannot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TG-1701 (BTK inhibitor)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our license agreement with Jiangsu Hengrui Medicine Co. (Hengrui), we have the exclusive commercial rights in the treatment of hematologic cancers to a patent family which covers the composition of matter and proposed methods of use for various therapeutic indications in the U.S. and certain other countries. Patents directed to the compound have granted in the U.S., Europe, and other jurisdictions, including Australia, Canada, Japan, China, and Korea and are expected to expire no sooner than October 2034. Applications are pending in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TG-1801 (anti-CD47/anti-CD19 bispecific antibody)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our joint venture and license option agreement with Novimmune SA (Novimmune), we maintain an exclusive option, exercisable at specific times during development, to license the commercial rights to a series of global patent applications and patents, and the non-exclusive right to certain technology patent applications. Patents directed to a bispecific antibody have issued in Australia, China, Europe, Japan, and Russia and are pending in other jurisdictions including the U.S. Any patents maturing from these pending applications are expected to expire no sooner than December 2033.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Azer-Cel (allogeneic CD19 CAR 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our license agreement with Precision, we have an exclusive license to develop and commercialize Precision’s azer-cel for the treatment of autoimmune and other non-oncology diseases and conditions as well as a non-exclusive license to manufacture azer-cel. The license agreement includes non-exclusive rights to a series of patents and patent applications in the U.S. and in multiple countries around the world, as well as non-exclusive rights to additional background patent rights. These patents and patent applications include composition of matter patents relating to azer-cel, as well as method of use patents which cover use of azer-cel.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Patent Rights and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Times New Roman" w:hAnsi="Times New Roman"/>
          <w:i/>
          <w:caps w:val="false"/>
          <w:smallCaps w:val="false"/>
          <w:sz w:val="20"/>
        </w:rPr>
        <w:t xml:space="preserve">Item 1A </w:t>
      </w:r>
      <w:r>
        <w:rPr>
          <w:rFonts w:ascii="Times New Roman" w:hAnsi="Times New Roman"/>
          <w:caps w:val="false"/>
          <w:smallCaps w:val="false"/>
          <w:sz w:val="20"/>
        </w:rPr>
        <w:t xml:space="preserve">– </w:t>
      </w:r>
      <w:r>
        <w:rPr>
          <w:rFonts w:ascii="Times New Roman" w:hAnsi="Times New Roman"/>
          <w:i/>
          <w:caps w:val="false"/>
          <w:smallCaps w:val="false"/>
          <w:sz w:val="20"/>
        </w:rPr>
        <w:t>Risk Factors -- Risks Related to the Company</w:t>
      </w:r>
      <w:r>
        <w:rPr>
          <w:rFonts w:ascii="Times New Roman" w:hAnsi="Times New Roman"/>
          <w:caps w:val="false"/>
          <w:smallCaps w:val="false"/>
          <w:sz w:val="20"/>
        </w:rPr>
        <w:t>’</w:t>
      </w:r>
      <w:r>
        <w:rPr>
          <w:rFonts w:ascii="Times New Roman" w:hAnsi="Times New Roman"/>
          <w:i/>
          <w:caps w:val="false"/>
          <w:smallCaps w:val="false"/>
          <w:sz w:val="20"/>
        </w:rPr>
        <w:t>s Intellectual Property.</w:t>
      </w:r>
      <w:r>
        <w:rPr>
          <w:rFonts w:ascii="Times New Roman" w:hAnsi="Times New Roman"/>
          <w:caps w:val="false"/>
          <w:smallCaps w:val="false"/>
          <w:sz w:val="20"/>
        </w:rPr>
        <w:t>” In addition, the limited patent protection may adversely affect the value of our products or product candidates and may inhibit our ability to obtain a corporate partner at terms acceptable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LICENSING AGREEMENTS AND COLLABORATIONS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formed strategic alliances with a number of companies for the manufacture and commercialization of our products. Our current key strategic alliances are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BRIUMVI (ublituximab-xiiy)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LFB Biotechnologies S.A.S, GTC Biotherapeutics, LFB/GTC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As of December 31, </w:t>
      </w:r>
      <w:r>
        <w:rPr>
          <w:rFonts w:ascii="Times New Roman" w:hAnsi="Times New Roman"/>
          <w:caps w:val="false"/>
          <w:smallCaps w:val="false"/>
          <w:sz w:val="20"/>
          <w:u w:val="single"/>
        </w:rPr>
        <w:t>2022</w:t>
      </w:r>
      <w:r>
        <w:rPr>
          <w:rFonts w:ascii="Times New Roman" w:hAnsi="Times New Roman"/>
          <w:caps w:val="false"/>
          <w:smallCaps w:val="false"/>
          <w:sz w:val="20"/>
        </w:rPr>
        <w:t>, we have incurred expenses of approximately $</w:t>
      </w:r>
      <w:r>
        <w:rPr>
          <w:rFonts w:ascii="Times New Roman" w:hAnsi="Times New Roman"/>
          <w:caps w:val="false"/>
          <w:smallCaps w:val="false"/>
          <w:sz w:val="20"/>
          <w:u w:val="single"/>
        </w:rPr>
        <w:t xml:space="preserve">25.0 </w:t>
      </w:r>
      <w:r>
        <w:rPr>
          <w:rFonts w:ascii="Times New Roman" w:hAnsi="Times New Roman"/>
          <w:caps w:val="false"/>
          <w:smallCaps w:val="false"/>
          <w:sz w:val="20"/>
        </w:rPr>
        <w:t>million related to milestones in accordance with the terms of the LFB License Agreement, $</w:t>
      </w:r>
      <w:r>
        <w:rPr>
          <w:rFonts w:ascii="Times New Roman" w:hAnsi="Times New Roman"/>
          <w:caps w:val="false"/>
          <w:smallCaps w:val="false"/>
          <w:sz w:val="20"/>
          <w:u w:val="single"/>
        </w:rPr>
        <w:t>12</w:t>
      </w:r>
      <w:r>
        <w:rPr>
          <w:rFonts w:ascii="Times New Roman" w:hAnsi="Times New Roman"/>
          <w:caps w:val="false"/>
          <w:smallCaps w:val="false"/>
          <w:sz w:val="20"/>
        </w:rPr>
        <w:t xml:space="preserve">.0 million of which was incurred in </w:t>
      </w:r>
      <w:r>
        <w:rPr>
          <w:rFonts w:ascii="Times New Roman" w:hAnsi="Times New Roman"/>
          <w:caps w:val="false"/>
          <w:smallCaps w:val="false"/>
          <w:sz w:val="20"/>
          <w:u w:val="single"/>
        </w:rPr>
        <w:t>December</w:t>
      </w:r>
      <w:r>
        <w:rPr>
          <w:rFonts w:ascii="Times New Roman" w:hAnsi="Times New Roman"/>
          <w:caps w:val="false"/>
          <w:smallCaps w:val="false"/>
          <w:sz w:val="20"/>
        </w:rPr>
        <w:t xml:space="preserve"> of </w:t>
      </w:r>
      <w:r>
        <w:rPr>
          <w:rFonts w:ascii="Times New Roman" w:hAnsi="Times New Roman"/>
          <w:caps w:val="false"/>
          <w:smallCaps w:val="false"/>
          <w:sz w:val="20"/>
          <w:u w:val="single"/>
        </w:rPr>
        <w:t xml:space="preserve">2022 </w:t>
      </w:r>
      <w:r>
        <w:rPr>
          <w:rFonts w:ascii="Times New Roman" w:hAnsi="Times New Roman"/>
          <w:caps w:val="false"/>
          <w:smallCaps w:val="false"/>
          <w:sz w:val="20"/>
        </w:rPr>
        <w:t xml:space="preserve">related to a milestone associated with receiving approval of BRIUMVI by the </w:t>
      </w:r>
      <w:r>
        <w:rPr>
          <w:rFonts w:ascii="Times New Roman" w:hAnsi="Times New Roman"/>
          <w:caps w:val="false"/>
          <w:smallCaps w:val="false"/>
          <w:sz w:val="20"/>
          <w:u w:val="single"/>
        </w:rPr>
        <w:t>FDA</w:t>
      </w:r>
      <w:r>
        <w:rPr>
          <w:rFonts w:ascii="Times New Roman" w:hAnsi="Times New Roman"/>
          <w:caps w:val="false"/>
          <w:smallCaps w:val="false"/>
          <w:sz w:val="20"/>
        </w:rPr>
        <w:t>. LFB Group is eligible to receive future payments of approximately $6.0 million, upon our successful achievement of certain regulatory milestones, in addition to royalty payments on net sales of ublituximab at a royalty rate in the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Ildong Pharmaceutical Co. Ltd.(Ildong)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sales-based milestone payments up to an aggregate of $5 million and royalty payments on net sales of ublituximab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Neuraxpharm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2023, we entered into an agreement with Neuraxpharm, for the ex-U.S. commercialization of BRIUMVI. Under the terms of the commercialization agreement, we received an upfront payment of $140 million and are eligible to receive an additional $12.5 million upon launch in the first EU country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certain territories outside the United States, Canada and Mexico, the commercialization rights for which had been previously retained by TG, thus excluding certain Asian countries subject to previously existing partnerships. We retain an option to buy back all rights under the commercialization agreement for a period of two years in the event of a change in control of TG.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TG-1701 (BTK inhibitor)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2018, we entered into a global exclusive license agreement with Jiangsu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 1701 (SHR1459 or EBI1459) or TG1702 (SHR1266 or EBI1266).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In July 2020, we paid Hengrui $2.0 million as part of a milestone in accordance with the license agreement. Royalty payments in the low double digits are due on net sales of licensed products and revenue from sublicenses.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of the agreement expires after the expiration of the last royalty term to expire with respect to any of the patent rights under the agreement. We or Hengrui may terminate the agreement upon notice to the other upon breach without remedy or upon insolvency. In addition, either party may terminate the agreement upon a material breach, after providing the other party with adequate notice and allowing 45 days to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TG-1801 (anti-CD47/anti-CD19 bispecific antibody)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2018, we entered into a Joint Venture and License Option Agreement with Novimmune to collaborate on the development and commercialization of Novimmune’s novel first-in-class anti-CD47/anti-CD19 bispecific antibody known as TG 1801 (previously NI 1701). The companies will jointly develop the product on a worldwide basis, focusing on indications in the area of hematologic B-cell malignancies. We serve as the primary responsible party for the development, manufacturing and commercialization of the product.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 1801, in which case Novimmune is eligible to receive additional milestone payments totaling approximately $185 million as well as tiered royalties on net sales in the high single to low double digits upon and subject to the achievement of certain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Azer-Cel</w:t>
      </w:r>
      <w:r>
        <w:rPr>
          <w:rFonts w:ascii="Times New Roman" w:hAnsi="Times New Roman"/>
          <w:caps w:val="false"/>
          <w:smallCaps w:val="false"/>
          <w:sz w:val="20"/>
        </w:rPr>
        <w:t xml:space="preserve"> </w:t>
      </w:r>
      <w:r>
        <w:rPr>
          <w:rFonts w:ascii="Times New Roman" w:hAnsi="Times New Roman"/>
          <w:b/>
          <w:caps w:val="false"/>
          <w:smallCaps w:val="false"/>
          <w:sz w:val="20"/>
        </w:rPr>
        <w:t>(allogeneic CD19 CAR 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2024, we, through our wholly-owned subsidiary, TG Cell Therapy, Inc., entered into a global exclusive license agreement with Precision to develop and commercialize azer-cel for autoimmune diseases and all other non-oncology indications. Pursuant to such license Agreement, the Company made an upfront payment to Precision of $7.5 million, consisting of (i) $5.25 million in cash and (ii) $2.25 million as an equity investment. The Company will make an additional deferred payment of $2.5 million to Precision as an equity investment to Precision within 12 months at a pre-specified premium. Upon achievement of certain near-term clinical or time-based milestones, the Company will make a further $7.5 million payment to Precision, a portion of which will also be an equity investment in Precision’s common stock at a pre-specified premium. 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or a period of ten years following the first commercial sale of the licensed product in such country. The Company has also agreed to make certain payments to Precision’s licensors during the term of our license agreement with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UKONIQ (umbralisib)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September 2014, we exercised our option to license the global rights to umbralisib, thereby entering into an exclusive licensing agreement (the Umbralisib License) with Rhizen Pharmaceuticals, S A (Rhizen) for the development and commercialization of umbralisib. Rhizen is eligible to receive approval and sales-based milestone payments in the aggregate of approximately $175 million. Additionally, Rhizen receives tiered royalties that escalate from high single digits to low double digits on any net sales of umbralisib. The license will terminate on a country-by-country basis upon the expiration of the last licensed patent right or any other exclusivity right in such country, unless the agreement is earlier terminated (i) by us for any reason, or (ii) by either party due to a breach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Cosibelimab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March 2015, we entered into a global collaboration (the Collaboration Agreement) with Checkpoint Therapeutics, Inc. (Checkpoint) for the development and commercialization of Checkpoint’s anti-PD-L1 and anti-GITR antibody research programs in the field of hematological malignancies with an option to acquire rights in autoimmune diseases. In September 2023, we terminated this agreement and have no remaining obligations or commitments under the Collaboration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drugs that we are attempting to develop will have to compete with existing therapies. In addition, a large number of companies are pursuing the development of pharmaceuticals that target the same diseases and conditions that we are targeting. Some of these potential competing drugs are further advanced in development than our drug candidates and may be commercialized earlier. The resulting changes in standard of care can impact the likelihood of regulatory accelerated approval opportunities for our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BRIUMVI, there are a number of established therapies with which we will compete: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BRIUMVI will primarily compete against other iv CD20-targeted agents, while the group of CD20-targeted agents will also compete broadly against a number of already approved MS therapies. Currently, there is one other approved intravenously delivered anti-CD20 monoclonal antibody ocrelizumab (Roche Holdings AG). In addition, while we believe not directly competitive, there is also a subcutaneous anti-CD20 monoclonal antibody approved for MS, ofatumumab (Novartis AG).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TG-1701, TG-1801 and azer-cel, if approved will also face competition from drugs on the market and under development in the same therapeutic class as each of those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 information can be found under Item “1A - Risk Factors – Other Risks Related to Our Business” within this report.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SUPPLY AND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ublituximab development programs cannot be guaranteed and we cannot ensure that we will be successful in this endeavor.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Contract manufacturers are subject to ongoing periodic and unannounced inspections by the FDA, the Drug Enforcement Administration if applicable, and corresponding state agencies to ensure strict compliance with cGMP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need to change manufacturers after commercialization, the FDA and corresponding foreign regulatory agencies may need to approve these new manufacturers in advance, which will involve testing, regulatory submissions,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AND INDUSTRY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Numerous governmental authorities, principally the FDA and corresponding state and foreign regulatory agencies, impose substantial regulations upon the clinical development, manufacture and marketing of our product candidates, as well as our ongoing research and development activities. We, along with our third-party contractors, will be required to navigate the various pre- and post-approval requirements of the governing regulatory agencies of the jurisdictions in which we wish to conduct clinical studies or market our product candidates. None of our product candidates, except BRIUMVI, are approved for sale in any market in which we have marketing rights. Before marketing in the U.S., any drug that we develop must undergo rigorous pre-clinical testing and clinical trials and an extensive regulatory review and approval process implemented by the FDA under the Federal Food, Drug, and Cosmetic Act (FDCA) and, in the case of biologics, the Public Health Service Act. The FDA regulates, among other things, the pre-clinical and clinical testing, safety, efficacy, approval, manufacturing, quality control and assurance, record keeping, pharmacovigilance and adverse event reporting, packaging, labeling, storage, advertising, promotion, import and export, sale and distribution of biopharmaceutical products. The process of obtaining regulatory approvals and the subsequent compliance with applicable federal, state, local and foreign statutes and regulations require the expenditure of substantial time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Product Development and Applications for Marketing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clinical development and to pursue NDA or BLA approval, clinical trials are typically conducted in the following sequential phases: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Phase 1:</w:t>
            </w:r>
            <w:r>
              <w:rPr>
                <w:rFonts w:ascii="Times New Roman" w:hAnsi="Times New Roman"/>
                <w:caps w:val="false"/>
                <w:smallCaps w:val="false"/>
                <w:sz w:val="20"/>
              </w:rPr>
              <w:t> The drug is administered to a small group of humans, either healthy volunteers or patients, to test for safety, dosage tolerance, absorption, metabolism, excretion, and clinical pharmacology.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Phase 2: Studies are conducted on more patients to assess the product's efficacy, to ascertain dose tolerance and the optimal dose range, and to gather additional data relating to safety and potential adverse events.</w:t>
            </w:r>
          </w:p>
        </w:tc>
      </w:tr>
    </w:tbl>
    <w:tbl>
      <w:tblPr>
        <w:tblW w:w="6820" w:type="dxa"/>
        <w:jc w:val="left"/>
        <w:tblInd w:w="0" w:type="dxa"/>
        <w:tblLayout w:type="fixed"/>
        <w:tblCellMar>
          <w:top w:w="0" w:type="dxa"/>
          <w:left w:w="0" w:type="dxa"/>
          <w:bottom w:w="0" w:type="dxa"/>
          <w:right w:w="0" w:type="dxa"/>
        </w:tblCellMar>
      </w:tblPr>
      <w:tblGrid>
        <w:gridCol w:w="60"/>
        <w:gridCol w:w="170"/>
        <w:gridCol w:w="6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Phase 3:</w:t>
            </w:r>
            <w:r>
              <w:rPr>
                <w:rFonts w:ascii="Times New Roman" w:hAnsi="Times New Roman"/>
                <w:caps w:val="false"/>
                <w:smallCaps w:val="false"/>
                <w:sz w:val="20"/>
              </w:rPr>
              <w:t> Studies establish safety and efficacy in an expanded patient population.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Phase 4:</w:t>
            </w:r>
            <w:r>
              <w:rPr>
                <w:rFonts w:ascii="Times New Roman" w:hAnsi="Times New Roman"/>
                <w:caps w:val="false"/>
                <w:smallCaps w:val="false"/>
                <w:sz w:val="20"/>
              </w:rPr>
              <w:t> The FDA may require Phase 4 post-marketing studies to find out more about the drug’s long-term risks, benefits, and optimal use, or to test the drug in different populations.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r>
        <w:rPr>
          <w:rFonts w:ascii="Times New Roman" w:hAnsi="Times New Roman"/>
          <w:caps w:val="false"/>
          <w:smallCaps w:val="false"/>
          <w:sz w:val="20"/>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slow patient enrollment due to the nature of the clinical trial plan, the proximity of patients to clinical sites, the eligibility criteria for participation in the study or other factors;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inadequately trained or insufficient personnel at the study site to assist in overseeing and monitoring clinical trials or delays in approvals from a study site’s review board;</w:t>
            </w:r>
          </w:p>
        </w:tc>
      </w:tr>
    </w:tbl>
    <w:tbl>
      <w:tblPr>
        <w:tblW w:w="8140" w:type="dxa"/>
        <w:jc w:val="left"/>
        <w:tblInd w:w="0" w:type="dxa"/>
        <w:tblLayout w:type="fixed"/>
        <w:tblCellMar>
          <w:top w:w="0" w:type="dxa"/>
          <w:left w:w="0" w:type="dxa"/>
          <w:bottom w:w="0" w:type="dxa"/>
          <w:right w:w="0" w:type="dxa"/>
        </w:tblCellMar>
      </w:tblPr>
      <w:tblGrid>
        <w:gridCol w:w="60"/>
        <w:gridCol w:w="170"/>
        <w:gridCol w:w="7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longer treatment time required to demonstrate efficacy or determine the appropriate product dose;</w:t>
            </w:r>
          </w:p>
        </w:tc>
      </w:tr>
    </w:tbl>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insufficient supply of the drug candidates;</w:t>
            </w:r>
          </w:p>
        </w:tc>
      </w:tr>
    </w:tbl>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medical events or side effects in treated patients; and</w:t>
            </w:r>
          </w:p>
        </w:tc>
      </w:tr>
    </w:tbl>
    <w:tbl>
      <w:tblPr>
        <w:tblW w:w="3355" w:type="dxa"/>
        <w:jc w:val="left"/>
        <w:tblInd w:w="0" w:type="dxa"/>
        <w:tblLayout w:type="fixed"/>
        <w:tblCellMar>
          <w:top w:w="0" w:type="dxa"/>
          <w:left w:w="0" w:type="dxa"/>
          <w:bottom w:w="0" w:type="dxa"/>
          <w:right w:w="0" w:type="dxa"/>
        </w:tblCellMar>
      </w:tblPr>
      <w:tblGrid>
        <w:gridCol w:w="60"/>
        <w:gridCol w:w="170"/>
        <w:gridCol w:w="3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ineffectiveness of the drug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2022, with the passage of Food and Drug Omnibus Reform Act, Congress required sponsors to develop and submit a diversity action plan (DAP) for each Phase 3 clinical trial or any other “pivotal study” of a new drug or biological product. These plans are meant to encourage the enrollment of more diverse patient populations in late-stage clinical trials of FDA-regulated products. Specifically, DAPs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clinical trials that are intended to form the basis of a new drug or biologics license application for approval, sponsors of drugs may apply for a Special Protocol Assessment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may permit expedited development, evaluation, and marketing of new therapies intended to treat persons with serious or life-threatening conditions for which there is an unmet medical need under its expedited drug development programs. A sponsor can apply for Fast Track designation at the time of submission of an IND, or at any time prior to receiving marketing approval of the new drug application, or NDA. To receive Fast Track designation, an applicant must demonstrate:</w:t>
      </w:r>
    </w:p>
    <w:p>
      <w:pPr>
        <w:pStyle w:val="TextBody"/>
        <w:bidi w:val="0"/>
        <w:spacing w:before="0" w:after="0"/>
        <w:ind w:left="0" w:right="0" w:firstLine="72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that the drug is intended to treat a serious or life-threatening condition; and</w:t>
            </w:r>
          </w:p>
        </w:tc>
      </w:tr>
    </w:tbl>
    <w:tbl>
      <w:tblPr>
        <w:tblW w:w="7735" w:type="dxa"/>
        <w:jc w:val="left"/>
        <w:tblInd w:w="0" w:type="dxa"/>
        <w:tblLayout w:type="fixed"/>
        <w:tblCellMar>
          <w:top w:w="0" w:type="dxa"/>
          <w:left w:w="0" w:type="dxa"/>
          <w:bottom w:w="0" w:type="dxa"/>
          <w:right w:w="0" w:type="dxa"/>
        </w:tblCellMar>
      </w:tblPr>
      <w:tblGrid>
        <w:gridCol w:w="60"/>
        <w:gridCol w:w="170"/>
        <w:gridCol w:w="7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0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that nonclinical or clinical data demonstrate the potential to address an unmet medical need.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are also permitted to submit portions of an NDA or BLA to the FDA on a rolling basis where the FDA may consider reviewing portions of a marketing application before the sponsor submits the complete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sponsors may also apply to the FDA for Breakthrough Therapy Designation (BTD). The procedures and requirements for BTD are similar to those required for Fast Track such that the Breakthrough Therapy Designation is intended to expedite the development and review of a potential new drug for serious or life-threatening diseases, however, with BTD, there is a further requirement that the sponsor present “preliminary clinical evidence” which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Sponsors of drugs granted Fast Track or breakthrough therapy designation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a sponsor must be able to demonstrate the drug candidate treats a serious condition, provides a meaningful advantage over other available therapies, and demonstrates an effect on a surrogate endpoint that is reasonably likely to predict clinical benefit. Many companies have filed for accelerated approval and have subsequently failed to obtain such approval for a variety of reasons. To the extent a product does obtain an accelerated approval, such approval will be subject to the requirement that the applicant study the drug further in a post-marketing confirmatory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confirmatory clinical trials fail to verify clinical benefit, the FDA has the right to remove the drug from the market and has done so in the recent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 Completing the required post-approval clinical studies as designed can be difficult, especially as the treatment landscape evolves.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also becoming more common for the FDA to request a Risk Evaluation and Mitigation Strategy, or REMS, as part of an NDA/BLA. The REMS plan contains post-market obligations of the sponsor to train prescribing physicians, monitor off-label drug use, and conduct Phase 4 follow-up studies and registries to ensure the continued safe use of the drug.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NDA and BLA review process also generally includes a pre-approval inspection, or PAI, to assess the manufacturing facilities and relevant processes and data for compliance, and readiness for commercial manufacture in accordance with cGMPs. Among the conditions of approval is the requirement that a manufacturer’s quality systems and manufacturing procedures conform to cGMP. Even when product approval is received, manufacturers must expend significant time, money and effort to ensure continued compliance, and the FDA conducts periodic surveillance inspections to monitor the manufacturing process and drug quality and evaluate whether the manufacturers are in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Post-Approval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products for which we receive FDA approval are subject to continuing regulation by the FDA and other federal and state regulators on a wide range of matters, including, among other things cGMPs and product quality, pharmacovigilance and reporting of adverse events, product distribution requirements, fulfilling post-marketing or confirmatory study or REMS commitments, and complying with FDA promotion and advertising requirements. Violations of the FDCA or other post-approval regulatory requirements may result in agency enforcement actions, including withdrawal of approval, recall, seizure of products, warning letters, injunctions, fines and/or civil or criminal penalties. Any agency enforcement action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promotion and advertising requirements applicable to marketed products include, among other things, standards for direct-to-consumer advertising, restrictions against promoting products for uses or in patient populations that are not either described in the product’s approved indications and uses or otherwise consistent with the FDA-approved product labeling, limitations on industry-sponsored scientific and educational activities, rules regarding communication of health care economic information regarding biopharmaceutical products to payors and formularies, and requirements for promotional activities involving the internet. Drugs whose review was accelerated may carry additional requirements on marketing activities, including the requirement that all promotional materials are pre-submitted to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product approval, quality control and manufacturing procedures must continue to conform to applicable manufacturing requirements. FDA regulations require among other things, quality control and quality assurance as well as the corresponding maintenance of records and documentation and the obligation to investigate and correct any deviations from cGMPs. Manufacturers and other entities involved in the manufacture and distribution of approved products are required to register their establishments and list their products with the FDA and certain state agencies. Manufacturers and their third-party contractors may be subject to periodic unannounced inspections by the FDA and certain state agencies for assessment of compliance with cGMPs and other applicable laws. Accordingly, manufacturers must continue to expend time, money, and effort in the areas of production and quality control to maintain quality control and manufacturing compliance. Discovery of problems with a product after approval may result in restrictions on a product,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Marketed products must meet the requirements of the Drug Supply Chain Security Act, or DSCSA, which regulates the commercial distribution of prescription drug products at the federal level. The DSCSA sets certain standards for federal or state registration, requires tracing of products through the pharmaceutical distribution supply chain, and imposes other requirements on entities in the supply chain, including manufacturers and repackagers, wholesale distributors, third-party logistics providers, and dispensers. The DSCSA requirements, development of standards, and the system for product tracing have been and will continue to be phased in per the DSCSA implementation timeline established by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post-marketing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documents, and policies are often revised or reinterpreted by the agency in ways that may significantly affect our business. It is impossible to predict whether further legislative or FDA regulation or policy changes will be enacted or implemented and what the impact of such changes, if any,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for example, an accelerated approval filing with the FDA, may be insufficient to file for marketing applications outside of the U.S. At present, companies are typically required to apply for foreign marketing authorizations at a national level. However, within the European Union, centralized registration procedures are available to companies wishing to market a product across the European Union member states.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Coverage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foreign and U.S. federal and state governments, and the prices of drugs have been a focus in this effort. The U.S. government, state legislatures and foreign governments have shown significant interest in implementing cost-containment programs, including price controls, restrictions on reimbursement, importation,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U.S., 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created a new average manufacturer price definition under the Medicaid Drug Rebate Program for drugs that are inhaled, infused, instilled, implanted or injected and not generally dispensed through the retail channel,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(subsequent legislation increased this to 70% effective as of January 1, 2019), as a condition for the manufacturer’s outpatient drugs to be covered under Medicare Part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the enactment of the Affordable Care Act, certain provisions of the Affordable Care Act have been subject to judicial challenges as well as efforts to repeal or replace them or to alter their interpretation or implementation. For example, the Tax Cuts and Jobs Act enacted on December 22, 2017, eliminated the shared responsibility payment for individuals who fail to maintain minimum essential coverage under section 5000A of the Internal Revenue Code of 1986, commonly referred to as the individual mandate, effective January 1, 2019. Although litigation and legislation over the Affordable Care Act are likely to continue, with unpredictable and uncertain results, we expect that the Biden administration may seek to expand and strengthen the Affordable Care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(the DHHS) to set drug price caps for certain high-cost Medicare Part B and Part D qualified drugs, with the initial list of drugs selected on August 29, 2023, and the first year of maximum price applicability to begin in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the state level, individual states are increasingly aggressive in passing legislation and implementing regulations designed to control prescription drug pricing, including price and marketing cost disclosure and transparency measures, and, in some cases, authorizing importation of prescription drugs from other countries.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or put pressure on our product pricing. We expect that additional state healthcare reform measures will be adopted in the future, which could limit the amounts that state governments will pay for healthcare products and services and result in additional pricing pressures.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in some foreign countries, the proposed pricing for a prescription drug must be approved before the drug may be lawfully marketed. The requirements governing drug pricing vary widely from country to country. For example, the United Kingdom and many European Union member states have robust health technology assessment processes to determine pricing and reimbursement for pharmaceuticals through their national health insurance system. Many European Union members states also include either direct or indirect price referencing, or other price control mechanisms, in determining the price of a pharmaceutical in their market. There can be no assurance that any country that has price controls or reimbursement limitations for pharmaceutical drugs will allow favorable reimbursement and pricing arrangements for any of our products. Historically, drugs launched in the European Union do not follow price structures of the U.S. and generally tend to be significantly lower.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U.S.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laws; laws governing interactions with healthcare professionals and related transparency requirements (such as the federal Sunshine Act and a range of state biopharmaceutical marketing and transparency laws); and requirements for manufacturers to report certain calculated product prices to the government or provide certain discounts or rebates to government authorities or private entities, often as a condition of reimbursement under government healthcare programs. The compliance and enforcement landscape is informed by government enforcement precedent and settlement history, Advisory Opinions, and Special Fraud Alerts. The risks we face and our approach to compliance may evolve over time in light of these types of developments. The potential safe harbors available for, example, relative to the Anti-Kickback Statute, are subject to change through legislative and regulatory action, and we may decide to adjust our business practices or be subject to heightened scrutiny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research, consulting and other financial arrangements with physicians that the government alleged were not based on the provision of bona fide services and were intended as an inducement or reward.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Health Insurance Portability and Accountability Act of 1996,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also been a recent trend of increased federal and state regulation of payments made to physicians and other healthcare providers. The Affordable Care Act, among other things, imposes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Effective January 1, 2022, these reporting obligations extend to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be subject to data privacy and security regulation by both the federal government and the states in which we conduct our business. HIPAA, as amended by the Health Information Technology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according to the U.S. Federal Trade Commission,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under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 For example, the California Consumer Protection Act, (CCPA), which went into effect on January 1, 2020, established a privacy framework for covered businesses by creating an expanded definition of personal information, data privacy rights for consumers in California, and a potentially severe statutory damages framework for violations of the CCPA and for businesses that fail to implement reasonable security procedures and practices to prevent data breaches. The CCPA was recently amended by the California Privacy Rights Act (CPRA), expanding certain consumer rights such as the right to know. It remains unclear what, if any, additional modifications will be made to these laws by the California legislature or how these laws will be interpreted and enforced. The potential effects of the CCPA and CPRA are significant and may cause us to incur substantial costs and expenses to comply.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Rest of the World Healthcare Regulation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other countries outside of the U.S. and the European Union, the requirements governing the conduct of clinical trials, drug licensing, sales and marketing, pricing and reimbursement vary from country to country. 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European Union member states, the United Kingdom, Switzerland, and other foreign jurisdictions have adopted data protection laws and regulations, which impose significant compliance obligations. In the European Union and the United Kingdom, the collection and use of personal data, including clinical trial data, is governed by the provisions of the General Data Protection Regulation, or GDPR. The GDPR, together with national legislation, regulations and guidelines of the European Union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European Union or the United Kingdom, security breach notifications, security and confidentiality of the personal data and imposition of substantial potential fines for breaches of the data protection obligations. Compliance with the GDPR is a rigorous and time-intensive process that may increase the cost of doing business to ensure full compliance. Furthermore, European data protection authorities may interpret the GDPR and national laws differently and impose additional requirements, which add to the complexity of processing personal data in or from the European Union or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February 26, 2024, we had 264 full-time employees. None of our employees are represented by a collective bargaining agreement, and we have never experienced a work stoppage.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our future success largely depends upon our continued ability to attract and retain a diverse workforce of highly skilled and dedicated employees. We pride ourselves on being an equal opportunity employer and strictly prohibit unlawful discrimination based on color, religion, gender, sexual orientation, gender identity/expression, national origin/ancestry, age, disability, marital and veteran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continue to grow our organization to support the commercialization of BRIUMVI and to enhance our overall development capabilities for current or future products under development. As part of that process, we will continue to evaluate the business needs and market opportunities, balancing in-house expertise and core competencies with outsourced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Drug development and commercialization requires deep expertise across a broad array of disciplines. Pharmaceutical companies of all sizes compete for a limited number of qualified applicants to fill specialized positions. To attract qualified candidates, the Company offers an attractive total rewards package, consisting of base salary, cash bonus, a comprehensive benefit package, equity compensation, and 401(k) plan. Bonus opportunities and equity compensation increase as a percentage of total compensation based on level of responsibility, and actual bonus awards are based on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7" w:name="item1a"/>
      <w:bookmarkEnd w:id="7"/>
      <w:r>
        <w:rPr>
          <w:rFonts w:ascii="Times New Roman;Times;serif" w:hAnsi="Times New Roman;Times;serif"/>
          <w:b/>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You should carefully consider the following risk factors and the other information contained elsewhere in this Annual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and later in 2023, from the Medicines and Healthcare products Regulatory Agency (MHRA) for the treatment of adult patients with RMS who have active disease defined by clinical or imaging features in the EU and UK, respectively.</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While we have initiated the commercial launch of BRIUMVI in the U.S., 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marketing approval, will depend on a number of factors, including: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our receipt of marketing approvals, the terms of such approvals, and the countries in which such approvals are obtained;</w:t>
            </w:r>
          </w:p>
        </w:tc>
      </w:tr>
    </w:tbl>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efficacy, safety and tolerability as demonstrated in clinical trials and as compared to alternative treatments;</w:t>
            </w:r>
          </w:p>
        </w:tc>
      </w:tr>
    </w:tbl>
    <w:tbl>
      <w:tblPr>
        <w:tblW w:w="9550" w:type="dxa"/>
        <w:jc w:val="left"/>
        <w:tblInd w:w="0" w:type="dxa"/>
        <w:tblLayout w:type="fixed"/>
        <w:tblCellMar>
          <w:top w:w="0" w:type="dxa"/>
          <w:left w:w="0" w:type="dxa"/>
          <w:bottom w:w="0" w:type="dxa"/>
          <w:right w:w="0" w:type="dxa"/>
        </w:tblCellMar>
      </w:tblPr>
      <w:tblGrid>
        <w:gridCol w:w="60"/>
        <w:gridCol w:w="170"/>
        <w:gridCol w:w="9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market introduction of BRIUMVI and any of our product candidates, as well as competitive products;</w:t>
            </w:r>
          </w:p>
        </w:tc>
      </w:tr>
    </w:tbl>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indications for which our products are approved, and other aspects of the approved labeling for such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acceptance by physicians, advanced practitioners, major operators of neurology clinics, and patients of our products as safe, tolerable and effective treatments;</w:t>
            </w:r>
          </w:p>
        </w:tc>
      </w:tr>
    </w:tbl>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and perceived advantages or disadvantages of our products compared to alternative treatments;</w:t>
            </w:r>
          </w:p>
        </w:tc>
      </w:tr>
    </w:tbl>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offer our products for sale at competitive prices;</w:t>
            </w:r>
          </w:p>
        </w:tc>
      </w:tr>
    </w:tbl>
    <w:tbl>
      <w:tblPr>
        <w:tblW w:w="7825" w:type="dxa"/>
        <w:jc w:val="left"/>
        <w:tblInd w:w="0" w:type="dxa"/>
        <w:tblLayout w:type="fixed"/>
        <w:tblCellMar>
          <w:top w:w="0" w:type="dxa"/>
          <w:left w:w="0" w:type="dxa"/>
          <w:bottom w:w="0" w:type="dxa"/>
          <w:right w:w="0" w:type="dxa"/>
        </w:tblCellMar>
      </w:tblPr>
      <w:tblGrid>
        <w:gridCol w:w="60"/>
        <w:gridCol w:w="170"/>
        <w:gridCol w:w="7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availability of adequate reimbursement by third-party payors and government authorities;</w:t>
            </w:r>
          </w:p>
        </w:tc>
      </w:tr>
    </w:tbl>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extent of patient cost-sharing obligations, including copays and deductibles;</w:t>
            </w:r>
          </w:p>
        </w:tc>
      </w:tr>
    </w:tbl>
    <w:tbl>
      <w:tblPr>
        <w:tblW w:w="6685" w:type="dxa"/>
        <w:jc w:val="left"/>
        <w:tblInd w:w="0" w:type="dxa"/>
        <w:tblLayout w:type="fixed"/>
        <w:tblCellMar>
          <w:top w:w="0" w:type="dxa"/>
          <w:left w:w="0" w:type="dxa"/>
          <w:bottom w:w="0" w:type="dxa"/>
          <w:right w:w="0" w:type="dxa"/>
        </w:tblCellMar>
      </w:tblPr>
      <w:tblGrid>
        <w:gridCol w:w="60"/>
        <w:gridCol w:w="170"/>
        <w:gridCol w:w="6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regulatory requirements by government authorities for our products;</w:t>
            </w:r>
          </w:p>
        </w:tc>
      </w:tr>
    </w:tbl>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relative convenience and ease of administration;</w:t>
            </w:r>
          </w:p>
        </w:tc>
      </w:tr>
    </w:tbl>
    <w:tbl>
      <w:tblPr>
        <w:tblW w:w="5260" w:type="dxa"/>
        <w:jc w:val="left"/>
        <w:tblInd w:w="0" w:type="dxa"/>
        <w:tblLayout w:type="fixed"/>
        <w:tblCellMar>
          <w:top w:w="0" w:type="dxa"/>
          <w:left w:w="0" w:type="dxa"/>
          <w:bottom w:w="0" w:type="dxa"/>
          <w:right w:w="0" w:type="dxa"/>
        </w:tblCellMar>
      </w:tblPr>
      <w:tblGrid>
        <w:gridCol w:w="60"/>
        <w:gridCol w:w="170"/>
        <w:gridCol w:w="50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prevalence and severity of side effects and adverse events;</w:t>
            </w:r>
          </w:p>
        </w:tc>
      </w:tr>
    </w:tbl>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willingness of the target patient population to try new therapies and of physicians to prescribe these therapies;</w:t>
            </w:r>
          </w:p>
        </w:tc>
      </w:tr>
    </w:tbl>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effectiveness of our sales and marketing efforts</w:t>
            </w:r>
            <w:r>
              <w:rPr>
                <w:rFonts w:ascii="Times New Roman" w:hAnsi="Times New Roman"/>
                <w:caps w:val="false"/>
                <w:smallCaps w:val="false"/>
                <w:sz w:val="20"/>
                <w:u w:val="single"/>
              </w:rPr>
              <w:t>, as well as those of any current or future partners</w:t>
            </w:r>
            <w:r>
              <w:rPr>
                <w:rFonts w:ascii="Times New Roman" w:hAnsi="Times New Roman"/>
                <w:caps w:val="false"/>
                <w:smallCaps w:val="false"/>
                <w:sz w:val="20"/>
              </w:rPr>
              <w:t>;</w:t>
            </w:r>
          </w:p>
        </w:tc>
      </w:tr>
    </w:tbl>
    <w:tbl>
      <w:tblPr>
        <w:tblW w:w="4975" w:type="dxa"/>
        <w:jc w:val="left"/>
        <w:tblInd w:w="0" w:type="dxa"/>
        <w:tblLayout w:type="fixed"/>
        <w:tblCellMar>
          <w:top w:w="0" w:type="dxa"/>
          <w:left w:w="0" w:type="dxa"/>
          <w:bottom w:w="0" w:type="dxa"/>
          <w:right w:w="0" w:type="dxa"/>
        </w:tblCellMar>
      </w:tblPr>
      <w:tblGrid>
        <w:gridCol w:w="60"/>
        <w:gridCol w:w="170"/>
        <w:gridCol w:w="4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745"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protecting our rights in our intellectual property portfolio;</w:t>
            </w:r>
          </w:p>
        </w:tc>
      </w:tr>
    </w:tbl>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a reliable supply of our products that meets market demand; and</w:t>
            </w:r>
          </w:p>
        </w:tc>
      </w:tr>
    </w:tbl>
    <w:tbl>
      <w:tblPr>
        <w:tblW w:w="7270" w:type="dxa"/>
        <w:jc w:val="left"/>
        <w:tblInd w:w="0" w:type="dxa"/>
        <w:tblLayout w:type="fixed"/>
        <w:tblCellMar>
          <w:top w:w="0" w:type="dxa"/>
          <w:left w:w="0" w:type="dxa"/>
          <w:bottom w:w="0" w:type="dxa"/>
          <w:right w:w="0" w:type="dxa"/>
        </w:tblCellMar>
      </w:tblPr>
      <w:tblGrid>
        <w:gridCol w:w="60"/>
        <w:gridCol w:w="170"/>
        <w:gridCol w:w="7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favorable or unfavorable publicity relating to our products or relating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In addition, global health concerns such as the COVID-19 pandemic could impact commercialization of BRIUMVI. Patients and healthcare providers have raised concerns that immunosuppressive products like anti-CD20 antibodies and other B-cell targeted agents may increase the risk of acquiring viruses such as COVID-19 or lead to more severe complications or outcomes upon infection, including death. These or other similar concerns may impact the commercial potential for BRIUMVI and other immunosuppressive products that we have in development.</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Regulatory approvals for our product or any of our product candidates may be subject to conditions and limitations on the approved indicated uses for which the product may be marketed or contain requirements for potentially costly post-marketing testing, including Phase 4 clinical trials, and surveillance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United Kingdom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w:t>
      </w:r>
      <w:r>
        <w:rPr>
          <w:rFonts w:ascii="Times New Roman" w:hAnsi="Times New Roman"/>
          <w:caps w:val="false"/>
          <w:smallCaps w:val="false"/>
          <w:sz w:val="20"/>
          <w:u w:val="single"/>
        </w:rPr>
        <w:t>cGMPs</w:t>
      </w:r>
      <w:r>
        <w:rPr>
          <w:rFonts w:ascii="Times New Roman" w:hAnsi="Times New Roman"/>
          <w:caps w:val="false"/>
          <w:smallCaps w:val="false"/>
          <w:sz w:val="20"/>
        </w:rPr>
        <w:t>),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and any of our product candidates for which we in the future obtain approval, may, after approval, be found to cause undesirable side effects that could result in significant negative consequences following commercialization.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 xml:space="preserve">As BRIUMVI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w:t>
      </w:r>
      <w:r>
        <w:rPr>
          <w:rFonts w:ascii="Times New Roman" w:hAnsi="Times New Roman"/>
          <w:caps w:val="false"/>
          <w:smallCaps w:val="false"/>
          <w:sz w:val="20"/>
          <w:u w:val="single"/>
        </w:rPr>
        <w:t>other products or</w:t>
      </w:r>
      <w:r>
        <w:rPr>
          <w:rFonts w:ascii="Times New Roman" w:hAnsi="Times New Roman"/>
          <w:caps w:val="false"/>
          <w:smallCaps w:val="false"/>
          <w:sz w:val="20"/>
        </w:rPr>
        <w:t xml:space="preserve"> product candidates </w:t>
      </w:r>
      <w:r>
        <w:rPr>
          <w:rFonts w:ascii="Times New Roman" w:hAnsi="Times New Roman"/>
          <w:caps w:val="false"/>
          <w:smallCaps w:val="false"/>
          <w:sz w:val="20"/>
          <w:u w:val="single"/>
        </w:rPr>
        <w:t>within the RMS space </w:t>
      </w:r>
      <w:r>
        <w:rPr>
          <w:rFonts w:ascii="Times New Roman" w:hAnsi="Times New Roman"/>
          <w:caps w:val="false"/>
          <w:smallCaps w:val="false"/>
          <w:sz w:val="20"/>
        </w:rPr>
        <w:t>following introduction into the market,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withdraw approval or limit the approved indications for use of such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required to change the way such drug candidates are distributed or administered, or to conduct additional clinical trials;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tc>
      </w:tr>
    </w:tbl>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subject to regulatory investigations and government enforcement actions;</w:t>
            </w:r>
          </w:p>
        </w:tc>
      </w:tr>
    </w:tbl>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decide to remove such drug candidates from the marketplace;</w:t>
            </w:r>
          </w:p>
        </w:tc>
      </w:tr>
    </w:tbl>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enter into collaboration agreements on acceptable terms and execute on our business model;</w:t>
            </w:r>
          </w:p>
        </w:tc>
      </w:tr>
    </w:tbl>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could be sued and held liable for injury caused to individuals exposed to or taking our products; and</w:t>
            </w:r>
          </w:p>
        </w:tc>
      </w:tr>
    </w:tbl>
    <w:tbl>
      <w:tblPr>
        <w:tblW w:w="2335" w:type="dxa"/>
        <w:jc w:val="left"/>
        <w:tblInd w:w="0" w:type="dxa"/>
        <w:tblLayout w:type="fixed"/>
        <w:tblCellMar>
          <w:top w:w="0" w:type="dxa"/>
          <w:left w:w="0" w:type="dxa"/>
          <w:bottom w:w="0" w:type="dxa"/>
          <w:right w:w="0" w:type="dxa"/>
        </w:tblCellMar>
      </w:tblPr>
      <w:tblGrid>
        <w:gridCol w:w="60"/>
        <w:gridCol w:w="170"/>
        <w:gridCol w:w="2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reputation may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incidence and prevalence for target patient populations of BRIUMVI and our product candidates, including TG-1701 and TG-1801 in B-cell disorders</w:t>
      </w:r>
      <w:r>
        <w:rPr>
          <w:rFonts w:ascii="Times New Roman" w:hAnsi="Times New Roman"/>
          <w:caps w:val="false"/>
          <w:smallCaps w:val="false"/>
          <w:sz w:val="20"/>
          <w:u w:val="single"/>
        </w:rPr>
        <w:t xml:space="preserve"> </w:t>
      </w:r>
      <w:r>
        <w:rPr>
          <w:rFonts w:ascii="Times New Roman" w:hAnsi="Times New Roman"/>
          <w:b/>
          <w:i/>
          <w:caps w:val="false"/>
          <w:smallCaps w:val="false"/>
          <w:sz w:val="20"/>
          <w:u w:val="single"/>
        </w:rPr>
        <w:t>and azer-cel in non-oncology indications</w:t>
      </w:r>
      <w:r>
        <w:rPr>
          <w:rFonts w:ascii="Times New Roman" w:hAnsi="Times New Roman"/>
          <w:b/>
          <w:i/>
          <w:caps w:val="false"/>
          <w:smallCaps w:val="false"/>
          <w:sz w:val="20"/>
        </w:rPr>
        <w:t>,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substantial competition, which may result in others commercializing drugs before or more successfully than we do resulting in the reduction or elimination of our commercial opportunity.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resources, including personnel and technology;</w:t>
            </w:r>
          </w:p>
        </w:tc>
      </w:tr>
    </w:tbl>
    <w:tbl>
      <w:tblPr>
        <w:tblW w:w="2080" w:type="dxa"/>
        <w:jc w:val="left"/>
        <w:tblInd w:w="0" w:type="dxa"/>
        <w:tblLayout w:type="fixed"/>
        <w:tblCellMar>
          <w:top w:w="0" w:type="dxa"/>
          <w:left w:w="0" w:type="dxa"/>
          <w:bottom w:w="0" w:type="dxa"/>
          <w:right w:w="0" w:type="dxa"/>
        </w:tblCellMar>
      </w:tblPr>
      <w:tblGrid>
        <w:gridCol w:w="60"/>
        <w:gridCol w:w="170"/>
        <w:gridCol w:w="1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experience;</w:t>
            </w:r>
          </w:p>
        </w:tc>
      </w:tr>
    </w:tbl>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pharmaceutical development, clinical trial and pharmaceutical commercialization experience;</w:t>
            </w:r>
          </w:p>
        </w:tc>
      </w:tr>
    </w:tbl>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experience and expertise in exploitation of intellectual property rights; and</w:t>
            </w:r>
          </w:p>
        </w:tc>
      </w:tr>
    </w:tbl>
    <w:tbl>
      <w:tblPr>
        <w:tblW w:w="1645" w:type="dxa"/>
        <w:jc w:val="left"/>
        <w:tblInd w:w="0" w:type="dxa"/>
        <w:tblLayout w:type="fixed"/>
        <w:tblCellMar>
          <w:top w:w="0" w:type="dxa"/>
          <w:left w:w="0" w:type="dxa"/>
          <w:bottom w:w="0" w:type="dxa"/>
          <w:right w:w="0" w:type="dxa"/>
        </w:tblCellMar>
      </w:tblPr>
      <w:tblGrid>
        <w:gridCol w:w="60"/>
        <w:gridCol w:w="170"/>
        <w:gridCol w:w="1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We will also face competition from these third parties in recruiting and retaining qualified personnel, establishing clinical trial sites, patient registration for clinical trials, and in identifying and in-licensing new products and product candidates.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BRIUMVI, as well as any products that we are able to commercialize in the future, may become subject to unfavorable pricing regulations or third-party payor coverage and reimbursement policies, which would harm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On April 27, 2023, we received a product-specific J-Code for BRIUMVI (J2329), which became effective July 1, 2023 and is expected to help reduce reluctance by physicians to prescribe BRIUMVI based on reimbursement concerns. However, some third-party payors may nevertheless still require documented proof that patients meet certain eligibility criteria in order to be reimbursed for BRIUMVI.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w:t>
      </w:r>
      <w:r>
        <w:rPr>
          <w:rFonts w:ascii="Times New Roman" w:hAnsi="Times New Roman"/>
          <w:caps w:val="false"/>
          <w:smallCaps w:val="false"/>
          <w:sz w:val="20"/>
          <w:u w:val="single"/>
        </w:rPr>
        <w:t>payor</w:t>
      </w:r>
      <w:r>
        <w:rPr>
          <w:rFonts w:ascii="Times New Roman" w:hAnsi="Times New Roman"/>
          <w:caps w:val="false"/>
          <w:smallCaps w:val="false"/>
          <w:sz w:val="20"/>
        </w:rPr>
        <w:t>-driven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expand our commercialization operations, we may not be successful in commercializing BRIUMVI or any product candidate, if and when such product candidates are approved, and we may not be able to generate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Commercialization of pharmaceutical products is an extremely complex and highly capital and resource-intensive process. Even for established companies with existing infrastructure and significantly greater resources than we have, challenges have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made and continue to make significant investments in our commercial organization and infrastructure. We built processes and systems to support the commercialization of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 factors that may inhibit our efforts to commercialize BRIUMVI and our other product candidates on our own, or through partnership, and generate product revenues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and time associated with the initial and ongoing training of commercialization personnel on the applicable disease states, products, competitors, and legal and regulatory compliance matters;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inability of commercialization personnel to obtain access to physicians or to effectively promote or provide education about BRIUMVI and any future approved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lack of complementary drugs to be offered by the Company, which may put us at a competitive disadvantage relative to companies with more extensive product lines;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decisions by third-party payors to deny reimbursement of or delay coverage decisions regarding BRIUMVI or following approval of any product candidates;</w:t>
            </w:r>
          </w:p>
        </w:tc>
      </w:tr>
    </w:tbl>
    <w:tbl>
      <w:tblPr>
        <w:tblW w:w="9880" w:type="dxa"/>
        <w:jc w:val="left"/>
        <w:tblInd w:w="0" w:type="dxa"/>
        <w:tblLayout w:type="fixed"/>
        <w:tblCellMar>
          <w:top w:w="0" w:type="dxa"/>
          <w:left w:w="0" w:type="dxa"/>
          <w:bottom w:w="0" w:type="dxa"/>
          <w:right w:w="0" w:type="dxa"/>
        </w:tblCellMar>
      </w:tblPr>
      <w:tblGrid>
        <w:gridCol w:w="60"/>
        <w:gridCol w:w="170"/>
        <w:gridCol w:w="9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inability to maintain a healthcare compliance program including effective mechanisms for compliance monitoring;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inability to establish and maintain commercial partnerships outside the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inability, or the inability of a third party with whom we have partnered, to maintain the necessary regulatory approvals required to operate in markets outside of the U.S.; </w:t>
            </w:r>
          </w:p>
        </w:tc>
      </w:tr>
    </w:tbl>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product availability for commercial sale following approval and continued product supply; and</w:t>
            </w:r>
          </w:p>
        </w:tc>
      </w:tr>
    </w:tbl>
    <w:tbl>
      <w:tblPr>
        <w:tblW w:w="7525" w:type="dxa"/>
        <w:jc w:val="left"/>
        <w:tblInd w:w="0" w:type="dxa"/>
        <w:tblLayout w:type="fixed"/>
        <w:tblCellMar>
          <w:top w:w="0" w:type="dxa"/>
          <w:left w:w="0" w:type="dxa"/>
          <w:bottom w:w="0" w:type="dxa"/>
          <w:right w:w="0" w:type="dxa"/>
        </w:tblCellMar>
      </w:tblPr>
      <w:tblGrid>
        <w:gridCol w:w="60"/>
        <w:gridCol w:w="170"/>
        <w:gridCol w:w="7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unforeseen costs and expenses associated with creating a commercialization 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have entered into a commercialization agreement, and may enter into additional agreements in the future, that facilitate commercialization of BRIUMVI and/or future products that receive approval in markets outside the U.S. through partnerships.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Product liability lawsuits against us could cause us to incur substantial liabilities and could limit commercialization of any drug candidates that we may develop.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decreased demand for any products that we may commercialize;</w:t>
            </w:r>
          </w:p>
        </w:tc>
      </w:tr>
    </w:tbl>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injury to our reputation and significant negative media attention;</w:t>
            </w:r>
          </w:p>
        </w:tc>
      </w:tr>
    </w:tbl>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withdrawal of clinical trial participants;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costs to defend the related litigation, including the risk that any individuals who may face such related litigation may in turn seek to recover from us;</w:t>
            </w:r>
          </w:p>
        </w:tc>
      </w:tr>
    </w:tbl>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substantial monetary awards to trial participants or patients;</w:t>
            </w:r>
          </w:p>
        </w:tc>
      </w:tr>
    </w:tbl>
    <w:tbl>
      <w:tblPr>
        <w:tblW w:w="1870" w:type="dxa"/>
        <w:jc w:val="left"/>
        <w:tblInd w:w="0" w:type="dxa"/>
        <w:tblLayout w:type="fixed"/>
        <w:tblCellMar>
          <w:top w:w="0" w:type="dxa"/>
          <w:left w:w="0" w:type="dxa"/>
          <w:bottom w:w="0" w:type="dxa"/>
          <w:right w:w="0" w:type="dxa"/>
        </w:tblCellMar>
      </w:tblPr>
      <w:tblGrid>
        <w:gridCol w:w="60"/>
        <w:gridCol w:w="170"/>
        <w:gridCol w:w="1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of revenue; and</w:t>
            </w:r>
          </w:p>
        </w:tc>
      </w:tr>
    </w:tbl>
    <w:tbl>
      <w:tblPr>
        <w:tblW w:w="7360" w:type="dxa"/>
        <w:jc w:val="left"/>
        <w:tblInd w:w="0" w:type="dxa"/>
        <w:tblLayout w:type="fixed"/>
        <w:tblCellMar>
          <w:top w:w="0" w:type="dxa"/>
          <w:left w:w="0" w:type="dxa"/>
          <w:bottom w:w="0" w:type="dxa"/>
          <w:right w:w="0" w:type="dxa"/>
        </w:tblCellMar>
      </w:tblPr>
      <w:tblGrid>
        <w:gridCol w:w="60"/>
        <w:gridCol w:w="170"/>
        <w:gridCol w:w="7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inability to commercialize any products or product candidates that we may develop.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Our Financial Position and Need for Additional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rPr>
        <w:t>We have incurred significant operating losses since our inception</w:t>
      </w:r>
      <w:r>
        <w:rPr>
          <w:rFonts w:ascii="Times New Roman" w:hAnsi="Times New Roman"/>
          <w:b/>
          <w:i/>
          <w:caps w:val="false"/>
          <w:smallCaps w:val="false"/>
          <w:sz w:val="20"/>
          <w:u w:val="single"/>
        </w:rPr>
        <w:t>,</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and we </w:t>
      </w:r>
      <w:r>
        <w:rPr>
          <w:rFonts w:ascii="Times New Roman" w:hAnsi="Times New Roman"/>
          <w:b/>
          <w:i/>
          <w:caps w:val="false"/>
          <w:smallCaps w:val="false"/>
          <w:sz w:val="20"/>
          <w:u w:val="single"/>
        </w:rPr>
        <w:t>may</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incur losses </w:t>
      </w:r>
      <w:r>
        <w:rPr>
          <w:rFonts w:ascii="Times New Roman" w:hAnsi="Times New Roman"/>
          <w:b/>
          <w:i/>
          <w:caps w:val="false"/>
          <w:smallCaps w:val="false"/>
          <w:sz w:val="20"/>
          <w:u w:val="single"/>
        </w:rPr>
        <w:t>in</w:t>
      </w:r>
      <w:r>
        <w:rPr>
          <w:rFonts w:ascii="Times New Roman" w:hAnsi="Times New Roman"/>
          <w:caps w:val="false"/>
          <w:smallCaps w:val="false"/>
          <w:sz w:val="20"/>
        </w:rPr>
        <w:t xml:space="preserve"> </w:t>
      </w:r>
      <w:r>
        <w:rPr>
          <w:rFonts w:ascii="Times New Roman" w:hAnsi="Times New Roman"/>
          <w:b/>
          <w:i/>
          <w:caps w:val="false"/>
          <w:smallCaps w:val="false"/>
          <w:sz w:val="20"/>
        </w:rPr>
        <w:t>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Since inception, we have focused our efforts and financial resources on clinical trials, manufacturing of our product and product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BRIUMVI is currently our only marketed product. We expect to continue to incur significant research and development expenses</w:t>
      </w:r>
      <w:r>
        <w:rPr>
          <w:rFonts w:ascii="Times New Roman" w:hAnsi="Times New Roman"/>
          <w:caps w:val="false"/>
          <w:smallCaps w:val="false"/>
          <w:sz w:val="20"/>
          <w:u w:val="single"/>
        </w:rPr>
        <w:t>,</w:t>
      </w:r>
      <w:r>
        <w:rPr>
          <w:rFonts w:ascii="Times New Roman" w:hAnsi="Times New Roman"/>
          <w:caps w:val="false"/>
          <w:smallCaps w:val="false"/>
          <w:sz w:val="20"/>
        </w:rPr>
        <w:t xml:space="preserve"> and we expect to continue to incur significant commercialization and outsourced-manufacturing expenses as we commercialize BRIUMVI.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To become and remain profitable, we must succeed in developing (or in-licensing) and commercializing our products or product candidates that generate significant revenue. It is uncertain when and if we will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 and product candidates; and (ii) manufacturing and marketing our </w:t>
      </w:r>
      <w:r>
        <w:rPr>
          <w:rFonts w:ascii="Times New Roman" w:hAnsi="Times New Roman"/>
          <w:caps w:val="false"/>
          <w:smallCaps w:val="false"/>
          <w:sz w:val="20"/>
          <w:u w:val="single"/>
        </w:rPr>
        <w:t>product</w:t>
      </w:r>
      <w:r>
        <w:rPr>
          <w:rFonts w:ascii="Times New Roman" w:hAnsi="Times New Roman"/>
          <w:caps w:val="false"/>
          <w:smallCaps w:val="false"/>
          <w:sz w:val="20"/>
        </w:rPr>
        <w:t xml:space="preserve"> and product candidates. Our ability to generate sustained revenue depends on a number of factors, including, but not limited to, our ability to:</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successfully complete clinical trials that meet their clinical endpoints;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initiate and successfully complete all safety, pharmacokinetic, biodistribution, and non-clinical studies required to obtain U.S. and foreign marketing approval for our product and product candidates;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 approval from the FDA and foreign equivalents to market and sell our product and product candidates, and maintain FDA and EMA approvals of BRIUMVI for RMS;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 and maintain commercial manufacturing capabilities with third parties that are satisfactory to the regulatory authorities, cost effective, and that are capable of providing commercial supply of our product and product candidates;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expand on our commercialization infrastructure to commercialize BRIUMVI, and/or entering into collaborations with third parties;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achieve market acceptance of BRIUMVI and any other products for which we may receive regulatory approval in the medical community and with third-party payors.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we are unable to generate significant and sustained revenues, we will not become profitable and we will be unable to continue our operations without continued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i/>
          <w:caps w:val="false"/>
          <w:smallCaps w:val="false"/>
          <w:sz w:val="20"/>
        </w:rPr>
        <w:t>While we do not expect to need to raise additional capital, we may need to do so.</w:t>
      </w:r>
      <w:r>
        <w:rPr>
          <w:rFonts w:ascii="Times New Roman" w:hAnsi="Times New Roman"/>
          <w:caps w:val="false"/>
          <w:smallCaps w:val="false"/>
          <w:sz w:val="20"/>
        </w:rPr>
        <w:t xml:space="preserve"> </w:t>
      </w:r>
      <w:r>
        <w:rPr>
          <w:rFonts w:ascii="Times New Roman" w:hAnsi="Times New Roman"/>
          <w:b/>
          <w:i/>
          <w:caps w:val="false"/>
          <w:smallCaps w:val="false"/>
          <w:sz w:val="20"/>
        </w:rPr>
        <w:t>If we are unable to raise capital, if</w:t>
      </w:r>
      <w:r>
        <w:rPr>
          <w:rFonts w:ascii="Times New Roman" w:hAnsi="Times New Roman"/>
          <w:caps w:val="false"/>
          <w:smallCaps w:val="false"/>
          <w:sz w:val="20"/>
        </w:rPr>
        <w:t xml:space="preserve"> </w:t>
      </w:r>
      <w:r>
        <w:rPr>
          <w:rFonts w:ascii="Times New Roman" w:hAnsi="Times New Roman"/>
          <w:b/>
          <w:i/>
          <w:caps w:val="false"/>
          <w:smallCaps w:val="false"/>
          <w:sz w:val="20"/>
        </w:rPr>
        <w:t>needed, we may</w:t>
      </w:r>
      <w:r>
        <w:rPr>
          <w:rFonts w:ascii="Times New Roman" w:hAnsi="Times New Roman"/>
          <w:caps w:val="false"/>
          <w:smallCaps w:val="false"/>
          <w:sz w:val="20"/>
        </w:rPr>
        <w:t xml:space="preserve"> </w:t>
      </w:r>
      <w:r>
        <w:rPr>
          <w:rFonts w:ascii="Times New Roman" w:hAnsi="Times New Roman"/>
          <w:b/>
          <w:i/>
          <w:caps w:val="false"/>
          <w:smallCaps w:val="false"/>
          <w:sz w:val="20"/>
        </w:rPr>
        <w:t>be required</w:t>
      </w:r>
      <w:r>
        <w:rPr>
          <w:rFonts w:ascii="Times New Roman" w:hAnsi="Times New Roman"/>
          <w:caps w:val="false"/>
          <w:smallCaps w:val="false"/>
          <w:sz w:val="20"/>
        </w:rPr>
        <w:t xml:space="preserve"> </w:t>
      </w:r>
      <w:r>
        <w:rPr>
          <w:rFonts w:ascii="Times New Roman" w:hAnsi="Times New Roman"/>
          <w:b/>
          <w:i/>
          <w:caps w:val="false"/>
          <w:smallCaps w:val="false"/>
          <w:sz w:val="20"/>
        </w:rPr>
        <w:t>to delay, limit, reduce or eliminate some of our drug development programs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development of pharmaceuticals is capital-intensive. We are also continuing to generate additional clinical data for BRIUMVI to support and potentially expand commercial adoption, including assessing long-term tolerability in an Open-Label Extension of the Phase 3 ULTIMATE I and II trials and Phase 4 clinical studies necessary to satisfy post-approval commitments for regulatory authorities or those undertaken voluntarily by the Company to evaluate the use of BRIUMVI in alternate settings or with alternate methods of administration. Moreover, now that we have launched BRIUMVI, we will need to expend substantial resources on maintaining approvals and continuing commercialization, manufacturing and distribution over the foreseeable future. Additionally, we expect to commence a trial evaluating azer-cel in autoimmune disease in 2024. We are also currently advancing our early-stage drug candidates, TG-1701 and TG-1801 in ongoing Phase 1 studies to identify tolerable and efficacious doses.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amount and timing of our future funding requirements will depend on many factors,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success of the commercialization of BRIUMVI and any other products for which we receive regulatory approval;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costs and timing of clinical and commercial manufacturing supply arrangements for each product and product candidate;</w:t>
            </w:r>
          </w:p>
        </w:tc>
      </w:tr>
    </w:tbl>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costs of expanding our sales, distribution, and other commercialization capabilities;</w:t>
            </w:r>
          </w:p>
        </w:tc>
      </w:tr>
    </w:tbl>
    <w:tbl>
      <w:tblPr>
        <w:tblW w:w="3880" w:type="dxa"/>
        <w:jc w:val="left"/>
        <w:tblInd w:w="0" w:type="dxa"/>
        <w:tblLayout w:type="fixed"/>
        <w:tblCellMar>
          <w:top w:w="0" w:type="dxa"/>
          <w:left w:w="0" w:type="dxa"/>
          <w:bottom w:w="0" w:type="dxa"/>
          <w:right w:w="0" w:type="dxa"/>
        </w:tblCellMar>
      </w:tblPr>
      <w:tblGrid>
        <w:gridCol w:w="60"/>
        <w:gridCol w:w="170"/>
        <w:gridCol w:w="3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costs and timing of regulatory approvals;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progress of our clinical trials, including expenses to support the trials and milestone payments that may become payable under our license agreements;</w:t>
            </w:r>
          </w:p>
        </w:tc>
      </w:tr>
    </w:tbl>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establish and maintain strategic collaborations, including licensing and other arrangements;</w:t>
            </w:r>
          </w:p>
        </w:tc>
      </w:tr>
    </w:tbl>
    <w:tbl>
      <w:tblPr>
        <w:tblW w:w="8275" w:type="dxa"/>
        <w:jc w:val="left"/>
        <w:tblInd w:w="0" w:type="dxa"/>
        <w:tblLayout w:type="fixed"/>
        <w:tblCellMar>
          <w:top w:w="0" w:type="dxa"/>
          <w:left w:w="0" w:type="dxa"/>
          <w:bottom w:w="0" w:type="dxa"/>
          <w:right w:w="0" w:type="dxa"/>
        </w:tblCellMar>
      </w:tblPr>
      <w:tblGrid>
        <w:gridCol w:w="60"/>
        <w:gridCol w:w="170"/>
        <w:gridCol w:w="8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costs involved in enforcing or defending patent claims or other intellectual property rights; and</w:t>
            </w:r>
          </w:p>
        </w:tc>
      </w:tr>
    </w:tbl>
    <w:tbl>
      <w:tblPr>
        <w:tblW w:w="7150" w:type="dxa"/>
        <w:jc w:val="left"/>
        <w:tblInd w:w="0" w:type="dxa"/>
        <w:tblLayout w:type="fixed"/>
        <w:tblCellMar>
          <w:top w:w="0" w:type="dxa"/>
          <w:left w:w="0" w:type="dxa"/>
          <w:bottom w:w="0" w:type="dxa"/>
          <w:right w:w="0" w:type="dxa"/>
        </w:tblCellMar>
      </w:tblPr>
      <w:tblGrid>
        <w:gridCol w:w="60"/>
        <w:gridCol w:w="170"/>
        <w:gridCol w:w="6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extent to which we in-license or invest in other indications or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As a result, significant additional funding </w:t>
      </w:r>
      <w:r>
        <w:rPr>
          <w:rFonts w:ascii="Times New Roman" w:hAnsi="Times New Roman"/>
          <w:caps w:val="false"/>
          <w:smallCaps w:val="false"/>
          <w:sz w:val="20"/>
          <w:u w:val="single"/>
        </w:rPr>
        <w:t>may</w:t>
      </w:r>
      <w:r>
        <w:rPr>
          <w:rFonts w:ascii="Times New Roman" w:hAnsi="Times New Roman"/>
          <w:caps w:val="false"/>
          <w:smallCaps w:val="false"/>
          <w:sz w:val="20"/>
        </w:rPr>
        <w:t xml:space="preserve">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w:t>
      </w:r>
      <w:r>
        <w:rPr>
          <w:rFonts w:ascii="Times New Roman" w:hAnsi="Times New Roman"/>
          <w:caps w:val="false"/>
          <w:smallCaps w:val="false"/>
          <w:sz w:val="20"/>
          <w:u w:val="single"/>
        </w:rPr>
        <w:t>,</w:t>
      </w:r>
      <w:r>
        <w:rPr>
          <w:rFonts w:ascii="Times New Roman" w:hAnsi="Times New Roman"/>
          <w:caps w:val="false"/>
          <w:smallCaps w:val="false"/>
          <w:sz w:val="20"/>
        </w:rPr>
        <w:t xml:space="preserve">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Raising additional capital may cause dilution to our stockholders, restrict our operations or require us to relinquish rights to our technologies or drug candidates and occupy valuable management time and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the loan and security agreement that we entered into with Hercules in February 2019, amended and restated in December 2021 and amended on March 31, 2023 (</w:t>
      </w:r>
      <w:r>
        <w:rPr>
          <w:rFonts w:ascii="Times New Roman" w:hAnsi="Times New Roman"/>
          <w:i/>
          <w:caps w:val="false"/>
          <w:smallCaps w:val="false"/>
          <w:sz w:val="20"/>
        </w:rPr>
        <w:t>see</w:t>
      </w:r>
      <w:r>
        <w:rPr>
          <w:rFonts w:ascii="Times New Roman" w:hAnsi="Times New Roman"/>
          <w:caps w:val="false"/>
          <w:smallCaps w:val="false"/>
          <w:sz w:val="20"/>
        </w:rPr>
        <w:t xml:space="preserv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rPr>
        <w:t>Due to limited resources, we may fail to capitalize on programs or product candidates that may present a greater commercial opportunity or for which there is a greater likelihood of success.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level of indebtedness and debt service obligations could adversely affect our financial condition and may make it more difficult for us to fund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2019, we entered into a Loan and Security Agreement, with Hercules Capital, Inc., a Maryland corporation (Hercules), and on December 30, 2021 (the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On March 31, 2023 (the First Amendment Effective Date), the Company entered into a First Amendment to the Amended Loan Agreement (the First Amendment) with Hercules. An advance of $25.0 million was drawn at the First Amendment Effective Date (</w:t>
      </w:r>
      <w:r>
        <w:rPr>
          <w:rFonts w:ascii="Times New Roman" w:hAnsi="Times New Roman"/>
          <w:i/>
          <w:caps w:val="false"/>
          <w:smallCaps w:val="false"/>
          <w:sz w:val="20"/>
        </w:rPr>
        <w:t>see</w:t>
      </w:r>
      <w:r>
        <w:rPr>
          <w:rFonts w:ascii="Times New Roman" w:hAnsi="Times New Roman"/>
          <w:caps w:val="false"/>
          <w:smallCaps w:val="false"/>
          <w:sz w:val="20"/>
        </w:rPr>
        <w:t xml:space="preserve"> Note 7 to our consolidated financial statements for more information). We have the option to request additional loan advances in an aggregate principal amount of up to $85.0 million under the First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obligations under the Amended Loan Agreement, as amended, are secured by substantially all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need to repay the indebtedness by making payments of interest and principal, which will reduce the amount of money available to finance our operations, our research and development efforts and other general corporate activities;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failure to comply with the restrictive covenants in the Amended Loan Agreement, as amended, could result in an event of default that, if not cured or waived, would accelerate our obligation to repay this indebtedness, and Hercules could seek to enforce its security interest in the assets securing such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additional debt is added to our current debt levels, the risks described above could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have cash available in an amount sufficient to enable us to make interest or principal payments on our indebtedness when due.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Failure to satisfy our current and future debt obligations under the Amended Loan Agreement, as amended,, or the breach of any of its covenants, subject to specified cure periods with respect to certain breaches, could result in an event of default and, as a result, Hercules could accelerate all the amounts due. In the event of an acceleration of amounts due under the Amended Loan Agreement, as amended,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our property other than intellectual property. Our business, financial condition and results of operations could be materially adversely affected as a result of any of these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Amended Loan Agreement, as amended, imposes operating and other restrictions on the Company. Such restrictions will affect, and in many respects limit or prohibit, our ability and the ability of any future subsidiary to, among other things: </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
        <w:gridCol w:w="170"/>
        <w:gridCol w:w="2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dispose of certain assets;</w:t>
            </w:r>
          </w:p>
        </w:tc>
      </w:tr>
    </w:tbl>
    <w:tbl>
      <w:tblPr>
        <w:tblW w:w="2515" w:type="dxa"/>
        <w:jc w:val="left"/>
        <w:tblInd w:w="0" w:type="dxa"/>
        <w:tblLayout w:type="fixed"/>
        <w:tblCellMar>
          <w:top w:w="0" w:type="dxa"/>
          <w:left w:w="0" w:type="dxa"/>
          <w:bottom w:w="0" w:type="dxa"/>
          <w:right w:w="0" w:type="dxa"/>
        </w:tblCellMar>
      </w:tblPr>
      <w:tblGrid>
        <w:gridCol w:w="60"/>
        <w:gridCol w:w="170"/>
        <w:gridCol w:w="2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 its lines of business;</w:t>
            </w:r>
          </w:p>
        </w:tc>
      </w:tr>
    </w:tbl>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engage in mergers, acquisitions or consolidations;</w:t>
            </w:r>
          </w:p>
        </w:tc>
      </w:tr>
    </w:tbl>
    <w:tbl>
      <w:tblPr>
        <w:tblW w:w="2725" w:type="dxa"/>
        <w:jc w:val="left"/>
        <w:tblInd w:w="0" w:type="dxa"/>
        <w:tblLayout w:type="fixed"/>
        <w:tblCellMar>
          <w:top w:w="0" w:type="dxa"/>
          <w:left w:w="0" w:type="dxa"/>
          <w:bottom w:w="0" w:type="dxa"/>
          <w:right w:w="0" w:type="dxa"/>
        </w:tblCellMar>
      </w:tblPr>
      <w:tblGrid>
        <w:gridCol w:w="60"/>
        <w:gridCol w:w="170"/>
        <w:gridCol w:w="2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incur additional indebtedness;</w:t>
            </w:r>
          </w:p>
        </w:tc>
      </w:tr>
    </w:tbl>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create liens on assets;</w:t>
            </w:r>
          </w:p>
        </w:tc>
      </w:tr>
    </w:tbl>
    <w:tbl>
      <w:tblPr>
        <w:tblW w:w="6295" w:type="dxa"/>
        <w:jc w:val="left"/>
        <w:tblInd w:w="0" w:type="dxa"/>
        <w:tblLayout w:type="fixed"/>
        <w:tblCellMar>
          <w:top w:w="0" w:type="dxa"/>
          <w:left w:w="0" w:type="dxa"/>
          <w:bottom w:w="0" w:type="dxa"/>
          <w:right w:w="0" w:type="dxa"/>
        </w:tblCellMar>
      </w:tblPr>
      <w:tblGrid>
        <w:gridCol w:w="60"/>
        <w:gridCol w:w="170"/>
        <w:gridCol w:w="6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 dividends and make contributions or repurchase our capital stock; and</w:t>
            </w:r>
          </w:p>
        </w:tc>
      </w:tr>
    </w:tbl>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engage in certain transactions with affiliates.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breach of any of these restrictive covenants could have a material adverse effect on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cash and cash equivalents could be adversely affected if the financial institutions in which we hold our cash and cash equivalents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10, 2023, the Federal Deposit Insurance Corporation (FDIC) announced that Silicon Valley Bank had been closed by the California Department of Financial Protection and Innovation, and on March 12, 2023, Signature Bank was closed by the New York State Department of Financial Services, and the FDIC was named receiver. Although we did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Drug Development and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obtain and maintain regulatory approval for our product and product candidates and ultimately cannot successfully commercialize our product or product candidates, or experience significant delays in doing so, our business will be materially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successful completion of our clinical programs with positive results that support a finding of effectiveness and an acceptable safety profile of our product candidates in the intended populations within the timeframes we have projected;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Investigational New Drugs (INDs) and clinical trial applications (CTAs), being cleared/approved such that our product candidates can commence clinical trials;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successful initiation and completion of preclinical studies and successful initiation of, enrollment in, and completion of clinical trials;</w:t>
            </w:r>
          </w:p>
        </w:tc>
      </w:tr>
    </w:tbl>
    <w:tbl>
      <w:tblPr>
        <w:tblW w:w="9220" w:type="dxa"/>
        <w:jc w:val="left"/>
        <w:tblInd w:w="0" w:type="dxa"/>
        <w:tblLayout w:type="fixed"/>
        <w:tblCellMar>
          <w:top w:w="0" w:type="dxa"/>
          <w:left w:w="0" w:type="dxa"/>
          <w:bottom w:w="0" w:type="dxa"/>
          <w:right w:w="0" w:type="dxa"/>
        </w:tblCellMar>
      </w:tblPr>
      <w:tblGrid>
        <w:gridCol w:w="60"/>
        <w:gridCol w:w="170"/>
        <w:gridCol w:w="8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sufficiency of our financial and other resources to complete the necessary preclinical studies and clinical trials;</w:t>
            </w:r>
          </w:p>
        </w:tc>
      </w:tr>
    </w:tbl>
    <w:tbl>
      <w:tblPr>
        <w:tblW w:w="8095" w:type="dxa"/>
        <w:jc w:val="left"/>
        <w:tblInd w:w="0" w:type="dxa"/>
        <w:tblLayout w:type="fixed"/>
        <w:tblCellMar>
          <w:top w:w="0" w:type="dxa"/>
          <w:left w:w="0" w:type="dxa"/>
          <w:bottom w:w="0" w:type="dxa"/>
          <w:right w:w="0" w:type="dxa"/>
        </w:tblCellMar>
      </w:tblPr>
      <w:tblGrid>
        <w:gridCol w:w="60"/>
        <w:gridCol w:w="170"/>
        <w:gridCol w:w="7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receipt of regulatory approvals from applicable regulatory authorities for our product candidates;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establishing commercially viable arrangements with third-party manufacturers for clinical supply and commercial manufacturing; and</w:t>
            </w:r>
          </w:p>
        </w:tc>
      </w:tr>
    </w:tbl>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obtaining and maintaining patent and trade secret protection or regulatory exclusivity for our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hAnsi="Times New Roman"/>
          <w:caps w:val="false"/>
          <w:smallCaps w:val="false"/>
          <w:sz w:val="20"/>
        </w:rPr>
        <w:t>“</w:t>
      </w:r>
      <w:r>
        <w:rPr>
          <w:rFonts w:ascii="Times New Roman" w:hAnsi="Times New Roman"/>
          <w:b/>
          <w:i/>
          <w:caps w:val="false"/>
          <w:smallCaps w:val="false"/>
          <w:sz w:val="20"/>
        </w:rPr>
        <w:t>top-line,</w:t>
      </w:r>
      <w:r>
        <w:rPr>
          <w:rFonts w:ascii="Times New Roman" w:hAnsi="Times New Roman"/>
          <w:caps w:val="false"/>
          <w:smallCaps w:val="false"/>
          <w:sz w:val="20"/>
        </w:rPr>
        <w:t xml:space="preserve">” </w:t>
      </w:r>
      <w:r>
        <w:rPr>
          <w:rFonts w:ascii="Times New Roman" w:hAnsi="Times New Roman"/>
          <w:b/>
          <w:i/>
          <w:caps w:val="false"/>
          <w:smallCaps w:val="false"/>
          <w:sz w:val="20"/>
        </w:rPr>
        <w:t>and preliminary data from our clinical trials that we announce or publish may change, or the perceived product profile may be negatively impacted, as more patient data or additional endpoints (including efficacy and safety) are analyzed.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Clinical drug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Successful completion of our clinical trials is a prerequisite to submitting a New Drug Application (NDA) or a Biologics License Application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or other regulatory authorities may require us to submit additional data or impose other requirements before permitting us to initiate a clinical trial;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trials of our drug candidates may produce negative or inconclusive results, and we may decide, or regulatory authorities may require us, to conduct additional pre-clinical studies or clinical trials or we may decide to abandon drug development programs;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tc>
      </w:tr>
    </w:tbl>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clinical trials of our product candidates may be greater than we anticipate;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such as the Russian invasion of Ukraine or the Israel-Hamas war, economic instability, or natural disasters;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authorities may revise the requirements applicable to our product candidates, or such requirements may not be as we anticipate;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170"/>
        <w:gridCol w:w="5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 delayed in obtaining marketing approval for our product candidates;</w:t>
            </w:r>
          </w:p>
        </w:tc>
      </w:tr>
    </w:tbl>
    <w:tbl>
      <w:tblPr>
        <w:tblW w:w="3235" w:type="dxa"/>
        <w:jc w:val="left"/>
        <w:tblInd w:w="0" w:type="dxa"/>
        <w:tblLayout w:type="fixed"/>
        <w:tblCellMar>
          <w:top w:w="0" w:type="dxa"/>
          <w:left w:w="0" w:type="dxa"/>
          <w:bottom w:w="0" w:type="dxa"/>
          <w:right w:w="0" w:type="dxa"/>
        </w:tblCellMar>
      </w:tblPr>
      <w:tblGrid>
        <w:gridCol w:w="60"/>
        <w:gridCol w:w="170"/>
        <w:gridCol w:w="3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obtain marketing approval at all;</w:t>
            </w:r>
          </w:p>
        </w:tc>
      </w:tr>
    </w:tbl>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 marketing approval in some countries and not others;</w:t>
            </w:r>
          </w:p>
        </w:tc>
      </w:tr>
    </w:tbl>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 approval for indications or patient populations that are not as broad as intended or desired;</w:t>
            </w:r>
          </w:p>
        </w:tc>
      </w:tr>
    </w:tbl>
    <w:tbl>
      <w:tblPr>
        <w:tblW w:w="6340" w:type="dxa"/>
        <w:jc w:val="left"/>
        <w:tblInd w:w="0" w:type="dxa"/>
        <w:tblLayout w:type="fixed"/>
        <w:tblCellMar>
          <w:top w:w="0" w:type="dxa"/>
          <w:left w:w="0" w:type="dxa"/>
          <w:bottom w:w="0" w:type="dxa"/>
          <w:right w:w="0" w:type="dxa"/>
        </w:tblCellMar>
      </w:tblPr>
      <w:tblGrid>
        <w:gridCol w:w="60"/>
        <w:gridCol w:w="170"/>
        <w:gridCol w:w="6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 subject to post-marketing requirements or post-marketing commitments;</w:t>
            </w:r>
          </w:p>
        </w:tc>
      </w:tr>
    </w:tbl>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 subject to increased pricing pressure; or</w:t>
            </w:r>
          </w:p>
        </w:tc>
      </w:tr>
    </w:tbl>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have the drug removed from the market after obtaining marketing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changes in regulatory policy could cause us to have to repeat or conduct additional clinical trials or change our clinical development strategy. For example, in December 2022, with the passage of Food and Drug Omnibus Reform Act,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If we are not able to adhere to these new requirements, our ability to conduct clinical trials may be delayed or halted.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Biologics carry unique risks and uncertainties, which could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Our product or product candidates may cause undesirable side effects that could delay or prevent their regulatory approval or impact their availability and commercial potential after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products or product candidates we may advance through clinical development are subject to extensive regulation, which can be costly and time consuming, cause unanticipated delays or prevent the receipt of the required approvals.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FDA and foreign regulatory authorities have complete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an SPA agreement with the FDA. There is no guarantee that the FDA will not delay, limit or deny approval of our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Other reasons that the FDA or regulatory authorities around the world may delay, limit or deny approval of a product candidate,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unable to demonstrate to the satisfaction of the FDA or comparable foreign regulatory authorities that a product candidate is tolerable and effective for an indication;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may not accept clinical data from trials conducted by individual investigators or in countries where the standard of care or the patient population, is potentially different from that of the United States;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clinical trials may not meet the level of statistical significance required by the FDA or comparable foreign regulatory authorities for approval;</w:t>
            </w:r>
          </w:p>
        </w:tc>
      </w:tr>
    </w:tbl>
    <w:tbl>
      <w:tblPr>
        <w:tblW w:w="9310" w:type="dxa"/>
        <w:jc w:val="left"/>
        <w:tblInd w:w="0" w:type="dxa"/>
        <w:tblLayout w:type="fixed"/>
        <w:tblCellMar>
          <w:top w:w="0" w:type="dxa"/>
          <w:left w:w="0" w:type="dxa"/>
          <w:bottom w:w="0" w:type="dxa"/>
          <w:right w:w="0" w:type="dxa"/>
        </w:tblCellMar>
      </w:tblPr>
      <w:tblGrid>
        <w:gridCol w:w="60"/>
        <w:gridCol w:w="170"/>
        <w:gridCol w:w="9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 unable to demonstrate that a product candidate’s clinical and other benefits outweigh its safety risks;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or comparable foreign regulatory authorities may disagree with our interpretation of data from preclinical studies and/or clinical trials;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data collected from clinical trials of our product candidates may not be sufficient to support the submission of a BLA, NDA or other marketing authorization submission to obtain regulatory approval in the United States or elsewhere;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or comparable foreign regulatory authorities may identify issues related to the manufacturing processes 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facilities of third-party manufacturers with which we or our collaborators currently contract for clinical supplies and</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approval processes of the FDA or comparable foreign regulatory authorities may significantly change in a manner rendering our clinical data insufficient for approval;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interruptions or delays in the operations of the FDA and foreign regulatory authorities as a result of global health or economic crises, such as the COVID-19 pandemic, international conflict, or national disasters may negatively impact review, inspection, and approval timelines.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Even if we succeed in obtaining regulatory approval for a product candidate,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 Breakthrough Therapy or Fast Track designation by the FDA may not actually lead to a faster development or regulatory review or approval process.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seek orphan drug designation for some of our drug candidates. However, we may be unsuccessful in obtaining or may be unable to maintain the benefits associated with orphan drug designation, including the potential for market exclusivity.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conducting clinical trials and anticipate conducting additional clinical trials for our product and product candidates at sites outside the United States, and the FDA may not accept data from trials conducted in such locations or clinical trial activities in such locations may be impacted by political conditions, including international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 on product development or our overall business, given the rapidly evolving situation and the potential to expand beyond Ukraine and Russia, the full impact of the conflict remains uncertain.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Approval of one of our product candidates in the United States would not assure approval of that candidate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Contract manufacturers are subject to ongoing periodic and unannounced inspections by the FDA, the Drug Enforcement Administration</w:t>
      </w:r>
      <w:r>
        <w:rPr>
          <w:rFonts w:ascii="Times New Roman" w:hAnsi="Times New Roman"/>
          <w:caps w:val="false"/>
          <w:smallCaps w:val="false"/>
          <w:sz w:val="20"/>
          <w:u w:val="single"/>
        </w:rPr>
        <w:t>,</w:t>
      </w:r>
      <w:r>
        <w:rPr>
          <w:rFonts w:ascii="Times New Roman" w:hAnsi="Times New Roman"/>
          <w:caps w:val="false"/>
          <w:smallCaps w:val="false"/>
          <w:sz w:val="20"/>
        </w:rPr>
        <w:t xml:space="preserve"> if applicable, and corresponding state agencies to ensure strict compliance with cGMP </w:t>
      </w:r>
      <w:r>
        <w:rPr>
          <w:rFonts w:ascii="Times New Roman" w:hAnsi="Times New Roman"/>
          <w:caps w:val="false"/>
          <w:smallCaps w:val="false"/>
          <w:sz w:val="20"/>
          <w:u w:val="single"/>
        </w:rPr>
        <w:t xml:space="preserve">requirements </w:t>
      </w:r>
      <w:r>
        <w:rPr>
          <w:rFonts w:ascii="Times New Roman" w:hAnsi="Times New Roman"/>
          <w:caps w:val="false"/>
          <w:smallCaps w:val="false"/>
          <w:sz w:val="20"/>
        </w:rPr>
        <w:t>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w:t>
      </w:r>
      <w:r>
        <w:rPr>
          <w:rFonts w:ascii="Times New Roman" w:hAnsi="Times New Roman"/>
          <w:caps w:val="false"/>
          <w:smallCaps w:val="false"/>
          <w:sz w:val="20"/>
          <w:u w:val="single"/>
        </w:rPr>
        <w:t xml:space="preserve">and other </w:t>
      </w:r>
      <w:r>
        <w:rPr>
          <w:rFonts w:ascii="Times New Roman" w:hAnsi="Times New Roman"/>
          <w:caps w:val="false"/>
          <w:smallCaps w:val="false"/>
          <w:sz w:val="20"/>
        </w:rPr>
        <w:t>regulations and standards</w:t>
      </w:r>
      <w:r>
        <w:rPr>
          <w:rFonts w:ascii="Times New Roman" w:hAnsi="Times New Roman"/>
          <w:caps w:val="false"/>
          <w:smallCaps w:val="false"/>
          <w:sz w:val="20"/>
          <w:u w:val="single"/>
        </w:rPr>
        <w:t>,</w:t>
      </w:r>
      <w:r>
        <w:rPr>
          <w:rFonts w:ascii="Times New Roman" w:hAnsi="Times New Roman"/>
          <w:caps w:val="false"/>
          <w:smallCaps w:val="false"/>
          <w:sz w:val="20"/>
        </w:rPr>
        <w:t xml:space="preserve">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Governmental Regulation of Pharmaceutical Industry and Legal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subject to new legislation, regulatory proposals and third-party payor initiatives that may increase our costs of compliance and adversely affect our ability to market our products, obtain collaborators and raise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if any, further changes to the ACA would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w:t>
      </w:r>
      <w:r>
        <w:rPr>
          <w:rFonts w:ascii="Times New Roman" w:hAnsi="Times New Roman"/>
          <w:caps w:val="false"/>
          <w:smallCaps w:val="false"/>
          <w:sz w:val="20"/>
          <w:u w:val="single"/>
        </w:rPr>
        <w:t>increased</w:t>
      </w:r>
      <w:r>
        <w:rPr>
          <w:rFonts w:ascii="Times New Roman" w:hAnsi="Times New Roman"/>
          <w:caps w:val="false"/>
          <w:smallCaps w:val="false"/>
          <w:sz w:val="20"/>
        </w:rPr>
        <w:t xml:space="preserv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(DHHS) to set drug price caps for certain high-cost Medicare Part B and Part D qualified drugs, with the initial list of drugs selected on August 29, 2023, and the first year of maximum price applicability to begin in 2026. On October 3, 2023, the Centers for Medicare &amp; Medicaid Services announced that all manufacturers of the initially selected drugs opted to participate.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 </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At the state level, 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Pricing Program recent legislative proposals as well as judicial challenges to DHHS’s policies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generate revenues and achieve or maintain profitability;</w:t>
            </w:r>
          </w:p>
        </w:tc>
      </w:tr>
    </w:tbl>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demand for any products for which we may obtain regulatory approval;</w:t>
            </w:r>
          </w:p>
        </w:tc>
      </w:tr>
    </w:tbl>
    <w:tbl>
      <w:tblPr>
        <w:tblW w:w="5335" w:type="dxa"/>
        <w:jc w:val="left"/>
        <w:tblInd w:w="0" w:type="dxa"/>
        <w:tblLayout w:type="fixed"/>
        <w:tblCellMar>
          <w:top w:w="0" w:type="dxa"/>
          <w:left w:w="0" w:type="dxa"/>
          <w:bottom w:w="0" w:type="dxa"/>
          <w:right w:w="0" w:type="dxa"/>
        </w:tblCellMar>
      </w:tblPr>
      <w:tblGrid>
        <w:gridCol w:w="60"/>
        <w:gridCol w:w="170"/>
        <w:gridCol w:w="5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set a price that we believe is fair for our products;</w:t>
            </w:r>
          </w:p>
        </w:tc>
      </w:tr>
    </w:tbl>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level of taxes that we are required to pay; and</w:t>
            </w:r>
          </w:p>
        </w:tc>
      </w:tr>
    </w:tbl>
    <w:tbl>
      <w:tblPr>
        <w:tblW w:w="2350" w:type="dxa"/>
        <w:jc w:val="left"/>
        <w:tblInd w:w="0" w:type="dxa"/>
        <w:tblLayout w:type="fixed"/>
        <w:tblCellMar>
          <w:top w:w="0" w:type="dxa"/>
          <w:left w:w="0" w:type="dxa"/>
          <w:bottom w:w="0" w:type="dxa"/>
          <w:right w:w="0" w:type="dxa"/>
        </w:tblCellMar>
      </w:tblPr>
      <w:tblGrid>
        <w:gridCol w:w="60"/>
        <w:gridCol w:w="170"/>
        <w:gridCol w:w="2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availability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governments may impose price controls, which may adversely affect our future profitability.</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Our relationships with customers and third-party payors </w:t>
      </w:r>
      <w:r>
        <w:rPr>
          <w:rFonts w:ascii="Times New Roman" w:hAnsi="Times New Roman"/>
          <w:b/>
          <w:i/>
          <w:caps w:val="false"/>
          <w:smallCaps w:val="false"/>
          <w:sz w:val="20"/>
          <w:u w:val="single"/>
        </w:rPr>
        <w:t>are</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the FDA and EMA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w:t>
            </w:r>
            <w:r>
              <w:rPr>
                <w:rFonts w:ascii="Times New Roman" w:hAnsi="Times New Roman"/>
                <w:caps w:val="false"/>
                <w:smallCaps w:val="false"/>
                <w:sz w:val="20"/>
                <w:u w:val="single"/>
              </w:rPr>
              <w:t xml:space="preserve">or the Federal Food, Drug, and Cosmetic Act (FDCA) </w:t>
            </w:r>
            <w:r>
              <w:rPr>
                <w:rFonts w:ascii="Times New Roman" w:hAnsi="Times New Roman"/>
                <w:caps w:val="false"/>
                <w:smallCaps w:val="false"/>
                <w:sz w:val="20"/>
              </w:rPr>
              <w:t>constitutes a false or fraudulent claim for purposes of the False Claims Act;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Health Insurance Portability and Accountability Act of 1996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wide range of federal and state consumer protection and unfair competition laws, which broadly regulate marketplace activities and activities that potentially harm consumers including those related to privacy;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FDCA and its implementing regulations, which among other things, strictly regulate drug product marketing and prohibit manufacturers from promotion and marketing of products prior to approval or for uses inconsistent with the FDA-required labeling;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Drug Supply Chain Security Act (DSCSA), which imposes obligations on entities in the commercial product supply chain, including manufacturers, to identify and track prescription drugs as they are distributed in the U.S.;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As we continue commercialization of BRIUMVI, we are taking steps to provide patient support services to help patients access the product. Our patient support </w:t>
      </w:r>
      <w:r>
        <w:rPr>
          <w:rFonts w:ascii="Times New Roman" w:hAnsi="Times New Roman"/>
          <w:caps w:val="false"/>
          <w:smallCaps w:val="false"/>
          <w:sz w:val="20"/>
          <w:u w:val="single"/>
        </w:rPr>
        <w:t>programs are</w:t>
      </w:r>
      <w:r>
        <w:rPr>
          <w:rFonts w:ascii="Times New Roman" w:hAnsi="Times New Roman"/>
          <w:caps w:val="false"/>
          <w:smallCaps w:val="false"/>
          <w:sz w:val="20"/>
        </w:rPr>
        <w:t xml:space="preserv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violate applicable data privacy and security laws, we may be subject to penalties, including civil and criminal penalties, damages, fines, reputation harm and the curtailment or restructuring of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Within the United States, various federal and state laws regulate the privacy and security of personal information and</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so may affect our business operations. For example, at the federal level, our operations may be affected by the data privacy and security provisions of HIPAA, as amended by the Health Information Technology for Economic and Clinical Health Act and its implementing regulations. HIPAA affects the ability of healthcare providers and other entities with which we may interact, including clinical trial sites, to disclose patient health information to us. Under Section 5(a) of the Federal Trade Commission Act (FTCA), the </w:t>
      </w:r>
      <w:r>
        <w:rPr>
          <w:rFonts w:ascii="Times New Roman" w:hAnsi="Times New Roman"/>
          <w:sz w:val="20"/>
          <w:u w:val="single"/>
        </w:rPr>
        <w:t>Federal Trade Commission (</w:t>
      </w:r>
      <w:r>
        <w:rPr>
          <w:rFonts w:ascii="Times New Roman" w:hAnsi="Times New Roman"/>
          <w:sz w:val="20"/>
        </w:rPr>
        <w:t>FTC</w:t>
      </w:r>
      <w:r>
        <w:rPr>
          <w:rFonts w:ascii="Times New Roman" w:hAnsi="Times New Roman"/>
          <w:sz w:val="20"/>
          <w:u w:val="single"/>
        </w:rPr>
        <w:t>)</w:t>
      </w:r>
      <w:r>
        <w:rPr>
          <w:rFonts w:ascii="Times New Roman" w:hAnsi="Times New Roman"/>
          <w:sz w:val="20"/>
        </w:rPr>
        <w:t xml:space="preserve">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w:t>
      </w:r>
      <w:r>
        <w:rPr>
          <w:rFonts w:ascii="Times New Roman" w:hAnsi="Times New Roman"/>
          <w:sz w:val="20"/>
          <w:u w:val="single"/>
        </w:rPr>
        <w:t>. For</w:t>
      </w:r>
      <w:r>
        <w:rPr>
          <w:rFonts w:ascii="Times New Roman" w:hAnsi="Times New Roman"/>
          <w:sz w:val="20"/>
        </w:rPr>
        <w:t xml:space="preserve"> example</w:t>
      </w:r>
      <w:r>
        <w:rPr>
          <w:rFonts w:ascii="Times New Roman" w:hAnsi="Times New Roman"/>
          <w:sz w:val="20"/>
          <w:u w:val="single"/>
        </w:rPr>
        <w:t>,</w:t>
      </w:r>
      <w:r>
        <w:rPr>
          <w:rFonts w:ascii="Times New Roman" w:hAnsi="Times New Roman"/>
          <w:sz w:val="20"/>
        </w:rPr>
        <w:t xml:space="preserve"> the California Consumer Privacy Act (CCPA), went into effect in January 2020 creating data privacy obligations for covered companies and providing privacy rights to California residents, including the right to opt out of certain disclosures of their information. Colorado, Connecticut, Utah</w:t>
      </w:r>
      <w:r>
        <w:rPr>
          <w:rFonts w:ascii="Times New Roman" w:hAnsi="Times New Roman"/>
          <w:sz w:val="20"/>
          <w:u w:val="single"/>
        </w:rPr>
        <w:t>, Virginia</w:t>
      </w:r>
      <w:r>
        <w:rPr>
          <w:rFonts w:ascii="Times New Roman" w:hAnsi="Times New Roman"/>
          <w:sz w:val="20"/>
        </w:rPr>
        <w:t xml:space="preserve"> and </w:t>
      </w:r>
      <w:r>
        <w:rPr>
          <w:rFonts w:ascii="Times New Roman" w:hAnsi="Times New Roman"/>
          <w:sz w:val="20"/>
          <w:u w:val="single"/>
        </w:rPr>
        <w:t>Iowa</w:t>
      </w:r>
      <w:r>
        <w:rPr>
          <w:rFonts w:ascii="Times New Roman" w:hAnsi="Times New Roman"/>
          <w:sz w:val="20"/>
        </w:rPr>
        <w:t xml:space="preserve"> have also enacted data privacy statutes, and both California and Colorado are also undergoing</w:t>
      </w:r>
      <w:r>
        <w:rPr>
          <w:rFonts w:ascii="Times New Roman" w:hAnsi="Times New Roman"/>
          <w:sz w:val="20"/>
          <w:u w:val="single"/>
        </w:rPr>
        <w:t xml:space="preserve"> or have undergone</w:t>
      </w:r>
      <w:r>
        <w:rPr>
          <w:rFonts w:ascii="Times New Roman" w:hAnsi="Times New Roman"/>
          <w:sz w:val="20"/>
        </w:rPr>
        <w:t xml:space="preserve"> rulemaking procedures to finalize regulatory regimes to supplement their privacy statutes.</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Numerous other jurisdictions regulate the privacy and security of personally identifiable data. For example, the processing of personal data in the European Economic Area (EEA), is subject to the General Data Protection Regulation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w:t>
      </w:r>
      <w:r>
        <w:rPr>
          <w:rFonts w:ascii="Times New Roman" w:hAnsi="Times New Roman"/>
          <w:caps w:val="false"/>
          <w:smallCaps w:val="false"/>
          <w:sz w:val="20"/>
          <w:u w:val="single"/>
        </w:rPr>
        <w:t>EC</w:t>
      </w:r>
      <w:r>
        <w:rPr>
          <w:rFonts w:ascii="Times New Roman" w:hAnsi="Times New Roman"/>
          <w:caps w:val="false"/>
          <w:smallCaps w:val="false"/>
          <w:sz w:val="20"/>
        </w:rPr>
        <w:t xml:space="preserve">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adequately understand and comply with the local laws and customs as we expand into new international markets, these operations may incur losses or otherwise adversely affect our business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Any product for which we obtain marketing approval, including BRIUMVI, could be subject to restrictions or withdrawal from the market and we may be subject to penalties if we fail to comply with regulatory requirements or if we experience unanticipated problems with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Failure to comply with these regulatory requirements or later discovery of previously unknown problems with products, manufacturers, or manufacturing processes, may result in actions such as:</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restrictions on product manufacturing, distribution or use;</w:t>
            </w:r>
          </w:p>
        </w:tc>
      </w:tr>
    </w:tbl>
    <w:tbl>
      <w:tblPr>
        <w:tblW w:w="4585" w:type="dxa"/>
        <w:jc w:val="left"/>
        <w:tblInd w:w="0" w:type="dxa"/>
        <w:tblLayout w:type="fixed"/>
        <w:tblCellMar>
          <w:top w:w="0" w:type="dxa"/>
          <w:left w:w="0" w:type="dxa"/>
          <w:bottom w:w="0" w:type="dxa"/>
          <w:right w:w="0" w:type="dxa"/>
        </w:tblCellMar>
      </w:tblPr>
      <w:tblGrid>
        <w:gridCol w:w="60"/>
        <w:gridCol w:w="170"/>
        <w:gridCol w:w="4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restrictions on the labeling or marketing of a product;</w:t>
            </w:r>
          </w:p>
        </w:tc>
      </w:tr>
    </w:tbl>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requirements to conduct post-marketing studies or clinical trials;</w:t>
            </w:r>
          </w:p>
        </w:tc>
      </w:tr>
    </w:tbl>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warning letters or other advisory actions;</w:t>
            </w:r>
          </w:p>
        </w:tc>
      </w:tr>
    </w:tbl>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request for withdrawal of the products from the market;</w:t>
            </w:r>
          </w:p>
        </w:tc>
      </w:tr>
    </w:tbl>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refusal to approve pending applications or supplements to approved applications that we or our subsidiaries submit;</w:t>
            </w:r>
          </w:p>
        </w:tc>
      </w:tr>
    </w:tbl>
    <w:tbl>
      <w:tblPr>
        <w:tblW w:w="835" w:type="dxa"/>
        <w:jc w:val="left"/>
        <w:tblInd w:w="0" w:type="dxa"/>
        <w:tblLayout w:type="fixed"/>
        <w:tblCellMar>
          <w:top w:w="0" w:type="dxa"/>
          <w:left w:w="0" w:type="dxa"/>
          <w:bottom w:w="0" w:type="dxa"/>
          <w:right w:w="0" w:type="dxa"/>
        </w:tblCellMar>
      </w:tblPr>
      <w:tblGrid>
        <w:gridCol w:w="60"/>
        <w:gridCol w:w="170"/>
        <w:gridCol w:w="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recalls;</w:t>
            </w:r>
          </w:p>
        </w:tc>
      </w:tr>
    </w:tbl>
    <w:tbl>
      <w:tblPr>
        <w:tblW w:w="4465" w:type="dxa"/>
        <w:jc w:val="left"/>
        <w:tblInd w:w="0" w:type="dxa"/>
        <w:tblLayout w:type="fixed"/>
        <w:tblCellMar>
          <w:top w:w="0" w:type="dxa"/>
          <w:left w:w="0" w:type="dxa"/>
          <w:bottom w:w="0" w:type="dxa"/>
          <w:right w:w="0" w:type="dxa"/>
        </w:tblCellMar>
      </w:tblPr>
      <w:tblGrid>
        <w:gridCol w:w="60"/>
        <w:gridCol w:w="170"/>
        <w:gridCol w:w="4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suspension or termination of ongoing clinical trials;</w:t>
            </w:r>
          </w:p>
        </w:tc>
      </w:tr>
    </w:tbl>
    <w:tbl>
      <w:tblPr>
        <w:tblW w:w="4870" w:type="dxa"/>
        <w:jc w:val="left"/>
        <w:tblInd w:w="0" w:type="dxa"/>
        <w:tblLayout w:type="fixed"/>
        <w:tblCellMar>
          <w:top w:w="0" w:type="dxa"/>
          <w:left w:w="0" w:type="dxa"/>
          <w:bottom w:w="0" w:type="dxa"/>
          <w:right w:w="0" w:type="dxa"/>
        </w:tblCellMar>
      </w:tblPr>
      <w:tblGrid>
        <w:gridCol w:w="60"/>
        <w:gridCol w:w="170"/>
        <w:gridCol w:w="4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fines, restitutions, or disgorgement of profits or revenues;</w:t>
            </w:r>
          </w:p>
        </w:tc>
      </w:tr>
    </w:tbl>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refusal to permit the import or export of products;</w:t>
            </w:r>
          </w:p>
        </w:tc>
      </w:tr>
    </w:tbl>
    <w:tbl>
      <w:tblPr>
        <w:tblW w:w="2665" w:type="dxa"/>
        <w:jc w:val="left"/>
        <w:tblInd w:w="0" w:type="dxa"/>
        <w:tblLayout w:type="fixed"/>
        <w:tblCellMar>
          <w:top w:w="0" w:type="dxa"/>
          <w:left w:w="0" w:type="dxa"/>
          <w:bottom w:w="0" w:type="dxa"/>
          <w:right w:w="0" w:type="dxa"/>
        </w:tblCellMar>
      </w:tblPr>
      <w:tblGrid>
        <w:gridCol w:w="60"/>
        <w:gridCol w:w="170"/>
        <w:gridCol w:w="2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seizure or detentions;</w:t>
            </w:r>
          </w:p>
        </w:tc>
      </w:tr>
    </w:tbl>
    <w:tbl>
      <w:tblPr>
        <w:tblW w:w="5365" w:type="dxa"/>
        <w:jc w:val="left"/>
        <w:tblInd w:w="0" w:type="dxa"/>
        <w:tblLayout w:type="fixed"/>
        <w:tblCellMar>
          <w:top w:w="0" w:type="dxa"/>
          <w:left w:w="0" w:type="dxa"/>
          <w:bottom w:w="0" w:type="dxa"/>
          <w:right w:w="0" w:type="dxa"/>
        </w:tblCellMar>
      </w:tblPr>
      <w:tblGrid>
        <w:gridCol w:w="60"/>
        <w:gridCol w:w="170"/>
        <w:gridCol w:w="5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injunctions or the imposition of civil or criminal penalties; and</w:t>
            </w:r>
          </w:p>
        </w:tc>
      </w:tr>
    </w:tbl>
    <w:tbl>
      <w:tblPr>
        <w:tblW w:w="1705" w:type="dxa"/>
        <w:jc w:val="left"/>
        <w:tblInd w:w="0" w:type="dxa"/>
        <w:tblLayout w:type="fixed"/>
        <w:tblCellMar>
          <w:top w:w="0" w:type="dxa"/>
          <w:left w:w="0" w:type="dxa"/>
          <w:bottom w:w="0" w:type="dxa"/>
          <w:right w:w="0" w:type="dxa"/>
        </w:tblCellMar>
      </w:tblPr>
      <w:tblGrid>
        <w:gridCol w:w="60"/>
        <w:gridCol w:w="170"/>
        <w:gridCol w:w="1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adverse publicity.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Any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or any of our contract manufacturers and suppliers fail to comply with environmental, health and safety laws and regulations, we could become subject to fines or penalties or incur costs that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Our Dependence on Third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have staffing difficulties;</w:t>
            </w:r>
          </w:p>
        </w:tc>
      </w:tr>
    </w:tbl>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fail to comply with contractual obligations;</w:t>
            </w:r>
          </w:p>
        </w:tc>
      </w:tr>
    </w:tbl>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experience regulatory compliance issues;</w:t>
            </w:r>
          </w:p>
        </w:tc>
      </w:tr>
    </w:tbl>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undergo changes in priorities or become financially distressed; or</w:t>
            </w:r>
          </w:p>
        </w:tc>
      </w:tr>
    </w:tbl>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relationships with other entities, some of which may be our competitors.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60"/>
        <w:jc w:val="both"/>
        <w:rPr>
          <w:rFonts w:ascii="Times New Roman" w:hAnsi="Times New Roman"/>
          <w:caps w:val="false"/>
          <w:smallCaps w:val="false"/>
          <w:sz w:val="20"/>
        </w:rPr>
      </w:pPr>
      <w:r>
        <w:rPr>
          <w:rFonts w:ascii="Times New Roman" w:hAnsi="Times New Roman"/>
          <w:caps w:val="false"/>
          <w:smallCaps w:val="false"/>
          <w:sz w:val="20"/>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reliance on third-party manufacturers entails additional risks, including:</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reliance on the third party for regulatory compliance and quality assurance;</w:t>
            </w:r>
          </w:p>
        </w:tc>
      </w:tr>
    </w:tbl>
    <w:tbl>
      <w:tblPr>
        <w:tblW w:w="7435" w:type="dxa"/>
        <w:jc w:val="left"/>
        <w:tblInd w:w="0" w:type="dxa"/>
        <w:tblLayout w:type="fixed"/>
        <w:tblCellMar>
          <w:top w:w="0" w:type="dxa"/>
          <w:left w:w="0" w:type="dxa"/>
          <w:bottom w:w="0" w:type="dxa"/>
          <w:right w:w="0" w:type="dxa"/>
        </w:tblCellMar>
      </w:tblPr>
      <w:tblGrid>
        <w:gridCol w:w="60"/>
        <w:gridCol w:w="170"/>
        <w:gridCol w:w="7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possible breach of the manufacturing, supply or quality agreement by the third party;</w:t>
            </w:r>
          </w:p>
        </w:tc>
      </w:tr>
    </w:tbl>
    <w:tbl>
      <w:tblPr>
        <w:tblW w:w="9025" w:type="dxa"/>
        <w:jc w:val="left"/>
        <w:tblInd w:w="0" w:type="dxa"/>
        <w:tblLayout w:type="fixed"/>
        <w:tblCellMar>
          <w:top w:w="0" w:type="dxa"/>
          <w:left w:w="0" w:type="dxa"/>
          <w:bottom w:w="0" w:type="dxa"/>
          <w:right w:w="0" w:type="dxa"/>
        </w:tblCellMar>
      </w:tblPr>
      <w:tblGrid>
        <w:gridCol w:w="60"/>
        <w:gridCol w:w="170"/>
        <w:gridCol w:w="8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possible misappropriation of our proprietary information, including our trade secrets and know-how; and</w:t>
            </w:r>
          </w:p>
        </w:tc>
      </w:tr>
    </w:tbl>
    <w:tbl>
      <w:tblPr>
        <w:tblW w:w="9955" w:type="dxa"/>
        <w:jc w:val="left"/>
        <w:tblInd w:w="0" w:type="dxa"/>
        <w:tblLayout w:type="fixed"/>
        <w:tblCellMar>
          <w:top w:w="0" w:type="dxa"/>
          <w:left w:w="0" w:type="dxa"/>
          <w:bottom w:w="0" w:type="dxa"/>
          <w:right w:w="0" w:type="dxa"/>
        </w:tblCellMar>
      </w:tblPr>
      <w:tblGrid>
        <w:gridCol w:w="60"/>
        <w:gridCol w:w="170"/>
        <w:gridCol w:w="9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possible termination or nonrenewal of the agreement by the third party at a time that is costly or inconvenient for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w:t>
      </w:r>
      <w:r>
        <w:rPr>
          <w:rFonts w:ascii="Times New Roman" w:hAnsi="Times New Roman"/>
          <w:caps w:val="false"/>
          <w:smallCaps w:val="false"/>
          <w:sz w:val="20"/>
          <w:u w:val="single"/>
        </w:rPr>
        <w:t xml:space="preserve">products and drug </w:t>
      </w:r>
      <w:r>
        <w:rPr>
          <w:rFonts w:ascii="Times New Roman" w:hAnsi="Times New Roman"/>
          <w:caps w:val="false"/>
          <w:smallCaps w:val="false"/>
          <w:sz w:val="20"/>
        </w:rPr>
        <w:t>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Because we have in-licensed BRIUMVI and our product candidates from third parties, any dispute with or non-performance by our licensors will adversely affect our ability to develop and commercialize the applicable product or product candidate.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extent to which our technology and processes infringe on intellectual property of the licensor that is not subject to the license agreement;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sublicensing of patent and other rights under our collaborative development relationships and obligations associated with sublicensing;</w:t>
            </w:r>
          </w:p>
        </w:tc>
      </w:tr>
    </w:tbl>
    <w:tbl>
      <w:tblPr>
        <w:tblW w:w="9085" w:type="dxa"/>
        <w:jc w:val="left"/>
        <w:tblInd w:w="0" w:type="dxa"/>
        <w:tblLayout w:type="fixed"/>
        <w:tblCellMar>
          <w:top w:w="0" w:type="dxa"/>
          <w:left w:w="0" w:type="dxa"/>
          <w:bottom w:w="0" w:type="dxa"/>
          <w:right w:w="0" w:type="dxa"/>
        </w:tblCellMar>
      </w:tblPr>
      <w:tblGrid>
        <w:gridCol w:w="60"/>
        <w:gridCol w:w="170"/>
        <w:gridCol w:w="8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diligence obligations under the license agreement and what activities satisfy those diligence obligations;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ownership of inventions and know-how resulting from the joint creation or use of intellectual property by our licensors and us and our partners; and</w:t>
            </w:r>
          </w:p>
        </w:tc>
      </w:tr>
    </w:tbl>
    <w:tbl>
      <w:tblPr>
        <w:tblW w:w="4195" w:type="dxa"/>
        <w:jc w:val="left"/>
        <w:tblInd w:w="0" w:type="dxa"/>
        <w:tblLayout w:type="fixed"/>
        <w:tblCellMar>
          <w:top w:w="0" w:type="dxa"/>
          <w:left w:w="0" w:type="dxa"/>
          <w:bottom w:w="0" w:type="dxa"/>
          <w:right w:w="0" w:type="dxa"/>
        </w:tblCellMar>
      </w:tblPr>
      <w:tblGrid>
        <w:gridCol w:w="60"/>
        <w:gridCol w:w="170"/>
        <w:gridCol w:w="3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priority of invention of patented 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conflicts arise between us and our future collaborators or strategic partners, these parties may act in a manner adverse to us and could limit our ability to implement our strategies.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July 28, 2023, we entered into a commercialization agreement (the Commercialization Agreement) with Neuraxpharm Pharmaceuticals, S.L. (Neuraxpharm), pursuant to which Neuraxpharm has the right to commercialize BRIUMVI in certain markets outside of the U.S. In addition to the Commercialization Agreement, we may enter into collaboration arrangements with other collaboration and commercialization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a number of risks associated with our dependence on our relationships with our collaboration and commercialization partners,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collaboration and commercialization partners may terminate their collaboration or commercialization agreements with us for reasons specified in the collaboration or commercialization agreements, including our breach;</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adverse decisions by a collaboration or commercialization partner regarding the amount and timing of resource expenditures for the commercialization, distribution, and sale of our drug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failure by a collaboration or commercialization partner to perform its duties under its agreement with us (e.g., its failure to comply with regulatory requirements which may disrupt its performance of its obligations under the agreement with us);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collaboration or commercialization partners’ and their affiliates’ development and commercialization of products that compete directly or indirectly with our products or product candidates;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decisions by a collaboration or commercialization partner to prioritize others of its current or future products more highly than our drug products or our product candidates when it performs its duties;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possible disagreements with a collaboration or commercialization partner as to the timing, nature and extent of our development plans or distribution and sales and marketing plans;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seek to establish additional collaborations, and if we are not able to establish them on commercially reasonable terms, we may have to alter our development and commercialization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w:t>
      </w:r>
      <w:r>
        <w:rPr>
          <w:rFonts w:ascii="Times New Roman" w:hAnsi="Times New Roman"/>
          <w:caps w:val="false"/>
          <w:smallCaps w:val="false"/>
          <w:sz w:val="20"/>
          <w:u w:val="single"/>
        </w:rPr>
        <w:t>, EMA</w:t>
      </w:r>
      <w:r>
        <w:rPr>
          <w:rFonts w:ascii="Times New Roman" w:hAnsi="Times New Roman"/>
          <w:caps w:val="false"/>
          <w:smallCaps w:val="false"/>
          <w:sz w:val="20"/>
        </w:rPr>
        <w:t xml:space="preserve">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Relating to Our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These risks and uncertainties include the following:</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patent applications that we or our licensors file may not issue as patent;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patents that may be issued or in-licensed may be challenged, invalidated, modified, revoked or circumvented, or otherwise may not provide any competitive advantage;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16, 2013, the United States converted from a first-to-invent to a first-to-file system. If we do not win the filing race, we will not be entitled to inventive priority;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countries other than the United States may have less restrictive patent laws than those of the United States, allowing foreign competitors to exploit such less restrictive patent laws to make, use, and/or sell competing products in their respective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we are not able to obtain patents that protect our product and product candidates, it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w:t>
      </w:r>
      <w:r>
        <w:rPr>
          <w:rFonts w:ascii="Times New Roman" w:hAnsi="Times New Roman"/>
          <w:caps w:val="false"/>
          <w:smallCaps w:val="false"/>
          <w:sz w:val="20"/>
          <w:u w:val="single"/>
        </w:rPr>
        <w:t>United States Patent and Trademark Office (</w:t>
      </w:r>
      <w:r>
        <w:rPr>
          <w:rFonts w:ascii="Times New Roman" w:hAnsi="Times New Roman"/>
          <w:caps w:val="false"/>
          <w:smallCaps w:val="false"/>
          <w:sz w:val="20"/>
        </w:rPr>
        <w:t>USPTO</w:t>
      </w:r>
      <w:r>
        <w:rPr>
          <w:rFonts w:ascii="Times New Roman" w:hAnsi="Times New Roman"/>
          <w:caps w:val="false"/>
          <w:smallCaps w:val="false"/>
          <w:sz w:val="20"/>
          <w:u w:val="single"/>
        </w:rPr>
        <w:t>)</w:t>
      </w:r>
      <w:r>
        <w:rPr>
          <w:rFonts w:ascii="Times New Roman" w:hAnsi="Times New Roman"/>
          <w:caps w:val="false"/>
          <w:smallCaps w:val="false"/>
          <w:sz w:val="20"/>
        </w:rPr>
        <w:t xml:space="preserve">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hAnsi="Times New Roman"/>
          <w:caps w:val="false"/>
          <w:smallCaps w:val="false"/>
          <w:sz w:val="20"/>
          <w:u w:val="single"/>
        </w:rPr>
        <w:t>, or strategic alternatives</w:t>
      </w:r>
      <w:r>
        <w:rPr>
          <w:rFonts w:ascii="Times New Roman" w:hAnsi="Times New Roman"/>
          <w:caps w:val="false"/>
          <w:smallCaps w:val="false"/>
          <w:sz w:val="20"/>
        </w:rPr>
        <w:t>,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Patent protection and other intellectual property protection are crucial to the success of our business and prospects, and there is a substantial risk that such protections will prove inadequate.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do not obtain patent term extensions under the Hatch-Waxman Act and similar foreign legislation extending the terms of our licensed patents and any future patents we may own, our business may be materially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enforce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involved in lawsuits to protect or enforce our patents or the patents of our licensors, which could be expensive, time consuming and unsuccessful.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or our partners are sued for infringing intellectual property rights of third parties, it will be costly and time consuming, and an unfavorable outcome in that litigation would have a material adverse effect on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Other products or product candidates that we may in-license or acquire could be subject to similar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need to license certain intellectual property from third parties, and such licenses may not be available or may not be available on commercially reasonable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our business and competitive position may be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damages resulting from claims that we or our employees have wrongfully used or disclosed alleged trade secrets of our competitors or are in breach of non-competition or non-solicitation agreements with our competitors.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Business Organization and Governance, Strategy, Employees and Growth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attract and keep key management, commercial, and clinical development personnel, we may be unable to successfully develop or commercialize our product and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will need to develop and expand our business, and we may encounter difficulties in managing this development and expansion, which could disrupt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As of February 26, 2024, we had 264 full-time employees.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anti-takeover provisions in our governing documents and Delaware law could make a third-party acquisition of us difficult. This could limit the price investors might be willing to pay in the future for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utilize our net operating loss carryforwards and certain other tax attributes may be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$1.4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Certain of our executive officers, directors, principal stockholders and their affiliates maintain the ability to exercise significant influence over our company and all matters submitted to stockholders for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delaying, deferring or preventing a change of control of us;</w:t>
            </w:r>
          </w:p>
        </w:tc>
      </w:tr>
    </w:tbl>
    <w:tbl>
      <w:tblPr>
        <w:tblW w:w="7615" w:type="dxa"/>
        <w:jc w:val="left"/>
        <w:tblInd w:w="0" w:type="dxa"/>
        <w:tblLayout w:type="fixed"/>
        <w:tblCellMar>
          <w:top w:w="0" w:type="dxa"/>
          <w:left w:w="0" w:type="dxa"/>
          <w:bottom w:w="0" w:type="dxa"/>
          <w:right w:w="0" w:type="dxa"/>
        </w:tblCellMar>
      </w:tblPr>
      <w:tblGrid>
        <w:gridCol w:w="60"/>
        <w:gridCol w:w="170"/>
        <w:gridCol w:w="7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impeding a merger, consolidation, takeover or other business combination involving us; or</w:t>
            </w:r>
          </w:p>
        </w:tc>
      </w:tr>
    </w:tbl>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discouraging a potential acquirer from making a tender offer or otherwise attempting to obtain control of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rPr>
        <w:t>Our internal information technology systems, or those of our third-party CROs, CMOs, or other contractors or consultants, may fail or suffer security breaches, which could result in a material disruption of our drug candidates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development programs and our commercialization of any products for which we receive regulatory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 xml:space="preserve">Unfavorable global economic conditions could adversely affect our business, financial condition or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unemployment rates and overall uncertainty with respect to the economy. Increasing interest rates in the United States to respond to inflationary pressures and market volatility, as well as the government closures of Silicon Valley Bank and Signature Bank and liquidity concerns at other financial institutions,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Likewise, the capital and credit markets may be adversely affected by the conflicts between Russia and Ukraine and Israel and Hamas, the possibility of wider European, Middle Eastern or global conflicts, and the global sanctions imposed in response thereto. Other international events such as trade disputes, separatist movements,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acquire businesses or drugs, or form strategic alliances, in the future, and we may not realize the benefits of such acquisitions.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adverse legislative or regulatory tax changes that could negatively impact our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General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Our Common Stock and Being a Publicly Traded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rPr>
        <w:t>Our stock price is, and we expect it to remain, volatile, which could limit investors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ability to sell stock at a profit.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trading price of our common stock has been and is likely to continue to be highly volatile and subject to wide fluctuations in price in response to various factors, many of which are beyond our control. These factors include</w:t>
      </w:r>
      <w:r>
        <w:rPr>
          <w:rFonts w:ascii="Times New Roman" w:hAnsi="Times New Roman"/>
          <w:caps w:val="false"/>
          <w:smallCaps w:val="false"/>
          <w:sz w:val="20"/>
          <w:u w:val="single"/>
        </w:rPr>
        <w:t>, among others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reception and success of BRIUMVI in the U.S. market;</w:t>
            </w:r>
          </w:p>
        </w:tc>
      </w:tr>
    </w:tbl>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launch of BRIUMVI in European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publicity regarding actual or potential clinical results relating to our product or products under development by our competitors or us;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 or failure in initiating, completing or analyzing nonclinical or clinical trials or the unsatisfactory design or results of these trials;</w:t>
            </w:r>
          </w:p>
        </w:tc>
      </w:tr>
    </w:tbl>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achievement or rejection of regulatory approvals by us or our competitors;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tc>
      </w:tr>
    </w:tbl>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announcements of technological innovations or new commercial products by our competitors or us;</w:t>
            </w:r>
          </w:p>
        </w:tc>
      </w:tr>
    </w:tbl>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developments concerning proprietary rights, including patents;</w:t>
            </w:r>
          </w:p>
        </w:tc>
      </w:tr>
    </w:tbl>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developments concerning our collaborations;</w:t>
            </w:r>
          </w:p>
        </w:tc>
      </w:tr>
    </w:tbl>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developments in the United States and foreign countries;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economic or other crises and other external factors such as the disruptions in the global economy caused by the COVID-19 pandemic, the conflict between Russia and Ukraine, and the Israel-Hamas war;</w:t>
            </w:r>
          </w:p>
        </w:tc>
      </w:tr>
    </w:tbl>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period-to-period fluctuations in our revenues and other results of operations;</w:t>
            </w:r>
          </w:p>
        </w:tc>
      </w:tr>
    </w:tbl>
    <w:tbl>
      <w:tblPr>
        <w:tblW w:w="4450" w:type="dxa"/>
        <w:jc w:val="left"/>
        <w:tblInd w:w="0" w:type="dxa"/>
        <w:tblLayout w:type="fixed"/>
        <w:tblCellMar>
          <w:top w:w="0" w:type="dxa"/>
          <w:left w:w="0" w:type="dxa"/>
          <w:bottom w:w="0" w:type="dxa"/>
          <w:right w:w="0" w:type="dxa"/>
        </w:tblCellMar>
      </w:tblPr>
      <w:tblGrid>
        <w:gridCol w:w="60"/>
        <w:gridCol w:w="170"/>
        <w:gridCol w:w="4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failure to meet our revenue projections or guidance;</w:t>
            </w:r>
          </w:p>
        </w:tc>
      </w:tr>
    </w:tbl>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625" w:type="dxa"/>
            <w:tcBorders/>
            <w:vAlign w:val="center"/>
          </w:tcPr>
          <w:p>
            <w:pPr>
              <w:pStyle w:val="TableContents"/>
              <w:bidi w:val="0"/>
              <w:spacing w:before="0" w:after="0"/>
              <w:ind w:left="0" w:right="0" w:hanging="0"/>
              <w:jc w:val="both"/>
              <w:rPr>
                <w:rFonts w:ascii="Times New Roman" w:hAnsi="Times New Roman"/>
                <w:b w:val="false"/>
                <w:sz w:val="20"/>
              </w:rPr>
            </w:pPr>
            <w:r>
              <w:rPr>
                <w:rFonts w:ascii="Times New Roman" w:hAnsi="Times New Roman"/>
                <w:b w:val="false"/>
                <w:sz w:val="20"/>
              </w:rPr>
              <w:t>changes in financial estimates by securities analysts; and</w:t>
            </w:r>
          </w:p>
        </w:tc>
      </w:tr>
    </w:tbl>
    <w:tbl>
      <w:tblPr>
        <w:tblW w:w="2920" w:type="dxa"/>
        <w:jc w:val="left"/>
        <w:tblInd w:w="0" w:type="dxa"/>
        <w:tblLayout w:type="fixed"/>
        <w:tblCellMar>
          <w:top w:w="0" w:type="dxa"/>
          <w:left w:w="0" w:type="dxa"/>
          <w:bottom w:w="0" w:type="dxa"/>
          <w:right w:w="0" w:type="dxa"/>
        </w:tblCellMar>
      </w:tblPr>
      <w:tblGrid>
        <w:gridCol w:w="60"/>
        <w:gridCol w:w="170"/>
        <w:gridCol w:w="2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our common stock by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will not be able to control many of these factors, and we believe that period-to-period comparisons of our financial results will not necessarily be indicative of our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rPr>
      </w:pPr>
      <w:r>
        <w:rPr>
          <w:rFonts w:ascii="Times New Roman" w:hAnsi="Times New Roman"/>
          <w:b/>
          <w:i/>
          <w:caps w:val="false"/>
          <w:smallCaps w:val="false"/>
          <w:sz w:val="20"/>
        </w:rPr>
        <w:t>We are subject to risks related to corporate social responsibility and reputational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Our reputation and the reputation of our brands, including the perception held by our customers, end-users, business partners, investors, other key stakeholders and the communities in which we do business are influenced by various factors. There is an increased focus from our stakeholders on Environmental, Social, and Governance (ESG) practices and disclosure - and if we fail, or are perceived to have failed, in any number of ESG matters, such as environmental stewardship, inclusion and diversity, workplace conduct and support for local communities, or if we fail, or are perceived to have failed, to effectively respond to changes in legal or regulatory requirements concerning climate change or other sustainability concerns,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matters, sentiments toward the Company or our products could be negatively impacted, and our financial results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Because we do not anticipate paying any cash dividends on our capital stock in the foreseeable future, capital appreciation, if any, will likely be the sole source of gain for our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We have never declared or paid cash dividends on our capital stock. We currently intend to retain all of our future earnings, if any, to finance the growth and development of our business. However, any future determination relating to the use of our future earnings,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Amended Loan Agreement, as amended,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likely the sole source of gain for our stockholders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 active trading market for our common stock may not be sustained, and investors may not be able to resell their shares at or above the price they paid.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equity research analysts do not publish research or reports about our business or if they publish negative evaluations of or downgrade our common stock, the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incur significant increased costs as a result of operating as a public company, and our management is required to devote substantial time to compliance initiatives.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b/>
          <w:i/>
          <w:caps w:val="false"/>
          <w:smallCaps w:val="false"/>
          <w:sz w:val="20"/>
        </w:rPr>
        <w:t>Volatility in the price of our common stock may subject us to securities and shareholder derivative litigation, which could cause us to incur substantial costs and divert management</w:t>
      </w:r>
      <w:r>
        <w:rPr>
          <w:rFonts w:ascii="Times New Roman" w:hAnsi="Times New Roman"/>
          <w:caps w:val="false"/>
          <w:smallCaps w:val="false"/>
          <w:sz w:val="20"/>
        </w:rPr>
        <w:t>’</w:t>
      </w:r>
      <w:r>
        <w:rPr>
          <w:rFonts w:ascii="Times New Roman" w:hAnsi="Times New Roman"/>
          <w:b/>
          <w:i/>
          <w:caps w:val="false"/>
          <w:smallCaps w:val="false"/>
          <w:sz w:val="20"/>
        </w:rPr>
        <w:t>s attention, financial resources and other company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Future sales of our common stock, including by us or our directors and executive officers or shares issued upon the exercise of currently outstanding options, could cause our stock price to decline.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8" w:name="item1b"/>
      <w:bookmarkEnd w:id="8"/>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9" w:name="item1c"/>
      <w:bookmarkEnd w:id="9"/>
      <w:r>
        <w:rPr>
          <w:rFonts w:ascii="Times New Roman" w:hAnsi="Times New Roman"/>
          <w:b/>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We have implemented and maintain various information security processes designed to mitigate risks on a case-by-case basis from cybersecurity threats to our critical computer networks, third party-hosted services, communications systems, hardware and software, and our critical data, including intellectual property, confidential information that is proprietary, strategic or competitive in nature, and data related to patients and clinical trials (IT Assets). The potential consequences of a material cybersecurity incident could include reputational damage, litigation with third parties, regulatory criticism or proceedings and increased cybersecurity protection and remediation costs, which in turn could materially adversely affect our results of operations. The Company’s information security program evaluates threats posed by internal and external factors and supports daily operational functions that prevent unauthorized access or compromise.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Depending on the environment, we implement and maintain various technical, physical, and organizational measures, processes, standards and policies designed to manage and mitigate material risks from cybersecurity threats to our IT Assets, including, for example: implementing policies and guidelines governing the individual use and protection of IT Assets by employees, employee training, and leveraging the capability of third-party service providers to support our internal cybersecurity processes. We will continue to monitor proposed cybersecurity disclosure rules from the SEC and alter our procedures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Risks from cybersecurity threats have, to date, not materially affected us, our business strategy, results of operations or financial condition. For a description of the risks from cybersecurity threats that may materially affect us and how they may do so, see our risk factors under Part 1. Item 1A. Risk Factors in this Annual Report on Form 10-K, including the risk factor captioned “Our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Our information technology (IT) team leads the Company’s overall cybersecurity efforts and is responsible for the day-to-day management of risks we face, while our Board of Directors/management provides guidance on the oversight of risk management. Our Information Security Incident Response Plan is designed to escalate cybersecurity incidents, depending on the circumstances, to appropriate stakeholders as defined by internal Standard Operating Procedures. As part of such process, the corporate IT Security Team receives aggregate monthly reports from a third-party managed services organization contracted to monitor the TGTX IT environment. Additionally, the Vice President of IT receives regular reports from the corporate IT Security Team concerning the Company’s significant cybersecurity threats and risks and the processes the Company has implemented to address them. Significant events are reported to the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0" w:name="item2"/>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corporate and executive space in Morrisville, North Carolina, New York, New York, and Edison, New Jersey. We are also currently leasing small office space in Boca Raton, Florida. We believe that our existing facilities are adequate to meet our current requirements. We do not own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We, and our subsidiaries, are not a party to, and our property is not the subject of, any material pending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3" w:name="part2"/>
      <w:bookmarkEnd w:id="1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4" w:name="item5"/>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and trades under the symbol “TGTX”.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number of record holders of our common stock as of February 23, 2024 was 214.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never declared or paid any cash dividends on our common stock and do not anticipate paying any cash dividends in the foreseeable future. Any future determination to pay dividends will be at the discretion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Securities Authorized for Issuance Under Equity Compensation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as of December 31, 2023, regarding the securities authorized for issuance under our equity compensation plans, the TG Therapeutics, Inc. Amended and Restated 2012 Incentive Plan (the 2012 Incentive Plan) and the TG Therapeutics, Inc. 2022 Incentive Plan (the 2022 Incentive Plan). There were no additional shares available to be issued under the 2012 Incentive Plan.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Equity Compensation Plan Information</w:t>
      </w:r>
    </w:p>
    <w:tbl>
      <w:tblPr>
        <w:tblW w:w="9753" w:type="dxa"/>
        <w:jc w:val="left"/>
        <w:tblInd w:w="0" w:type="dxa"/>
        <w:tblLayout w:type="fixed"/>
        <w:tblCellMar>
          <w:top w:w="0" w:type="dxa"/>
          <w:left w:w="0" w:type="dxa"/>
          <w:bottom w:w="0" w:type="dxa"/>
          <w:right w:w="0" w:type="dxa"/>
        </w:tblCellMar>
      </w:tblPr>
      <w:tblGrid>
        <w:gridCol w:w="4955"/>
        <w:gridCol w:w="60"/>
        <w:gridCol w:w="82"/>
        <w:gridCol w:w="1182"/>
        <w:gridCol w:w="60"/>
        <w:gridCol w:w="60"/>
        <w:gridCol w:w="391"/>
        <w:gridCol w:w="1189"/>
        <w:gridCol w:w="60"/>
        <w:gridCol w:w="60"/>
        <w:gridCol w:w="101"/>
        <w:gridCol w:w="1493"/>
        <w:gridCol w:w="60"/>
      </w:tblGrid>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available for</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future issuance</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to be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 equity</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upon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(excluding</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reflected</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column 1)</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1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4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8,751,892</w:t>
            </w:r>
          </w:p>
        </w:tc>
        <w:tc>
          <w:tcPr>
            <w:tcW w:w="6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8,751,892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information about all of our equity compensation plans see Note 6 to our Consolidated Financial Statements included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 PERFORMANCE 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drawing>
          <wp:inline distT="0" distB="0" distL="0" distR="0">
            <wp:extent cx="2216785" cy="8978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16785" cy="8978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graph compares the cumulative total stockholder return on our common stock for the period from December 31, 2018 through December 31, 2023, with the cumulative total return over such period on (i) the U.S. Index of The Nasdaq Stock Market and (ii) the Biotechnology Index of The Nasdaq Stock Market. The graph assumes an investment of $100 on December 31, 2018, in our common stock (at the adjusted closing market price) and in each of the indices listed above, and assumes the reinvestment of all dividends. Measurement points are December 31 of each year.</w:t>
      </w:r>
    </w:p>
    <w:p>
      <w:pPr>
        <w:pStyle w:val="TextBody"/>
        <w:bidi w:val="0"/>
        <w:spacing w:before="0" w:after="0"/>
        <w:ind w:left="0" w:right="0" w:firstLine="720"/>
        <w:jc w:val="both"/>
        <w:rPr>
          <w:caps w:val="false"/>
          <w:smallCaps w:val="false"/>
        </w:rPr>
      </w:pPr>
      <w:r>
        <w:rPr>
          <w:caps w:val="false"/>
          <w:smallCaps w:val="false"/>
        </w:rPr>
        <w:t> </w:t>
      </w:r>
    </w:p>
    <w:p>
      <w:pPr>
        <w:pStyle w:val="HorizontalLine"/>
        <w:bidi w:val="0"/>
        <w:spacing w:before="0" w:after="0"/>
        <w:jc w:val="left"/>
        <w:rPr/>
      </w:pPr>
      <w:r>
        <w:rPr/>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$100 invested on December</w:t>
      </w:r>
      <w:r>
        <w:rPr>
          <w:rFonts w:ascii="Times New Roman" w:hAnsi="Times New Roman"/>
          <w:caps w:val="false"/>
          <w:smallCaps w:val="false"/>
          <w:sz w:val="20"/>
        </w:rPr>
        <w:t> </w:t>
      </w:r>
      <w:r>
        <w:rPr>
          <w:rFonts w:ascii="Times New Roman" w:hAnsi="Times New Roman"/>
          <w:b/>
          <w:caps w:val="false"/>
          <w:smallCaps w:val="false"/>
          <w:sz w:val="20"/>
        </w:rPr>
        <w:t>31, 2018 in stock or index, including reinvestment of dividends. Fiscal</w:t>
      </w:r>
      <w:r>
        <w:rPr>
          <w:rFonts w:ascii="Times New Roman" w:hAnsi="Times New Roman"/>
          <w:caps w:val="false"/>
          <w:smallCaps w:val="false"/>
          <w:sz w:val="20"/>
        </w:rPr>
        <w:t> </w:t>
      </w:r>
      <w:r>
        <w:rPr>
          <w:rFonts w:ascii="Times New Roman" w:hAnsi="Times New Roman"/>
          <w:b/>
          <w:caps w:val="false"/>
          <w:smallCaps w:val="false"/>
          <w:sz w:val="20"/>
        </w:rPr>
        <w:t>Years ending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item6"/>
      <w:bookmarkEnd w:id="15"/>
      <w:r>
        <w:rPr>
          <w:rFonts w:ascii="Times New Roman" w:hAnsi="Times New Roman"/>
          <w:b/>
          <w:caps w:val="false"/>
          <w:smallCaps w:val="false"/>
          <w:sz w:val="20"/>
        </w:rPr>
        <w:t>ITEM 6. REMOVED AND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6" w:name="item7"/>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“Item 8. Financial Statements and Supplementary Data,” and our consolidated financial statements beginning on page F-1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RMS, to include clinically isolated syndrome, relapsing-remitting disease, and active secondary progressive disease, in adults. We also actively evaluate complementary products, technologies and companies for in-licensing, partnership, acquisition and/or investment opportunities.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5, 2021, we announced that the FDA granted accelerated approval of umbralisib, the Company’s PI3K delta inhibitor, then commercially referred to as UKONIQ, for the treatment of adult patients with relapsed or refractory MZL who have received at least one prior anti-CD20 based regimen and adult patients with relapsed or refractory FL who have received at least three prior lines of systemic therapy. On April 15, 2022, we announced the voluntary withdrawal of UKONIQ from sale for the approved indications. During the year ended December 31, 2023, our only sources of product revenues were from the sales of BRIUMVI. Product revenues are recorded net of estimates of variable consideration. For further discussion of our revenue recognition policy, see “Critical Accounting Policies and Significant Judgements and Estimates”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revenue consists primarily of materials and third-party manufacturing costs, as well as freight and royalties owed to our licensing partner for BRIUMVI sales. Based on our policy to expense costs associated with the manufacture of our products prior to regulatory approval, a portion of the manufacturing costs of BRIUMVI units recognized as revenue during the year ended December 31, 2023 were expensed prior to receipt of FDA approval on December  28, 2022, and therefore are not included in costs of product revenue during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other research and development expenses consist primarily of expenses relating to the design, development, manufacture, testing and enhancement of our drug candidates and technologies, milestone expenses related to in-licensing of new product candidates, fees paid to consultants and outside service providers for clinical and laboratory development, personnel expenses and other facilities-related expenses. We expense our research and development costs as they are incurred. Research and development expenses for the years ended December 31, 2023, 2022 and 2021 were approximately $63.2 million, $112.1 million and $198.5 million respectively, excluding noncash compensation expenses related to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research and development expenses per project, exclusive of noncash compensation expenses,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3095"/>
        <w:gridCol w:w="60"/>
        <w:gridCol w:w="125"/>
        <w:gridCol w:w="590"/>
        <w:gridCol w:w="60"/>
        <w:gridCol w:w="60"/>
        <w:gridCol w:w="125"/>
        <w:gridCol w:w="695"/>
        <w:gridCol w:w="60"/>
        <w:gridCol w:w="60"/>
        <w:gridCol w:w="125"/>
        <w:gridCol w:w="695"/>
        <w:gridCol w:w="60"/>
      </w:tblGrid>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Ublituximab</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112,522</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Umbralisib</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63,033</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Early Clinical Pipeline &amp; Pre-Clinical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22,977</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198,532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selling, general and administrative expenses consist primarily of expenses related to the commercial launch of our products, including salaries and related expenses for our commercialization team and commercial development activities. Other selling, general and administrative expenses consist of executive, finance and other administrative personnel, recruitment expenses, professional fees and other corporate expenses, including investor relations, legal activities and facilities-related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include noncash compensation expenses as a result of the grants of restricted stock and stock options. Compensation expense for awards of restricted stock and stock options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results of operations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5300" w:type="dxa"/>
        <w:jc w:val="left"/>
        <w:tblInd w:w="0" w:type="dxa"/>
        <w:tblLayout w:type="fixed"/>
        <w:tblCellMar>
          <w:top w:w="0" w:type="dxa"/>
          <w:left w:w="0" w:type="dxa"/>
          <w:bottom w:w="0" w:type="dxa"/>
          <w:right w:w="0" w:type="dxa"/>
        </w:tblCellMar>
      </w:tblPr>
      <w:tblGrid>
        <w:gridCol w:w="3320"/>
        <w:gridCol w:w="60"/>
        <w:gridCol w:w="125"/>
        <w:gridCol w:w="695"/>
        <w:gridCol w:w="80"/>
        <w:gridCol w:w="60"/>
        <w:gridCol w:w="125"/>
        <w:gridCol w:w="755"/>
        <w:gridCol w:w="80"/>
      </w:tblGrid>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and other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13,224</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112,128</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125,352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5,961</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64,046</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70,007</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195,624</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10,191</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Product Revenue, net</w:t>
      </w:r>
      <w:r>
        <w:rPr>
          <w:rFonts w:ascii="Times New Roman" w:hAnsi="Times New Roman"/>
          <w:i/>
          <w:caps w:val="false"/>
          <w:smallCaps w:val="false"/>
          <w:sz w:val="20"/>
        </w:rPr>
        <w:t xml:space="preserve">. </w:t>
      </w:r>
      <w:r>
        <w:rPr>
          <w:rFonts w:ascii="Times New Roman" w:hAnsi="Times New Roman"/>
          <w:caps w:val="false"/>
          <w:smallCaps w:val="false"/>
          <w:sz w:val="20"/>
        </w:rPr>
        <w:t>Product revenue, net increased for the year ended December 31, 2023 compared to the comparable period ended December 31, 2022 primarily due to an increase in net product revenues from sales of our sole commercial product, BRIUMVI, which was commercially launched in the U.S. in January 2023, following FDA approval. Product revenue, net for the year ended December 31, 2022, consisted of net product sales of UKONIQ, which was officially withdrawn from the market in May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License Revenue</w:t>
      </w:r>
      <w:r>
        <w:rPr>
          <w:rFonts w:ascii="Times New Roman" w:hAnsi="Times New Roman"/>
          <w:caps w:val="false"/>
          <w:smallCaps w:val="false"/>
          <w:sz w:val="20"/>
        </w:rPr>
        <w:t>. License revenue was $140.2 million and $0.2 million for the years ended December 31, 2023 and December 31, 2022, respectively. License revenue for the year ended December 31, 2023 is predominantly comprised of recognition of license revenue from the one-time $140.0 million non-refundable upfront payment recognized in the third quarter of 2023 as part of the Commercialization Agreement with Neuraxpharm (see Note 2 for more information). License revenue for the year ended December 31, 2022 is comprised of recognition of a portion of the upfront payment from the ublituximab sublicense agreement with Ildong.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Revenue</w:t>
      </w:r>
      <w:r>
        <w:rPr>
          <w:rFonts w:ascii="Times New Roman" w:hAnsi="Times New Roman"/>
          <w:caps w:val="false"/>
          <w:smallCaps w:val="false"/>
          <w:sz w:val="20"/>
        </w:rPr>
        <w:t>. Other revenue was $1.5 million and zero for the year ended December 31, 2023 and December 31, 2022, respectively. Other revenue for the year ended December 31, 2023 is comprised of consideration received for development and regulatory activities performed on behalf of Neuraxpharm in accordance with the Commercialization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Cost of Revenue. </w:t>
      </w:r>
      <w:r>
        <w:rPr>
          <w:rFonts w:ascii="Times New Roman" w:hAnsi="Times New Roman"/>
          <w:caps w:val="false"/>
          <w:smallCaps w:val="false"/>
          <w:sz w:val="20"/>
        </w:rPr>
        <w:t>Cost of revenue for the year ended December 31, 2023 increased compared to the comparable period ended December 31, 2022 due to increased product sales resulting from the commercial launch of BRIUMVI in the U.S. market  which began in January 2023 following FDA approval. During the year ended December 31, 2023 the cost of revenue consisted primarily of third-party manufacturing, distribution, overhead costs and royalties on net sales of BRIUMVI owed to our licensing partner. Based on our policy to expense costs associated with the manufacture of our products prior to regulatory approval, a portion of the manufacturing costs of BRIUMVI units recognized as revenue during the year ended December 31, 2023 were expensed as research and development expenses prior to receipt of FDA approval, and therefore are not reflected in the cost of revenue. We expect the cost of revenue for BRIUMVI to increase in relation to product revenues as we deplete these inventories and we expect to use the remaining pre-commercialization inventory for product sales through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(Research and Development).</w:t>
      </w:r>
      <w:r>
        <w:rPr>
          <w:rFonts w:ascii="Times New Roman" w:hAnsi="Times New Roman"/>
          <w:caps w:val="false"/>
          <w:smallCaps w:val="false"/>
          <w:sz w:val="20"/>
        </w:rPr>
        <w:t> Noncash compensation expense (research and development) related to equity incentive grants totaled $13.0 million for the year ended December 31, 2023, as compared to $13.2 million during the comparable period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w:t>
      </w:r>
      <w:r>
        <w:rPr>
          <w:rFonts w:ascii="Times New Roman" w:hAnsi="Times New Roman"/>
          <w:caps w:val="false"/>
          <w:smallCaps w:val="false"/>
          <w:sz w:val="20"/>
        </w:rPr>
        <w:t> Other research and development expense decreased for the year ended December 31, 2023, by approximately $48.9 million to $63.2 million as compared to the prior year ended December 31, 2022. The decrease in other research and development expense during the year ended December 31, 2023 was primarily attributable to reduced manufacturing expense, a decrease in license milestones and reduced clinical trial related expenses. Prior to the approval of BRIUMVI, manufacturing costs pertaining to BRIUMVI were expensed to research and development expense in the period incurred, and following approval are reflected in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Noncash Compensation Expense (Selling, General and Administrative). </w:t>
      </w:r>
      <w:r>
        <w:rPr>
          <w:rFonts w:ascii="Times New Roman" w:hAnsi="Times New Roman"/>
          <w:caps w:val="false"/>
          <w:smallCaps w:val="false"/>
          <w:sz w:val="20"/>
        </w:rPr>
        <w:t>Noncash compensation expense (selling, general and administrative) related to equity incentive grants totaled $24.0 million for the year ended December 31, 2023, as compared to $6.0 million during the comparable period in 2022. The increase in noncash compensation expense was primarily due to vesting of milestone-based grants and a decrease in forfeitures during the year ended December 31, 2023 compared to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Selling, General and Administrative. </w:t>
      </w:r>
      <w:r>
        <w:rPr>
          <w:rFonts w:ascii="Times New Roman" w:hAnsi="Times New Roman"/>
          <w:caps w:val="false"/>
          <w:smallCaps w:val="false"/>
          <w:sz w:val="20"/>
        </w:rPr>
        <w:t>Other selling, general and administrative expenses increased for the year ended December 31, 2023, by approximately $33.9 million to $97.8 million as compared to the prior year ended December 31, 2022. The increase was primarily due to other selling, general and administrative costs, including personnel and consultants, associated with the approval and commercialization of BRIUMVI, as well as increase in advisory fees pertaining to the Commercialization Agreement with Neuraxpharm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Interest expense for the year ended December 31, 2023 was $12.6 million compared to $10.2 million for the comparable period ended December 31, 2022. The $2.4 million increase is mainly due to greater interest expense related to First Amendment to the Amended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Income. </w:t>
      </w:r>
      <w:r>
        <w:rPr>
          <w:rFonts w:ascii="Times New Roman" w:hAnsi="Times New Roman"/>
          <w:caps w:val="false"/>
          <w:smallCaps w:val="false"/>
          <w:sz w:val="20"/>
        </w:rPr>
        <w:t>Other income increased by $0.3 million to $5.0 million for the year ended December 31, 2023, as compared to $4.7 million for the year ended December 31, 2022.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Income tax increased by $0.4 million to $0.4 million for the year ended December 31, 2023, as compared to zero for the year ended December 31, 2022. The $0.4 million increase is due to state tax liabilities incurred during the year ended December 31, 2023.</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results of operations for the years ended December 31, 2022 and 2021:</w:t>
      </w:r>
    </w:p>
    <w:p>
      <w:pPr>
        <w:pStyle w:val="TextBody"/>
        <w:bidi w:val="0"/>
        <w:spacing w:before="0" w:after="0"/>
        <w:ind w:left="0" w:right="0" w:hanging="0"/>
        <w:jc w:val="left"/>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3320"/>
        <w:gridCol w:w="60"/>
        <w:gridCol w:w="125"/>
        <w:gridCol w:w="755"/>
        <w:gridCol w:w="80"/>
        <w:gridCol w:w="60"/>
        <w:gridCol w:w="125"/>
        <w:gridCol w:w="755"/>
        <w:gridCol w:w="80"/>
      </w:tblGrid>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6,689</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24,047</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198,532</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222,579</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37,227</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90,863</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128,090</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351,459</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5,638</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Revenues</w:t>
      </w:r>
      <w:r>
        <w:rPr>
          <w:rFonts w:ascii="Times New Roman" w:hAnsi="Times New Roman"/>
          <w:i/>
          <w:caps w:val="false"/>
          <w:smallCaps w:val="false"/>
          <w:sz w:val="20"/>
        </w:rPr>
        <w:t xml:space="preserve">. </w:t>
      </w:r>
      <w:r>
        <w:rPr>
          <w:rFonts w:ascii="Times New Roman" w:hAnsi="Times New Roman"/>
          <w:caps w:val="false"/>
          <w:smallCaps w:val="false"/>
          <w:sz w:val="20"/>
        </w:rPr>
        <w:t>Total revenue for the year ended December 31, 2022 decreased compared to the comparable period ended December 31, 2021 due to a decrease in net product revenues resulting from the voluntary withdrawal from the U.S. market of our sole commercial product, UKONIQ.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Cost of Product Revenue. </w:t>
      </w:r>
      <w:r>
        <w:rPr>
          <w:rFonts w:ascii="Times New Roman" w:hAnsi="Times New Roman"/>
          <w:caps w:val="false"/>
          <w:smallCaps w:val="false"/>
          <w:sz w:val="20"/>
        </w:rPr>
        <w:t>Cost of product revenue for the year ended December 31, 2022 decreased compared to the comparable period ended December 31, 2021 due to the stoppage of product sales resulting from the withdrawal from the U.S. market of our sole commercial product UKONIQ. During the year ended December 31, 2022 the cost of product revenue consists primarily of freight and royalties on net sales of UKONIQ owed to our licensing partner. Based on our policy to expense costs associated with the manufacture of our products prior to regulatory approval, the manufacturing costs of UKONIQ units recognized as revenue during the year ended December 31, 2022 were expensed as research and development expenses prior to receipt of FDA approval on February 5, 2021, and therefore are not included in costs of product revenue during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Noncash Compensation Expense (Research and Development).</w:t>
      </w:r>
      <w:r>
        <w:rPr>
          <w:rFonts w:ascii="Times New Roman" w:hAnsi="Times New Roman"/>
          <w:caps w:val="false"/>
          <w:smallCaps w:val="false"/>
          <w:sz w:val="20"/>
        </w:rPr>
        <w:t xml:space="preserve"> Noncash compensation expense (research and development) related to equity incentive grants totaled $13.2 million for the year ended December 31, 2022, as compared to $24.0 million during the comparable period in 2021. The decrease in noncash compensation expense was primarily due to forfeitures of restricted stock during the year ended December 31, 2022, as well as an overall decreased headcount during the year ended December 31, 2022 compared to the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Research and Development Expense</w:t>
      </w:r>
      <w:r>
        <w:rPr>
          <w:rFonts w:ascii="Times New Roman" w:hAnsi="Times New Roman"/>
          <w:i/>
          <w:caps w:val="false"/>
          <w:smallCaps w:val="false"/>
          <w:sz w:val="20"/>
        </w:rPr>
        <w:t xml:space="preserve">. </w:t>
      </w:r>
      <w:r>
        <w:rPr>
          <w:rFonts w:ascii="Times New Roman" w:hAnsi="Times New Roman"/>
          <w:caps w:val="false"/>
          <w:smallCaps w:val="false"/>
          <w:sz w:val="20"/>
        </w:rPr>
        <w:t>Other research and development expense decreased for the year ended December 31, 2022, by approximately $86.4 million to $112.1 million as compared to the prior year ended December 31, 2021. The decrease in research and development expense is primarily attributable to reduced clinical trial related expenses, headcount, lower fees paid to consultants and outside service providers, license milestones and decreased manufacturing expense during the year ended December 31,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Noncash Compensation Expense (Selling, General and Administrative). </w:t>
      </w:r>
      <w:r>
        <w:rPr>
          <w:rFonts w:ascii="Times New Roman" w:hAnsi="Times New Roman"/>
          <w:caps w:val="false"/>
          <w:smallCaps w:val="false"/>
          <w:sz w:val="20"/>
        </w:rPr>
        <w:t>Noncash compensation expense (selling, general and administrative) related to equity incentive grants totaled $6.0 million for the year ended December 31, 2022, as compared to $37.2 million during the comparable period in 2021. The decrease in noncash compensation expense was primarily due to forfeitures of restricted stock during the year ended December 31, 2022, as well as an overall decreased headcount during the year ended December 31, 2022 compared to the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Selling, General and Administrative. </w:t>
      </w:r>
      <w:r>
        <w:rPr>
          <w:rFonts w:ascii="Times New Roman" w:hAnsi="Times New Roman"/>
          <w:caps w:val="false"/>
          <w:smallCaps w:val="false"/>
          <w:sz w:val="20"/>
        </w:rPr>
        <w:t>Other selling, general and administrative expenses decreased for the year ended December 31, 2022, by approximately $26.8 million to $64.0 million as compared to the prior year ended December 31, 2021. The decrease was due primarily to lower other selling, general and administrative costs, as a result of our withdrawal of UKONIQ and decreased headcount, during the period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Interest expense for the year ended December 31, 2022 was $10.2 million compared to $5.6 million for the comparable period ended December 31, 2021. The $4.6 million increase is mainly due to greater interest expense related to the Amended Loan Agreement entered into in December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Other Income.</w:t>
      </w:r>
      <w:r>
        <w:rPr>
          <w:rFonts w:ascii="Times New Roman" w:hAnsi="Times New Roman"/>
          <w:caps w:val="false"/>
          <w:smallCaps w:val="false"/>
          <w:sz w:val="20"/>
        </w:rPr>
        <w:t xml:space="preserve"> Other income increased by $2.4 million to $4.7 million for the year ended December 31, 2022, as compared to $2.3 million for the year ended December 31, 2021. The increase is mainly due to greater interest income, as well as a research &amp; development tax credit refund received by our Australian subsidiary during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540"/>
        <w:jc w:val="both"/>
        <w:rPr>
          <w:rFonts w:ascii="Times New Roman" w:hAnsi="Times New Roman"/>
          <w:caps w:val="false"/>
          <w:smallCaps w:val="false"/>
          <w:sz w:val="20"/>
        </w:rPr>
      </w:pPr>
      <w:r>
        <w:rPr>
          <w:rFonts w:ascii="Times New Roman" w:hAnsi="Times New Roman"/>
          <w:caps w:val="false"/>
          <w:smallCaps w:val="false"/>
          <w:sz w:val="20"/>
        </w:rPr>
        <w:t>Historically, we have incurred operating losses since our inception; however, the Company experienced a net profit during the twelve months ended December 31, 2023 due to a $140.0 million non-refundable upfront payment recognized as license revenue in the third quarter of 2023 as part of our Commercialization Agreement with Neuraxpharm (see Note 2 for more information). We expect to continue to incur operating losses in the near term and may never become profitable. As of December 31, 2023, we have an accumulated deficit of $1.5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Our major sources of cash have been proceeds from private </w:t>
      </w:r>
      <w:r>
        <w:rPr>
          <w:rFonts w:ascii="Times New Roman" w:hAnsi="Times New Roman"/>
          <w:caps w:val="false"/>
          <w:smallCaps w:val="false"/>
          <w:sz w:val="20"/>
          <w:u w:val="single"/>
        </w:rPr>
        <w:t>placements</w:t>
      </w:r>
      <w:r>
        <w:rPr>
          <w:rFonts w:ascii="Times New Roman" w:hAnsi="Times New Roman"/>
          <w:caps w:val="false"/>
          <w:smallCaps w:val="false"/>
          <w:sz w:val="20"/>
        </w:rPr>
        <w:t xml:space="preserve"> and public </w:t>
      </w:r>
      <w:r>
        <w:rPr>
          <w:rFonts w:ascii="Times New Roman" w:hAnsi="Times New Roman"/>
          <w:caps w:val="false"/>
          <w:smallCaps w:val="false"/>
          <w:sz w:val="20"/>
          <w:u w:val="single"/>
        </w:rPr>
        <w:t>offerings</w:t>
      </w:r>
      <w:r>
        <w:rPr>
          <w:rFonts w:ascii="Times New Roman" w:hAnsi="Times New Roman"/>
          <w:caps w:val="false"/>
          <w:smallCaps w:val="false"/>
          <w:sz w:val="20"/>
        </w:rPr>
        <w:t xml:space="preserve"> of equity securities, from our loan and security agreements executed with Hercules (see Note 7 for more information), and the upfront payment from the Commercialization Agreement (see Note 2 for more information). Substantially all our operating losses have resulted from costs incurred in connection with our research and development programs and from selling, general and administrative costs associated with our operations, including our commercialization activities. As of December 31 2023, we had generated $</w:t>
      </w:r>
      <w:r>
        <w:rPr>
          <w:rFonts w:ascii="Times New Roman" w:hAnsi="Times New Roman"/>
          <w:caps w:val="false"/>
          <w:smallCaps w:val="false"/>
          <w:sz w:val="20"/>
          <w:u w:val="single"/>
        </w:rPr>
        <w:t>92</w:t>
      </w:r>
      <w:r>
        <w:rPr>
          <w:rFonts w:ascii="Times New Roman" w:hAnsi="Times New Roman"/>
          <w:caps w:val="false"/>
          <w:smallCaps w:val="false"/>
          <w:sz w:val="20"/>
        </w:rPr>
        <w:t>.0 million in product revenue from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may continue to incur operating losses even now that we are generating revenues from BRIUMVI.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December 31, 2023, we had $217.5 million in cash and cash equivalents, and investment securities. We anticipate that our cash, cash equivalents, and investment securities as of December 31, 2023, combined with projected revenues associated with the sale of BRIUMVI in the U.S. and ex-U.S.,  will provide sufficient liquidity for more than a twelve-month period from the date of filing this Annual Report on Form 10-K. 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Discussion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4115"/>
        <w:gridCol w:w="60"/>
        <w:gridCol w:w="125"/>
        <w:gridCol w:w="650"/>
        <w:gridCol w:w="80"/>
        <w:gridCol w:w="60"/>
        <w:gridCol w:w="125"/>
        <w:gridCol w:w="755"/>
        <w:gridCol w:w="80"/>
      </w:tblGrid>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operating activities for the year ended December 31, 2023 was $31.4 million as compared to $176.2 million for the year ended December 31, 2022. The decrease in cash used in operating activities was due primarily to the one-time upfront payment of $140.0 million from Neuraxpharm, as part of the Commercialization Agreement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year ended December 31, 2023, net cash used in investing activities was $50.7 million as compared to $20.0 million for the year ended December 31, 2022. The increase in net cash used in investing activities was primarily due to greater investment in short-term securities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the year ended December 31, 2023, net cash provided by financing activities was $72.7 million as compared to net cash used in financing activities of $0.4 million for the year ended December 31, 2022. The increase in net cash provided by financing activities was primarily attributable to proceeds from debt financings and net proceeds from the issuance of common stock as part of our ATM program that took place during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2021, we sold a total of 72,000 shares of common stock under the 2021 ATM for aggregate total gross proceeds of approximately $2.5 million at an average selling price of $34.25 per share, resulting in net proceeds of approximately $2.4 million after deducting commissions and other transactions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 The 2022 ATM has replaced the 2021 ATM as the only active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2023, we sold a total of 1,385,700 shares of common stock under the 2022 ATM for aggregate total gross proceeds of approximately $47.1 million at an average selling price of $34.01 per share, resulting in net proceeds of approximately $46.3 million after deducting commissions and other transactions costs.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Debt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Tranche 2 through Tranche 4 including increasing the amount available under Tranche 2 subject to the achievement of performance milestones from $10.0 million to $20.0 million, increasing the amount available under Tranche 3 subject to the achievement of performance milestones from $10.0 million to $45.0 million, and increasing the amount under Tranche 4 subject to the approval of Hercules’ investment committee from $10.0 million to $65.0 million, (iv) extend the maturity date of the facility from the original March 1, 2022 to January 1, 2026, (v) reset and extend the interest only period from April 1, 2021 to February 1, 2025 and extendable to August 1, 2025 subject to the achievement of certain performance milestones, and (vi) modify the cash interest rate to be the greater of either (a) the “prime rate” as reported in The Wall Street Journal plus 2.15%, and (b) 5.40%. 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720"/>
        <w:jc w:val="left"/>
        <w:rPr>
          <w:rFonts w:ascii="Times New Roman" w:hAnsi="Times New Roman"/>
          <w:caps w:val="false"/>
          <w:smallCaps w:val="false"/>
          <w:sz w:val="20"/>
        </w:rPr>
      </w:pPr>
      <w:r>
        <w:rPr>
          <w:rFonts w:ascii="Times New Roman" w:hAnsi="Times New Roman"/>
          <w:caps w:val="false"/>
          <w:smallCaps w:val="false"/>
          <w:sz w:val="20"/>
        </w:rPr>
        <w:t>On March 31, 2023 (the First Amendment Effective Date), the Company entered into a First Amendment to the Amended and Restated Loan and Security Agreement (the First Amendment) with Hercules. The First Amendment amended the terms of the Amended Loan Agreement to, among other things, (i) issue an advance of $25.0 million drawn at the First Amendment Effective Date (the Tranche 3A Advance), (ii) provide for the formal expiration of Tranche 2, (iii) change the draw amounts and dates available under subsequent tranches, including splitting the remaining balance of Tranche 3 into two additional advances in an aggregate principal amount of up to $20.0 million, in increments of $10.0 million (a Tranche 3B Advance and a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as amended, The Amended Loan Agreement, as amended, contains financial covenants that require the Company to maintain certain levels of unrestricted cash and additional financial covenants related to market capitalization. As of December 31, 2023, we are in compliance with all financial covenants.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Amended Loan Agreement, as amended also contains warrant coverage of 2.95% of the total amount funded. A warrant (the Warrant) was issued by the Company to Hercules to purchase 115,042 shares of common stock with an exercise price of $17.95 for the initial amount funded at the Closing Date. The Warrant shall be exercisable for seven years from the date of issuance. Hercules may exercise the Warrant either by (a) cash or check or (b) through a net issuance conversion. Additionally,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Company is required to pay a final payment fee equal to 5.95% of the aggregate principal amount of the Term Loan Advances (as defined in the Amended Loan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may, at its option, prepay the Amended Term Loan in full or in part, subject to a prepayment penalty equal to (i) 1.5% of the principal amount prepaid if the prepayment occurs prior to the first anniversary of the First Amendment Effective Date, and (ii) 1.0% of the principal amount prepaid if the prepayment occurs on or after the first anniversary of the First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new space in April 2016, with rental payments beginning in the third quarter of 2016. Also in connection with this lease, we have pledged $1.3 million to secure a line of credit as a security deposit for the Office Agreement, which has been recorded as restricted cash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rental expense was approximately $2.2 million, $2.7 million and $2.2 million for the years ended December 31, 2023, 2022 and 2021,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Future minimum lease commitments as of December 31, 2023 total, in the aggregate, approximately $15.0 million through December 31, 2032. Our future minimum lease commitments include our office leases in New York, New Jersey and North Carolina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Revenue Recognition</w:t>
      </w:r>
      <w:r>
        <w:rPr>
          <w:rFonts w:ascii="Times New Roman" w:hAnsi="Times New Roman"/>
          <w:caps w:val="false"/>
          <w:smallCaps w:val="false"/>
          <w:sz w:val="20"/>
        </w:rPr>
        <w:t>. Pursuant to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 For a complete discussion of the accounting for product revenue, see Note 1 – Organization and Summary of Significant Accounting Policies in the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License Revenue - Revenue recognized from license agreements will include royalties on sales, upfront, milestone and other payments, if any, under any current or future licensing agreements, including revenues related to the supply of our drug candidates or approved drugs to our various licensing partners under these types of contracts. For a complete discussion of the accounting for license revenue, see Note 1 – Organization and Summary of Significant Accounting Policies in the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Stock Compensation</w:t>
      </w:r>
      <w:r>
        <w:rPr>
          <w:rFonts w:ascii="Times New Roman" w:hAnsi="Times New Roman"/>
          <w:caps w:val="false"/>
          <w:smallCaps w:val="false"/>
          <w:sz w:val="20"/>
        </w:rPr>
        <w:t>. We have granted stock options and restricted stock to employees, directors and consultants, as well as warrants to 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milestones becomes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Accrued Research and Development Expenses. </w:t>
      </w:r>
      <w:r>
        <w:rPr>
          <w:rFonts w:ascii="Times New Roman" w:hAnsi="Times New Roman"/>
          <w:caps w:val="false"/>
          <w:smallCaps w:val="false"/>
          <w:sz w:val="20"/>
        </w:rPr>
        <w:t>As part of the process of preparing our financial statements, we are required to estimate our accrued expenses. This process involves reviewing open contracts,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60"/>
        <w:gridCol w:w="170"/>
        <w:gridCol w:w="7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contract research organizations (CROs) in connection with clinical studies;</w:t>
            </w:r>
          </w:p>
        </w:tc>
      </w:tr>
    </w:tbl>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contract manufacturing organizations (CMOs);</w:t>
            </w:r>
          </w:p>
        </w:tc>
      </w:tr>
    </w:tbl>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trial sites in connection with clinical studies; and</w:t>
            </w:r>
          </w:p>
        </w:tc>
      </w:tr>
    </w:tbl>
    <w:tbl>
      <w:tblPr>
        <w:tblW w:w="4825" w:type="dxa"/>
        <w:jc w:val="left"/>
        <w:tblInd w:w="0" w:type="dxa"/>
        <w:tblLayout w:type="fixed"/>
        <w:tblCellMar>
          <w:top w:w="0" w:type="dxa"/>
          <w:left w:w="0" w:type="dxa"/>
          <w:bottom w:w="0" w:type="dxa"/>
          <w:right w:w="0" w:type="dxa"/>
        </w:tblCellMar>
      </w:tblPr>
      <w:tblGrid>
        <w:gridCol w:w="60"/>
        <w:gridCol w:w="170"/>
        <w:gridCol w:w="4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paid to vendors associated with licenses/milestones.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base our expenses related to clinical studies on our estimates of the services received and efforts expended pursuant to contracts with multiple CROs that conduct and manage clinical studies on our behalf. The financial terms of these agreements are subject to an initial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certain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does not believe that any recently issued, but not yet effective, accounting pronouncements, if currently adopted, would have a material effect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7" w:name="item7a"/>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7A. 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2023, our portfolio of financial instruments consists of cash equivalents and short-term interest-bearing securities, including government debt and money market funds. The average duration of all of our held-to-maturity investments held as of December 31, 2023, was less than 24 months. Due to the relatively short-term nature of these financial instruments, we believe there is no material exposure to interest rate risk, and/or credit risk, arising from our portfolio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item8"/>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and the notes thereto, included in Part IV, Item 14(a), part 1, are incorporated by reference into this Item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9" w:name="item9"/>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 CHANGES IN AND DISAGREEMENTS WITH ACCOUNTANTS ON ACCOUNTING AND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0" w:name="item9a"/>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Evaluation of Disclosure Controls and Procedures.</w:t>
      </w:r>
      <w:r>
        <w:rPr>
          <w:rFonts w:ascii="Times New Roman" w:hAnsi="Times New Roman"/>
          <w:caps w:val="false"/>
          <w:smallCaps w:val="false"/>
          <w:sz w:val="20"/>
        </w:rPr>
        <w:t xml:space="preserve"> As of December 31, 2023, management carried out an evaluation, under the supervision and with the participation of our Chief Executive Officer and our Chief Financial Officer, of the effectiveness of the design and operation of our disclosure controls and procedures (as defined in Rules 13a-15(e) and 15d-15(e) of the Securities Exchange Act of 1934, as amended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2023, our disclosure controls and procedures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Annual Report on Internal Control over Financial Reporting.</w:t>
      </w:r>
      <w:r>
        <w:rPr>
          <w:rFonts w:ascii="Times New Roman" w:hAnsi="Times New Roman"/>
          <w:caps w:val="false"/>
          <w:smallCaps w:val="false"/>
          <w:sz w:val="20"/>
        </w:rPr>
        <w:t xml:space="preserve"> Our management is responsible for establishing and maintaining adequate internal control over financial reporting (as defined in Rule 13a-15(f) or Rule 15d-15(f) under the Exchange Act). Our management assessed the effectiveness of our internal control over financial reporting as of December 31, 2023. In making this assessment, our management used the criteria established in Internal Control – Integrated Framework (2013) issued by the Committee of Sponsoring Organizations of the Treadway Commission, or COSO Framework. Our management has concluded that, as of December 31, 2023, our internal control over financial reporting was effective based on these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effectiveness of our internal control over financial reporting as of December 31, 2023 was audited by KPMG LLP, our independent registered public accounting firm, as stated in their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Changes in Internal Control Over Financial Reporting.</w:t>
      </w:r>
      <w:r>
        <w:rPr>
          <w:rFonts w:ascii="Times New Roman" w:hAnsi="Times New Roman"/>
          <w:caps w:val="false"/>
          <w:smallCaps w:val="false"/>
          <w:sz w:val="20"/>
        </w:rPr>
        <w:t xml:space="preserve"> There were no changes in our internal control over financial reporting during the quarter ended December 31, 2023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Limitations on the Effectiveness of Controls.</w:t>
      </w:r>
      <w:r>
        <w:rPr>
          <w:rFonts w:ascii="Times New Roman" w:hAnsi="Times New Roman"/>
          <w:caps w:val="false"/>
          <w:smallCaps w:val="false"/>
          <w:sz w:val="20"/>
        </w:rPr>
        <w:t xml:space="preserve"> 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1" w:name="itme9b"/>
      <w:bookmarkEnd w:id="21"/>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9B.</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Trading Plans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caps w:val="false"/>
          <w:smallCaps w:val="false"/>
        </w:rPr>
        <w:t>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none of our directors or executive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)(i) of Regulation S-K) or adopted or terminated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(c) of Regulation S-K) for the purchase or sale of the Company’s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2" w:name="part3"/>
      <w:bookmarkEnd w:id="22"/>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3" w:name="item10"/>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2024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4" w:name="item11"/>
      <w:bookmarkEnd w:id="2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2024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5" w:name="item12"/>
      <w:bookmarkEnd w:id="2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2024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6" w:name="item13"/>
      <w:bookmarkEnd w:id="2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2024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7" w:name="item14"/>
      <w:bookmarkEnd w:id="2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herein by reference from our Proxy Statement for our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8" w:name="part4"/>
      <w:bookmarkEnd w:id="28"/>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9" w:name="item15"/>
      <w:bookmarkEnd w:id="2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1.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consolidated financial statements of TG Therapeutics, Inc. are filed as part of this report.</w:t>
      </w:r>
    </w:p>
    <w:p>
      <w:pPr>
        <w:pStyle w:val="TextBody"/>
        <w:bidi w:val="0"/>
        <w:spacing w:before="0" w:after="0"/>
        <w:ind w:left="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28" w:type="dxa"/>
          <w:right w:w="0" w:type="dxa"/>
        </w:tblCellMar>
      </w:tblPr>
      <w:tblGrid>
        <w:gridCol w:w="8810"/>
        <w:gridCol w:w="23"/>
        <w:gridCol w:w="440"/>
      </w:tblGrid>
      <w:tr>
        <w:trPr/>
        <w:tc>
          <w:tcPr>
            <w:tcW w:w="88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Contents</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810" w:type="dxa"/>
            <w:tcBorders/>
            <w:tcMar>
              <w:bottom w:w="0" w:type="dxa"/>
            </w:tcMar>
            <w:vAlign w:val="center"/>
          </w:tcPr>
          <w:p>
            <w:pPr>
              <w:pStyle w:val="TableContents"/>
              <w:bidi w:val="0"/>
              <w:spacing w:before="0" w:after="0"/>
              <w:ind w:left="0" w:right="0" w:hanging="0"/>
              <w:jc w:val="both"/>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xml:space="preserve"> (KPMG LLP, New York, NY, Audit Firm ID: 185) </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report">
              <w:r>
                <w:rPr>
                  <w:rStyle w:val="InternetLink"/>
                  <w:rFonts w:ascii="Times New Roman" w:hAnsi="Times New Roman"/>
                  <w:caps w:val="false"/>
                  <w:smallCaps w:val="false"/>
                  <w:sz w:val="20"/>
                </w:rPr>
                <w:t>F-1</w:t>
              </w:r>
            </w:hyperlink>
          </w:p>
        </w:tc>
      </w:tr>
      <w:tr>
        <w:trPr/>
        <w:tc>
          <w:tcPr>
            <w:tcW w:w="88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balance_sheet">
              <w:r>
                <w:rPr>
                  <w:rStyle w:val="InternetLink"/>
                  <w:rFonts w:ascii="Times New Roman" w:hAnsi="Times New Roman"/>
                  <w:caps w:val="false"/>
                  <w:smallCaps w:val="false"/>
                  <w:sz w:val="20"/>
                </w:rPr>
                <w:t>Consolidated Balance Sheets as of December 31, 2023 and 2022</w:t>
              </w:r>
            </w:hyperlink>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balance_sheet">
              <w:r>
                <w:rPr>
                  <w:rStyle w:val="InternetLink"/>
                  <w:rFonts w:ascii="Times New Roman" w:hAnsi="Times New Roman"/>
                  <w:caps w:val="false"/>
                  <w:smallCaps w:val="false"/>
                  <w:sz w:val="20"/>
                </w:rPr>
                <w:t>F-5</w:t>
              </w:r>
            </w:hyperlink>
          </w:p>
        </w:tc>
      </w:tr>
      <w:tr>
        <w:trPr/>
        <w:tc>
          <w:tcPr>
            <w:tcW w:w="88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state_of_op">
              <w:r>
                <w:rPr>
                  <w:rStyle w:val="InternetLink"/>
                  <w:rFonts w:ascii="Times New Roman" w:hAnsi="Times New Roman"/>
                  <w:caps w:val="false"/>
                  <w:smallCaps w:val="false"/>
                  <w:sz w:val="20"/>
                </w:rPr>
                <w:t>Consolidated Statements of Operations for the years ended December 31, 2023, 2022 and 2021</w:t>
              </w:r>
            </w:hyperlink>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state_of_op">
              <w:r>
                <w:rPr>
                  <w:rStyle w:val="InternetLink"/>
                  <w:rFonts w:ascii="Times New Roman" w:hAnsi="Times New Roman"/>
                  <w:caps w:val="false"/>
                  <w:smallCaps w:val="false"/>
                  <w:sz w:val="20"/>
                </w:rPr>
                <w:t>F-6</w:t>
              </w:r>
            </w:hyperlink>
          </w:p>
        </w:tc>
      </w:tr>
      <w:tr>
        <w:trPr/>
        <w:tc>
          <w:tcPr>
            <w:tcW w:w="88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Consolidated Statements of Stockholders’ Equity for the years ended December 31, 2023, 2022 and 2021</w:t>
              </w:r>
            </w:hyperlink>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F-7</w:t>
              </w:r>
            </w:hyperlink>
          </w:p>
        </w:tc>
      </w:tr>
      <w:tr>
        <w:trPr/>
        <w:tc>
          <w:tcPr>
            <w:tcW w:w="88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cash_flows">
              <w:r>
                <w:rPr>
                  <w:rStyle w:val="InternetLink"/>
                  <w:rFonts w:ascii="Times New Roman" w:hAnsi="Times New Roman"/>
                  <w:caps w:val="false"/>
                  <w:smallCaps w:val="false"/>
                  <w:sz w:val="20"/>
                </w:rPr>
                <w:t>Consolidated Statements of Cash Flows for the years ended December 31, 2023, 2022 and 2021</w:t>
              </w:r>
            </w:hyperlink>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rPr>
                <w:t>F-8</w:t>
              </w:r>
            </w:hyperlink>
          </w:p>
        </w:tc>
      </w:tr>
      <w:tr>
        <w:trPr/>
        <w:tc>
          <w:tcPr>
            <w:tcW w:w="88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tcMar>
              <w:bottom w:w="0" w:type="dxa"/>
            </w:tcMar>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Consolidated Financial Statements</w:t>
              </w:r>
            </w:hyperlink>
          </w:p>
        </w:tc>
        <w:tc>
          <w:tcPr>
            <w:tcW w:w="23"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tcMar>
              <w:bottom w:w="0" w:type="dxa"/>
            </w:tcMar>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F-9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b/>
          <w:caps w:val="false"/>
          <w:smallCaps w:val="false"/>
          <w:sz w:val="20"/>
        </w:rPr>
        <w:t>2.      Consolidated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schedules are omitted as the information required is inapplicable or the information is presented in the consolidated financial statements or the related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3.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w:t>
            </w:r>
          </w:p>
        </w:tc>
        <w:tc>
          <w:tcPr>
            <w:tcW w:w="94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Number</w:t>
            </w:r>
          </w:p>
        </w:tc>
        <w:tc>
          <w:tcPr>
            <w:tcW w:w="94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 Description</w:t>
            </w:r>
          </w:p>
        </w:tc>
      </w:tr>
      <w:tr>
        <w:trPr/>
        <w:tc>
          <w:tcPr>
            <w:tcW w:w="7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3.1</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Certificate of Incorporation of TG Therapeutics, Inc. dated April 26, 2012 (incorporated by reference to Exhibit 3.1 to the Registrant’s Form 10-Q for the quarter ended June 30, 2012).</w:t>
            </w:r>
          </w:p>
        </w:tc>
      </w:tr>
      <w:tr>
        <w:trPr/>
        <w:tc>
          <w:tcPr>
            <w:tcW w:w="7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3.2</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Amended and Restated Certificate of Incorporation of TG Therapeutics, Inc. dated June 9, 2014 (incorporated by reference to Exhibit 3.2 to the Registrant’s Form 10-Q for the quarter ended June 30, 2014).</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both"/>
              <w:rPr/>
            </w:pPr>
            <w:hyperlink r:id="rId5">
              <w:r>
                <w:rPr>
                  <w:rStyle w:val="InternetLink"/>
                  <w:caps w:val="false"/>
                  <w:smallCaps w:val="false"/>
                </w:rPr>
                <w:t>​</w:t>
              </w:r>
            </w:hyperlink>
            <w:hyperlink r:id="rId6">
              <w:r>
                <w:rPr>
                  <w:rStyle w:val="InternetLink"/>
                  <w:rFonts w:ascii="Times New Roman" w:hAnsi="Times New Roman"/>
                  <w:caps w:val="false"/>
                  <w:smallCaps w:val="false"/>
                  <w:sz w:val="20"/>
                </w:rPr>
                <w:t>3.3</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Amended and Restated Certificate of Incorporation of TG Therapeutics, Inc. dated June 16, 2021 (incorporated by reference to Exhibit 3.1 to the Registrant’s Current Report on Form 8-K filed on June 21, 2021).</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both"/>
              <w:rPr/>
            </w:pPr>
            <w:hyperlink r:id="rId7">
              <w:r>
                <w:rPr>
                  <w:rStyle w:val="InternetLink"/>
                  <w:caps w:val="false"/>
                  <w:smallCaps w:val="false"/>
                </w:rPr>
                <w:t>​</w:t>
              </w:r>
            </w:hyperlink>
            <w:hyperlink r:id="rId8">
              <w:r>
                <w:rPr>
                  <w:rStyle w:val="InternetLink"/>
                  <w:rFonts w:ascii="Times New Roman" w:hAnsi="Times New Roman"/>
                  <w:caps w:val="false"/>
                  <w:smallCaps w:val="false"/>
                  <w:sz w:val="20"/>
                </w:rPr>
                <w:t>3.4</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Bylaws of TG Therapeutics, Inc. dated July 18, 2014 (incorporated by reference to Exhibit 3.1 to the Registrant’s Current Report on Form 8-K filed on July 21, 2014).</w:t>
            </w:r>
          </w:p>
        </w:tc>
      </w:tr>
      <w:tr>
        <w:trPr/>
        <w:tc>
          <w:tcPr>
            <w:tcW w:w="7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4.1</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Specimen common stock certificate (incorporated by reference to Exhibit 4.1 to the Registrant’s Form 10-K for the year ended December 31, 2011).</w:t>
            </w:r>
          </w:p>
        </w:tc>
      </w:tr>
      <w:tr>
        <w:trPr/>
        <w:tc>
          <w:tcPr>
            <w:tcW w:w="7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4.2</w:t>
              </w:r>
            </w:hyperlink>
          </w:p>
        </w:tc>
        <w:tc>
          <w:tcPr>
            <w:tcW w:w="9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 Protection Rights Agreement, dated July 18, 2014 between TG Therapeutics, Inc. and American Stock Transfer &amp; Trust Company, LLC, as Rights Agent (incorporated by reference to Exhibit 4.1 to the Registrant’s Current Report on Form 8-K filed on July 21, 2014).</w:t>
            </w:r>
          </w:p>
        </w:tc>
      </w:tr>
      <w:tr>
        <w:trPr/>
        <w:tc>
          <w:tcPr>
            <w:tcW w:w="7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9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710"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4.3</w:t>
              </w:r>
            </w:hyperlink>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Securities of TG Therapeutics, Inc. (incorporated by reference to Exhibit 4.5 of the Registrant’s Annual Report on Form 10-K for the fiscal year ended December 31,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10.1</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Employment Agreement, effective December 29, 2011, between the Registrant and Michael Weiss (incorporated by reference to Exhibit 10.30 to the Registrant’s Form 10-K for the fiscal year ended December 31, 2011).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10.2</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Restricted Stock Subscription Agreement, effective December 29, 2011, between the Registrant and Michael Weiss (incorporated by reference to Exhibit 10.31 to the Registrant’s Form 10-K for the fiscal year ended December 31, 2011).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10.3</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 dated July 12, 2013, by and between TG Therapeutics, Inc. and Michael S. Weiss (incorporated by reference to Exhibit 10.1 to the Registrant’s Current Report on Form 8-K filed on July 16, 2013).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10.4</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Agreements, dated December 31, 2014, by and between TG Therapeutics, Inc. and Michael S. Weiss (incorporated by reference to Exhibit 10.1 to the Registrant’s Current Report on Form 8-K filed on January 7, 2015).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10.5</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Employment Agreement, effective December 29, 2011, between the Registrant and Sean Power (incorporated by reference to Exhibit 10.32 to the Registrant’s Form 10-K for the fiscal year ended December 31, 2011).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rPr>
                <w:t>10.6</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Restricted Stock Subscription Agreement, effective December 29, 2011 between the Registrant and Sean Power (incorporated by reference to Exhibit 10.33 to the Registrant’s Form 10-K for the fiscal year ended December 31, 2011).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8">
              <w:r>
                <w:rPr>
                  <w:rStyle w:val="InternetLink"/>
                  <w:rFonts w:ascii="Times New Roman" w:hAnsi="Times New Roman"/>
                  <w:caps w:val="false"/>
                  <w:smallCaps w:val="false"/>
                  <w:sz w:val="20"/>
                </w:rPr>
                <w:t>10.7</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 dated July 12, 2013, by and between TG Therapeutics, Inc. and Sean A. Power (incorporated by reference to Exhibit 10.2 to the Registrant’s Current Report on Form 8-K filed on July 16, 2013).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rPr>
                <w:t>10.8</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Restricted Stock Agreements, dated December 31, 2014, by and between TG Therapeutics, Inc. and Sean A. Power (incorporated by reference to Exhibit 10.2 to the Registrant’s Current Report on Form 8-K filed on January 7, 2015).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0">
              <w:r>
                <w:rPr>
                  <w:rStyle w:val="InternetLink"/>
                  <w:rFonts w:ascii="Times New Roman" w:hAnsi="Times New Roman"/>
                  <w:caps w:val="false"/>
                  <w:smallCaps w:val="false"/>
                  <w:sz w:val="20"/>
                </w:rPr>
                <w:t>10.9</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dated January 30, 2012, by and among the Registrant, GTC Biotherapeutics, Inc., LFB Biotechnologies S.A.S. and LFB/GTC LLC (incorporated by reference to Exhibit 10.35 to the Registrant’s Form 10-K for the fiscal year ended December 31, 2011).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1">
              <w:r>
                <w:rPr>
                  <w:rStyle w:val="InternetLink"/>
                  <w:rFonts w:ascii="Times New Roman" w:hAnsi="Times New Roman"/>
                  <w:caps w:val="false"/>
                  <w:smallCaps w:val="false"/>
                  <w:sz w:val="20"/>
                </w:rPr>
                <w:t>10.10</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Sublicense Agreement between TG Therapeutics, Inc. and Ildong Pharmaceutical Co. Ltd., dated November 13, 2012 (incorporated by reference to Exhibit 10.37 to the Registrant’s Form 10-K for the fiscal year ended December 31, 2012).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2">
              <w:r>
                <w:rPr>
                  <w:rStyle w:val="InternetLink"/>
                  <w:rFonts w:ascii="Times New Roman" w:hAnsi="Times New Roman"/>
                  <w:caps w:val="false"/>
                  <w:smallCaps w:val="false"/>
                  <w:sz w:val="20"/>
                </w:rPr>
                <w:t>10.11</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between TG Therapeutics, Inc. and Ligand Pharmaceuticals Incorporated, dated June 23, 2014 (incorporated by reference to Exhibit 10.1 to the Registrant’s Form 10-Q for the quarter ended June 30, 2014).*</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3">
              <w:r>
                <w:rPr>
                  <w:rStyle w:val="InternetLink"/>
                  <w:rFonts w:ascii="Times New Roman" w:hAnsi="Times New Roman"/>
                  <w:caps w:val="false"/>
                  <w:smallCaps w:val="false"/>
                  <w:sz w:val="20"/>
                </w:rPr>
                <w:t>10.12</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between TG Therapeutics, Inc. and Rhizen Pharmaceuticals SA, dated September 22, 2014 (incorporated by reference to Exhibit 10.1 to the Registrant’s Current Report on Form 8-K filed on January 20, 2015).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4">
              <w:r>
                <w:rPr>
                  <w:rStyle w:val="InternetLink"/>
                  <w:rFonts w:ascii="Times New Roman" w:hAnsi="Times New Roman"/>
                  <w:caps w:val="false"/>
                  <w:smallCaps w:val="false"/>
                  <w:sz w:val="20"/>
                </w:rPr>
                <w:t>10.13</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Collaboration Agreement between TG Therapeutics, Inc. and Checkpoint Therapeutics, Inc., dated March 3, 2015 (incorporated by reference to Exhibit 10.1 to the Registrant’s Form 10-Q for the quarter ended March 31, 2015).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5">
              <w:r>
                <w:rPr>
                  <w:rStyle w:val="InternetLink"/>
                  <w:rFonts w:ascii="Times New Roman" w:hAnsi="Times New Roman"/>
                  <w:caps w:val="false"/>
                  <w:smallCaps w:val="false"/>
                  <w:sz w:val="20"/>
                </w:rPr>
                <w:t>10.14</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Sublicense Agreement between TG Therapeutics, Inc. and Checkpoint Therapeutics, Inc., dated May 27, 2016, (incorporated by reference to Exhibit 10.1 to the Registrant’s Form 10-Q for the quarter ended June 30, 2016).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6">
              <w:r>
                <w:rPr>
                  <w:rStyle w:val="InternetLink"/>
                  <w:rFonts w:ascii="Times New Roman" w:hAnsi="Times New Roman"/>
                  <w:caps w:val="false"/>
                  <w:smallCaps w:val="false"/>
                  <w:sz w:val="20"/>
                </w:rPr>
                <w:t>10.15</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Amendment to Employment Agreement, effective January 1, 2017, between TG Therapeutics, Inc. and Michael S. Weiss (incorporated by reference to Exhibit 10.18 to the Registrant’s Form 10-K/A for the year ended December 31, 2016).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7">
              <w:r>
                <w:rPr>
                  <w:rStyle w:val="InternetLink"/>
                  <w:rFonts w:ascii="Times New Roman" w:hAnsi="Times New Roman"/>
                  <w:caps w:val="false"/>
                  <w:smallCaps w:val="false"/>
                  <w:sz w:val="20"/>
                </w:rPr>
                <w:t>10.16</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License Agreement between TG Therapeutics, Inc. and Jiangsu Hengrui Medicine Co., dated January 8, 2018 (incorporated by reference to Exhibit 10.20 to the Registrant’s Form 10-K for the year ended December 31, 2017). *</w:t>
            </w:r>
          </w:p>
        </w:tc>
      </w:tr>
      <w:tr>
        <w:trPr/>
        <w:tc>
          <w:tcPr>
            <w:tcW w:w="4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85" w:type="dxa"/>
            <w:tcBorders/>
            <w:vAlign w:val="center"/>
          </w:tcPr>
          <w:p>
            <w:pPr>
              <w:pStyle w:val="TableContents"/>
              <w:bidi w:val="0"/>
              <w:spacing w:before="0" w:after="0"/>
              <w:ind w:left="0" w:right="0" w:hanging="0"/>
              <w:jc w:val="both"/>
              <w:rPr/>
            </w:pPr>
            <w:hyperlink r:id="rId28">
              <w:r>
                <w:rPr>
                  <w:rStyle w:val="InternetLink"/>
                  <w:rFonts w:ascii="Times New Roman" w:hAnsi="Times New Roman"/>
                  <w:caps w:val="false"/>
                  <w:smallCaps w:val="false"/>
                  <w:sz w:val="20"/>
                </w:rPr>
                <w:t>10.17</w:t>
              </w:r>
            </w:hyperlink>
          </w:p>
        </w:tc>
        <w:tc>
          <w:tcPr>
            <w:tcW w:w="9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Joint Venture and License Option Agreement by and between TG Therapeutics, Inc. and Novimmune S.A., dated June 18, 2018 (incorporated by reference to Exhibit 10.20 to the Registrant’s Form 10-Q for the quarter ended June 30, 2018).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9645"/>
      </w:tblGrid>
      <w:tr>
        <w:trPr/>
        <w:tc>
          <w:tcPr>
            <w:tcW w:w="560" w:type="dxa"/>
            <w:tcBorders/>
            <w:vAlign w:val="center"/>
          </w:tcPr>
          <w:p>
            <w:pPr>
              <w:pStyle w:val="TableContents"/>
              <w:bidi w:val="0"/>
              <w:spacing w:before="0" w:after="0"/>
              <w:ind w:left="0" w:right="0" w:hanging="0"/>
              <w:jc w:val="both"/>
              <w:rPr/>
            </w:pPr>
            <w:hyperlink r:id="rId29">
              <w:r>
                <w:rPr>
                  <w:rStyle w:val="InternetLink"/>
                  <w:rFonts w:ascii="Times New Roman" w:hAnsi="Times New Roman"/>
                  <w:caps w:val="false"/>
                  <w:smallCaps w:val="false"/>
                  <w:sz w:val="20"/>
                </w:rPr>
                <w:t>10.18</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Master Services Agreement between Samsung Biologics Co., Ltd. And TG Therapeutics, Inc., effective February 21, 2018 (incorporated by reference to the Exhibit 10.2 to the Registrant’s Form 10-Q for the quarter ended June 30, 2019).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0">
              <w:r>
                <w:rPr>
                  <w:rStyle w:val="InternetLink"/>
                  <w:rFonts w:ascii="Times New Roman" w:hAnsi="Times New Roman"/>
                  <w:caps w:val="false"/>
                  <w:smallCaps w:val="false"/>
                  <w:sz w:val="20"/>
                </w:rPr>
                <w:t>10.19</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 and Security Agreement, dated February 28, 2019, by and among TG Therapeutics, Inc., TG Biologics, Inc. and Hercules Capital, Inc. (incorporated by reference to the Exhibit 10.2 to the Registrant’s Current Report on Form 8-K filed on March 5, 2019).</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1">
              <w:r>
                <w:rPr>
                  <w:rStyle w:val="InternetLink"/>
                  <w:rFonts w:ascii="Times New Roman" w:hAnsi="Times New Roman"/>
                  <w:caps w:val="false"/>
                  <w:smallCaps w:val="false"/>
                  <w:sz w:val="20"/>
                </w:rPr>
                <w:t>10.20</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 Agreement, dated February 28, 2019, by and between TG Therapeutics, Inc. and Hercules Capital, Inc. (incorporated by reference to the Exhibit 10.3 to the Registrant’s Current Report on Form 8-K filed on March 5, 2019).</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2">
              <w:r>
                <w:rPr>
                  <w:rStyle w:val="InternetLink"/>
                  <w:rFonts w:ascii="Times New Roman" w:hAnsi="Times New Roman"/>
                  <w:caps w:val="false"/>
                  <w:smallCaps w:val="false"/>
                  <w:sz w:val="20"/>
                </w:rPr>
                <w:t>10.21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 Agreement, dated February 28, 2019, by and between TG Therapeutics, Inc. and Hercules Technology III, L.P. (incorporated by reference to the Exhibit 10.4 to the Registrant’s Current Report on Form 8-K filed on March 5, 2019).</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3">
              <w:r>
                <w:rPr>
                  <w:rStyle w:val="InternetLink"/>
                  <w:rFonts w:ascii="Times New Roman" w:hAnsi="Times New Roman"/>
                  <w:caps w:val="false"/>
                  <w:smallCaps w:val="false"/>
                  <w:sz w:val="20"/>
                </w:rPr>
                <w:t>10.22</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Collaboration Agreement by and between TG Therapeutics, Inc. and Checkpoint Therapeutics, Inc., dated June 19, 2019 (incorporated by reference to Exhibit 10.1 to the Registrant’s Form 10-Q for the quarter ended June 30, 2019).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4">
              <w:r>
                <w:rPr>
                  <w:rStyle w:val="InternetLink"/>
                  <w:rFonts w:ascii="Times New Roman" w:hAnsi="Times New Roman"/>
                  <w:caps w:val="false"/>
                  <w:smallCaps w:val="false"/>
                  <w:sz w:val="20"/>
                </w:rPr>
                <w:t>10.23</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Employment Agreement by and between TG Therapeutics, Inc. and Michael S. Weiss, dated June 18, 2021 (incorporated by reference to Exhibit 10.1 to the Registrant’s Form 10 Q for the quarter ended June 30, 2021).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5">
              <w:r>
                <w:rPr>
                  <w:rStyle w:val="InternetLink"/>
                  <w:rFonts w:ascii="Times New Roman" w:hAnsi="Times New Roman"/>
                  <w:caps w:val="false"/>
                  <w:smallCaps w:val="false"/>
                  <w:sz w:val="20"/>
                </w:rPr>
                <w:t>10.24</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Amended and Restated Loan and Security Agreement, dated December 30, 2021, by and among TG Therapeutics, Inc., TG Biologics, Inc. and Hercules Capital, Inc. (incorporated by reference to Exhibit 10.28 to the Registrant’s Form 10-K for the year ended December 31, 2021).</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6">
              <w:r>
                <w:rPr>
                  <w:rStyle w:val="InternetLink"/>
                  <w:rFonts w:ascii="Times New Roman" w:hAnsi="Times New Roman"/>
                  <w:caps w:val="false"/>
                  <w:smallCaps w:val="false"/>
                  <w:sz w:val="20"/>
                </w:rPr>
                <w:t>10.25</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 Agreement, dated December 30, 2021, by and between TG Therapeutics, Inc. and Hercules Capital Inc. (incorporated by reference to Exhibit 10.29 to the Registrant’s Form 10-K for the year ended December 31, 2021).</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37">
              <w:r>
                <w:rPr>
                  <w:rStyle w:val="InternetLink"/>
                  <w:rFonts w:ascii="Times New Roman" w:hAnsi="Times New Roman"/>
                  <w:caps w:val="false"/>
                  <w:smallCaps w:val="false"/>
                  <w:sz w:val="20"/>
                </w:rPr>
                <w:t>10.26</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 Agreement, dated December 30, 2021, by and between TG Therapeutics, Inc. and Hercules Private Credit Fund I L.P. (incorporated by reference to Exhibit 10.30 to the Registrant’s Form 10-K for the year ended December 31, 2021).</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0"/>
              <w:ind w:left="0" w:right="0" w:hanging="0"/>
              <w:jc w:val="both"/>
              <w:rPr/>
            </w:pPr>
            <w:hyperlink r:id="rId38">
              <w:r>
                <w:rPr>
                  <w:rStyle w:val="InternetLink"/>
                  <w:caps w:val="false"/>
                  <w:smallCaps w:val="false"/>
                </w:rPr>
                <w:t>​</w:t>
              </w:r>
            </w:hyperlink>
            <w:hyperlink r:id="rId39">
              <w:r>
                <w:rPr>
                  <w:rStyle w:val="InternetLink"/>
                  <w:rFonts w:ascii="Times New Roman" w:hAnsi="Times New Roman"/>
                  <w:caps w:val="false"/>
                  <w:smallCaps w:val="false"/>
                  <w:sz w:val="20"/>
                </w:rPr>
                <w:t>10.27</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 Agreement, dated December 30, 2021, by and between TG Therapeutics, Inc. and Hercules Private Global Venture Growth Fund I L.P. (incorporated by reference to Exhibit 10.31 to the Registrant’s Form 10-K for the year ended December 31, 2021).</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r:id="rId40">
              <w:r>
                <w:rPr>
                  <w:rStyle w:val="InternetLink"/>
                  <w:rFonts w:ascii="Times New Roman" w:hAnsi="Times New Roman"/>
                  <w:caps w:val="false"/>
                  <w:smallCaps w:val="false"/>
                  <w:sz w:val="20"/>
                </w:rPr>
                <w:t>10.28</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TG Therapeutics, Inc. 2022 Incentive Plan (incorporated by reference to Exhibit 10.1 to the Registrant’s Current Report on Form 8-K filed on June 23, 2022).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283"/>
              <w:jc w:val="left"/>
              <w:rPr/>
            </w:pPr>
            <w:hyperlink r:id="rId41">
              <w:r>
                <w:rPr>
                  <w:rStyle w:val="InternetLink"/>
                </w:rPr>
                <w:t>10.29</w:t>
              </w:r>
            </w:hyperlink>
          </w:p>
        </w:tc>
        <w:tc>
          <w:tcPr>
            <w:tcW w:w="9645" w:type="dxa"/>
            <w:tcBorders/>
            <w:vAlign w:val="center"/>
          </w:tcPr>
          <w:p>
            <w:pPr>
              <w:pStyle w:val="TableContents"/>
              <w:bidi w:val="0"/>
              <w:spacing w:before="0" w:after="283"/>
              <w:jc w:val="left"/>
              <w:rPr/>
            </w:pPr>
            <w:r>
              <w:rPr/>
              <w:t>First Amendment to Amended and Restated Loan and Security Agreement, dated March 31, 2023, by and among TG Therapeutics, Inc., TG Biologics, Inc. and Hercules Capital, Inc. (incorporated by reference to Exhibit 10.1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2">
              <w:r>
                <w:rPr>
                  <w:rStyle w:val="InternetLink"/>
                </w:rPr>
                <w:t>10.30</w:t>
              </w:r>
            </w:hyperlink>
          </w:p>
        </w:tc>
        <w:tc>
          <w:tcPr>
            <w:tcW w:w="9645" w:type="dxa"/>
            <w:tcBorders/>
            <w:vAlign w:val="center"/>
          </w:tcPr>
          <w:p>
            <w:pPr>
              <w:pStyle w:val="TableContents"/>
              <w:bidi w:val="0"/>
              <w:spacing w:before="0" w:after="283"/>
              <w:jc w:val="left"/>
              <w:rPr/>
            </w:pPr>
            <w:r>
              <w:rPr/>
              <w:t>Amended and Restated Warrant Agreement, dated March 31, 2023, by and between TG Therapeutics, Inc. and Hercules Capital Inc. (incorporated by reference to Exhibit 10.2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3">
              <w:r>
                <w:rPr>
                  <w:rStyle w:val="InternetLink"/>
                </w:rPr>
                <w:t>10.31</w:t>
              </w:r>
            </w:hyperlink>
          </w:p>
        </w:tc>
        <w:tc>
          <w:tcPr>
            <w:tcW w:w="9645" w:type="dxa"/>
            <w:tcBorders/>
            <w:vAlign w:val="center"/>
          </w:tcPr>
          <w:p>
            <w:pPr>
              <w:pStyle w:val="TableContents"/>
              <w:bidi w:val="0"/>
              <w:spacing w:before="0" w:after="283"/>
              <w:jc w:val="left"/>
              <w:rPr/>
            </w:pPr>
            <w:r>
              <w:rPr/>
              <w:t>Amended and Restated Warrant Agreement, dated March 31, 2023, by and between TG Therapeutics, Inc. and Hercules Funding IV, LLC. (incorporated by reference to Exhibit 10.3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4">
              <w:r>
                <w:rPr>
                  <w:rStyle w:val="InternetLink"/>
                </w:rPr>
                <w:t>10.32</w:t>
              </w:r>
            </w:hyperlink>
          </w:p>
        </w:tc>
        <w:tc>
          <w:tcPr>
            <w:tcW w:w="9645" w:type="dxa"/>
            <w:tcBorders/>
            <w:vAlign w:val="center"/>
          </w:tcPr>
          <w:p>
            <w:pPr>
              <w:pStyle w:val="TableContents"/>
              <w:bidi w:val="0"/>
              <w:spacing w:before="0" w:after="283"/>
              <w:jc w:val="left"/>
              <w:rPr/>
            </w:pPr>
            <w:r>
              <w:rPr/>
              <w:t>Amended and Restated Warrant Agreement, dated March 31, 2023, by and between TG Therapeutics, Inc. and Hercules Private Credit Fund 1 L.P. (incorporated by reference to Exhibit 10.4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5">
              <w:r>
                <w:rPr>
                  <w:rStyle w:val="InternetLink"/>
                </w:rPr>
                <w:t>10.33</w:t>
              </w:r>
            </w:hyperlink>
          </w:p>
        </w:tc>
        <w:tc>
          <w:tcPr>
            <w:tcW w:w="9645" w:type="dxa"/>
            <w:tcBorders/>
            <w:vAlign w:val="center"/>
          </w:tcPr>
          <w:p>
            <w:pPr>
              <w:pStyle w:val="TableContents"/>
              <w:bidi w:val="0"/>
              <w:spacing w:before="0" w:after="283"/>
              <w:jc w:val="left"/>
              <w:rPr/>
            </w:pPr>
            <w:r>
              <w:rPr/>
              <w:t>Amended and Restated Warrant Agreement, dated March 31, 2023, by and between TG Therapeutics, Inc. and Hercules Private Global Venture Growth Fund I L.P. (incorporated by reference to Exhibit 10.5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6">
              <w:r>
                <w:rPr>
                  <w:rStyle w:val="InternetLink"/>
                </w:rPr>
                <w:t>10.34</w:t>
              </w:r>
            </w:hyperlink>
          </w:p>
        </w:tc>
        <w:tc>
          <w:tcPr>
            <w:tcW w:w="9645" w:type="dxa"/>
            <w:tcBorders/>
            <w:vAlign w:val="center"/>
          </w:tcPr>
          <w:p>
            <w:pPr>
              <w:pStyle w:val="TableContents"/>
              <w:bidi w:val="0"/>
              <w:spacing w:before="0" w:after="283"/>
              <w:jc w:val="left"/>
              <w:rPr/>
            </w:pPr>
            <w:r>
              <w:rPr/>
              <w:t>Warrant Agreement, dated March 31, 2023, by and between TG Therapeutics, Inc. and Hercules Capital Inc. (incorporated by reference to Exhibit 10.6 to the Registrant’s Form 10-Q for the quarter ended March 31, 2023).</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7">
              <w:r>
                <w:rPr>
                  <w:rStyle w:val="InternetLink"/>
                </w:rPr>
                <w:t>10.35</w:t>
              </w:r>
            </w:hyperlink>
          </w:p>
        </w:tc>
        <w:tc>
          <w:tcPr>
            <w:tcW w:w="9645" w:type="dxa"/>
            <w:tcBorders/>
            <w:vAlign w:val="center"/>
          </w:tcPr>
          <w:p>
            <w:pPr>
              <w:pStyle w:val="TableContents"/>
              <w:bidi w:val="0"/>
              <w:spacing w:before="0" w:after="283"/>
              <w:jc w:val="left"/>
              <w:rPr/>
            </w:pPr>
            <w:r>
              <w:rPr/>
              <w:t>Warrant Agreement, dated March 31, 2023, by and between TG Therapeutics, Inc. and Hercules Private Credit Fund 1 L.P. (incorporated by reference to Exhibit 10.7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8">
              <w:r>
                <w:rPr>
                  <w:rStyle w:val="InternetLink"/>
                </w:rPr>
                <w:t>10.36</w:t>
              </w:r>
            </w:hyperlink>
          </w:p>
        </w:tc>
        <w:tc>
          <w:tcPr>
            <w:tcW w:w="9645" w:type="dxa"/>
            <w:tcBorders/>
            <w:vAlign w:val="center"/>
          </w:tcPr>
          <w:p>
            <w:pPr>
              <w:pStyle w:val="TableContents"/>
              <w:bidi w:val="0"/>
              <w:spacing w:before="0" w:after="283"/>
              <w:jc w:val="left"/>
              <w:rPr/>
            </w:pPr>
            <w:r>
              <w:rPr/>
              <w:t>Warrant Agreement, dated March 31, 2023, by and between TG Therapeutics, Inc. and Hercules Private Global Venture Growth Fund I L.P. (incorporated by reference to Exhibit 10.8 to the Registrant’s Form 10-Q for the quarter ended March 31,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r:id="rId49">
              <w:r>
                <w:rPr>
                  <w:rStyle w:val="InternetLink"/>
                </w:rPr>
                <w:t>10.37</w:t>
              </w:r>
            </w:hyperlink>
          </w:p>
        </w:tc>
        <w:tc>
          <w:tcPr>
            <w:tcW w:w="9645" w:type="dxa"/>
            <w:tcBorders/>
            <w:vAlign w:val="center"/>
          </w:tcPr>
          <w:p>
            <w:pPr>
              <w:pStyle w:val="TableContents"/>
              <w:bidi w:val="0"/>
              <w:spacing w:before="0" w:after="283"/>
              <w:jc w:val="left"/>
              <w:rPr/>
            </w:pPr>
            <w:r>
              <w:rPr/>
              <w:t>Commercialization Agreement by and between TG Therapeutics, Inc. and Neuraxpharm Pharmaceuticals, S.L., dated as of July 28, 2023 (incorporated by reference to Exhibit 10.1 to the Registrant’s Form 10-Q for the quarter ended June 30, 2023).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w:anchor="ex_631839.htm">
              <w:r>
                <w:rPr>
                  <w:rStyle w:val="InternetLink"/>
                </w:rPr>
                <w:t>10.38</w:t>
              </w:r>
            </w:hyperlink>
          </w:p>
        </w:tc>
        <w:tc>
          <w:tcPr>
            <w:tcW w:w="9645" w:type="dxa"/>
            <w:tcBorders/>
            <w:vAlign w:val="center"/>
          </w:tcPr>
          <w:p>
            <w:pPr>
              <w:pStyle w:val="TableContents"/>
              <w:bidi w:val="0"/>
              <w:spacing w:before="0" w:after="283"/>
              <w:jc w:val="left"/>
              <w:rPr/>
            </w:pPr>
            <w:r>
              <w:rPr/>
              <w:t>License Agreement, dated January 7, 2024, by and between TG Therapeutics, Inc., TG Cell Therapy, Inc., and Precision BioSciences, Inc. #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hyperlink w:anchor="ex_632901.htm">
              <w:r>
                <w:rPr>
                  <w:rStyle w:val="InternetLink"/>
                </w:rPr>
                <w:t>19.1</w:t>
              </w:r>
            </w:hyperlink>
          </w:p>
        </w:tc>
        <w:tc>
          <w:tcPr>
            <w:tcW w:w="9645" w:type="dxa"/>
            <w:tcBorders/>
            <w:vAlign w:val="center"/>
          </w:tcPr>
          <w:p>
            <w:pPr>
              <w:pStyle w:val="TableContents"/>
              <w:bidi w:val="0"/>
              <w:spacing w:before="0" w:after="283"/>
              <w:jc w:val="left"/>
              <w:rPr/>
            </w:pPr>
            <w:r>
              <w:rPr/>
              <w:t>TG Therapeutics, Inc. Insider Trading Policy #</w:t>
            </w:r>
          </w:p>
        </w:tc>
      </w:tr>
      <w:tr>
        <w:trPr/>
        <w:tc>
          <w:tcPr>
            <w:tcW w:w="5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both"/>
              <w:rPr/>
            </w:pPr>
            <w:hyperlink w:anchor="ex_579420.htm">
              <w:r>
                <w:rPr>
                  <w:rStyle w:val="InternetLink"/>
                  <w:rFonts w:ascii="Times New Roman" w:hAnsi="Times New Roman"/>
                  <w:caps w:val="false"/>
                  <w:smallCaps w:val="false"/>
                  <w:sz w:val="20"/>
                </w:rPr>
                <w:t>21.1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 of TG Therapeutics, Inc.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579421.htm">
              <w:r>
                <w:rPr>
                  <w:rStyle w:val="InternetLink"/>
                  <w:rFonts w:ascii="Times New Roman" w:hAnsi="Times New Roman"/>
                  <w:caps w:val="false"/>
                  <w:smallCaps w:val="false"/>
                  <w:sz w:val="20"/>
                </w:rPr>
                <w:t>23.1</w:t>
              </w:r>
            </w:hyperlink>
          </w:p>
        </w:tc>
        <w:tc>
          <w:tcPr>
            <w:tcW w:w="9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 (KPMG, LLP).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poa">
              <w:r>
                <w:rPr>
                  <w:rStyle w:val="InternetLink"/>
                  <w:rFonts w:ascii="Times New Roman" w:hAnsi="Times New Roman"/>
                  <w:caps w:val="false"/>
                  <w:smallCaps w:val="false"/>
                  <w:sz w:val="20"/>
                </w:rPr>
                <w:t>24.1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Power of Attorney (included in signature page).</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579423.htm">
              <w:r>
                <w:rPr>
                  <w:rStyle w:val="InternetLink"/>
                  <w:rFonts w:ascii="Times New Roman" w:hAnsi="Times New Roman"/>
                  <w:caps w:val="false"/>
                  <w:smallCaps w:val="false"/>
                  <w:sz w:val="20"/>
                </w:rPr>
                <w:t>31.1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Principal Executive Officer.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579424.htm">
              <w:r>
                <w:rPr>
                  <w:rStyle w:val="InternetLink"/>
                  <w:rFonts w:ascii="Times New Roman" w:hAnsi="Times New Roman"/>
                  <w:caps w:val="false"/>
                  <w:smallCaps w:val="false"/>
                  <w:sz w:val="20"/>
                </w:rPr>
                <w:t>31.2</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Principal Financial Officer.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579425.htm">
              <w:r>
                <w:rPr>
                  <w:rStyle w:val="InternetLink"/>
                  <w:rFonts w:ascii="Times New Roman" w:hAnsi="Times New Roman"/>
                  <w:caps w:val="false"/>
                  <w:smallCaps w:val="false"/>
                  <w:sz w:val="20"/>
                </w:rPr>
                <w:t>32.1</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Chief Executive Officer pursuant to Section 906 of the Sarbanes-Oxley Act of 2002. #</w:t>
            </w:r>
          </w:p>
        </w:tc>
      </w:tr>
      <w:tr>
        <w:trPr/>
        <w:tc>
          <w:tcPr>
            <w:tcW w:w="5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560" w:type="dxa"/>
            <w:tcBorders/>
            <w:vAlign w:val="center"/>
          </w:tcPr>
          <w:p>
            <w:pPr>
              <w:pStyle w:val="TableContents"/>
              <w:bidi w:val="0"/>
              <w:spacing w:before="0" w:after="0"/>
              <w:ind w:left="0" w:right="0" w:hanging="0"/>
              <w:jc w:val="both"/>
              <w:rPr/>
            </w:pPr>
            <w:hyperlink w:anchor="ex_579426.htm">
              <w:r>
                <w:rPr>
                  <w:rStyle w:val="InternetLink"/>
                  <w:rFonts w:ascii="Times New Roman" w:hAnsi="Times New Roman"/>
                  <w:caps w:val="false"/>
                  <w:smallCaps w:val="false"/>
                  <w:sz w:val="20"/>
                </w:rPr>
                <w:t>32.2</w:t>
              </w:r>
            </w:hyperlink>
          </w:p>
        </w:tc>
        <w:tc>
          <w:tcPr>
            <w:tcW w:w="9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Certification of Chief Financial Officer pursuant to Section 906 of the Sarbanes-Oxley Act of 2002.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83"/>
              <w:jc w:val="left"/>
              <w:rPr/>
            </w:pPr>
            <w:hyperlink w:anchor="ex_632982.htm">
              <w:r>
                <w:rPr>
                  <w:rStyle w:val="InternetLink"/>
                </w:rPr>
                <w:t>97.1</w:t>
              </w:r>
            </w:hyperlink>
          </w:p>
        </w:tc>
        <w:tc>
          <w:tcPr>
            <w:tcW w:w="9765" w:type="dxa"/>
            <w:tcBorders/>
            <w:vAlign w:val="center"/>
          </w:tcPr>
          <w:p>
            <w:pPr>
              <w:pStyle w:val="TableContents"/>
              <w:bidi w:val="0"/>
              <w:spacing w:before="0" w:after="283"/>
              <w:jc w:val="left"/>
              <w:rPr/>
            </w:pPr>
            <w:r>
              <w:rPr/>
              <w:t>TG Therapeutics, Inc. Clawback Policy #</w:t>
            </w:r>
          </w:p>
        </w:tc>
      </w:tr>
      <w:tr>
        <w:trPr/>
        <w:tc>
          <w:tcPr>
            <w:tcW w:w="44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9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information from TG Therapeutics, Inc.’s Annual Report on Form 10-K for the year ended December 31, 2023, formatted in iXBRL (Inline eXtensible Business Reporting Language): (i) Consolidated Balance Sheets, (ii) Consolidated Statements of Operations, (iii) Consolidated Statements of Stockholders’ Equity, (iv) Consolidated Statements of Cash Flows, (v) the Notes to Consolidated Financial Statements.</w:t>
            </w:r>
          </w:p>
        </w:tc>
      </w:tr>
      <w:tr>
        <w:trPr/>
        <w:tc>
          <w:tcPr>
            <w:tcW w:w="4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9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420" w:type="dxa"/>
        <w:jc w:val="left"/>
        <w:tblInd w:w="0" w:type="dxa"/>
        <w:tblLayout w:type="fixed"/>
        <w:tblCellMar>
          <w:top w:w="0" w:type="dxa"/>
          <w:left w:w="0" w:type="dxa"/>
          <w:bottom w:w="0" w:type="dxa"/>
          <w:right w:w="0" w:type="dxa"/>
        </w:tblCellMar>
      </w:tblPr>
      <w:tblGrid>
        <w:gridCol w:w="140"/>
        <w:gridCol w:w="1280"/>
      </w:tblGrid>
      <w:tr>
        <w:trPr/>
        <w:tc>
          <w:tcPr>
            <w:tcW w:w="140" w:type="dxa"/>
            <w:tcBorders/>
            <w:vAlign w:val="center"/>
          </w:tcPr>
          <w:p>
            <w:pPr>
              <w:pStyle w:val="TableContents"/>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w:t>
            </w:r>
          </w:p>
        </w:tc>
        <w:tc>
          <w:tcPr>
            <w:tcW w:w="1280" w:type="dxa"/>
            <w:tcBorders/>
            <w:vAlign w:val="center"/>
          </w:tcPr>
          <w:p>
            <w:pPr>
              <w:pStyle w:val="TableContents"/>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Filed Herewith.</w:t>
            </w:r>
          </w:p>
        </w:tc>
      </w:tr>
    </w:tbl>
    <w:tbl>
      <w:tblPr>
        <w:tblW w:w="5815" w:type="dxa"/>
        <w:jc w:val="left"/>
        <w:tblInd w:w="0" w:type="dxa"/>
        <w:tblLayout w:type="fixed"/>
        <w:tblCellMar>
          <w:top w:w="0" w:type="dxa"/>
          <w:left w:w="0" w:type="dxa"/>
          <w:bottom w:w="0" w:type="dxa"/>
          <w:right w:w="0" w:type="dxa"/>
        </w:tblCellMar>
      </w:tblPr>
      <w:tblGrid>
        <w:gridCol w:w="155"/>
        <w:gridCol w:w="5660"/>
      </w:tblGrid>
      <w:tr>
        <w:trPr/>
        <w:tc>
          <w:tcPr>
            <w:tcW w:w="1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Indicates management contract or compensatory plan or arrangement.</w:t>
            </w:r>
          </w:p>
        </w:tc>
      </w:tr>
    </w:tbl>
    <w:tbl>
      <w:tblPr>
        <w:tblW w:w="8065" w:type="dxa"/>
        <w:jc w:val="left"/>
        <w:tblInd w:w="0" w:type="dxa"/>
        <w:tblLayout w:type="fixed"/>
        <w:tblCellMar>
          <w:top w:w="0" w:type="dxa"/>
          <w:left w:w="0" w:type="dxa"/>
          <w:bottom w:w="0" w:type="dxa"/>
          <w:right w:w="0" w:type="dxa"/>
        </w:tblCellMar>
      </w:tblPr>
      <w:tblGrid>
        <w:gridCol w:w="140"/>
        <w:gridCol w:w="792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Certain portions of this exhibit have been omitted pursuant to Item 601(b)(10)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8810"/>
        <w:gridCol w:w="440"/>
      </w:tblGrid>
      <w:tr>
        <w:trPr/>
        <w:tc>
          <w:tcPr>
            <w:tcW w:w="88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810"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xml:space="preserve"> (KPMG LLP, New York, NY, Audit Firm ID: 185) </w:t>
            </w:r>
          </w:p>
        </w:tc>
        <w:tc>
          <w:tcPr>
            <w:tcW w:w="440" w:type="dxa"/>
            <w:tcBorders/>
            <w:vAlign w:val="center"/>
          </w:tcPr>
          <w:p>
            <w:pPr>
              <w:pStyle w:val="TableContents"/>
              <w:bidi w:val="0"/>
              <w:spacing w:before="0" w:after="0"/>
              <w:ind w:left="0" w:right="0" w:hanging="0"/>
              <w:jc w:val="center"/>
              <w:rPr/>
            </w:pPr>
            <w:hyperlink w:anchor="report">
              <w:r>
                <w:rPr>
                  <w:rStyle w:val="InternetLink"/>
                  <w:rFonts w:ascii="Times New Roman" w:hAnsi="Times New Roman"/>
                  <w:caps w:val="false"/>
                  <w:smallCaps w:val="false"/>
                  <w:sz w:val="20"/>
                </w:rPr>
                <w:t>F-1</w:t>
              </w:r>
            </w:hyperlink>
          </w:p>
        </w:tc>
      </w:tr>
      <w:tr>
        <w:trPr/>
        <w:tc>
          <w:tcPr>
            <w:tcW w:w="88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left"/>
              <w:rPr/>
            </w:pPr>
            <w:hyperlink w:anchor="balance_sheet">
              <w:r>
                <w:rPr>
                  <w:rStyle w:val="InternetLink"/>
                  <w:rFonts w:ascii="Times New Roman" w:hAnsi="Times New Roman"/>
                  <w:caps w:val="false"/>
                  <w:smallCaps w:val="false"/>
                  <w:sz w:val="20"/>
                </w:rPr>
                <w:t>Consolidated Balance Sheets as of December 31, 2023 and 2022</w:t>
              </w:r>
            </w:hyperlink>
          </w:p>
        </w:tc>
        <w:tc>
          <w:tcPr>
            <w:tcW w:w="440" w:type="dxa"/>
            <w:tcBorders/>
            <w:vAlign w:val="center"/>
          </w:tcPr>
          <w:p>
            <w:pPr>
              <w:pStyle w:val="TableContents"/>
              <w:bidi w:val="0"/>
              <w:spacing w:before="0" w:after="0"/>
              <w:ind w:left="0" w:right="0" w:hanging="0"/>
              <w:jc w:val="center"/>
              <w:rPr/>
            </w:pPr>
            <w:hyperlink w:anchor="balance_sheet">
              <w:r>
                <w:rPr>
                  <w:rStyle w:val="InternetLink"/>
                  <w:rFonts w:ascii="Times New Roman" w:hAnsi="Times New Roman"/>
                  <w:caps w:val="false"/>
                  <w:smallCaps w:val="false"/>
                  <w:sz w:val="20"/>
                </w:rPr>
                <w:t>F-4</w:t>
              </w:r>
            </w:hyperlink>
          </w:p>
        </w:tc>
      </w:tr>
      <w:tr>
        <w:trPr/>
        <w:tc>
          <w:tcPr>
            <w:tcW w:w="88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left"/>
              <w:rPr/>
            </w:pPr>
            <w:hyperlink w:anchor="state_of_op">
              <w:r>
                <w:rPr>
                  <w:rStyle w:val="InternetLink"/>
                  <w:rFonts w:ascii="Times New Roman" w:hAnsi="Times New Roman"/>
                  <w:caps w:val="false"/>
                  <w:smallCaps w:val="false"/>
                  <w:sz w:val="20"/>
                </w:rPr>
                <w:t>Consolidated Statements of Operations for the years ended December 31, 2023, 2022 and 2021</w:t>
              </w:r>
            </w:hyperlink>
          </w:p>
        </w:tc>
        <w:tc>
          <w:tcPr>
            <w:tcW w:w="440" w:type="dxa"/>
            <w:tcBorders/>
            <w:vAlign w:val="center"/>
          </w:tcPr>
          <w:p>
            <w:pPr>
              <w:pStyle w:val="TableContents"/>
              <w:bidi w:val="0"/>
              <w:spacing w:before="0" w:after="0"/>
              <w:ind w:left="0" w:right="0" w:hanging="0"/>
              <w:jc w:val="center"/>
              <w:rPr/>
            </w:pPr>
            <w:hyperlink w:anchor="state_of_op">
              <w:r>
                <w:rPr>
                  <w:rStyle w:val="InternetLink"/>
                  <w:rFonts w:ascii="Times New Roman" w:hAnsi="Times New Roman"/>
                  <w:caps w:val="false"/>
                  <w:smallCaps w:val="false"/>
                  <w:sz w:val="20"/>
                </w:rPr>
                <w:t>F-5</w:t>
              </w:r>
            </w:hyperlink>
          </w:p>
        </w:tc>
      </w:tr>
      <w:tr>
        <w:trPr/>
        <w:tc>
          <w:tcPr>
            <w:tcW w:w="88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Consolidated Statements of Stockholders’ Equity for the years ended December 31, 2023, 2022 and 2021</w:t>
              </w:r>
            </w:hyperlink>
          </w:p>
        </w:tc>
        <w:tc>
          <w:tcPr>
            <w:tcW w:w="440"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F-6</w:t>
              </w:r>
            </w:hyperlink>
          </w:p>
        </w:tc>
      </w:tr>
      <w:tr>
        <w:trPr/>
        <w:tc>
          <w:tcPr>
            <w:tcW w:w="88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left"/>
              <w:rPr/>
            </w:pPr>
            <w:hyperlink w:anchor="cash_flows">
              <w:r>
                <w:rPr>
                  <w:rStyle w:val="InternetLink"/>
                  <w:rFonts w:ascii="Times New Roman" w:hAnsi="Times New Roman"/>
                  <w:caps w:val="false"/>
                  <w:smallCaps w:val="false"/>
                  <w:sz w:val="20"/>
                </w:rPr>
                <w:t>Consolidated Statements of Cash Flows for the years ended December 31, 2023, 2022 and 2021</w:t>
              </w:r>
            </w:hyperlink>
          </w:p>
        </w:tc>
        <w:tc>
          <w:tcPr>
            <w:tcW w:w="440"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rPr>
                <w:t>F-7</w:t>
              </w:r>
            </w:hyperlink>
          </w:p>
        </w:tc>
      </w:tr>
      <w:tr>
        <w:trPr/>
        <w:tc>
          <w:tcPr>
            <w:tcW w:w="88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81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F-8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0" w:name="report"/>
      <w:bookmarkEnd w:id="30"/>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Board of Directors</w:t>
        <w:br/>
        <w:t>TG Therapeutics, Inc.:</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Opinion on the</w:t>
      </w:r>
      <w:r>
        <w:rPr>
          <w:rFonts w:ascii="Times New Roman" w:hAnsi="Times New Roman"/>
          <w:caps w:val="false"/>
          <w:smallCaps w:val="false"/>
          <w:sz w:val="20"/>
        </w:rPr>
        <w:t xml:space="preserve"> </w:t>
      </w:r>
      <w:r>
        <w:rPr>
          <w:rFonts w:ascii="Times New Roman" w:hAnsi="Times New Roman"/>
          <w:b/>
          <w:i/>
          <w:caps w:val="false"/>
          <w:smallCaps w:val="false"/>
          <w:sz w:val="20"/>
        </w:rPr>
        <w:t>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TG Therapeutics, Inc. and subsidiaries (the Company) as of December 31, 2023 and 2022, the related consolidated statements of operations,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29, 2024 expressed an unqualified opinion on the effectiveness of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Commercialization agreement with Neuraxpharm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discussed in Note 2 to the consolidated financial statements, the Company entered into a commercialization agreement (the Commercialization Agreement) with Neuraxpharm Pharmaceuticals, S.L. (Neuraxpharm) that granted Neuraxpharm the exclusive right to commercialize BRIUMVI in certain territories. The arrangement also provides Neuraxpharm with the right to make optional purchases of BRIUMVI. The consideration for these optional purchases of BRIUMVI by Neuraxpharm approximates the price that a customer in the territories would be willing to pay for these goods. In 2023, the Company recognized a non-refundable upfront payment of $140.0 million as License Revenue related to the Commercialization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identified the evaluation of the accounting for the supply terms of the Commercialization Agreement with Neuraxpharm as a critical audit matter. Specifically, complex auditor judgment was required to evaluate the Company’s assessment of whether the optional purchases of BRIUMVI granted a material right to Neuraxpharm, due to the complexity of evaluating whether the contractual pricing is commensurate with standalone selling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are the primary procedures we performed to address this critical audit matter. We evaluated the design and tested the operating effectiveness of an internal control in the Company’s revenue process used to evaluate key terms of contracts with customers, including the evaluation of the standalone selling price of BRIUMVI. We obtained an understanding of the Commercialization Agreement by reading the contracts and conducting meetings with Company personnel responsible for negotiating the contracts. We evaluated management’s accounting conclusions with respect to the supply terms within the Commercialization Agreement. We recalculated the contractual price of the optional purchases and inspected the Company’s analysis of the standalone selling price of BRIUMVI using an expected cost plus a margin approach. We obtained and inspected both external and internal evidence used by the Company in its analysis of the standalone selling price and compared this evidence to available industry information for the relevant territories. We also performed a sensitivity analysis to evaluate the impact that a change in margin would have on the conclusion that the contractual pricing of optional purchases of BRIUMVI is commensurate with standalone selling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w:t>
        <w:br/>
        <w:t>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and Board of Directors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audited TG Therapeutics, Inc.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balance sheets of the Company as of December 31, 2023 and 2022, the related consolidated statements of operations, stockholders’ equity, and cash flows for each of the years in the three-year period ended December 31, 2023, and the related notes (collectively, the consolidated financial statements), and our report dated February 29, 2024 expressed an unqualified opinion on those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w:t>
        <w:br/>
        <w:t>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31" w:name="balance_sheet"/>
      <w:bookmarkEnd w:id="31"/>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 as of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6"/>
        <w:gridCol w:w="60"/>
        <w:gridCol w:w="131"/>
        <w:gridCol w:w="952"/>
        <w:gridCol w:w="80"/>
        <w:gridCol w:w="60"/>
        <w:gridCol w:w="131"/>
        <w:gridCol w:w="952"/>
        <w:gridCol w:w="83"/>
      </w:tblGrid>
      <w:tr>
        <w:trPr/>
        <w:tc>
          <w:tcPr>
            <w:tcW w:w="775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102,304</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 securities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59,374</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research and development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4,237</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168,274</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 securities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12,404</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8,888</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interest,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net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193,572</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42,019</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current portion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8,432</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53,201</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71,135</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non-current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10,344</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134,985</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per share (175,000,000 shares authorized, 151,465,598 and 146,426,697 shares issued, 151,424,289 and 146,385,388 shares outstanding at December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1,585,708</w:t>
            </w:r>
          </w:p>
        </w:tc>
        <w:tc>
          <w:tcPr>
            <w:tcW w:w="83" w:type="dxa"/>
            <w:tcBorders/>
            <w:shd w:fill="FFFFFF" w:val="clear"/>
            <w:vAlign w:val="center"/>
          </w:tcPr>
          <w:p>
            <w:pPr>
              <w:pStyle w:val="TableContents"/>
              <w:bidi w:val="0"/>
              <w:spacing w:before="0" w:after="283"/>
              <w:jc w:val="left"/>
              <w:rPr/>
            </w:pPr>
            <w:r>
              <w:rPr/>
              <w:t> </w:t>
            </w:r>
          </w:p>
        </w:tc>
      </w:tr>
      <w:tr>
        <w:trPr/>
        <w:tc>
          <w:tcPr>
            <w:tcW w:w="775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41,309 shares at December 31, 2023 and December 31, 2022</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5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(1,527,033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5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58,587</w:t>
            </w:r>
          </w:p>
        </w:tc>
        <w:tc>
          <w:tcPr>
            <w:tcW w:w="83" w:type="dxa"/>
            <w:tcBorders/>
            <w:shd w:fill="CCEEFF" w:val="clear"/>
            <w:vAlign w:val="center"/>
          </w:tcPr>
          <w:p>
            <w:pPr>
              <w:pStyle w:val="TableContents"/>
              <w:bidi w:val="0"/>
              <w:spacing w:before="0" w:after="283"/>
              <w:jc w:val="left"/>
              <w:rPr/>
            </w:pPr>
            <w:r>
              <w:rPr/>
              <w:t> </w:t>
            </w:r>
          </w:p>
        </w:tc>
      </w:tr>
      <w:tr>
        <w:trPr/>
        <w:tc>
          <w:tcPr>
            <w:tcW w:w="775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193,572</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2" w:name="state_of_op"/>
      <w:bookmarkEnd w:id="32"/>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Operations for the</w:t>
      </w:r>
      <w:r>
        <w:rPr>
          <w:rFonts w:ascii="Times New Roman" w:hAnsi="Times New Roman"/>
          <w:caps w:val="false"/>
          <w:smallCaps w:val="false"/>
          <w:sz w:val="20"/>
        </w:rPr>
        <w:t> </w:t>
      </w:r>
      <w:r>
        <w:rPr>
          <w:rFonts w:ascii="Times New Roman" w:hAnsi="Times New Roman"/>
          <w:b/>
          <w:caps w:val="false"/>
          <w:smallCaps w:val="false"/>
          <w:sz w:val="20"/>
        </w:rPr>
        <w:t>Years Ended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3320"/>
        <w:gridCol w:w="60"/>
        <w:gridCol w:w="60"/>
        <w:gridCol w:w="1055"/>
        <w:gridCol w:w="60"/>
        <w:gridCol w:w="60"/>
        <w:gridCol w:w="60"/>
        <w:gridCol w:w="1055"/>
        <w:gridCol w:w="60"/>
        <w:gridCol w:w="60"/>
        <w:gridCol w:w="60"/>
        <w:gridCol w:w="1055"/>
        <w:gridCol w:w="60"/>
      </w:tblGrid>
      <w:tr>
        <w:trPr/>
        <w:tc>
          <w:tcPr>
            <w:tcW w:w="33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6,537</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and other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$ 141,657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$ 152</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24,047</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198,532</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222,579</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37,227</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90,863</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128,090</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351,459</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(344,770)</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5,638</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$ 13,062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(198,335)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(348,101)</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$ 12,672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(198,335)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(348,101)</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common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(2.63)</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(2.63)</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141,955,112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135,411,258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132,222,753</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135,411,258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132,222,753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3" w:name="equity"/>
      <w:bookmarkEnd w:id="33"/>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for the</w:t>
      </w:r>
      <w:r>
        <w:rPr>
          <w:rFonts w:ascii="Times New Roman" w:hAnsi="Times New Roman"/>
          <w:caps w:val="false"/>
          <w:smallCaps w:val="false"/>
          <w:sz w:val="20"/>
        </w:rPr>
        <w:t> </w:t>
      </w:r>
      <w:r>
        <w:rPr>
          <w:rFonts w:ascii="Times New Roman" w:hAnsi="Times New Roman"/>
          <w:b/>
          <w:caps w:val="false"/>
          <w:smallCaps w:val="false"/>
          <w:sz w:val="20"/>
        </w:rPr>
        <w:t>Years Ended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0"/>
        <w:gridCol w:w="60"/>
        <w:gridCol w:w="60"/>
        <w:gridCol w:w="1055"/>
        <w:gridCol w:w="80"/>
        <w:gridCol w:w="60"/>
        <w:gridCol w:w="184"/>
        <w:gridCol w:w="496"/>
        <w:gridCol w:w="80"/>
        <w:gridCol w:w="60"/>
        <w:gridCol w:w="125"/>
        <w:gridCol w:w="845"/>
        <w:gridCol w:w="80"/>
        <w:gridCol w:w="60"/>
        <w:gridCol w:w="60"/>
        <w:gridCol w:w="590"/>
        <w:gridCol w:w="60"/>
        <w:gridCol w:w="60"/>
        <w:gridCol w:w="163"/>
        <w:gridCol w:w="517"/>
        <w:gridCol w:w="80"/>
        <w:gridCol w:w="60"/>
        <w:gridCol w:w="135"/>
        <w:gridCol w:w="980"/>
        <w:gridCol w:w="80"/>
        <w:gridCol w:w="60"/>
        <w:gridCol w:w="60"/>
        <w:gridCol w:w="755"/>
        <w:gridCol w:w="80"/>
      </w:tblGrid>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140,617,606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(980,597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519,350</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connection with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2,738,974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issued with debt financing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Offering Costs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At-the-Market offerings (net of offering costs of $0.1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in respect of restricted stock granted to employees, directors and consultants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61,274</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143,292,043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(1,328,698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237,153</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connection with exercise of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5,179,201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(2,186,956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in respect of restricted stock granted to employees, directors and consultants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19,185</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146,426,697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(1,527,033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58,587</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connection with exercise of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issued with debt financing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in At-the-Market offerings (net of offering costs of $0.8 million)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5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46,296</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in respect of restricted stock granted to employees, directors and consultants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5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40,818</w:t>
            </w:r>
          </w:p>
        </w:tc>
        <w:tc>
          <w:tcPr>
            <w:tcW w:w="80"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151,465,598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160,502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Amount less than one thousand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4" w:name="cash_flows"/>
      <w:bookmarkEnd w:id="34"/>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Cash Flows for the</w:t>
      </w:r>
      <w:r>
        <w:rPr>
          <w:rFonts w:ascii="Times New Roman" w:hAnsi="Times New Roman"/>
          <w:caps w:val="false"/>
          <w:smallCaps w:val="false"/>
          <w:sz w:val="20"/>
        </w:rPr>
        <w:t> </w:t>
      </w:r>
      <w:r>
        <w:rPr>
          <w:rFonts w:ascii="Times New Roman" w:hAnsi="Times New Roman"/>
          <w:b/>
          <w:caps w:val="false"/>
          <w:smallCaps w:val="false"/>
          <w:sz w:val="20"/>
        </w:rPr>
        <w:t>Years Ended December</w:t>
      </w:r>
      <w:r>
        <w:rPr>
          <w:rFonts w:ascii="Times New Roman" w:hAnsi="Times New Roman"/>
          <w:caps w:val="false"/>
          <w:smallCaps w:val="false"/>
          <w:sz w:val="20"/>
        </w:rPr>
        <w:t> </w:t>
      </w:r>
      <w:r>
        <w:rPr>
          <w:rFonts w:ascii="Times New Roman" w:hAnsi="Times New Roman"/>
          <w:b/>
          <w:caps w:val="false"/>
          <w:smallCaps w:val="false"/>
          <w:sz w:val="20"/>
        </w:rPr>
        <w:t>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5"/>
        <w:gridCol w:w="60"/>
        <w:gridCol w:w="125"/>
        <w:gridCol w:w="755"/>
        <w:gridCol w:w="80"/>
        <w:gridCol w:w="60"/>
        <w:gridCol w:w="125"/>
        <w:gridCol w:w="755"/>
        <w:gridCol w:w="80"/>
        <w:gridCol w:w="60"/>
        <w:gridCol w:w="125"/>
        <w:gridCol w:w="755"/>
        <w:gridCol w:w="80"/>
      </w:tblGrid>
      <w:tr>
        <w:trPr/>
        <w:tc>
          <w:tcPr>
            <w:tcW w:w="71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stock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61,274</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premium (discount) on investment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leasehold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change in lease liability and right of 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15,991</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maturity of short-term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55,600</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held-to-maturity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PPE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loan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debt financings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costs paid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41,419</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554,698</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300,151</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to amounts on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298,887</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300,151</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3,466</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issued with debt financing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ind w:left="0" w:right="0" w:hanging="0"/>
        <w:jc w:val="center"/>
        <w:rPr>
          <w:b/>
        </w:rPr>
      </w:pPr>
      <w:r>
        <w:rPr>
          <w:b/>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35" w:name="notes"/>
      <w:bookmarkEnd w:id="35"/>
      <w:r>
        <w:rPr>
          <w:rFonts w:ascii="Times New Roman" w:hAnsi="Times New Roman"/>
          <w:i/>
          <w:caps w:val="false"/>
          <w:smallCaps w:val="false"/>
          <w:sz w:val="20"/>
        </w:rPr>
        <w:t xml:space="preserve">Unless the context requires otherwise, references in this report to </w:t>
      </w:r>
      <w:r>
        <w:rPr>
          <w:rFonts w:ascii="Times New Roman" w:hAnsi="Times New Roman"/>
          <w:caps w:val="false"/>
          <w:smallCaps w:val="false"/>
          <w:sz w:val="20"/>
        </w:rPr>
        <w:t>“</w:t>
      </w:r>
      <w:r>
        <w:rPr>
          <w:rFonts w:ascii="Times New Roman" w:hAnsi="Times New Roman"/>
          <w:i/>
          <w:caps w:val="false"/>
          <w:smallCaps w:val="false"/>
          <w:sz w:val="20"/>
        </w:rPr>
        <w:t>TG,</w:t>
      </w:r>
      <w:r>
        <w:rPr>
          <w:rFonts w:ascii="Times New Roman" w:hAnsi="Times New Roman"/>
          <w:caps w:val="false"/>
          <w:smallCaps w:val="false"/>
          <w:sz w:val="20"/>
        </w:rPr>
        <w:t>”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TG Therapeutics,</w:t>
      </w:r>
      <w:r>
        <w:rPr>
          <w:rFonts w:ascii="Times New Roman" w:hAnsi="Times New Roman"/>
          <w:caps w:val="false"/>
          <w:smallCaps w:val="false"/>
          <w:sz w:val="20"/>
        </w:rPr>
        <w:t> </w:t>
      </w:r>
      <w:r>
        <w:rPr>
          <w:rFonts w:ascii="Times New Roman" w:hAnsi="Times New Roman"/>
          <w:i/>
          <w:caps w:val="false"/>
          <w:smallCaps w:val="false"/>
          <w:sz w:val="20"/>
        </w:rPr>
        <w:t>Inc. and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caps w:val="false"/>
          <w:smallCaps w:val="false"/>
          <w:sz w:val="20"/>
        </w:rPr>
        <w:t xml:space="preserve"> – </w:t>
      </w:r>
      <w:r>
        <w:rPr>
          <w:rFonts w:ascii="Times New Roman" w:hAnsi="Times New Roman"/>
          <w:b/>
          <w:caps w:val="false"/>
          <w:smallCaps w:val="false"/>
          <w:sz w:val="20"/>
        </w:rPr>
        <w:t>ORGANIZATION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U.S. Food and Drug Administration (FDA) for BRIUMVI® (ublituximab-xiiy) for the treatment of adult patients with relapsing forms of multiple sclerosis (RMS), to include clinically isolated syndrome, relapsing-remitting disease, and active secondary progressive disease, in adults, as well as approval by the European Commission (EC) and the Medicines and Healthcare Products Regulatory Agency (MHRA) for BRIUMVI to treat adult patients with RMS who have active disease defined by clinical or imaging features in Europe and the United Kingdom, respectively. We also actively evaluate complementary products, technologies and companies for in-licensing, partnership, acquisition and/or investment opportunities.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Historically, we have incurred operating losses since our inception; however, the Company experienced a net profit during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due to a $140.0 million non-refundable upfront payment recognized as license revenue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as part of our ex-U.S. commercialization agreement (the Commercialization Agreement) with Neuraxpharm Pharmaceuticals, S.L. (Neuraxpharm)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for more information). We expect to continue to incur operating losses in the near term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never become profitable.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we have an accumulated deficit of $1.5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Our major sources of cash have been proceeds from private placements and public offerings of equity securities, from our loan and security agreements executed with Hercules Capital, Inc. (Hercules)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for more information), and the upfront payment from the Commercialization Agreement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for more information). Substantially all our operating losses have resulted from costs incurred in connection with our research and development programs and from selling, general and administrative costs associated with our operations, including our commercialization activities.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had generated $92.0 million in product revenue from sales of BRIUMVI. BRIUMVI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became commercially available in the United States in </w:t>
      </w:r>
      <w:r>
        <w:rPr>
          <w:rStyle w:val="Emphasis"/>
          <w:rFonts w:ascii="Times New Roman" w:hAnsi="Times New Roman"/>
          <w:caps w:val="false"/>
          <w:smallCaps w:val="false"/>
          <w:sz w:val="20"/>
        </w:rPr>
        <w:t xml:space="preserve">January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also began shipping BRIUMVI to our ex-U.S. licensing partner, Neuraxpharm, 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Even with the commercialization of BRIUMVI and the possible future commercialization of our other drug candidates, we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 maintain or obtain regulatory approval for our drug candidates.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continue to incur operating losses even now that we are generating revenues from BRIUMVI.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had $217.5 million in cash and cash equivalents, and investment securities. We anticipate that our cash, cash equivalents, and investment securities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combined with projected revenues associated with the sale of BRIUMVI in the U.S. and ex-U.S.,  will provide sufficient liquidity for more than a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period from the date of filing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actual amount of cash that we will need to operate is subject to many factors,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dependent upon significant future financing to provide the cash necessary to execute our ongoing and future operations, including the commercialization of any of our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quoted on the Nasdaq Capital Market and trades under the symbol “TGTX.”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any recently issued,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accounting pronouncements, if currently adopted, would have a material effect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revenue, accrued clinical trial expenses and stock-based compensation. Actual results could differ from those estimates. Such differences could be material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treat liquid investments with original maturities of less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when purchased as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record cash pledged or held in trust as restricted cash.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we have approximately $1.3 million of restricted cash pledged to secure a line of credit as a security deposit for an Office Agreement (see Note </w:t>
      </w:r>
      <w:r>
        <w:rPr>
          <w:rStyle w:val="Emphasis"/>
          <w:rFonts w:ascii="Times New Roman" w:hAnsi="Times New Roman"/>
          <w:caps w:val="false"/>
          <w:smallCaps w:val="false"/>
          <w:sz w:val="20"/>
        </w:rPr>
        <w:t>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Investment securities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consist of short-term and long-term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federally-insured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we recognize revenue to depict the transfer of promised goods or services to customers in an amount that reflects the consideration to which we expect to be entitled in exchange for those goods or services. To achieve this core principle,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includes provisions within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Product Revenue, Net</w:t>
      </w:r>
      <w:r>
        <w:rPr>
          <w:rFonts w:ascii="Times New Roman" w:hAnsi="Times New Roman"/>
          <w:caps w:val="false"/>
          <w:smallCaps w:val="false"/>
          <w:sz w:val="20"/>
        </w:rPr>
        <w:t xml:space="preserve">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commercial payer rebates, product returns, and co-payment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constraint and is included in net product revenues only to the extent that it is probable that a significant reversal in the amount of the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Actual amounts of consideration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ultimately differ from the Company's estimates. If actual results vary, the Company adjusts these estimates, which could have an effect on earnings in the period of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Payer Rebates: The Company contracts with various private payer organizations, primarily insurance companies and pharmacy benefit managers, for the payment of rebates with respect to utilization of our product and contracted formulary status. The Company estimates these rebates and records such estimates in the same period the related revenue is recognized, resulting in a reduction of product revenue and the establishment of a current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Product Returns: Consistent with industry practice, the Company generally offers customers a limited right of return for product that has been purchased from the Company.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certain limitations, the Company’s return policy allows for eligible returns of commercial products sold for credit under the following circumstances:</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damaged product;</w:t>
            </w:r>
          </w:p>
        </w:tc>
      </w:tr>
    </w:tbl>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shipment errors that were a result of an error by the Company;</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expired product that is returned during the period beginning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prior to the product’s expiration and ending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after the expiration date;</w:t>
            </w:r>
          </w:p>
        </w:tc>
      </w:tr>
    </w:tbl>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subject to a recall; and</w:t>
            </w:r>
          </w:p>
        </w:tc>
      </w:tr>
    </w:tbl>
    <w:tbl>
      <w:tblPr>
        <w:tblW w:w="7285" w:type="dxa"/>
        <w:jc w:val="left"/>
        <w:tblInd w:w="0" w:type="dxa"/>
        <w:tblLayout w:type="fixed"/>
        <w:tblCellMar>
          <w:top w:w="0" w:type="dxa"/>
          <w:left w:w="0" w:type="dxa"/>
          <w:bottom w:w="0" w:type="dxa"/>
          <w:right w:w="0" w:type="dxa"/>
        </w:tblCellMar>
      </w:tblPr>
      <w:tblGrid>
        <w:gridCol w:w="170"/>
        <w:gridCol w:w="711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that the Company, at its sole discretion, has specified can be returned for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Company has not received any returns related to sales of BRIUMVI.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Co-Payment Assistance Programs: Co-payment assistance is provided to qualified patients with commercial insurance, whereby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financial assistance to patients with prescription drug co-payments required by the patient's insurance provider. Reserves for co-payment assistance are recorded in the same period the related revenue is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0" w:right="0" w:firstLine="220"/>
        <w:jc w:val="both"/>
        <w:rPr>
          <w:rFonts w:ascii="Times New Roman" w:hAnsi="Times New Roman"/>
          <w:caps w:val="false"/>
          <w:smallCaps w:val="false"/>
          <w:sz w:val="20"/>
        </w:rPr>
      </w:pPr>
      <w:r>
        <w:rPr>
          <w:rFonts w:ascii="Times New Roman" w:hAnsi="Times New Roman"/>
          <w:i/>
          <w:caps w:val="false"/>
          <w:smallCaps w:val="false"/>
          <w:sz w:val="20"/>
        </w:rPr>
        <w:t xml:space="preserve">License Agreements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pPr>
      <w:r>
        <w:rPr>
          <w:rFonts w:ascii="Times New Roman" w:hAnsi="Times New Roman"/>
          <w:caps w:val="false"/>
          <w:smallCaps w:val="false"/>
          <w:sz w:val="20"/>
        </w:rPr>
        <w:t>The Company generates revenue from license or similar agreements with pharmaceutical companies for the development and commercialization of certain products. Such agreements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include the transfer of intellectual property rights in the form of licenses. Payments made by the customer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include non-refundable upfront fees, payments based upon the achievement of defined milestones, and royalties on sales of products. Licenses of intellectual property: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w:t>
      </w:r>
      <w:r>
        <w:rPr>
          <w:rStyle w:val="Emphasis"/>
          <w:rFonts w:ascii="Times New Roman" w:hAnsi="Times New Roman"/>
          <w:i/>
          <w:caps w:val="false"/>
          <w:smallCaps w:val="false"/>
          <w:sz w:val="20"/>
        </w:rPr>
        <w:t>not</w:t>
      </w:r>
      <w:r>
        <w:rPr>
          <w:rFonts w:ascii="Times New Roman" w:hAnsi="Times New Roman"/>
          <w:caps w:val="false"/>
          <w:smallCaps w:val="false"/>
          <w:sz w:val="20"/>
        </w:rPr>
        <w:t> distinct, they are combined with other promised goods or services to create a bundle of promised goods or services that is distinct.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Milestone payments: Contingent milestones at contract inception are estimated at the amount which is </w:t>
      </w:r>
      <w:r>
        <w:rPr>
          <w:rStyle w:val="Emphasis"/>
          <w:rFonts w:ascii="Times New Roman" w:hAnsi="Times New Roman"/>
          <w:i/>
          <w:caps w:val="false"/>
          <w:smallCaps w:val="false"/>
          <w:sz w:val="20"/>
        </w:rPr>
        <w:t>not</w:t>
      </w:r>
      <w:r>
        <w:rPr>
          <w:rFonts w:ascii="Times New Roman" w:hAnsi="Times New Roman"/>
          <w:caps w:val="false"/>
          <w:smallCaps w:val="false"/>
          <w:sz w:val="20"/>
        </w:rPr>
        <w:t> probable of a material reversal and included in the transaction price using the most likely amount method. Milestone payments that are </w:t>
      </w:r>
      <w:r>
        <w:rPr>
          <w:rStyle w:val="Emphasis"/>
          <w:rFonts w:ascii="Times New Roman" w:hAnsi="Times New Roman"/>
          <w:i/>
          <w:caps w:val="false"/>
          <w:smallCaps w:val="false"/>
          <w:sz w:val="20"/>
        </w:rPr>
        <w:t>not</w:t>
      </w:r>
      <w:r>
        <w:rPr>
          <w:rFonts w:ascii="Times New Roman" w:hAnsi="Times New Roman"/>
          <w:caps w:val="false"/>
          <w:smallCaps w:val="false"/>
          <w:sz w:val="20"/>
        </w:rPr>
        <w:t> within the Company's control, such as regulatory approvals, are </w:t>
      </w:r>
      <w:r>
        <w:rPr>
          <w:rStyle w:val="Emphasis"/>
          <w:rFonts w:ascii="Times New Roman" w:hAnsi="Times New Roman"/>
          <w:i/>
          <w:caps w:val="false"/>
          <w:smallCaps w:val="false"/>
          <w:sz w:val="20"/>
        </w:rPr>
        <w:t>not</w:t>
      </w:r>
      <w:r>
        <w:rPr>
          <w:rFonts w:ascii="Times New Roman" w:hAnsi="Times New Roman"/>
          <w:caps w:val="false"/>
          <w:smallCaps w:val="false"/>
          <w:sz w:val="20"/>
        </w:rPr>
        <w: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may</w:t>
      </w:r>
      <w:r>
        <w:rPr>
          <w:rFonts w:ascii="Times New Roman" w:hAnsi="Times New Roman"/>
          <w:caps w:val="false"/>
          <w:smallCaps w:val="false"/>
          <w:sz w:val="20"/>
        </w:rPr>
        <w:t> </w:t>
      </w:r>
      <w:r>
        <w:rPr>
          <w:rStyle w:val="Emphasis"/>
          <w:rFonts w:ascii="Times New Roman" w:hAnsi="Times New Roman"/>
          <w:i/>
          <w:caps w:val="false"/>
          <w:smallCaps w:val="false"/>
          <w:sz w:val="20"/>
        </w:rPr>
        <w:t>not</w:t>
      </w:r>
      <w:r>
        <w:rPr>
          <w:rFonts w:ascii="Times New Roman" w:hAnsi="Times New Roman"/>
          <w:caps w:val="false"/>
          <w:smallCaps w:val="false"/>
          <w:sz w:val="20"/>
        </w:rPr>
        <w: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Sales-based royalties: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Optional Purchases: The Company’s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provide the licensee the right to make optional purchases of the licensed product. These optional purchases are accounted for as separate contracts when the licensee determines that it will make such a purchase, unless the option conveys a material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Other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firstLine="180"/>
        <w:jc w:val="left"/>
        <w:rPr>
          <w:rFonts w:ascii="Times New Roman" w:hAnsi="Times New Roman"/>
          <w:caps w:val="false"/>
          <w:smallCaps w:val="false"/>
          <w:sz w:val="20"/>
        </w:rPr>
      </w:pPr>
      <w:r>
        <w:rPr>
          <w:rFonts w:ascii="Times New Roman" w:hAnsi="Times New Roman"/>
          <w:caps w:val="false"/>
          <w:smallCaps w:val="false"/>
          <w:sz w:val="20"/>
        </w:rPr>
        <w:t>Revenue is also generated from service-based fees recognized for providing regulatory support and development services to customers. Service fee revenue is recognized overtime as the services are transferred to the customer.</w:t>
      </w:r>
    </w:p>
    <w:p>
      <w:pPr>
        <w:pStyle w:val="TextBody"/>
        <w:bidi w:val="0"/>
        <w:spacing w:before="0" w:after="0"/>
        <w:ind w:left="5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PRODUCT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current liabilities. Deferred revenues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recognized as revenue within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following the balance sheet date are classified as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we determined an allowance for expected credit losses related to outstanding accounts receivable was currently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based upon our review of contractual payment terms and individual customer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Cost of revenue consists primarily of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manufacturing costs, distribution, overhead and royalties owed to our licensing partner for BRIUMVI sales. Cost of revenue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 portion of the costs of producing BRIUMVI sold to date was expensed as research and development prior to FDA approval of BRIUMVI and therefore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 cost of revenue. Our cost of revenue also relates to providing regulatory support &amp; development services to customers.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Inventories are stated at the lower of cost or estimated net realizable value with cost based on the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-out method (FIFO). 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Prior to the approval of BRIUMVI, all manufacturing and other potential costs related to the commercial launch of BRIUMVI were expensed to research and development expense in the period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Generally, research and development costs are expensed as incurred. Research and development expenses consist primarily of costs incurred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service providers for the conduct of research, preclinical and clinical studies, contract manufacturing costs, license milestone fees, personnel costs for our research and development employees, consulting, and other related expenses. We recognize research, preclinical and clinical study expenses based on services performed, pursuant to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research and development organizations that conduct and manage research, preclinical and clinical activities on our behalf. We accrue these expenses based on the progress or stage of completion of services and the contracted fees to be paid for such services. If the actual timing of the performance of services or the level of effort varies from the original accrual, we will adjust the accrual accordingly. With respect to clinical trial costs, the financial terms of these agreements are subject to an initial negotiation and vary from contract to contract. Payments under these contracts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uneven and depend on factors such as the achievement of certain events, the successful recruitment of patients, the completion of portions of the clinical trial or similar conditions. As such, certain expense accruals related to clinical site costs are recognized based on the degree of performance of the event or events specified in the specific clinical study or trial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Prepaid research and development in our consolidated balance sheets includes, among other things, costs related to agreements with CROs, certain costs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service providers related to development and manufacturing services as well as clinical development. These agreements often require payments in advance of services performed or goods received. Accordingly,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we recorded approximately $4.2 million in prepaid research and development related to such advance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valuation allowance is then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utilized in the future, many of these net operating loss carryforwards will remain subject to examination. We recognize interest and penalties related to uncertain income tax positions in income tax expense. Refer to Note </w:t>
      </w:r>
      <w:r>
        <w:rPr>
          <w:rStyle w:val="Emphasis"/>
          <w:rFonts w:ascii="Times New Roman" w:hAnsi="Times New Roman"/>
          <w:caps w:val="false"/>
          <w:smallCaps w:val="false"/>
          <w:sz w:val="20"/>
        </w:rPr>
        <w:t>9</w:t>
      </w:r>
      <w:r>
        <w:rPr>
          <w:rFonts w:ascii="Times New Roman" w:hAnsi="Times New Roman"/>
          <w:caps w:val="false"/>
          <w:smallCaps w:val="false"/>
          <w:sz w:val="20"/>
        </w:rPr>
        <w:t> for further information on impact of tax reform.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employee and non-employee stock-based compensation based on the grant date fair value of the stock-based compensation award. The Company grants stock options at exercise prices equal to the fair value of the Company’s common stock on the date of grant, based on observable market prices. The Company uses the Black-Scholes option-pricing model to measure the fair value of stock option awards. We recognize all stock-based payments to employees and non-employee directors (as compensation for service) as noncash compensation expense in the consolidated financial statements. Stock-based compensation expense recognized each period is based on the value of the portion of stock-based payment awards that is ultimately expected to vest during the period. Forfeitures are recognized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addition, because some of the options, restricted stock and warrants issued to employees, consultants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vest upon achievement of certain milestones, the total expense is uncertain. Compensation expense for such awards that vest upon the achievement of milestones is recognized when the achievement of such milestones becomes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INCOME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Basic net income (loss) per share of our common stock is calculated by dividing net income (loss) applicable to the common stock by the weighted-average number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basic and diluted net income (loss) per share were the same for all periods presented in the consolidated statement of operations, except for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as the Company had net income for that period</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our potentially dilutive securities at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55" w:type="dxa"/>
        <w:jc w:val="left"/>
        <w:tblInd w:w="0" w:type="dxa"/>
        <w:tblLayout w:type="fixed"/>
        <w:tblCellMar>
          <w:top w:w="0" w:type="dxa"/>
          <w:left w:w="0" w:type="dxa"/>
          <w:bottom w:w="0" w:type="dxa"/>
          <w:right w:w="0" w:type="dxa"/>
        </w:tblCellMar>
      </w:tblPr>
      <w:tblGrid>
        <w:gridCol w:w="3065"/>
        <w:gridCol w:w="60"/>
        <w:gridCol w:w="60"/>
        <w:gridCol w:w="950"/>
        <w:gridCol w:w="60"/>
        <w:gridCol w:w="60"/>
        <w:gridCol w:w="60"/>
        <w:gridCol w:w="950"/>
        <w:gridCol w:w="60"/>
        <w:gridCol w:w="60"/>
        <w:gridCol w:w="60"/>
        <w:gridCol w:w="950"/>
        <w:gridCol w:w="60"/>
      </w:tblGrid>
      <w:tr>
        <w:trPr/>
        <w:tc>
          <w:tcPr>
            <w:tcW w:w="30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327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8,139,037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7,232,254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10,532,029</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5,135,685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2,467,537</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262,100</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issuable upon note conversion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18,942</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13,169,240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13,280,608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firstLine="720"/>
        <w:jc w:val="left"/>
        <w:rPr>
          <w:rFonts w:ascii="Times New Roman" w:hAnsi="Times New Roman"/>
          <w:caps w:val="false"/>
          <w:smallCaps w:val="false"/>
          <w:sz w:val="20"/>
        </w:rPr>
      </w:pPr>
      <w:r>
        <w:rPr>
          <w:rFonts w:ascii="Times New Roman" w:hAnsi="Times New Roman"/>
          <w:caps w:val="false"/>
          <w:smallCaps w:val="false"/>
          <w:sz w:val="20"/>
        </w:rPr>
        <w:t>The computation of basic and diluted earnings per share (EPS) is as follows:</w:t>
      </w:r>
    </w:p>
    <w:p>
      <w:pPr>
        <w:pStyle w:val="TextBody"/>
        <w:bidi w:val="0"/>
        <w:spacing w:before="0" w:after="0"/>
        <w:ind w:left="320" w:right="0" w:firstLine="720"/>
        <w:jc w:val="left"/>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5330"/>
        <w:gridCol w:w="60"/>
        <w:gridCol w:w="60"/>
        <w:gridCol w:w="1055"/>
        <w:gridCol w:w="60"/>
        <w:gridCol w:w="60"/>
        <w:gridCol w:w="60"/>
        <w:gridCol w:w="1055"/>
        <w:gridCol w:w="80"/>
        <w:gridCol w:w="60"/>
        <w:gridCol w:w="60"/>
        <w:gridCol w:w="1055"/>
        <w:gridCol w:w="80"/>
      </w:tblGrid>
      <w:tr>
        <w:trPr/>
        <w:tc>
          <w:tcPr>
            <w:tcW w:w="53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share and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141,955,112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135,411,258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132,222,753</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potential common shares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6,553,353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3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assuming dilution</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148,508,465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135,411,258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132,222,753</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 basic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LONG-LIVED ASSETS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Long-lived assets are reviewed for potential impairment when circumstances indicate that the carrying value of long-lived tangible and intangible assets with finite lives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Goodwill results from excess consideration in a business combination over the fair value of identifiable net assets acquired.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reviewed for impairment at least annually, or more frequently if impairment indicators are present, by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assessing qualitative factors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is less than its carrying amount. If we conclude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is less than the carrying amount, a quantitative test that compares the fair value to its carrying value is performed to determine the amount of any impairment.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All leases with a lease term greater than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regardless of lease type classification, are recorded as an obligation on the balance sheet with a corresponding right-of-use asset. Operating leases are reflected as lease liabilities on the commencement date of the lease based on the present value of the lease payments to be made over the lease term. Current operating lease liabilities are reflected in lease liabilities – current portion and noncurrent operating lease liabilities are reflected in lease liabilities – non-current on the consolidated balance sheet. Right-of-use assets are valued at the initial measurement of the lease liability, plus any initial direct costs or rent prepayments, minus lease incentives and any deferred lease payments. Operating lease right-of-use assets are recorded right of use assets on the consolidated balance sheet and lease cost is recognized on a straight-line basis. 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both"/>
        <w:rPr/>
      </w:pPr>
      <w:r>
        <w:rPr>
          <w:rFonts w:ascii="Times New Roman" w:hAnsi="Times New Roman"/>
          <w:caps w:val="false"/>
          <w:smallCaps w:val="false"/>
          <w:sz w:val="20"/>
        </w:rPr>
        <w:t xml:space="preserve">As discussed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revenues are recognized under guidance within ASC </w:t>
      </w:r>
      <w:r>
        <w:rPr>
          <w:rStyle w:val="Emphasis"/>
          <w:rFonts w:ascii="Times New Roman" w:hAnsi="Times New Roman"/>
          <w:caps w:val="false"/>
          <w:smallCaps w:val="false"/>
          <w:sz w:val="20"/>
        </w:rPr>
        <w:t>606.</w:t>
      </w:r>
      <w:r>
        <w:rPr>
          <w:rFonts w:ascii="Times New Roman" w:hAnsi="Times New Roman"/>
          <w:caps w:val="false"/>
          <w:smallCaps w:val="false"/>
          <w:sz w:val="20"/>
        </w:rPr>
        <w:t> The following table presents our disaggregated revenue for the periods presented (in thousands):</w:t>
      </w:r>
    </w:p>
    <w:p>
      <w:pPr>
        <w:pStyle w:val="TextBody"/>
        <w:bidi w:val="0"/>
        <w:spacing w:before="0" w:after="0"/>
        <w:ind w:left="700" w:right="0" w:hanging="0"/>
        <w:jc w:val="both"/>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2165"/>
        <w:gridCol w:w="60"/>
        <w:gridCol w:w="125"/>
        <w:gridCol w:w="695"/>
        <w:gridCol w:w="60"/>
        <w:gridCol w:w="60"/>
        <w:gridCol w:w="125"/>
        <w:gridCol w:w="485"/>
        <w:gridCol w:w="60"/>
        <w:gridCol w:w="60"/>
        <w:gridCol w:w="125"/>
        <w:gridCol w:w="485"/>
        <w:gridCol w:w="60"/>
      </w:tblGrid>
      <w:tr>
        <w:trPr/>
        <w:tc>
          <w:tcPr>
            <w:tcW w:w="21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22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product 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160" w:right="0" w:hanging="0"/>
        <w:jc w:val="both"/>
        <w:rPr>
          <w:rFonts w:ascii="Times New Roman" w:hAnsi="Times New Roman"/>
          <w:b/>
          <w:i/>
          <w:caps w:val="false"/>
          <w:smallCaps w:val="false"/>
          <w:sz w:val="20"/>
        </w:rPr>
      </w:pPr>
      <w:r>
        <w:rPr>
          <w:rFonts w:ascii="Times New Roman" w:hAnsi="Times New Roman"/>
          <w:b/>
          <w:i/>
          <w:caps w:val="false"/>
          <w:smallCaps w:val="false"/>
          <w:sz w:val="20"/>
        </w:rPr>
        <w:t>Product revenue, net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our disaggregated revenue by product and geography for the periods presented:</w:t>
      </w:r>
    </w:p>
    <w:p>
      <w:pPr>
        <w:pStyle w:val="TextBody"/>
        <w:bidi w:val="0"/>
        <w:spacing w:before="0" w:after="0"/>
        <w:ind w:left="880" w:right="0" w:hanging="0"/>
        <w:jc w:val="left"/>
        <w:rPr>
          <w:caps w:val="false"/>
          <w:smallCaps w:val="false"/>
        </w:rPr>
      </w:pPr>
      <w:r>
        <w:rPr>
          <w:caps w:val="false"/>
          <w:smallCaps w:val="false"/>
        </w:rPr>
        <w:t> </w:t>
      </w:r>
    </w:p>
    <w:tbl>
      <w:tblPr>
        <w:tblW w:w="5791" w:type="dxa"/>
        <w:jc w:val="left"/>
        <w:tblInd w:w="0" w:type="dxa"/>
        <w:tblLayout w:type="fixed"/>
        <w:tblCellMar>
          <w:top w:w="0" w:type="dxa"/>
          <w:left w:w="0" w:type="dxa"/>
          <w:bottom w:w="0" w:type="dxa"/>
          <w:right w:w="0" w:type="dxa"/>
        </w:tblCellMar>
      </w:tblPr>
      <w:tblGrid>
        <w:gridCol w:w="2255"/>
        <w:gridCol w:w="60"/>
        <w:gridCol w:w="1115"/>
        <w:gridCol w:w="60"/>
        <w:gridCol w:w="125"/>
        <w:gridCol w:w="666"/>
        <w:gridCol w:w="67"/>
        <w:gridCol w:w="141"/>
        <w:gridCol w:w="547"/>
        <w:gridCol w:w="67"/>
        <w:gridCol w:w="141"/>
        <w:gridCol w:w="547"/>
      </w:tblGrid>
      <w:tr>
        <w:trPr/>
        <w:tc>
          <w:tcPr>
            <w:tcW w:w="2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17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r>
      <w:tr>
        <w:trPr/>
        <w:tc>
          <w:tcPr>
            <w:tcW w:w="22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7"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7"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5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BRIUMVI</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6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88,786</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2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International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3,219</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Worldwide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6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92,005</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UKONIQ</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6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2,633</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6,537</w:t>
            </w:r>
          </w:p>
        </w:tc>
      </w:tr>
      <w:tr>
        <w:trPr/>
        <w:tc>
          <w:tcPr>
            <w:tcW w:w="2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International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Worldwide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6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2,633</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6,537</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product revenue, net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6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88,786</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2,633</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6,537</w:t>
            </w:r>
          </w:p>
        </w:tc>
      </w:tr>
      <w:tr>
        <w:trPr/>
        <w:tc>
          <w:tcPr>
            <w:tcW w:w="2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International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3,219</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5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r>
      <w:tr>
        <w:trPr/>
        <w:tc>
          <w:tcPr>
            <w:tcW w:w="2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Worldwide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6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92,005</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2,633</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We began shipping BRIUMVI to our U.S. customers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We also began shipping BRIUMVI to our ex-U.S. licensing partner, Neuraxpharm, in </w:t>
      </w:r>
      <w:r>
        <w:rPr>
          <w:rStyle w:val="Emphasis"/>
          <w:rFonts w:ascii="Times New Roman" w:hAnsi="Times New Roman"/>
          <w:caps w:val="false"/>
          <w:smallCaps w:val="false"/>
          <w:sz w:val="20"/>
        </w:rPr>
        <w:t>November 2023. </w:t>
      </w:r>
      <w:r>
        <w:rPr>
          <w:rFonts w:ascii="Times New Roman" w:hAnsi="Times New Roman"/>
          <w:caps w:val="false"/>
          <w:smallCaps w:val="false"/>
          <w:sz w:val="20"/>
        </w:rPr>
        <w:t xml:space="preserve">UKONIQ was voluntarily withdrawn from the U.S. market effective </w:t>
      </w:r>
      <w:r>
        <w:rPr>
          <w:rStyle w:val="Emphasis"/>
          <w:rFonts w:ascii="Times New Roman" w:hAnsi="Times New Roman"/>
          <w:caps w:val="false"/>
          <w:smallCaps w:val="false"/>
          <w:sz w:val="20"/>
        </w:rPr>
        <w:t>May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approximately $9.2 million of gross-to-net accruals entirely related to U.S. sales of BRIUMVI have been recorded as a reduction of accounts receivable, net and within accounts payable and accrued expenses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Neuraxpharm Commercialization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28, 2023, </w:t>
      </w:r>
      <w:r>
        <w:rPr>
          <w:rFonts w:ascii="Times New Roman" w:hAnsi="Times New Roman"/>
          <w:caps w:val="false"/>
          <w:smallCaps w:val="false"/>
          <w:sz w:val="20"/>
        </w:rPr>
        <w:t>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excluding certain Asian countries subject to previously existing partnerships (the Territory). In addition, the Company will perform certain development and regulatory activities for Neuraxpharm to support its obligations under the Commercialization Agreement to secure and maintain the regulatory approvals required to sell BRIUMVI in the Territory. As part of the overall arrangement, the Company has agreed to supply BRIUMVI to Neuraxpharm throughout the term of the Commercialization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consideration for entering the Commercialization Agreement, the Company received a non-refundable upfront payment of $140.0 million. The Company will also receive tiered double-digit royalties up to 30% on net product sales in the Territory and is eligible to receive sales-based or other milestone payments totaling up to $505.0 million.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evaluated the Commercialization Agreement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and concluded that Neuraxpharm represents a customer in the transaction. In accordance with this guidance, the Company identified the following commitments under the arrangement: (i) grant the exclusive right to develop, sell, offer to sell and import BRIUMVI in the Territory (the “License”); and (ii) perform certain development and regulatory activities (“Development and Regulatory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License to the Company’s intellectual property represents a distinct performance obligation, therefore, the $140 million non-refundable upfront payment related to this performance obligation was recognized as License Revenue in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Development and Regulatory Activities also represent a distinct performance obligation and are satisfied over time because Neuraxpharm simultaneously receives and consumes the benefits provided by the Company’s performance of the services. Therefore, revenue is recognized as the activities are completed by the Company.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recognized Other Revenue of $1.5 million related to the Development and Regulatory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w:t>
      </w:r>
    </w:p>
    <w:p>
      <w:pPr>
        <w:pStyle w:val="TextBody"/>
        <w:bidi w:val="0"/>
        <w:spacing w:before="0" w:after="0"/>
        <w:ind w:left="14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performance obligation related to the Supply of Licensed Product is satisfied when control of the product passes to Neuraxpharm. The consideration received from Neuraxpharm for the supply of BRIUMVI is recognized by the Company as a component of product revenue, net.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has an unconditional right to receive $1.9 million in consideration from Neuraxpharm related to the performance obligation to supply BRIUMVI, which is recorded as accounts receivable, net. A portion of the performance obligation to supply BRIUMVI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satisfied, therefore,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$5.9 million has been recorded as deferred revenue. During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recognized $3.2 million in BRIUMVI product sales, net related to performance obligations that were satisfied 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will reevaluate the consideration received, and performance obligations satisfied at the end of each reporting period. Such reevaluations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 change to the amount of product revenue, net, recognized and 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remaining forms of consideration are variable because they are dependent on the achievement of sales-based or other milestones. The Company evaluated the constraint on variable consideration and concluded that the milestone payments are highly dependent on factors outside of the Company’s control. Therefore, at contract inception, the milestones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transaction price as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that a significant reversal of revenue would not occur. Sales-based milestones will be recognized as revenue in the period when the related sales threshold is met. All other milestones will be recognized as revenue immediately in the period the achievement of the underlying milestone is probable. Any consideration related to sales-based royalties will be recognized when the related sales occur.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royalty or milestone revenue was recognized during </w:t>
      </w:r>
      <w:r>
        <w:rPr>
          <w:rStyle w:val="Emphasis"/>
          <w:rFonts w:ascii="Times New Roman" w:hAnsi="Times New Roman"/>
          <w:caps w:val="false"/>
          <w:smallCaps w:val="false"/>
          <w:sz w:val="20"/>
        </w:rPr>
        <w:t>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caps w:val="false"/>
          <w:smallCaps w:val="false"/>
          <w:sz w:val="20"/>
        </w:rPr>
        <w:t xml:space="preserve"> – </w:t>
      </w:r>
      <w:r>
        <w:rPr>
          <w:rFonts w:ascii="Times New Roman" w:hAnsi="Times New Roman"/>
          <w:b/>
          <w:caps w:val="false"/>
          <w:smallCaps w:val="false"/>
          <w:sz w:val="20"/>
        </w:rPr>
        <w:t>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investments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are classified as held-to-maturity. Held-to-maturity investments are recorded at amortized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following tables summarize our investment securities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83"/>
        <w:gridCol w:w="60"/>
        <w:gridCol w:w="133"/>
        <w:gridCol w:w="742"/>
        <w:gridCol w:w="60"/>
        <w:gridCol w:w="60"/>
        <w:gridCol w:w="365"/>
        <w:gridCol w:w="679"/>
        <w:gridCol w:w="60"/>
        <w:gridCol w:w="60"/>
        <w:gridCol w:w="370"/>
        <w:gridCol w:w="691"/>
        <w:gridCol w:w="60"/>
        <w:gridCol w:w="60"/>
        <w:gridCol w:w="131"/>
        <w:gridCol w:w="729"/>
        <w:gridCol w:w="62"/>
      </w:tblGrid>
      <w:tr>
        <w:trPr/>
        <w:tc>
          <w:tcPr>
            <w:tcW w:w="588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2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62" w:type="dxa"/>
            <w:tcBorders/>
            <w:shd w:fill="FFFFFF" w:val="clear"/>
            <w:vAlign w:val="center"/>
          </w:tcPr>
          <w:p>
            <w:pPr>
              <w:pStyle w:val="TableContents"/>
              <w:bidi w:val="0"/>
              <w:spacing w:before="0" w:after="283"/>
              <w:jc w:val="left"/>
              <w:rPr/>
            </w:pPr>
            <w:r>
              <w:rPr/>
              <w:t> </w:t>
            </w:r>
          </w:p>
        </w:tc>
      </w:tr>
      <w:tr>
        <w:trPr/>
        <w:tc>
          <w:tcPr>
            <w:tcW w:w="5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588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2" w:type="dxa"/>
            <w:tcBorders/>
            <w:shd w:fill="FFFFFF" w:val="clear"/>
            <w:vAlign w:val="center"/>
          </w:tcPr>
          <w:p>
            <w:pPr>
              <w:pStyle w:val="TableContents"/>
              <w:bidi w:val="0"/>
              <w:spacing w:before="0" w:after="283"/>
              <w:jc w:val="left"/>
              <w:rPr/>
            </w:pPr>
            <w:r>
              <w:rPr/>
              <w:t> </w:t>
            </w:r>
          </w:p>
        </w:tc>
      </w:tr>
      <w:tr>
        <w:trPr/>
        <w:tc>
          <w:tcPr>
            <w:tcW w:w="58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r>
      <w:tr>
        <w:trPr/>
        <w:tc>
          <w:tcPr>
            <w:tcW w:w="58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8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4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pPr>
            <w:r>
              <w:rPr/>
              <w:t> </w:t>
            </w:r>
          </w:p>
        </w:tc>
      </w:tr>
      <w:tr>
        <w:trPr/>
        <w:tc>
          <w:tcPr>
            <w:tcW w:w="58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of domestic governmental agencies (maturing between January 2024 and June 2024) (held-to-maturity)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124,552</w:t>
            </w:r>
          </w:p>
        </w:tc>
        <w:tc>
          <w:tcPr>
            <w:tcW w:w="62" w:type="dxa"/>
            <w:tcBorders/>
            <w:shd w:fill="FFFFFF" w:val="clear"/>
            <w:vAlign w:val="center"/>
          </w:tcPr>
          <w:p>
            <w:pPr>
              <w:pStyle w:val="TableContents"/>
              <w:bidi w:val="0"/>
              <w:spacing w:before="0" w:after="283"/>
              <w:jc w:val="left"/>
              <w:rPr/>
            </w:pPr>
            <w:r>
              <w:rPr/>
              <w:t> </w:t>
            </w:r>
          </w:p>
        </w:tc>
      </w:tr>
      <w:tr>
        <w:trPr/>
        <w:tc>
          <w:tcPr>
            <w:tcW w:w="588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investment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124,552</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98"/>
        <w:gridCol w:w="60"/>
        <w:gridCol w:w="152"/>
        <w:gridCol w:w="723"/>
        <w:gridCol w:w="60"/>
        <w:gridCol w:w="60"/>
        <w:gridCol w:w="335"/>
        <w:gridCol w:w="701"/>
        <w:gridCol w:w="60"/>
        <w:gridCol w:w="60"/>
        <w:gridCol w:w="215"/>
        <w:gridCol w:w="838"/>
        <w:gridCol w:w="60"/>
        <w:gridCol w:w="60"/>
        <w:gridCol w:w="150"/>
        <w:gridCol w:w="710"/>
        <w:gridCol w:w="63"/>
      </w:tblGrid>
      <w:tr>
        <w:trPr/>
        <w:tc>
          <w:tcPr>
            <w:tcW w:w="5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8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2022</w:t>
            </w:r>
          </w:p>
        </w:tc>
        <w:tc>
          <w:tcPr>
            <w:tcW w:w="63" w:type="dxa"/>
            <w:tcBorders/>
            <w:shd w:fill="FFFFFF" w:val="clear"/>
            <w:vAlign w:val="center"/>
          </w:tcPr>
          <w:p>
            <w:pPr>
              <w:pStyle w:val="TableContents"/>
              <w:bidi w:val="0"/>
              <w:spacing w:before="0" w:after="283"/>
              <w:jc w:val="left"/>
              <w:rPr/>
            </w:pPr>
            <w:r>
              <w:rPr/>
              <w:t> </w:t>
            </w:r>
          </w:p>
        </w:tc>
      </w:tr>
      <w:tr>
        <w:trPr/>
        <w:tc>
          <w:tcPr>
            <w:tcW w:w="5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589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3" w:type="dxa"/>
            <w:tcBorders/>
            <w:shd w:fill="FFFFFF" w:val="clear"/>
            <w:vAlign w:val="center"/>
          </w:tcPr>
          <w:p>
            <w:pPr>
              <w:pStyle w:val="TableContents"/>
              <w:bidi w:val="0"/>
              <w:spacing w:before="0" w:after="283"/>
              <w:jc w:val="left"/>
              <w:rPr/>
            </w:pPr>
            <w:r>
              <w:rPr/>
              <w:t> </w:t>
            </w:r>
          </w:p>
        </w:tc>
      </w:tr>
      <w:tr>
        <w:trPr/>
        <w:tc>
          <w:tcPr>
            <w:tcW w:w="589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adjusted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holding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3" w:type="dxa"/>
            <w:tcBorders/>
            <w:shd w:fill="FFFFFF" w:val="clear"/>
            <w:vAlign w:val="center"/>
          </w:tcPr>
          <w:p>
            <w:pPr>
              <w:pStyle w:val="TableContents"/>
              <w:bidi w:val="0"/>
              <w:spacing w:before="0" w:after="283"/>
              <w:jc w:val="left"/>
              <w:rPr/>
            </w:pPr>
            <w:r>
              <w:rPr/>
              <w:t> </w:t>
            </w:r>
          </w:p>
        </w:tc>
      </w:tr>
      <w:tr>
        <w:trPr/>
        <w:tc>
          <w:tcPr>
            <w:tcW w:w="58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8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shd w:fill="CCEEFF" w:val="clear"/>
            <w:vAlign w:val="center"/>
          </w:tcPr>
          <w:p>
            <w:pPr>
              <w:pStyle w:val="TableContents"/>
              <w:bidi w:val="0"/>
              <w:spacing w:before="0" w:after="283"/>
              <w:jc w:val="left"/>
              <w:rPr/>
            </w:pPr>
            <w:r>
              <w:rPr/>
              <w:t> </w:t>
            </w:r>
          </w:p>
        </w:tc>
      </w:tr>
      <w:tr>
        <w:trPr/>
        <w:tc>
          <w:tcPr>
            <w:tcW w:w="58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of domestic governmental agencies (maturing between January 2023 and December 2023) (held-to-maturity)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58,321</w:t>
            </w:r>
          </w:p>
        </w:tc>
        <w:tc>
          <w:tcPr>
            <w:tcW w:w="63" w:type="dxa"/>
            <w:tcBorders/>
            <w:shd w:fill="FFFFFF" w:val="clear"/>
            <w:vAlign w:val="center"/>
          </w:tcPr>
          <w:p>
            <w:pPr>
              <w:pStyle w:val="TableContents"/>
              <w:bidi w:val="0"/>
              <w:spacing w:before="0" w:after="283"/>
              <w:jc w:val="left"/>
              <w:rPr/>
            </w:pPr>
            <w:r>
              <w:rPr/>
              <w:t> </w:t>
            </w:r>
          </w:p>
        </w:tc>
      </w:tr>
      <w:tr>
        <w:trPr/>
        <w:tc>
          <w:tcPr>
            <w:tcW w:w="5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58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58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of domestic governmental agencies (maturing between January 2024 and February 2024) (held-to-maturity)</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w:t>
            </w:r>
          </w:p>
        </w:tc>
        <w:tc>
          <w:tcPr>
            <w:tcW w:w="63" w:type="dxa"/>
            <w:tcBorders/>
            <w:shd w:fill="CCEEFF" w:val="clear"/>
            <w:vAlign w:val="center"/>
          </w:tcPr>
          <w:p>
            <w:pPr>
              <w:pStyle w:val="TableContents"/>
              <w:bidi w:val="0"/>
              <w:spacing w:before="0" w:after="283"/>
              <w:jc w:val="left"/>
              <w:rPr/>
            </w:pPr>
            <w:r>
              <w:rPr/>
              <w:t> </w:t>
            </w:r>
          </w:p>
        </w:tc>
      </w:tr>
      <w:tr>
        <w:trPr/>
        <w:tc>
          <w:tcPr>
            <w:tcW w:w="589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and long-term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70,296</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4</w:t>
      </w:r>
      <w:r>
        <w:rPr>
          <w:rFonts w:ascii="Times New Roman;Times;serif" w:hAnsi="Times New Roman;Times;serif"/>
          <w:sz w:val="20"/>
        </w:rPr>
        <w:t xml:space="preserve"> – </w:t>
      </w:r>
      <w:r>
        <w:rPr>
          <w:rFonts w:ascii="Times New Roman;Times;serif" w:hAnsi="Times New Roman;Times;serif"/>
          <w:b/>
          <w:sz w:val="20"/>
        </w:rPr>
        <w:t>INVENTORY</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our inventory as of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325"/>
        <w:gridCol w:w="60"/>
        <w:gridCol w:w="164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2023</w:t>
            </w:r>
          </w:p>
        </w:tc>
      </w:tr>
      <w:tr>
        <w:trPr/>
        <w:tc>
          <w:tcPr>
            <w:tcW w:w="1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$ 6,582</w:t>
            </w:r>
          </w:p>
        </w:tc>
      </w:tr>
      <w:tr>
        <w:trPr/>
        <w:tc>
          <w:tcPr>
            <w:tcW w:w="1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31,243</w:t>
            </w:r>
          </w:p>
        </w:tc>
      </w:tr>
      <w:tr>
        <w:trPr/>
        <w:tc>
          <w:tcPr>
            <w:tcW w:w="1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6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1,999</w:t>
            </w:r>
          </w:p>
        </w:tc>
      </w:tr>
      <w:tr>
        <w:trPr/>
        <w:tc>
          <w:tcPr>
            <w:tcW w:w="1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Inventory</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$ 39,824</w:t>
            </w:r>
          </w:p>
        </w:tc>
      </w:tr>
    </w:tbl>
    <w:p>
      <w:pPr>
        <w:pStyle w:val="TextBody"/>
        <w:bidi w:val="0"/>
        <w:spacing w:before="0" w:after="0"/>
        <w:ind w:left="0" w:right="0" w:hanging="0"/>
        <w:jc w:val="both"/>
        <w:rPr/>
      </w:pPr>
      <w:r>
        <w:rPr/>
        <w:t> </w:t>
      </w:r>
    </w:p>
    <w:p>
      <w:pPr>
        <w:pStyle w:val="TextBody"/>
        <w:bidi w:val="0"/>
        <w:spacing w:before="0" w:after="0"/>
        <w:ind w:left="0" w:right="0" w:firstLine="900"/>
        <w:jc w:val="both"/>
        <w:rPr/>
      </w:pPr>
      <w:r>
        <w:rPr>
          <w:rFonts w:ascii="Times New Roman" w:hAnsi="Times New Roman"/>
          <w:caps w:val="false"/>
          <w:smallCaps w:val="false"/>
          <w:sz w:val="20"/>
        </w:rPr>
        <w:t>Inventory is stated at the lower of cost or net realizable value and consists of raw materials, work-in-process and finished goods. Cost is determined using a standard cost method, which approximates actual cost, and assumes a FIFO flow of goods. At </w:t>
      </w:r>
      <w:r>
        <w:rPr>
          <w:rStyle w:val="Emphasis"/>
          <w:rFonts w:ascii="Times New Roman" w:hAnsi="Times New Roman"/>
          <w:caps w:val="false"/>
          <w:smallCaps w:val="false"/>
          <w:sz w:val="20"/>
        </w:rPr>
        <w:t xml:space="preserve"> December 31,2023,</w:t>
      </w:r>
      <w:r>
        <w:rPr>
          <w:rFonts w:ascii="Times New Roman" w:hAnsi="Times New Roman"/>
          <w:caps w:val="false"/>
          <w:smallCaps w:val="false"/>
          <w:sz w:val="20"/>
        </w:rPr>
        <w:t xml:space="preserve"> all our inventory was related to BRIUMVI, which was approved by the FDA on </w:t>
      </w:r>
      <w:r>
        <w:rPr>
          <w:rStyle w:val="Emphasis"/>
          <w:rFonts w:ascii="Times New Roman" w:hAnsi="Times New Roman"/>
          <w:caps w:val="false"/>
          <w:smallCaps w:val="false"/>
          <w:sz w:val="20"/>
        </w:rPr>
        <w:t xml:space="preserve"> December 28, 2022, </w:t>
      </w:r>
      <w:r>
        <w:rPr>
          <w:rFonts w:ascii="Times New Roman" w:hAnsi="Times New Roman"/>
          <w:caps w:val="false"/>
          <w:smallCaps w:val="false"/>
          <w:sz w:val="20"/>
        </w:rPr>
        <w:t>at which time we began to capitalize costs to manufacture BRIUMVI. Prior to FDA approval of BRIUMVI, all costs related to the manufacturing of BRIUMVI and related material were charged to research and development expense in the period incurred. No costs related to the manufacturing of BRIUMVI and the related material were incurred between the approval date and year end </w:t>
      </w:r>
      <w:r>
        <w:rPr>
          <w:rStyle w:val="Emphasis"/>
          <w:rFonts w:ascii="Times New Roman" w:hAnsi="Times New Roman"/>
          <w:caps w:val="false"/>
          <w:smallCaps w:val="false"/>
          <w:sz w:val="20"/>
        </w:rPr>
        <w:t>2022,</w:t>
      </w:r>
      <w:r>
        <w:rPr>
          <w:rFonts w:ascii="Times New Roman" w:hAnsi="Times New Roman"/>
          <w:caps w:val="false"/>
          <w:smallCaps w:val="false"/>
          <w:sz w:val="20"/>
        </w:rPr>
        <w:t> therefore, inventory is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consolidated balance sheet. Inventory that is used for clinical development purposes is expensed to research and development expense when consumed. For </w:t>
      </w:r>
      <w:r>
        <w:rPr>
          <w:rStyle w:val="Emphasis"/>
          <w:rFonts w:ascii="Times New Roman" w:hAnsi="Times New Roman"/>
          <w:caps w:val="false"/>
          <w:smallCaps w:val="false"/>
          <w:sz w:val="20"/>
        </w:rPr>
        <w:t>December 30, 2023 </w:t>
      </w:r>
      <w:r>
        <w:rPr>
          <w:rFonts w:ascii="Times New Roman" w:hAnsi="Times New Roman"/>
          <w:caps w:val="false"/>
          <w:smallCaps w:val="false"/>
          <w:sz w:val="20"/>
        </w:rPr>
        <w:t>we determined that a reserve related to BRIUMVI inventory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 </w:t>
      </w: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 quoted prices in active markets for identical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quoted prices that are directly or indirectly observable; and</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 unobservable inputs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corroborated by market data.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the time of our merger (we were then known as Manhattan Pharmaceuticals, Inc. (Manhattan)) with Ariston Pharmaceuticals, Inc. (Ariston) in </w:t>
      </w:r>
      <w:r>
        <w:rPr>
          <w:rStyle w:val="Emphasis"/>
          <w:rFonts w:ascii="Times New Roman" w:hAnsi="Times New Roman"/>
          <w:caps w:val="false"/>
          <w:smallCaps w:val="false"/>
          <w:sz w:val="20"/>
        </w:rPr>
        <w:t>March 2010,</w:t>
      </w:r>
      <w:r>
        <w:rPr>
          <w:rFonts w:ascii="Times New Roman" w:hAnsi="Times New Roman"/>
          <w:caps w:val="false"/>
          <w:smallCaps w:val="false"/>
          <w:sz w:val="20"/>
        </w:rPr>
        <w:t xml:space="preserve"> Ariston issued $15.5 million of five-year 5% notes payable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in satisfaction of several note payable issuances.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and accrued and unpaid interest thereon are convertible at the option of the holder into common stock at the conversion price of $1,125 per share.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obligations under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aside from the conversion feature.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provide the fair value measurements of applicable financial liabilities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1175"/>
        <w:gridCol w:w="60"/>
        <w:gridCol w:w="295"/>
        <w:gridCol w:w="615"/>
        <w:gridCol w:w="141"/>
        <w:gridCol w:w="141"/>
        <w:gridCol w:w="295"/>
        <w:gridCol w:w="615"/>
        <w:gridCol w:w="141"/>
        <w:gridCol w:w="141"/>
        <w:gridCol w:w="295"/>
        <w:gridCol w:w="792"/>
        <w:gridCol w:w="141"/>
        <w:gridCol w:w="141"/>
        <w:gridCol w:w="295"/>
        <w:gridCol w:w="792"/>
        <w:gridCol w:w="60"/>
      </w:tblGrid>
      <w:tr>
        <w:trPr/>
        <w:tc>
          <w:tcPr>
            <w:tcW w:w="11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484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 at fair value as of December 31, 2023</w:t>
            </w:r>
          </w:p>
        </w:tc>
        <w:tc>
          <w:tcPr>
            <w:tcW w:w="6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1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1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8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8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Notes</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800"/>
        <w:gridCol w:w="60"/>
        <w:gridCol w:w="295"/>
        <w:gridCol w:w="615"/>
        <w:gridCol w:w="141"/>
        <w:gridCol w:w="141"/>
        <w:gridCol w:w="295"/>
        <w:gridCol w:w="615"/>
        <w:gridCol w:w="141"/>
        <w:gridCol w:w="141"/>
        <w:gridCol w:w="295"/>
        <w:gridCol w:w="792"/>
        <w:gridCol w:w="141"/>
        <w:gridCol w:w="141"/>
        <w:gridCol w:w="295"/>
        <w:gridCol w:w="792"/>
        <w:gridCol w:w="60"/>
      </w:tblGrid>
      <w:tr>
        <w:trPr/>
        <w:tc>
          <w:tcPr>
            <w:tcW w:w="8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484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 at fair value as of December 31, 2022</w:t>
            </w:r>
          </w:p>
        </w:tc>
        <w:tc>
          <w:tcPr>
            <w:tcW w:w="6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0"/>
              <w:jc w:val="left"/>
              <w:rPr/>
            </w:pPr>
            <w:r>
              <w:rPr/>
              <w:t>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1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1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8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8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Notes</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41"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amounts above represent the fair value of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and related accrued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financial instruments include cash, cash equivalents consisting of money market funds, accounts receivable, accounts payable and loan payable.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or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instruments. Our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instrument amounts represent the fair value of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Notes and related accrued interest. The following table summarizes the changes 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instruments for the years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3455"/>
        <w:gridCol w:w="60"/>
        <w:gridCol w:w="125"/>
        <w:gridCol w:w="545"/>
        <w:gridCol w:w="80"/>
      </w:tblGrid>
      <w:tr>
        <w:trPr/>
        <w:tc>
          <w:tcPr>
            <w:tcW w:w="3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accrued on face value of 5%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Level 3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accrued on face value of 5%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Level 3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change in the fair value of the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is reported in other (income) expense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caps w:val="false"/>
          <w:smallCaps w:val="false"/>
          <w:sz w:val="20"/>
        </w:rPr>
        <w:t xml:space="preserve"> – </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Our amended and restated certificate of incorporation authorizes the issuance of up to 10,000,000 shares of preferred stock, $0.001 par value, with rights senior to those of our common stock, issuable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greater than the rights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Stockholder Rights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we adopted a stockholder rights plan. The stockholder rights plan is embodied in the Stockholder Protection Rights Agreement dated as of </w:t>
      </w:r>
      <w:r>
        <w:rPr>
          <w:rStyle w:val="Emphasis"/>
          <w:rFonts w:ascii="Times New Roman" w:hAnsi="Times New Roman"/>
          <w:caps w:val="false"/>
          <w:smallCaps w:val="false"/>
          <w:sz w:val="20"/>
        </w:rPr>
        <w:t>July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Rights Agreement), between us and American Stock Transfer &amp; Trust Company, LLC, as rights agent (the Rights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Accordingly, the Board of Directors declared a distribution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right (a “Right”) for each outstanding share of common stock, to stockholders of record at the close of business on </w:t>
      </w:r>
      <w:r>
        <w:rPr>
          <w:rStyle w:val="Emphasis"/>
          <w:rFonts w:ascii="Times New Roman" w:hAnsi="Times New Roman"/>
          <w:caps w:val="false"/>
          <w:smallCaps w:val="false"/>
          <w:sz w:val="20"/>
        </w:rPr>
        <w:t>July 28,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w:t>
      </w:r>
      <w:r>
        <w:rPr>
          <w:rStyle w:val="Emphasis"/>
          <w:rFonts w:ascii="Times New Roman" w:hAnsi="Times New Roman"/>
          <w:caps w:val="false"/>
          <w:smallCaps w:val="false"/>
          <w:sz w:val="20"/>
        </w:rPr>
        <w:t>one one</w:t>
      </w:r>
      <w:r>
        <w:rPr>
          <w:rFonts w:ascii="Times New Roman" w:hAnsi="Times New Roman"/>
          <w:caps w:val="false"/>
          <w:smallCaps w:val="false"/>
          <w:sz w:val="20"/>
        </w:rPr>
        <w:t xml:space="preserve">-thousandth (1/1,000) of a share of Series A Junior Participating Preferred Stock, par value $0.001 per share (the Preferred Stock), at a purchase price of $100.00 (the Exercise Price), subject to adjustment. The description and terms of the Rights are set forth in the Rights Agreement. Each </w:t>
      </w:r>
      <w:r>
        <w:rPr>
          <w:rStyle w:val="Emphasis"/>
          <w:rFonts w:ascii="Times New Roman" w:hAnsi="Times New Roman"/>
          <w:caps w:val="false"/>
          <w:smallCaps w:val="false"/>
          <w:sz w:val="20"/>
        </w:rPr>
        <w:t>one one</w:t>
      </w:r>
      <w:r>
        <w:rPr>
          <w:rFonts w:ascii="Times New Roman" w:hAnsi="Times New Roman"/>
          <w:caps w:val="false"/>
          <w:smallCaps w:val="false"/>
          <w:sz w:val="20"/>
        </w:rPr>
        <w:t xml:space="preserve">-thousandth of a share of Preferred Stock has substantially the same rights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common stock. Subject to the terms and conditions of the Rights Agreement, Rights become exercisable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days after the public announcement that a “Person” has become an “Acquiring Person” (as each such term is defined in the Rights Agreement). Any Rights held by an Acquiring Person are void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Rights Agreement was approved by our Board of Directors on </w:t>
      </w:r>
      <w:r>
        <w:rPr>
          <w:rStyle w:val="Emphasis"/>
          <w:rFonts w:ascii="Times New Roman" w:hAnsi="Times New Roman"/>
          <w:caps w:val="false"/>
          <w:smallCaps w:val="false"/>
          <w:sz w:val="20"/>
        </w:rPr>
        <w:t>July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Rights will expire at the close of business on its </w:t>
      </w:r>
      <w:r>
        <w:rPr>
          <w:rStyle w:val="Emphasis"/>
          <w:rFonts w:ascii="Times New Roman" w:hAnsi="Times New Roman"/>
          <w:caps w:val="false"/>
          <w:smallCaps w:val="false"/>
          <w:sz w:val="20"/>
        </w:rPr>
        <w:t>ten</w:t>
      </w:r>
      <w:r>
        <w:rPr>
          <w:rFonts w:ascii="Times New Roman" w:hAnsi="Times New Roman"/>
          <w:caps w:val="false"/>
          <w:smallCaps w:val="false"/>
          <w:sz w:val="20"/>
        </w:rPr>
        <w:t>-year anniversary, unless earlier exchanged or terminated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amended and restated certificate of incorporation authorizes the issuance of up to 175,000,000 shares of $0.001 par value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5, 2019, </w:t>
      </w:r>
      <w:r>
        <w:rPr>
          <w:rFonts w:ascii="Times New Roman" w:hAnsi="Times New Roman"/>
          <w:caps w:val="false"/>
          <w:smallCaps w:val="false"/>
          <w:sz w:val="20"/>
        </w:rPr>
        <w:t>we filed an automatic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WKSI Shelf) as a “well-known seasoned issuer” as defined in Rule </w:t>
      </w:r>
      <w:r>
        <w:rPr>
          <w:rStyle w:val="Emphasis"/>
          <w:rFonts w:ascii="Times New Roman" w:hAnsi="Times New Roman"/>
          <w:caps w:val="false"/>
          <w:smallCaps w:val="false"/>
          <w:sz w:val="20"/>
        </w:rPr>
        <w:t>405</w:t>
      </w:r>
      <w:r>
        <w:rPr>
          <w:rFonts w:ascii="Times New Roman" w:hAnsi="Times New Roman"/>
          <w:caps w:val="false"/>
          <w:smallCaps w:val="false"/>
          <w:sz w:val="20"/>
        </w:rPr>
        <w:t xml:space="preserve"> under the Securities Act, which registered an unlimited and indeterminate amount of debt or equity securities for future issuance and sale.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WKSI Shelf was declared effective in </w:t>
      </w:r>
      <w:r>
        <w:rPr>
          <w:rStyle w:val="Emphasis"/>
          <w:rFonts w:ascii="Times New Roman" w:hAnsi="Times New Roman"/>
          <w:caps w:val="false"/>
          <w:smallCaps w:val="false"/>
          <w:sz w:val="20"/>
        </w:rPr>
        <w:t xml:space="preserve">September 2019. </w:t>
      </w: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WKSI Shelf, we entered into an At-the-Market Issuance Sales Agreement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ATM) with Jefferies LLC, Cantor Fitzgerald &amp; Co. and B. Riley Securities, Inc. (each a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Agent and collectively,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Agents), relating to the sale of shares of our common stock.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ATM, we paid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Agents a commission rate of up to 3.0% of the gross proceeds from the sale of any shares of common stock. In </w:t>
      </w:r>
      <w:r>
        <w:rPr>
          <w:rStyle w:val="Emphasis"/>
          <w:rFonts w:ascii="Times New Roman" w:hAnsi="Times New Roman"/>
          <w:caps w:val="false"/>
          <w:smallCaps w:val="false"/>
          <w:sz w:val="20"/>
        </w:rPr>
        <w:t xml:space="preserve">November 2020, </w:t>
      </w:r>
      <w:r>
        <w:rPr>
          <w:rFonts w:ascii="Times New Roman" w:hAnsi="Times New Roman"/>
          <w:caps w:val="false"/>
          <w:smallCaps w:val="false"/>
          <w:sz w:val="20"/>
        </w:rPr>
        <w:t xml:space="preserve">we entered into an At-the-Market Issuance Sales Agreement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ATM) with the same terms and agents (each a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Agent and collectively,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Agents) as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we sold a total of 72,000 shares of common stock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ATM for aggregate total gross proceeds of approximately $2.5 million at an average selling price of $34.25 per share, resulting in net proceeds of approximately $2.4 million after deducting commissions and other transactions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 2022, </w:t>
      </w:r>
      <w:r>
        <w:rPr>
          <w:rFonts w:ascii="Times New Roman" w:hAnsi="Times New Roman"/>
          <w:caps w:val="false"/>
          <w:smallCaps w:val="false"/>
          <w:sz w:val="20"/>
        </w:rPr>
        <w:t>we filed an automatic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WKSI Shelf) as a “well-known seasoned issuer” as defined in Rule </w:t>
      </w:r>
      <w:r>
        <w:rPr>
          <w:rStyle w:val="Emphasis"/>
          <w:rFonts w:ascii="Times New Roman" w:hAnsi="Times New Roman"/>
          <w:caps w:val="false"/>
          <w:smallCaps w:val="false"/>
          <w:sz w:val="20"/>
        </w:rPr>
        <w:t>405</w:t>
      </w:r>
      <w:r>
        <w:rPr>
          <w:rFonts w:ascii="Times New Roman" w:hAnsi="Times New Roman"/>
          <w:caps w:val="false"/>
          <w:smallCaps w:val="false"/>
          <w:sz w:val="20"/>
        </w:rPr>
        <w:t xml:space="preserve"> under the Securities Act, which registered an unlimited and indeterminate amount of debt or equity securities for future issuance and sale.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WKSI Shelf was declared effective 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WKSI Shelf, we entered into an At-the-Market Issuance Sales Agreement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with Cantor Fitzgerald &amp; Co. and B. Riley Securities, Inc. (each a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Agent and collectively,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Agents), relating to the sale of shares of our common stock.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we will pay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Agents a commission rate of up to 3.0% of the gross proceeds from the sale of any shares of common stock.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has replaced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ATM as the only active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sold a total of 1,385,700 shares of common stock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ATM for aggregate total gross proceeds of approximately $47.1 million at an average selling price of $34.01 per share, resulting in net proceeds of approximately $46.3 million after deducting commissions and other transactions costs.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WKSI Shelf is currently our only active shelf-registration statement.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any combination of the securities registered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WKSI Shelf from time to time in response to market conditions or other circumstances if we believe such a plan of financing is in the best interests of our stockholders.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need to file additional shelf-registration statements in the future to provide us with the flexibility to raise additional capital to finance our operations as needed.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Treasury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41,309 shares of common stock are being held in Treasury, at a cost of approximately $0.2 million, representing the fair market value on the date the shares were surrendered to the Company to satisfy employee tax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TG Therapeutics,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was approved by stockholders in </w:t>
      </w:r>
      <w:r>
        <w:rPr>
          <w:rStyle w:val="Emphasis"/>
          <w:rFonts w:ascii="Times New Roman" w:hAnsi="Times New Roman"/>
          <w:caps w:val="false"/>
          <w:smallCaps w:val="false"/>
          <w:sz w:val="20"/>
        </w:rPr>
        <w:t xml:space="preserve">June 2022 </w:t>
      </w:r>
      <w:r>
        <w:rPr>
          <w:rFonts w:ascii="Times New Roman" w:hAnsi="Times New Roman"/>
          <w:caps w:val="false"/>
          <w:smallCaps w:val="false"/>
          <w:sz w:val="20"/>
        </w:rPr>
        <w:t xml:space="preserve">with 17 million shares available to be issued, of which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than 10 million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pursuant to “full-value awards.” Full-value awards include any award other than an option or stock appreciation right and which is settled by the issuance of stock.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4,631,204 shares of restricted stock and 2,272,500 options were outstanding, and up to an additional 8,751,892 shares were available to be issued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TG Therapeutics, Inc. Amended and Restated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 was approved by stockholders in </w:t>
      </w:r>
      <w:r>
        <w:rPr>
          <w:rStyle w:val="Emphasis"/>
          <w:rFonts w:ascii="Times New Roman" w:hAnsi="Times New Roman"/>
          <w:caps w:val="false"/>
          <w:smallCaps w:val="false"/>
          <w:sz w:val="20"/>
        </w:rPr>
        <w:t>June 2020.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5,007,864 shares of restricted stock and 2,424,529 options were outstanding, and no additional shares were available to be issued under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Incentive Plan as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Incentive Plan is now the only active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stock-based compensation expense included in the consolidated statements of operations was $37.9 million, $19.2 million and $61.3 million during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The $37.9 million is net of $2.9 million of stock-based compensation expense that was capitalized into inventory during the year ended </w:t>
      </w:r>
      <w:r>
        <w:rPr>
          <w:rStyle w:val="Emphasis"/>
          <w:rFonts w:ascii="Times New Roman" w:hAnsi="Times New Roman"/>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estimated fair value of the options granted in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was determined utilizing the Black-Scholes option-pricing model at the date of grant. The following table summarizes stock option activity for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2840"/>
        <w:gridCol w:w="60"/>
        <w:gridCol w:w="60"/>
        <w:gridCol w:w="845"/>
        <w:gridCol w:w="80"/>
        <w:gridCol w:w="60"/>
        <w:gridCol w:w="237"/>
        <w:gridCol w:w="922"/>
        <w:gridCol w:w="60"/>
        <w:gridCol w:w="60"/>
        <w:gridCol w:w="133"/>
        <w:gridCol w:w="847"/>
        <w:gridCol w:w="60"/>
        <w:gridCol w:w="60"/>
        <w:gridCol w:w="127"/>
        <w:gridCol w:w="1077"/>
        <w:gridCol w:w="60"/>
      </w:tblGrid>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115,472,832</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2,467,537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29,503,551</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5,135,685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25,064,799</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4,697,029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47,607,209</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22,518,984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expense associated with stock options was approximately $3.9 million, $3.3 million and $2.9 million during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there was approximately $4.1 million of total unrecognized compensation cost related to unvested time-based stock options, which is expected to be recognized over a weighted-average period of 2.6 years.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stock options outstanding include options granted to both employees and non-employees which are both time-based and milestone-based. Stock-based compensation for milestone-based options will be recorded if and when a milestone becomes probable. We did not recognize stock-based compensation expense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for these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fair value of the Company’s option awards granted in each of the following years were estimated using the assumptions below:</w:t>
      </w:r>
    </w:p>
    <w:p>
      <w:pPr>
        <w:pStyle w:val="TextBody"/>
        <w:bidi w:val="0"/>
        <w:spacing w:before="0" w:after="0"/>
        <w:ind w:left="0" w:right="0" w:hanging="0"/>
        <w:jc w:val="left"/>
        <w:rPr>
          <w:caps w:val="false"/>
          <w:smallCaps w:val="false"/>
        </w:rPr>
      </w:pPr>
      <w:r>
        <w:rPr>
          <w:caps w:val="false"/>
          <w:smallCaps w:val="false"/>
        </w:rPr>
        <w:t> ​</w:t>
      </w:r>
    </w:p>
    <w:tbl>
      <w:tblPr>
        <w:tblW w:w="7342" w:type="dxa"/>
        <w:jc w:val="left"/>
        <w:tblInd w:w="0" w:type="dxa"/>
        <w:tblLayout w:type="fixed"/>
        <w:tblCellMar>
          <w:top w:w="0" w:type="dxa"/>
          <w:left w:w="0" w:type="dxa"/>
          <w:bottom w:w="0" w:type="dxa"/>
          <w:right w:w="0" w:type="dxa"/>
        </w:tblCellMar>
      </w:tblPr>
      <w:tblGrid>
        <w:gridCol w:w="2030"/>
        <w:gridCol w:w="60"/>
        <w:gridCol w:w="350"/>
        <w:gridCol w:w="1259"/>
        <w:gridCol w:w="60"/>
        <w:gridCol w:w="60"/>
        <w:gridCol w:w="83"/>
        <w:gridCol w:w="1526"/>
        <w:gridCol w:w="185"/>
        <w:gridCol w:w="60"/>
        <w:gridCol w:w="350"/>
        <w:gridCol w:w="1259"/>
        <w:gridCol w:w="60"/>
      </w:tblGrid>
      <w:tr>
        <w:trPr/>
        <w:tc>
          <w:tcPr>
            <w:tcW w:w="20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2021</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25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88.37 - 89.67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25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125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5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3.13 - 4.0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125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25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5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2.99 - 3.35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25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125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526" w:type="dxa"/>
            <w:tcBorders/>
            <w:shd w:fill="FFFFFF" w:val="clear"/>
            <w:vAlign w:val="center"/>
          </w:tcPr>
          <w:p>
            <w:pPr>
              <w:pStyle w:val="TableContents"/>
              <w:bidi w:val="0"/>
              <w:spacing w:before="0" w:after="283"/>
              <w:ind w:left="0" w:right="0" w:hanging="0"/>
              <w:jc w:val="right"/>
              <w:rPr/>
            </w:pPr>
            <w:r>
              <w:rPr>
                <w:rStyle w:val="Emphasis"/>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125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Restricted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Certain employees, directors and consultants have been awarded restricted stock. The restricted stock vesting consists of milestone and time-based vesting. The following table summarizes restricted share activity for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094" w:type="dxa"/>
        <w:jc w:val="left"/>
        <w:tblInd w:w="0" w:type="dxa"/>
        <w:tblLayout w:type="fixed"/>
        <w:tblCellMar>
          <w:top w:w="0" w:type="dxa"/>
          <w:left w:w="0" w:type="dxa"/>
          <w:bottom w:w="0" w:type="dxa"/>
          <w:right w:w="0" w:type="dxa"/>
        </w:tblCellMar>
      </w:tblPr>
      <w:tblGrid>
        <w:gridCol w:w="2840"/>
        <w:gridCol w:w="60"/>
        <w:gridCol w:w="86"/>
        <w:gridCol w:w="1373"/>
        <w:gridCol w:w="80"/>
        <w:gridCol w:w="60"/>
        <w:gridCol w:w="314"/>
        <w:gridCol w:w="1221"/>
        <w:gridCol w:w="60"/>
      </w:tblGrid>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 date fair</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2021</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10,785,034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2,738,974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(1,302,737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2021</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12,032,040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5,179,201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(2,186,956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8,732,286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3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3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compensation expense associated with restricted stock grants was $34.1 million, $15.8 million and $58.4 million during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there was approximately $27.8 million of total unrecognized compensation expense related to unvested time-based restricted stock, which is expected to be recognized over a weighted-average period of 2.7 years. This amount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2,470,770 shares of restricted stock outstanding which are milestone-based and vest upon certain corporate milestones. Milestone-based noncash compensation expense will be measured and recorded if and when a milestone becomes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Company’s only outstanding warrants are the warrants issued to Hercules as part of the Loan Agreement, the Amended Loan Agreement and the First Amendment (please refer to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Loan Payable) to purchase 147,058, 115,042 and 50,172 shares of our common stock with exercise prices of $4.08, $17.95 and $14.70, respectively.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for further details. As the warrants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cash settlement, the warrants were classified as equity. There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any ongoing stock compensation expense volatility associated with these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caps w:val="false"/>
          <w:smallCaps w:val="false"/>
          <w:sz w:val="20"/>
        </w:rPr>
        <w:t xml:space="preserve">– </w:t>
      </w:r>
      <w:r>
        <w:rPr>
          <w:rFonts w:ascii="Times New Roman" w:hAnsi="Times New Roman"/>
          <w:b/>
          <w:caps w:val="false"/>
          <w:smallCaps w:val="false"/>
          <w:sz w:val="20"/>
        </w:rPr>
        <w:t>LOAN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28,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Closing Date), we entered into a term loan facility with Hercules Capital, Inc. (Hercules or Lender), which provided us with the capacity to borrow up to an aggregate principal amount of $60.0 million (Term Loan). The Term Loan is governed by a loan and security agreement, dated </w:t>
      </w:r>
      <w:r>
        <w:rPr>
          <w:rStyle w:val="Emphasis"/>
          <w:rFonts w:ascii="Times New Roman" w:hAnsi="Times New Roman"/>
          <w:caps w:val="false"/>
          <w:smallCaps w:val="false"/>
          <w:sz w:val="20"/>
        </w:rPr>
        <w:t>February 28,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Loan Agreement), which provides for up 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separate advances.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advance of $30.0 million was drawn on the Closing Date. An additional $30.0 million under the Term Loan was previously available upon the completion of different milestones and time points that have now 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30, 2021 (</w:t>
      </w:r>
      <w:r>
        <w:rPr>
          <w:rFonts w:ascii="Times New Roman" w:hAnsi="Times New Roman"/>
          <w:caps w:val="false"/>
          <w:smallCaps w:val="false"/>
          <w:sz w:val="20"/>
        </w:rPr>
        <w:t xml:space="preserve">the Amended Loan Agreement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advance of $70.0 million drawn at the Amended Loan Agreement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January 1, 2026, (</w:t>
      </w:r>
      <w:r>
        <w:rPr>
          <w:rFonts w:ascii="Times New Roman" w:hAnsi="Times New Roman"/>
          <w:caps w:val="false"/>
          <w:smallCaps w:val="false"/>
          <w:sz w:val="20"/>
        </w:rPr>
        <w:t xml:space="preserve">v) reset and extend the interest only period from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February 1, 2025 </w:t>
      </w:r>
      <w:r>
        <w:rPr>
          <w:rFonts w:ascii="Times New Roman" w:hAnsi="Times New Roman"/>
          <w:caps w:val="false"/>
          <w:smallCaps w:val="false"/>
          <w:sz w:val="20"/>
        </w:rPr>
        <w:t xml:space="preserve">and extendable to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subject to the achievement of certain performance milestones, and (vi) modify the cash interest rate to be the greater of either (a) the “prime rate” as reported in The Wall Street Journal plus 2.15%, and (b) 5.40%. In addition to the cash interest rate, the principal balance accrues paid-in-kind interest at a rate of 3.45%, which amount will be capitalized and added to the outstanding principal balance of the Amended Term Loan and payable at the maturity date of the Amended Loan Agreement.</w:t>
      </w:r>
    </w:p>
    <w:p>
      <w:pPr>
        <w:pStyle w:val="TextBody"/>
        <w:bidi w:val="0"/>
        <w:spacing w:before="0" w:after="0"/>
        <w:ind w:left="160" w:right="0" w:firstLine="560"/>
        <w:jc w:val="both"/>
        <w:rPr>
          <w:caps w:val="false"/>
          <w:smallCaps w:val="false"/>
        </w:rPr>
      </w:pPr>
      <w:r>
        <w:rPr>
          <w:caps w:val="false"/>
          <w:smallCaps w:val="false"/>
        </w:rPr>
        <w:t> </w:t>
      </w:r>
    </w:p>
    <w:p>
      <w:pPr>
        <w:pStyle w:val="TextBody"/>
        <w:bidi w:val="0"/>
        <w:spacing w:before="0" w:after="0"/>
        <w:ind w:left="160" w:right="0" w:firstLine="5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31, 2023 (</w:t>
      </w:r>
      <w:r>
        <w:rPr>
          <w:rFonts w:ascii="Times New Roman" w:hAnsi="Times New Roman"/>
          <w:caps w:val="false"/>
          <w:smallCaps w:val="false"/>
          <w:sz w:val="20"/>
        </w:rPr>
        <w:t xml:space="preserve">the First Amendment Effective Date), the Company entered into a First Amendment to the Amended and Restated Loan and Security Agreement (the First Amendment) with Hercules. The First Amendment amended the terms of the Amended Loan Agreement to, among other things: (i) issue an advance of $25.0 million drawn at the First Amendment Effective Date (the Tranche </w:t>
      </w:r>
      <w:r>
        <w:rPr>
          <w:rStyle w:val="Emphasis"/>
          <w:rFonts w:ascii="Times New Roman" w:hAnsi="Times New Roman"/>
          <w:caps w:val="false"/>
          <w:smallCaps w:val="false"/>
          <w:sz w:val="20"/>
        </w:rPr>
        <w:t>3A</w:t>
      </w:r>
      <w:r>
        <w:rPr>
          <w:rFonts w:ascii="Times New Roman" w:hAnsi="Times New Roman"/>
          <w:caps w:val="false"/>
          <w:smallCaps w:val="false"/>
          <w:sz w:val="20"/>
        </w:rPr>
        <w:t xml:space="preserve"> Advance), (ii) provide for the formal expiration of Tranche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(iii) change the draw amounts and dates available under subsequent tranches, including splitting the remaining balance of Tranche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additional advances in an aggregate principal amount of up to $20.0 million, in increments of $10.0 million (a Tranche </w:t>
      </w:r>
      <w:r>
        <w:rPr>
          <w:rStyle w:val="Emphasis"/>
          <w:rFonts w:ascii="Times New Roman" w:hAnsi="Times New Roman"/>
          <w:caps w:val="false"/>
          <w:smallCaps w:val="false"/>
          <w:sz w:val="20"/>
        </w:rPr>
        <w:t>3B</w:t>
      </w:r>
      <w:r>
        <w:rPr>
          <w:rFonts w:ascii="Times New Roman" w:hAnsi="Times New Roman"/>
          <w:caps w:val="false"/>
          <w:smallCaps w:val="false"/>
          <w:sz w:val="20"/>
        </w:rPr>
        <w:t xml:space="preserve"> Advance and a Tranche </w:t>
      </w:r>
      <w:r>
        <w:rPr>
          <w:rStyle w:val="Emphasis"/>
          <w:rFonts w:ascii="Times New Roman" w:hAnsi="Times New Roman"/>
          <w:caps w:val="false"/>
          <w:smallCaps w:val="false"/>
          <w:sz w:val="20"/>
        </w:rPr>
        <w:t>3C</w:t>
      </w:r>
      <w:r>
        <w:rPr>
          <w:rFonts w:ascii="Times New Roman" w:hAnsi="Times New Roman"/>
          <w:caps w:val="false"/>
          <w:smallCaps w:val="false"/>
          <w:sz w:val="20"/>
        </w:rPr>
        <w:t xml:space="preserve"> Advance), decreasing the amount available under Tranche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from $65.0 million to $60.0 million, and adding a Tranche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$25.0 million, subject to the achievement of revenue related performance milestones, (iv) extend the interest only period from </w:t>
      </w:r>
      <w:r>
        <w:rPr>
          <w:rStyle w:val="Emphasis"/>
          <w:rFonts w:ascii="Times New Roman" w:hAnsi="Times New Roman"/>
          <w:caps w:val="false"/>
          <w:smallCaps w:val="false"/>
          <w:sz w:val="20"/>
        </w:rPr>
        <w:t xml:space="preserve">February 1, 2025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 xml:space="preserve">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as amended. The Amended Loan agreement, as amended, contains financial covenants that require the Company to maintain certain levels of unrestricted cash and additional financial covenants related to market capitalization.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we are in compliance with all financial covenants.</w:t>
      </w:r>
    </w:p>
    <w:p>
      <w:pPr>
        <w:pStyle w:val="TextBody"/>
        <w:bidi w:val="0"/>
        <w:spacing w:before="0" w:after="0"/>
        <w:ind w:left="160" w:right="0" w:firstLine="560"/>
        <w:jc w:val="both"/>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The First Amendment also contains warrant coverage of 2.95% of each advance amount funded. A warrant (the Warrant) was issued by the Company to Hercules to purchase 115,042 shares of common stock with an exercise price of $17.95 for the initial amount funded at the Closing Date. The Warrant shall be exercisable for seven years from the date of issuance. Hercules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exercise the Warrant either by (a) cash or check or (b) through a net issuance conversion. Additionally, a warrant was issued by the Company to Hercules to purchase 50,172 shares of common stock with an exercise price of $14.70 for the amount funded pertaining to the Tranche </w:t>
      </w:r>
      <w:r>
        <w:rPr>
          <w:rStyle w:val="Emphasis"/>
          <w:rFonts w:ascii="Times New Roman" w:hAnsi="Times New Roman"/>
          <w:caps w:val="false"/>
          <w:smallCaps w:val="false"/>
          <w:sz w:val="20"/>
        </w:rPr>
        <w:t>3A</w:t>
      </w:r>
      <w:r>
        <w:rPr>
          <w:rFonts w:ascii="Times New Roman" w:hAnsi="Times New Roman"/>
          <w:caps w:val="false"/>
          <w:smallCaps w:val="false"/>
          <w:sz w:val="20"/>
        </w:rPr>
        <w:t xml:space="preserve"> Advance (the First Amendment Warrant). The First Amendment Warrant shall be exercisable for seven years from the date of issuance. Hercules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exercise the First Amendment Warrant either by (a) cash or check or (b) through a net issuance conversion</w:t>
      </w:r>
    </w:p>
    <w:p>
      <w:pPr>
        <w:pStyle w:val="TextBody"/>
        <w:bidi w:val="0"/>
        <w:spacing w:before="0" w:after="0"/>
        <w:ind w:left="0" w:right="0" w:hanging="0"/>
        <w:jc w:val="left"/>
        <w:rPr/>
      </w:pPr>
      <w:r>
        <w:rPr/>
        <w:t> </w:t>
      </w:r>
    </w:p>
    <w:p>
      <w:pPr>
        <w:pStyle w:val="TextBody"/>
        <w:bidi w:val="0"/>
        <w:spacing w:before="0" w:after="0"/>
        <w:ind w:left="160" w:right="0" w:firstLine="560"/>
        <w:jc w:val="both"/>
        <w:rPr>
          <w:rFonts w:ascii="Times New Roman" w:hAnsi="Times New Roman"/>
          <w:caps w:val="false"/>
          <w:smallCaps w:val="false"/>
          <w:sz w:val="20"/>
        </w:rPr>
      </w:pPr>
      <w:r>
        <w:rPr>
          <w:rFonts w:ascii="Times New Roman" w:hAnsi="Times New Roman"/>
          <w:caps w:val="false"/>
          <w:smallCaps w:val="false"/>
          <w:sz w:val="20"/>
        </w:rPr>
        <w:t>In addition, the Company is required to pay a final payment fee equal to 5.95% of the aggregate principal amount of the Term Loan Advances (as defined in the Amended Loan Agreement, as amended) plus 4.95% of the aggregate principal amount of all other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6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option, prepay the Amended Term Loan in full or in part, subject to a prepayment penalty equal to (i) 1.5% of the principal amount prepaid if the prepayment occurs prior 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First Amendment Effective Date, and (ii) 1.0% of the principal amount prepaid if the prepayment occurs on or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First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60"/>
        <w:jc w:val="both"/>
        <w:rPr/>
      </w:pPr>
      <w:r>
        <w:rPr>
          <w:rFonts w:ascii="Times New Roman" w:hAnsi="Times New Roman"/>
          <w:caps w:val="false"/>
          <w:smallCaps w:val="false"/>
          <w:sz w:val="20"/>
        </w:rPr>
        <w:t xml:space="preserve">The Company evaluated whether the First Amendment represented a debt modification or extinguishment of the Amended Term Loan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Debt – Modifications and Extinguishments. As a result of the modification of terms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repayment or retirement of the Amended Term Loan, the Amended Term Loan was accounted for by the Company under the modification accounting model. The Company capitalized the facility charge from the First Amendment advance to debt issuance costs and expensed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fees in the Company’s statement of operations for the year ended </w:t>
      </w:r>
      <w:r>
        <w:rPr>
          <w:rStyle w:val="Emphasis"/>
          <w:rFonts w:ascii="Times New Roman" w:hAnsi="Times New Roman"/>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estimated the fair value of the Warrant using the Black-Scholes model based on the following key assumptions:</w:t>
      </w:r>
    </w:p>
    <w:p>
      <w:pPr>
        <w:pStyle w:val="TextBody"/>
        <w:bidi w:val="0"/>
        <w:spacing w:before="0" w:after="0"/>
        <w:ind w:left="0" w:right="0" w:firstLine="720"/>
        <w:jc w:val="both"/>
        <w:rPr>
          <w:caps w:val="false"/>
          <w:smallCaps w:val="false"/>
        </w:rPr>
      </w:pPr>
      <w:r>
        <w:rPr>
          <w:caps w:val="false"/>
          <w:smallCaps w:val="false"/>
        </w:rPr>
        <w:t> </w:t>
      </w:r>
    </w:p>
    <w:tbl>
      <w:tblPr>
        <w:tblW w:w="10022" w:type="dxa"/>
        <w:jc w:val="left"/>
        <w:tblInd w:w="0" w:type="dxa"/>
        <w:tblLayout w:type="fixed"/>
        <w:tblCellMar>
          <w:top w:w="0" w:type="dxa"/>
          <w:left w:w="0" w:type="dxa"/>
          <w:bottom w:w="0" w:type="dxa"/>
          <w:right w:w="0" w:type="dxa"/>
        </w:tblCellMar>
      </w:tblPr>
      <w:tblGrid>
        <w:gridCol w:w="3275"/>
        <w:gridCol w:w="60"/>
        <w:gridCol w:w="371"/>
        <w:gridCol w:w="1448"/>
        <w:gridCol w:w="185"/>
        <w:gridCol w:w="60"/>
        <w:gridCol w:w="434"/>
        <w:gridCol w:w="2060"/>
        <w:gridCol w:w="185"/>
        <w:gridCol w:w="60"/>
        <w:gridCol w:w="296"/>
        <w:gridCol w:w="1403"/>
        <w:gridCol w:w="185"/>
      </w:tblGrid>
      <w:tr>
        <w:trPr/>
        <w:tc>
          <w:tcPr>
            <w:tcW w:w="32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The First Amendment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The Amended Loan Agreement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The Loan Agreement</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 price on date of issuance</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14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ind w:left="0" w:right="0" w:hanging="0"/>
              <w:jc w:val="left"/>
              <w:rPr/>
            </w:pPr>
            <w:r>
              <w:rPr/>
              <w:t> </w:t>
            </w:r>
          </w:p>
        </w:tc>
        <w:tc>
          <w:tcPr>
            <w:tcW w:w="2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14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ind w:left="0" w:right="0" w:hanging="0"/>
              <w:jc w:val="left"/>
              <w:rPr/>
            </w:pPr>
            <w:r>
              <w:rPr/>
              <w:t> </w:t>
            </w:r>
          </w:p>
        </w:tc>
        <w:tc>
          <w:tcPr>
            <w:tcW w:w="2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ind w:left="0" w:right="0" w:hanging="0"/>
              <w:jc w:val="left"/>
              <w:rPr/>
            </w:pPr>
            <w:r>
              <w:rPr/>
              <w:t> </w:t>
            </w:r>
          </w:p>
        </w:tc>
        <w:tc>
          <w:tcPr>
            <w:tcW w:w="1448"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ind w:left="0" w:right="0" w:hanging="0"/>
              <w:jc w:val="left"/>
              <w:rPr/>
            </w:pPr>
            <w:r>
              <w:rPr/>
              <w:t> </w:t>
            </w:r>
          </w:p>
        </w:tc>
        <w:tc>
          <w:tcPr>
            <w:tcW w:w="206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term (in years)</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pPr>
            <w:r>
              <w:rPr/>
              <w:t> </w:t>
            </w:r>
          </w:p>
        </w:tc>
        <w:tc>
          <w:tcPr>
            <w:tcW w:w="14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ind w:left="0" w:right="0" w:hanging="0"/>
              <w:jc w:val="left"/>
              <w:rPr/>
            </w:pPr>
            <w:r>
              <w:rPr/>
              <w:t> </w:t>
            </w:r>
          </w:p>
        </w:tc>
        <w:tc>
          <w:tcPr>
            <w:tcW w:w="2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incurred financing expenses of $2.0 million (including the fair value of the First Amendment Warrant) related to the First Amendment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$2.4 million, $1.8 million and $1.1 million for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remaining unamortized balance of debt issuance costs was $5.1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loan payable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is as follows:</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0" w:type="dxa"/>
          <w:right w:w="0" w:type="dxa"/>
        </w:tblCellMar>
      </w:tblPr>
      <w:tblGrid>
        <w:gridCol w:w="3620"/>
        <w:gridCol w:w="60"/>
        <w:gridCol w:w="185"/>
        <w:gridCol w:w="1034"/>
        <w:gridCol w:w="80"/>
        <w:gridCol w:w="60"/>
        <w:gridCol w:w="211"/>
        <w:gridCol w:w="1008"/>
        <w:gridCol w:w="80"/>
      </w:tblGrid>
      <w:tr>
        <w:trPr/>
        <w:tc>
          <w:tcPr>
            <w:tcW w:w="36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Accreted Liability of final payment fee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6,667</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76,667</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71,135</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principal payments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 payable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71,135</w:t>
            </w:r>
          </w:p>
        </w:tc>
        <w:tc>
          <w:tcPr>
            <w:tcW w:w="8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2014, </w:t>
      </w:r>
      <w:r>
        <w:rPr>
          <w:rFonts w:ascii="Times New Roman" w:hAnsi="Times New Roman"/>
          <w:caps w:val="false"/>
          <w:smallCaps w:val="false"/>
          <w:sz w:val="20"/>
        </w:rPr>
        <w:t xml:space="preserve">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new space in </w:t>
      </w:r>
      <w:r>
        <w:rPr>
          <w:rStyle w:val="Emphasis"/>
          <w:rFonts w:ascii="Times New Roman" w:hAnsi="Times New Roman"/>
          <w:caps w:val="false"/>
          <w:smallCaps w:val="false"/>
          <w:sz w:val="20"/>
        </w:rPr>
        <w:t xml:space="preserve">April 2016, </w:t>
      </w:r>
      <w:r>
        <w:rPr>
          <w:rFonts w:ascii="Times New Roman" w:hAnsi="Times New Roman"/>
          <w:caps w:val="false"/>
          <w:smallCaps w:val="false"/>
          <w:sz w:val="20"/>
        </w:rPr>
        <w:t xml:space="preserve">with rental payments beginning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January 1, 2019, </w:t>
      </w:r>
      <w:r>
        <w:rPr>
          <w:rFonts w:ascii="Times New Roman" w:hAnsi="Times New Roman"/>
          <w:caps w:val="false"/>
          <w:smallCaps w:val="false"/>
          <w:sz w:val="20"/>
        </w:rPr>
        <w:t xml:space="preserve">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$10.7 million and $8.1 million, respectively,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Our leases have remaining lease terms of approximately 2 years to 8 years. One lease has a renewal option to extend the lease for an additional term of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Also, in connection with this lease, in </w:t>
      </w:r>
      <w:r>
        <w:rPr>
          <w:rStyle w:val="Emphasis"/>
          <w:rFonts w:ascii="Times New Roman" w:hAnsi="Times New Roman"/>
          <w:caps w:val="false"/>
          <w:smallCaps w:val="false"/>
          <w:sz w:val="20"/>
        </w:rPr>
        <w:t xml:space="preserve">October 2014 </w:t>
      </w:r>
      <w:r>
        <w:rPr>
          <w:rFonts w:ascii="Times New Roman" w:hAnsi="Times New Roman"/>
          <w:caps w:val="false"/>
          <w:smallCaps w:val="false"/>
          <w:sz w:val="20"/>
        </w:rPr>
        <w:t xml:space="preserve">we pledged $0.6 million to secure a line of credit as a security deposit for the Office Agreement, which has been recorded as restricted cash in the accompanying consolidated balance sheets. Additional collateral of $0.6 million was pledged in </w:t>
      </w:r>
      <w:r>
        <w:rPr>
          <w:rStyle w:val="Emphasis"/>
          <w:rFonts w:ascii="Times New Roman" w:hAnsi="Times New Roman"/>
          <w:caps w:val="false"/>
          <w:smallCaps w:val="false"/>
          <w:sz w:val="20"/>
        </w:rPr>
        <w:t xml:space="preserve">April 2018 </w:t>
      </w:r>
      <w:r>
        <w:rPr>
          <w:rFonts w:ascii="Times New Roman" w:hAnsi="Times New Roman"/>
          <w:caps w:val="false"/>
          <w:smallCaps w:val="false"/>
          <w:sz w:val="20"/>
        </w:rPr>
        <w:t>to increase the letter of credit for the office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2019, </w:t>
      </w:r>
      <w:r>
        <w:rPr>
          <w:rFonts w:ascii="Times New Roman" w:hAnsi="Times New Roman"/>
          <w:caps w:val="false"/>
          <w:smallCaps w:val="false"/>
          <w:sz w:val="20"/>
        </w:rPr>
        <w:t>we finalized a five-year lease for office space in New Jersey (the NJ Lease). We approximate an average annual rental obligation of $0.3 million under the NJ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2021, </w:t>
      </w:r>
      <w:r>
        <w:rPr>
          <w:rFonts w:ascii="Times New Roman" w:hAnsi="Times New Roman"/>
          <w:caps w:val="false"/>
          <w:smallCaps w:val="false"/>
          <w:sz w:val="20"/>
        </w:rPr>
        <w:t xml:space="preserve">we finalized a five-year lease for office space in North Carolina (the NC Lease). We approximate an average annual rental obligation of $0.2 million under the NC Lease. We took possession of this space in </w:t>
      </w:r>
      <w:r>
        <w:rPr>
          <w:rStyle w:val="Emphasis"/>
          <w:rFonts w:ascii="Times New Roman" w:hAnsi="Times New Roman"/>
          <w:caps w:val="false"/>
          <w:smallCaps w:val="false"/>
          <w:sz w:val="20"/>
        </w:rPr>
        <w:t xml:space="preserve">February 2022, </w:t>
      </w:r>
      <w:r>
        <w:rPr>
          <w:rFonts w:ascii="Times New Roman" w:hAnsi="Times New Roman"/>
          <w:caps w:val="false"/>
          <w:smallCaps w:val="false"/>
          <w:sz w:val="20"/>
        </w:rPr>
        <w:t xml:space="preserve">with rental payments beginning in </w:t>
      </w:r>
      <w:r>
        <w:rPr>
          <w:rStyle w:val="Emphasis"/>
          <w:rFonts w:ascii="Times New Roman" w:hAnsi="Times New Roman"/>
          <w:caps w:val="false"/>
          <w:smallCaps w:val="false"/>
          <w:sz w:val="20"/>
        </w:rPr>
        <w:t>April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Operating lease cost was $2.2 million, $2.7 million and $2.2 million for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weighted-average remaining operating lease term was 5.8 years and the weighted-average discount rate for operating leases was 10.00%. Cash paid for amounts included in the measurement of operating lease liabilities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was $2.4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balance sheet classification of lease liabilities was as follows:</w:t>
      </w:r>
    </w:p>
    <w:p>
      <w:pPr>
        <w:pStyle w:val="TextBody"/>
        <w:bidi w:val="0"/>
        <w:spacing w:before="0" w:after="0"/>
        <w:ind w:left="0" w:right="0" w:hanging="0"/>
        <w:jc w:val="left"/>
        <w:rPr>
          <w:caps w:val="false"/>
          <w:smallCaps w:val="false"/>
        </w:rPr>
      </w:pPr>
      <w:r>
        <w:rPr>
          <w:caps w:val="false"/>
          <w:smallCaps w:val="false"/>
        </w:rPr>
        <w:t> </w:t>
      </w:r>
    </w:p>
    <w:tbl>
      <w:tblPr>
        <w:tblW w:w="5128" w:type="dxa"/>
        <w:jc w:val="left"/>
        <w:tblInd w:w="0" w:type="dxa"/>
        <w:tblLayout w:type="fixed"/>
        <w:tblCellMar>
          <w:top w:w="0" w:type="dxa"/>
          <w:left w:w="0" w:type="dxa"/>
          <w:bottom w:w="0" w:type="dxa"/>
          <w:right w:w="0" w:type="dxa"/>
        </w:tblCellMar>
      </w:tblPr>
      <w:tblGrid>
        <w:gridCol w:w="2450"/>
        <w:gridCol w:w="60"/>
        <w:gridCol w:w="211"/>
        <w:gridCol w:w="1008"/>
        <w:gridCol w:w="60"/>
        <w:gridCol w:w="60"/>
        <w:gridCol w:w="211"/>
        <w:gridCol w:w="1008"/>
        <w:gridCol w:w="60"/>
      </w:tblGrid>
      <w:tr>
        <w:trPr/>
        <w:tc>
          <w:tcPr>
            <w:tcW w:w="24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non-current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10,344</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the maturities of lease liabilities were as follows:</w:t>
      </w:r>
    </w:p>
    <w:p>
      <w:pPr>
        <w:pStyle w:val="TextBody"/>
        <w:bidi w:val="0"/>
        <w:spacing w:before="0" w:after="0"/>
        <w:ind w:left="0" w:right="0" w:firstLine="720"/>
        <w:jc w:val="left"/>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2810"/>
        <w:gridCol w:w="60"/>
        <w:gridCol w:w="150"/>
        <w:gridCol w:w="710"/>
        <w:gridCol w:w="8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2,388</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2,100</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1,913</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1,827</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2028</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4,715</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15,023</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 As our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 implicit rate, we use our incremental borrowing rate based on the information available at commencement date and considering the term of the lease to determine the present value of lease payments. We used the incremental borrowing rate of 10.25% on </w:t>
      </w:r>
      <w:r>
        <w:rPr>
          <w:rStyle w:val="Emphasis"/>
          <w:rFonts w:ascii="Times New Roman" w:hAnsi="Times New Roman"/>
          <w:caps w:val="false"/>
          <w:smallCaps w:val="false"/>
          <w:sz w:val="20"/>
        </w:rPr>
        <w:t xml:space="preserve">February 28, 2019, </w:t>
      </w:r>
      <w:r>
        <w:rPr>
          <w:rFonts w:ascii="Times New Roman" w:hAnsi="Times New Roman"/>
          <w:caps w:val="false"/>
          <w:smallCaps w:val="false"/>
          <w:sz w:val="20"/>
        </w:rPr>
        <w:t xml:space="preserve">for leases that commenced prior to that date through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We used an incremental borrowing rate of 5.65% for the NC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caps w:val="false"/>
          <w:smallCaps w:val="false"/>
          <w:sz w:val="20"/>
        </w:rPr>
        <w:t xml:space="preserve"> –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realizable, and therefore, a valuation allowance has been established. The valuation allowance for deferred tax assets was approximately $418.3 million and $400.4 million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Tax Cuts and Jobs Act 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(TCJA) included changes to the treatment of research and development expenses under IRC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Formerly, a company could deduct research and development expenses under IRC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as incurred. Effective for tax years beginning after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research and development expenses under IRC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are required to be capitalized, with an amortization period of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 for costs incurred in the U.S. and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years for costs incurred in a non-U.S. jurisdiction. The Company incurred approximately $61.8 million of U.S. research and development costs and approximately $13.9 million of non-U.S. research and development costs that were capitalized during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Inflation Reduction Act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(IRA) was enacted on </w:t>
      </w:r>
      <w:r>
        <w:rPr>
          <w:rStyle w:val="Emphasis"/>
          <w:rFonts w:ascii="Times New Roman" w:hAnsi="Times New Roman"/>
          <w:caps w:val="false"/>
          <w:smallCaps w:val="false"/>
          <w:sz w:val="20"/>
        </w:rPr>
        <w:t xml:space="preserve">August 16, 2022. </w:t>
      </w:r>
      <w:r>
        <w:rPr>
          <w:rFonts w:ascii="Times New Roman" w:hAnsi="Times New Roman"/>
          <w:caps w:val="false"/>
          <w:smallCaps w:val="false"/>
          <w:sz w:val="20"/>
        </w:rPr>
        <w:t xml:space="preserve">The IRA provided for a Corporate Alternative Minimum Tax (Corp AMT), applicable to tax years beginning after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Corp AMT will impose a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tax on companies with adjusted financial statement income of over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billion for US-based organizations. At this time,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anticipated that the Corp AMT will be applicable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we have U.S. net operating loss carryforwards of approximately $1.4 billion , research and development credit carryforwards (R&amp;D credits) of approximately $45.8 million and business interest expense carryforward of $14.5 million. For income tax purposes, these NOLs and R&amp;D credits will expire in various amounts through </w:t>
      </w:r>
      <w:r>
        <w:rPr>
          <w:rStyle w:val="Emphasis"/>
          <w:rFonts w:ascii="Times New Roman" w:hAnsi="Times New Roman"/>
          <w:caps w:val="false"/>
          <w:smallCaps w:val="false"/>
          <w:sz w:val="20"/>
        </w:rPr>
        <w:t>2040.</w:t>
      </w:r>
      <w:r>
        <w:rPr>
          <w:rFonts w:ascii="Times New Roman" w:hAnsi="Times New Roman"/>
          <w:caps w:val="false"/>
          <w:smallCaps w:val="false"/>
          <w:sz w:val="20"/>
        </w:rPr>
        <w:t xml:space="preserve"> NOLs generated after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and the business interest expense carryforwards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expire. The Tax Reform Act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contains provisions which limit the ability to utilize net operating loss carryforwards and R&amp;D credit carryforwards in the case of certain events including significant changes in ownership interests. The Exchange Transaction with TG Bio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resulted in a “change in ownership” as defined by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Additionally, stock issuance activities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resulted in a “change in ownership” as defined by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Accordingly, a substantial portion of the Company’s NOLs above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annual limitations in reducing any future year’s taxable income, and a substantial portion of the R&amp;D Credit carryforwards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subject to annual limitations in reducing any future year’s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tax effects of temporary differences that give rise to significant portions of the deferred tax assets and deferred tax liabilities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are presented below.</w:t>
      </w:r>
    </w:p>
    <w:p>
      <w:pPr>
        <w:pStyle w:val="TextBody"/>
        <w:bidi w:val="0"/>
        <w:spacing w:before="0" w:after="0"/>
        <w:ind w:left="0" w:right="0" w:hanging="0"/>
        <w:jc w:val="left"/>
        <w:rPr>
          <w:caps w:val="false"/>
          <w:smallCaps w:val="false"/>
        </w:rPr>
      </w:pPr>
      <w:r>
        <w:rPr>
          <w:caps w:val="false"/>
          <w:smallCaps w:val="false"/>
        </w:rPr>
        <w:t> ​</w:t>
      </w:r>
    </w:p>
    <w:tbl>
      <w:tblPr>
        <w:tblW w:w="6095" w:type="dxa"/>
        <w:jc w:val="left"/>
        <w:tblInd w:w="0" w:type="dxa"/>
        <w:tblLayout w:type="fixed"/>
        <w:tblCellMar>
          <w:top w:w="0" w:type="dxa"/>
          <w:left w:w="0" w:type="dxa"/>
          <w:bottom w:w="0" w:type="dxa"/>
          <w:right w:w="0" w:type="dxa"/>
        </w:tblCellMar>
      </w:tblPr>
      <w:tblGrid>
        <w:gridCol w:w="4055"/>
        <w:gridCol w:w="60"/>
        <w:gridCol w:w="125"/>
        <w:gridCol w:w="755"/>
        <w:gridCol w:w="80"/>
        <w:gridCol w:w="60"/>
        <w:gridCol w:w="125"/>
        <w:gridCol w:w="755"/>
        <w:gridCol w:w="80"/>
      </w:tblGrid>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303,729</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42,031</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10,325</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Disallowed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R&amp;D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39,411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 excluding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400,363</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(418,317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(400,363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There was approximately $0.4 million of current income tax expense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Income tax expense differed from amounts computed by applying the US federal income tax rate of 21% for the years ending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to pretax income (loss) as follows:</w:t>
      </w:r>
    </w:p>
    <w:p>
      <w:pPr>
        <w:pStyle w:val="TextBody"/>
        <w:bidi w:val="0"/>
        <w:spacing w:before="0" w:after="0"/>
        <w:ind w:left="0" w:right="0" w:hanging="0"/>
        <w:jc w:val="left"/>
        <w:rPr>
          <w:caps w:val="false"/>
          <w:smallCaps w:val="false"/>
        </w:rPr>
      </w:pPr>
      <w:r>
        <w:rPr>
          <w:caps w:val="false"/>
          <w:smallCaps w:val="false"/>
        </w:rPr>
        <w:t> ​</w:t>
      </w:r>
    </w:p>
    <w:tbl>
      <w:tblPr>
        <w:tblW w:w="9605" w:type="dxa"/>
        <w:jc w:val="left"/>
        <w:tblInd w:w="0" w:type="dxa"/>
        <w:tblLayout w:type="fixed"/>
        <w:tblCellMar>
          <w:top w:w="0" w:type="dxa"/>
          <w:left w:w="0" w:type="dxa"/>
          <w:bottom w:w="0" w:type="dxa"/>
          <w:right w:w="0" w:type="dxa"/>
        </w:tblCellMar>
      </w:tblPr>
      <w:tblGrid>
        <w:gridCol w:w="6650"/>
        <w:gridCol w:w="60"/>
        <w:gridCol w:w="125"/>
        <w:gridCol w:w="650"/>
        <w:gridCol w:w="80"/>
        <w:gridCol w:w="60"/>
        <w:gridCol w:w="125"/>
        <w:gridCol w:w="755"/>
        <w:gridCol w:w="80"/>
        <w:gridCol w:w="60"/>
        <w:gridCol w:w="125"/>
        <w:gridCol w:w="755"/>
        <w:gridCol w:w="80"/>
      </w:tblGrid>
      <w:tr>
        <w:trPr/>
        <w:tc>
          <w:tcPr>
            <w:tcW w:w="6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 as reported in the consolidated statements of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Computed “expected” tax benefit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77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income taxes resulting from:</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benefit from state and local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 Compensation Limitation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state tax rates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the balance of the 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90,742</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file income tax returns in the U.S federal and various state and local jurisdictions. With certain exceptions,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U.S. federal and state income tax examinations by tax authorities for years prior to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However, NOLs and tax credits generated from those prior years could still be adjusted upon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would recognize interest and penalties, if any, to uncertain tax position in income tax expense in the statement of operations.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accrual for interest and penalties related to uncertain tax positions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there will be a material change in our unrecognized tax positions over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All of the unrecognized tax benefits, if recognized, would be offset by the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caps w:val="false"/>
          <w:smallCaps w:val="false"/>
          <w:sz w:val="20"/>
        </w:rPr>
        <w:t xml:space="preserve"> – </w:t>
      </w:r>
      <w:r>
        <w:rPr>
          <w:rFonts w:ascii="Times New Roman" w:hAnsi="Times New Roman"/>
          <w:b/>
          <w:caps w:val="false"/>
          <w:smallCaps w:val="false"/>
          <w:sz w:val="20"/>
        </w:rPr>
        <w:t>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BRIUMVI (Ublituximab)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2012, </w:t>
      </w:r>
      <w:r>
        <w:rPr>
          <w:rFonts w:ascii="Times New Roman" w:hAnsi="Times New Roman"/>
          <w:caps w:val="false"/>
          <w:smallCaps w:val="false"/>
          <w:sz w:val="20"/>
        </w:rPr>
        <w:t xml:space="preserve">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For the period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we have incurred expenses of approximately $31.0 million related to the achievement of certain milestones of the LFB License Agreement. These expenses are included in other research and development expenses in the accompanying consolidated statements of operations. As of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we had approximately zero recorded in accounts payable related to the LFB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LFB Group is eligible to receive future payments of approximately $6.0 million, upon our successful achievement of certain regulatory milestones, in addition to royalty payments on net sales of ublituximab at a royalty rate in the high-single digits. The license will terminate on a country-by-country basis upon the expiration of the last licensed patent right or 15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recorded $8.7 million related to the worldwide royalty due under the LFB  License Agreement in cost of  revenue based on U.S. sales of BRIUMVI and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approximately $3.9 million in royalties were payable under the LFB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2012, </w:t>
      </w:r>
      <w:r>
        <w:rPr>
          <w:rFonts w:ascii="Times New Roman" w:hAnsi="Times New Roman"/>
          <w:caps w:val="false"/>
          <w:smallCaps w:val="false"/>
          <w:sz w:val="20"/>
        </w:rPr>
        <w:t>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An upfront payment of $2.0 million, which was received in </w:t>
      </w:r>
      <w:r>
        <w:rPr>
          <w:rStyle w:val="Emphasis"/>
          <w:rFonts w:ascii="Times New Roman" w:hAnsi="Times New Roman"/>
          <w:caps w:val="false"/>
          <w:smallCaps w:val="false"/>
          <w:sz w:val="20"/>
        </w:rPr>
        <w:t xml:space="preserve">December 2012, </w:t>
      </w:r>
      <w:r>
        <w:rPr>
          <w:rFonts w:ascii="Times New Roman" w:hAnsi="Times New Roman"/>
          <w:caps w:val="false"/>
          <w:smallCaps w:val="false"/>
          <w:sz w:val="20"/>
        </w:rPr>
        <w:t xml:space="preserve">net of $0.3 million of income tax withholdings, is being recognized as license revenue on a straight-line basis over the life of the agreement, which is through the expiration of the last licensed patent right or 15 years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a product in such country, unless the agreement is earlier terminated, and represents the estimated period over which we will have certain ongoing responsibilities under the sublicense agreement. We recorded license revenue of approximately $0.2 million for each of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have deferred revenue of approximately $0.3 million and $0.5 million, respectively, associated with this $2 million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receive up to an additional $5.0 million in payments upon the achievement of pre-specified milestones. In addition, upon commercialization, Ildong will make royalty payments to us on net sales of ublituximab in the sublicense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2023, </w:t>
      </w:r>
      <w:r>
        <w:rPr>
          <w:rFonts w:ascii="Times New Roman" w:hAnsi="Times New Roman"/>
          <w:caps w:val="false"/>
          <w:smallCaps w:val="false"/>
          <w:sz w:val="20"/>
        </w:rPr>
        <w:t xml:space="preserve">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non-refundable payment of $140.0 million upon contract execution (please refer to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Revenue). The Company is eligible to receive an additional $12.5 million upon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key market commercial launch in the EU and up to an additional $492.5 million in milestone-based payments on achievement of certain launch and commercial milestones. In addition, TG will receive tiered double-digit royalties on net product sales up to 30%. In the event of a change of control of the Company (as defined in the Commercialization Agreement), the Company retains an option to buy back all rights under the Commercialization Agreement for a period of two years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TG-</w:t>
      </w:r>
      <w:r>
        <w:rPr>
          <w:rStyle w:val="Emphasis"/>
          <w:rFonts w:ascii="Times New Roman" w:hAnsi="Times New Roman"/>
          <w:b/>
          <w:i/>
          <w:caps w:val="false"/>
          <w:smallCaps w:val="false"/>
          <w:sz w:val="20"/>
        </w:rPr>
        <w:t>1701:</w:t>
      </w:r>
      <w:r>
        <w:rPr>
          <w:rFonts w:ascii="Times New Roman" w:hAnsi="Times New Roman"/>
          <w:b/>
          <w:i/>
          <w:caps w:val="false"/>
          <w:smallCaps w:val="false"/>
          <w:sz w:val="20"/>
        </w:rPr>
        <w:t xml:space="preserve"> BTK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2018,</w:t>
      </w:r>
      <w:r>
        <w:rPr>
          <w:rFonts w:ascii="Times New Roman" w:hAnsi="Times New Roman"/>
          <w:caps w:val="false"/>
          <w:smallCaps w:val="false"/>
          <w:sz w:val="20"/>
        </w:rPr>
        <w:t xml:space="preserve"> we entered into a global exclusive license agreement with Jiangsu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w:t>
      </w:r>
      <w:r>
        <w:rPr>
          <w:rStyle w:val="Emphasis"/>
          <w:rFonts w:ascii="Times New Roman" w:hAnsi="Times New Roman"/>
          <w:caps w:val="false"/>
          <w:smallCaps w:val="false"/>
          <w:sz w:val="20"/>
        </w:rPr>
        <w:t>1701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SHR1459</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EBI1459</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TG1702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SHR1266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EBI1266</w:t>
      </w:r>
      <w:r>
        <w:rPr>
          <w:rFonts w:ascii="Times New Roman" w:hAnsi="Times New Roman"/>
          <w:caps w:val="false"/>
          <w:smallCaps w:val="false"/>
          <w:sz w:val="20"/>
        </w:rPr>
        <w:t xml:space="preserve">).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In </w:t>
      </w:r>
      <w:r>
        <w:rPr>
          <w:rStyle w:val="Emphasis"/>
          <w:rFonts w:ascii="Times New Roman" w:hAnsi="Times New Roman"/>
          <w:caps w:val="false"/>
          <w:smallCaps w:val="false"/>
          <w:sz w:val="20"/>
        </w:rPr>
        <w:t xml:space="preserve">July 2020, </w:t>
      </w:r>
      <w:r>
        <w:rPr>
          <w:rFonts w:ascii="Times New Roman" w:hAnsi="Times New Roman"/>
          <w:caps w:val="false"/>
          <w:smallCaps w:val="false"/>
          <w:sz w:val="20"/>
        </w:rPr>
        <w:t>we paid Hengrui $2.0 million as part of a milestone in accordance with the license agreement. Royalty payments in the low double digits are due on net sales of licensed products and revenue from sublicenses.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TG-</w:t>
      </w:r>
      <w:r>
        <w:rPr>
          <w:rStyle w:val="Emphasis"/>
          <w:rFonts w:ascii="Times New Roman" w:hAnsi="Times New Roman"/>
          <w:b/>
          <w:i/>
          <w:caps w:val="false"/>
          <w:smallCaps w:val="false"/>
          <w:sz w:val="20"/>
        </w:rPr>
        <w:t>1801:</w:t>
      </w:r>
      <w:r>
        <w:rPr>
          <w:rFonts w:ascii="Times New Roman" w:hAnsi="Times New Roman"/>
          <w:b/>
          <w:i/>
          <w:caps w:val="false"/>
          <w:smallCaps w:val="false"/>
          <w:sz w:val="20"/>
        </w:rPr>
        <w:t xml:space="preserve"> anti-</w:t>
      </w:r>
      <w:r>
        <w:rPr>
          <w:rStyle w:val="Emphasis"/>
          <w:rFonts w:ascii="Times New Roman" w:hAnsi="Times New Roman"/>
          <w:b/>
          <w:i/>
          <w:caps w:val="false"/>
          <w:smallCaps w:val="false"/>
          <w:sz w:val="20"/>
        </w:rPr>
        <w:t>CD47/anti</w:t>
      </w:r>
      <w:r>
        <w:rPr>
          <w:rFonts w:ascii="Times New Roman" w:hAnsi="Times New Roman"/>
          <w:b/>
          <w:i/>
          <w:caps w:val="false"/>
          <w:smallCaps w:val="false"/>
          <w:sz w:val="20"/>
        </w:rPr>
        <w:t>-</w:t>
      </w:r>
      <w:r>
        <w:rPr>
          <w:rStyle w:val="Emphasis"/>
          <w:rFonts w:ascii="Times New Roman" w:hAnsi="Times New Roman"/>
          <w:b/>
          <w:i/>
          <w:caps w:val="false"/>
          <w:smallCaps w:val="false"/>
          <w:sz w:val="20"/>
        </w:rPr>
        <w:t>CD19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June 2018,</w:t>
      </w:r>
      <w:r>
        <w:rPr>
          <w:rFonts w:ascii="Times New Roman" w:hAnsi="Times New Roman"/>
          <w:caps w:val="false"/>
          <w:smallCaps w:val="false"/>
          <w:sz w:val="20"/>
        </w:rPr>
        <w:t xml:space="preserve"> we entered into a Joint Venture and License Option Agreement with Novimmune to collaborate on the development and commercialization of Novimmune’s novel </w:t>
      </w:r>
      <w:r>
        <w:rPr>
          <w:rStyle w:val="Emphasis"/>
          <w:rFonts w:ascii="Times New Roman" w:hAnsi="Times New Roman"/>
          <w:caps w:val="false"/>
          <w:smallCaps w:val="false"/>
          <w:sz w:val="20"/>
        </w:rPr>
        <w:t>first</w:t>
      </w:r>
      <w:r>
        <w:rPr>
          <w:rFonts w:ascii="Times New Roman" w:hAnsi="Times New Roman"/>
          <w:caps w:val="false"/>
          <w:smallCaps w:val="false"/>
          <w:sz w:val="20"/>
        </w:rPr>
        <w:t>-in-class anti-</w:t>
      </w:r>
      <w:r>
        <w:rPr>
          <w:rStyle w:val="Emphasis"/>
          <w:rFonts w:ascii="Times New Roman" w:hAnsi="Times New Roman"/>
          <w:caps w:val="false"/>
          <w:smallCaps w:val="false"/>
          <w:sz w:val="20"/>
        </w:rPr>
        <w:t>CD47/anti</w:t>
      </w:r>
      <w:r>
        <w:rPr>
          <w:rFonts w:ascii="Times New Roman" w:hAnsi="Times New Roman"/>
          <w:caps w:val="false"/>
          <w:smallCaps w:val="false"/>
          <w:sz w:val="20"/>
        </w:rPr>
        <w:t>-</w:t>
      </w:r>
      <w:r>
        <w:rPr>
          <w:rStyle w:val="Emphasis"/>
          <w:rFonts w:ascii="Times New Roman" w:hAnsi="Times New Roman"/>
          <w:caps w:val="false"/>
          <w:smallCaps w:val="false"/>
          <w:sz w:val="20"/>
        </w:rPr>
        <w:t>CD19</w:t>
      </w:r>
      <w:r>
        <w:rPr>
          <w:rFonts w:ascii="Times New Roman" w:hAnsi="Times New Roman"/>
          <w:caps w:val="false"/>
          <w:smallCaps w:val="false"/>
          <w:sz w:val="20"/>
        </w:rPr>
        <w:t xml:space="preserve"> bispecific antibody known as TG-</w:t>
      </w:r>
      <w:r>
        <w:rPr>
          <w:rStyle w:val="Emphasis"/>
          <w:rFonts w:ascii="Times New Roman" w:hAnsi="Times New Roman"/>
          <w:caps w:val="false"/>
          <w:smallCaps w:val="false"/>
          <w:sz w:val="20"/>
        </w:rPr>
        <w:t>1801</w:t>
      </w:r>
      <w:r>
        <w:rPr>
          <w:rFonts w:ascii="Times New Roman" w:hAnsi="Times New Roman"/>
          <w:caps w:val="false"/>
          <w:smallCaps w:val="false"/>
          <w:sz w:val="20"/>
        </w:rPr>
        <w:t xml:space="preserve"> (previously NI-</w:t>
      </w:r>
      <w:r>
        <w:rPr>
          <w:rStyle w:val="Emphasis"/>
          <w:rFonts w:ascii="Times New Roman" w:hAnsi="Times New Roman"/>
          <w:caps w:val="false"/>
          <w:smallCaps w:val="false"/>
          <w:sz w:val="20"/>
        </w:rPr>
        <w:t>1701</w:t>
      </w:r>
      <w:r>
        <w:rPr>
          <w:rFonts w:ascii="Times New Roman" w:hAnsi="Times New Roman"/>
          <w:caps w:val="false"/>
          <w:smallCaps w:val="false"/>
          <w:sz w:val="20"/>
        </w:rPr>
        <w:t xml:space="preserve">). The companies will jointly develop the product on a worldwide basis, focusing on indications in the area of hematologic B-cell malignancies. We serve as the primary responsible party for the development, manufacturing and commercialization of the product. Milestone payments will be paid based on early clinical development, and the Company will be responsible for the costs of clinical development of the product through the end of the 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w:t>
      </w:r>
      <w:r>
        <w:rPr>
          <w:rStyle w:val="Emphasis"/>
          <w:rFonts w:ascii="Times New Roman" w:hAnsi="Times New Roman"/>
          <w:caps w:val="false"/>
          <w:smallCaps w:val="false"/>
          <w:sz w:val="20"/>
        </w:rPr>
        <w:t>1801,</w:t>
      </w:r>
      <w:r>
        <w:rPr>
          <w:rFonts w:ascii="Times New Roman" w:hAnsi="Times New Roman"/>
          <w:caps w:val="false"/>
          <w:smallCaps w:val="false"/>
          <w:sz w:val="20"/>
        </w:rPr>
        <w:t xml:space="preserve"> in which case Novimmune is eligible to receive additional milestone payments totaling approximately $185 million as well as tiered royalties on net sales in the high single to low double digits upon and subject to the achievement of certain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UKONIQ (umbralisib)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22, 2014, </w:t>
      </w:r>
      <w:r>
        <w:rPr>
          <w:rFonts w:ascii="Times New Roman" w:hAnsi="Times New Roman"/>
          <w:caps w:val="false"/>
          <w:smallCaps w:val="false"/>
          <w:sz w:val="20"/>
        </w:rPr>
        <w:t>we exercised our option to license the global rights to umbralisib, thereby entering into an exclusive licensing agreement (the TGR-</w:t>
      </w:r>
      <w:r>
        <w:rPr>
          <w:rStyle w:val="Emphasis"/>
          <w:rFonts w:ascii="Times New Roman" w:hAnsi="Times New Roman"/>
          <w:caps w:val="false"/>
          <w:smallCaps w:val="false"/>
          <w:sz w:val="20"/>
        </w:rPr>
        <w:t>1202</w:t>
      </w:r>
      <w:r>
        <w:rPr>
          <w:rFonts w:ascii="Times New Roman" w:hAnsi="Times New Roman"/>
          <w:caps w:val="false"/>
          <w:smallCaps w:val="false"/>
          <w:sz w:val="20"/>
        </w:rPr>
        <w:t xml:space="preserve"> License) with Rhizen Pharmaceuticals, SA (Rhizen) for the development and commercialization of umbralisib.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we have incurred approximately $24.0 million related to the achievement of certain milestones of the Umbralisib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Under the terms of the TGR </w:t>
      </w:r>
      <w:r>
        <w:rPr>
          <w:rStyle w:val="Emphasis"/>
          <w:rFonts w:ascii="Times New Roman" w:hAnsi="Times New Roman"/>
          <w:caps w:val="false"/>
          <w:smallCaps w:val="false"/>
          <w:sz w:val="20"/>
        </w:rPr>
        <w:t>1202</w:t>
      </w:r>
      <w:r>
        <w:rPr>
          <w:rFonts w:ascii="Times New Roman" w:hAnsi="Times New Roman"/>
          <w:caps w:val="false"/>
          <w:smallCaps w:val="false"/>
          <w:sz w:val="20"/>
        </w:rPr>
        <w:t xml:space="preserve"> License, Rhizen is eligible to receive approval and sales-based milestone payments in the aggregate of approximately $175 million payable. For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we paid Rhizen $12.0 million as part of a primary indication approval milestone for launch of product in the US in accordance with the terms of the Umbralisib License. Additionally, Rhizen receives tiered royalties that escalate from high single digits to low double digits on any net sales of umbralisib. UKONIQ was officialy withdrawn from the market in </w:t>
      </w:r>
      <w:r>
        <w:rPr>
          <w:rStyle w:val="Emphasis"/>
          <w:rFonts w:ascii="Times New Roman" w:hAnsi="Times New Roman"/>
          <w:caps w:val="false"/>
          <w:smallCaps w:val="false"/>
          <w:sz w:val="20"/>
        </w:rPr>
        <w:t>May 2022</w:t>
      </w:r>
      <w:r>
        <w:rPr>
          <w:rFonts w:ascii="Times New Roman" w:hAnsi="Times New Roman"/>
          <w:caps w:val="false"/>
          <w:smallCaps w:val="false"/>
          <w:sz w:val="20"/>
        </w:rPr>
        <w:t xml:space="preserve"> and all commercialization activities were discontinued. As a result of the withdrawal, during the year ended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Company recorded zero related to the worldwide royalty due under the Umbralisib License in cost of revenue based on U.S. sales of UKONIQ, and as of </w:t>
      </w:r>
      <w:r>
        <w:rPr>
          <w:rStyle w:val="Emphasis"/>
          <w:rFonts w:ascii="Times New Roman" w:hAnsi="Times New Roman"/>
          <w:caps w:val="false"/>
          <w:smallCaps w:val="false"/>
          <w:sz w:val="20"/>
        </w:rPr>
        <w:t>December 31, 2023, no</w:t>
      </w:r>
      <w:r>
        <w:rPr>
          <w:rFonts w:ascii="Times New Roman" w:hAnsi="Times New Roman"/>
          <w:caps w:val="false"/>
          <w:smallCaps w:val="false"/>
          <w:sz w:val="20"/>
        </w:rPr>
        <w:t xml:space="preserve"> royalties were payable under the Umbralisib License. Due to the withdrawal of UKONIQ from the U.S. market and discontinuation of all commercialization activities,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incur any additional costs related to this license agreement.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TG-</w:t>
      </w:r>
      <w:r>
        <w:rPr>
          <w:rStyle w:val="Emphasis"/>
          <w:rFonts w:ascii="Times New Roman" w:hAnsi="Times New Roman"/>
          <w:b/>
          <w:i/>
          <w:caps w:val="false"/>
          <w:smallCaps w:val="false"/>
          <w:sz w:val="20"/>
        </w:rPr>
        <w:t>1501:</w:t>
      </w:r>
      <w:r>
        <w:rPr>
          <w:rFonts w:ascii="Times New Roman" w:hAnsi="Times New Roman"/>
          <w:b/>
          <w:i/>
          <w:caps w:val="false"/>
          <w:smallCaps w:val="false"/>
          <w:sz w:val="20"/>
        </w:rPr>
        <w:t xml:space="preserve"> Cosibelimab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2015, </w:t>
      </w:r>
      <w:r>
        <w:rPr>
          <w:rFonts w:ascii="Times New Roman" w:hAnsi="Times New Roman"/>
          <w:caps w:val="false"/>
          <w:smallCaps w:val="false"/>
          <w:sz w:val="20"/>
        </w:rPr>
        <w:t>we entered into a Global Collaboration Agreement (Collaboration Agreement) with Checkpoint for the development and commercialization of anti-PD-</w:t>
      </w:r>
      <w:r>
        <w:rPr>
          <w:rStyle w:val="Emphasis"/>
          <w:rFonts w:ascii="Times New Roman" w:hAnsi="Times New Roman"/>
          <w:caps w:val="false"/>
          <w:smallCaps w:val="false"/>
          <w:sz w:val="20"/>
        </w:rPr>
        <w:t>L1</w:t>
      </w:r>
      <w:r>
        <w:rPr>
          <w:rFonts w:ascii="Times New Roman" w:hAnsi="Times New Roman"/>
          <w:caps w:val="false"/>
          <w:smallCaps w:val="false"/>
          <w:sz w:val="20"/>
        </w:rPr>
        <w:t xml:space="preserve"> and anti-GITR antibody research programs in the field of hematological malignancies. The Collaboration Agreement was amended in </w:t>
      </w:r>
      <w:r>
        <w:rPr>
          <w:rStyle w:val="Emphasis"/>
          <w:rFonts w:ascii="Times New Roman" w:hAnsi="Times New Roman"/>
          <w:caps w:val="false"/>
          <w:smallCaps w:val="false"/>
          <w:sz w:val="20"/>
        </w:rPr>
        <w:t xml:space="preserve">June 2019 </w:t>
      </w:r>
      <w:r>
        <w:rPr>
          <w:rFonts w:ascii="Times New Roman" w:hAnsi="Times New Roman"/>
          <w:caps w:val="false"/>
          <w:smallCaps w:val="false"/>
          <w:sz w:val="20"/>
        </w:rPr>
        <w:t xml:space="preserve">and in </w:t>
      </w:r>
      <w:r>
        <w:rPr>
          <w:rStyle w:val="Emphasis"/>
          <w:rFonts w:ascii="Times New Roman" w:hAnsi="Times New Roman"/>
          <w:caps w:val="false"/>
          <w:smallCaps w:val="false"/>
          <w:sz w:val="20"/>
        </w:rPr>
        <w:t xml:space="preserve">March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We incurred expenses of approximately $0.1 million for each of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the majority of which relates to manufacturing expenses, clinical study expenses and milestone payments of PD-</w:t>
      </w:r>
      <w:r>
        <w:rPr>
          <w:rStyle w:val="Emphasis"/>
          <w:rFonts w:ascii="Times New Roman" w:hAnsi="Times New Roman"/>
          <w:caps w:val="false"/>
          <w:smallCaps w:val="false"/>
          <w:sz w:val="20"/>
        </w:rPr>
        <w:t>L1.</w:t>
      </w:r>
      <w:r>
        <w:rPr>
          <w:rFonts w:ascii="Times New Roman" w:hAnsi="Times New Roman"/>
          <w:caps w:val="false"/>
          <w:smallCaps w:val="false"/>
          <w:sz w:val="20"/>
        </w:rPr>
        <w:t xml:space="preserve"> The relevant expenses are recorded in other research and development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 </w:t>
      </w: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July 2015,</w:t>
      </w:r>
      <w:r>
        <w:rPr>
          <w:rFonts w:ascii="Times New Roman" w:hAnsi="Times New Roman"/>
          <w:caps w:val="false"/>
          <w:smallCaps w:val="false"/>
          <w:sz w:val="20"/>
        </w:rPr>
        <w:t xml:space="preserve">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$0.9 million, $1.3 million and $0.9 million for shared services for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 primarily related to shared personnel. Mr. Weiss, our Chairman and Chief Executive Officer, also serves as a director and Executive Vice Chairman, Strategic Development of FBIO.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b/>
        </w:rPr>
      </w:pPr>
      <w:r>
        <w:rPr>
          <w:b/>
        </w:rPr>
        <w:t xml:space="preserve">TG Therapeutics, Inc. and Subsidiaries </w:t>
      </w:r>
    </w:p>
    <w:p>
      <w:pPr>
        <w:pStyle w:val="TextBody"/>
        <w:bidi w:val="0"/>
        <w:spacing w:before="0" w:after="0"/>
        <w:ind w:left="0" w:right="0" w:hanging="0"/>
        <w:jc w:val="center"/>
        <w:rPr>
          <w:b/>
        </w:rPr>
      </w:pPr>
      <w:r>
        <w:rPr>
          <w:b/>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March 2015,</w:t>
      </w:r>
      <w:r>
        <w:rPr>
          <w:rFonts w:ascii="Times New Roman" w:hAnsi="Times New Roman"/>
          <w:caps w:val="false"/>
          <w:smallCaps w:val="false"/>
          <w:sz w:val="20"/>
        </w:rPr>
        <w:t xml:space="preserve"> we entered into the Collaboration Agreement with Checkpoint, a subsidiary of FBIO, for the development and commercialization of anti-PD-</w:t>
      </w:r>
      <w:r>
        <w:rPr>
          <w:rStyle w:val="Emphasis"/>
          <w:rFonts w:ascii="Times New Roman" w:hAnsi="Times New Roman"/>
          <w:caps w:val="false"/>
          <w:smallCaps w:val="false"/>
          <w:sz w:val="20"/>
        </w:rPr>
        <w:t>L1</w:t>
      </w:r>
      <w:r>
        <w:rPr>
          <w:rFonts w:ascii="Times New Roman" w:hAnsi="Times New Roman"/>
          <w:caps w:val="false"/>
          <w:smallCaps w:val="false"/>
          <w:sz w:val="20"/>
        </w:rPr>
        <w:t xml:space="preserve"> and anti-GITR antibody research programs in the field of hematological malignancies. In </w:t>
      </w:r>
      <w:r>
        <w:rPr>
          <w:rStyle w:val="Emphasis"/>
          <w:rFonts w:ascii="Times New Roman" w:hAnsi="Times New Roman"/>
          <w:caps w:val="false"/>
          <w:smallCaps w:val="false"/>
          <w:sz w:val="20"/>
        </w:rPr>
        <w:t>May 2016,</w:t>
      </w:r>
      <w:r>
        <w:rPr>
          <w:rFonts w:ascii="Times New Roman" w:hAnsi="Times New Roman"/>
          <w:caps w:val="false"/>
          <w:smallCaps w:val="false"/>
          <w:sz w:val="20"/>
        </w:rPr>
        <w:t xml:space="preserve"> as part of a broader agreement with Jubilant, we entered into a sublicense agreement (JBET Agreement) with Checkpoint for the development and commercialization of Jubilant’s novel BET inhibitor program in the field of hematological malignancies. Mr. Weiss also serves as Chairman of the Board of Directors of Checkpoint.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Please refer to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 Leases for details regarding the Office Agreement with FBIO, as well as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 License Agreements for details regarding the Collaboration Agreement with Checkpoint.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caps w:val="false"/>
          <w:smallCaps w:val="false"/>
          <w:sz w:val="20"/>
        </w:rPr>
        <w:t xml:space="preserve"> –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we have known contractual obligations; commitments and contingencies of $115.4 million related to our short- and long-term liabilities and operating lease obligations.</w:t>
      </w:r>
    </w:p>
    <w:p>
      <w:pPr>
        <w:pStyle w:val="TextBody"/>
        <w:bidi w:val="0"/>
        <w:spacing w:before="0" w:after="0"/>
        <w:ind w:left="0" w:right="0" w:hanging="0"/>
        <w:jc w:val="left"/>
        <w:rPr>
          <w:caps w:val="false"/>
          <w:smallCaps w:val="false"/>
        </w:rPr>
      </w:pPr>
      <w:r>
        <w:rPr>
          <w:caps w:val="false"/>
          <w:smallCaps w:val="false"/>
        </w:rPr>
        <w:t> </w:t>
      </w:r>
    </w:p>
    <w:tbl>
      <w:tblPr>
        <w:tblW w:w="7882" w:type="dxa"/>
        <w:jc w:val="left"/>
        <w:tblInd w:w="0" w:type="dxa"/>
        <w:tblLayout w:type="fixed"/>
        <w:tblCellMar>
          <w:top w:w="0" w:type="dxa"/>
          <w:left w:w="0" w:type="dxa"/>
          <w:bottom w:w="0" w:type="dxa"/>
          <w:right w:w="0" w:type="dxa"/>
        </w:tblCellMar>
      </w:tblPr>
      <w:tblGrid>
        <w:gridCol w:w="3185"/>
        <w:gridCol w:w="60"/>
        <w:gridCol w:w="125"/>
        <w:gridCol w:w="695"/>
        <w:gridCol w:w="60"/>
        <w:gridCol w:w="60"/>
        <w:gridCol w:w="163"/>
        <w:gridCol w:w="636"/>
        <w:gridCol w:w="60"/>
        <w:gridCol w:w="60"/>
        <w:gridCol w:w="125"/>
        <w:gridCol w:w="695"/>
        <w:gridCol w:w="60"/>
        <w:gridCol w:w="60"/>
        <w:gridCol w:w="157"/>
        <w:gridCol w:w="612"/>
        <w:gridCol w:w="60"/>
        <w:gridCol w:w="60"/>
        <w:gridCol w:w="182"/>
        <w:gridCol w:w="707"/>
        <w:gridCol w:w="6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Less than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More than</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due by period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1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1-3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3-5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5 years</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9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8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 leases for a detailed description of our lease arrangements in New York, New Jersey and North Carolina. Total rental expense was approximately $2.2 million, $2.7 million and $2.2 million for the years ended </w:t>
      </w:r>
      <w:r>
        <w:rPr>
          <w:rStyle w:val="Emphasis"/>
          <w:rFonts w:ascii="Times New Roman" w:hAnsi="Times New Roman"/>
          <w:caps w:val="false"/>
          <w:smallCaps w:val="false"/>
          <w:sz w:val="20"/>
        </w:rPr>
        <w:t>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Future minimum lease commitments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in the aggregate total approximately $15.0 million through </w:t>
      </w:r>
      <w:r>
        <w:rPr>
          <w:rStyle w:val="Emphasis"/>
          <w:rFonts w:ascii="Times New Roman" w:hAnsi="Times New Roman"/>
          <w:caps w:val="false"/>
          <w:smallCaps w:val="false"/>
          <w:sz w:val="20"/>
        </w:rPr>
        <w:t xml:space="preserve">July 31, 2031. </w:t>
      </w:r>
      <w:r>
        <w:rPr>
          <w:rFonts w:ascii="Times New Roman" w:hAnsi="Times New Roman"/>
          <w:caps w:val="false"/>
          <w:smallCaps w:val="false"/>
          <w:sz w:val="20"/>
        </w:rPr>
        <w:t xml:space="preserve">The preceding table shows future minimum lease commitments, which include our office leases in New York, New Jersey, and North Carolina by year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Loan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7</w:t>
      </w:r>
      <w:r>
        <w:rPr>
          <w:rFonts w:ascii="Times New Roman" w:hAnsi="Times New Roman"/>
          <w:caps w:val="false"/>
          <w:smallCaps w:val="false"/>
          <w:sz w:val="20"/>
        </w:rPr>
        <w:t> – Loan payable for a detail description of our loan agreement.</w:t>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 </w:t>
      </w:r>
      <w:r>
        <w:rPr>
          <w:rFonts w:ascii="Times New Roman;Times;serif" w:hAnsi="Times New Roman;Times;serif"/>
          <w:b/>
          <w:caps/>
          <w:sz w:val="20"/>
        </w:rPr>
        <w:t>Subsequent Events </w:t>
      </w:r>
    </w:p>
    <w:p>
      <w:pPr>
        <w:pStyle w:val="TextBody"/>
        <w:bidi w:val="0"/>
        <w:spacing w:before="0" w:after="0"/>
        <w:ind w:left="0" w:right="0" w:hanging="0"/>
        <w:jc w:val="both"/>
        <w:rPr/>
      </w:pPr>
      <w:r>
        <w:rPr/>
        <w:t>     </w:t>
      </w:r>
    </w:p>
    <w:p>
      <w:pPr>
        <w:pStyle w:val="TextBody"/>
        <w:bidi w:val="0"/>
        <w:spacing w:before="0" w:after="0"/>
        <w:ind w:left="320" w:right="0" w:firstLine="720"/>
        <w:jc w:val="both"/>
        <w:rPr>
          <w:rFonts w:ascii="Times New Roman" w:hAnsi="Times New Roman"/>
          <w:i/>
          <w:caps w:val="false"/>
          <w:smallCaps w:val="false"/>
          <w:sz w:val="20"/>
        </w:rPr>
      </w:pPr>
      <w:r>
        <w:rPr>
          <w:rFonts w:ascii="Times New Roman" w:hAnsi="Times New Roman"/>
          <w:i/>
          <w:caps w:val="false"/>
          <w:smallCaps w:val="false"/>
          <w:sz w:val="20"/>
        </w:rPr>
        <w:t>Precision Bio</w:t>
      </w:r>
    </w:p>
    <w:p>
      <w:pPr>
        <w:pStyle w:val="TextBody"/>
        <w:bidi w:val="0"/>
        <w:spacing w:before="0" w:after="0"/>
        <w:ind w:left="320" w:right="0" w:firstLine="720"/>
        <w:jc w:val="both"/>
        <w:rPr>
          <w:caps w:val="false"/>
          <w:smallCaps w:val="false"/>
        </w:rPr>
      </w:pPr>
      <w:r>
        <w:rPr>
          <w:caps w:val="false"/>
          <w:smallCaps w:val="false"/>
        </w:rPr>
        <w:t> </w:t>
      </w:r>
    </w:p>
    <w:p>
      <w:pPr>
        <w:pStyle w:val="TextBody"/>
        <w:bidi w:val="0"/>
        <w:spacing w:before="0" w:after="0"/>
        <w:ind w:left="32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7, 2024, </w:t>
      </w:r>
      <w:r>
        <w:rPr>
          <w:rFonts w:ascii="Times New Roman" w:hAnsi="Times New Roman"/>
          <w:caps w:val="false"/>
          <w:smallCaps w:val="false"/>
          <w:sz w:val="20"/>
        </w:rPr>
        <w:t>TG and its wholly-owned subsidiary, TG Cell Therapy, Inc., entered into a License Agreement (the Precision License Agreement</w:t>
      </w:r>
      <w:r>
        <w:rPr>
          <w:rFonts w:ascii="Times New Roman" w:hAnsi="Times New Roman"/>
          <w:caps w:val="false"/>
          <w:smallCaps w:val="false"/>
          <w:sz w:val="20"/>
          <w:u w:val="single"/>
        </w:rPr>
        <w:t>)</w:t>
      </w:r>
      <w:r>
        <w:rPr>
          <w:rFonts w:ascii="Times New Roman" w:hAnsi="Times New Roman"/>
          <w:caps w:val="false"/>
          <w:smallCaps w:val="false"/>
          <w:sz w:val="20"/>
        </w:rPr>
        <w:t xml:space="preserve"> with Precision BioSciences, Inc. </w:t>
      </w:r>
      <w:r>
        <w:rPr>
          <w:rFonts w:ascii="Times New Roman" w:hAnsi="Times New Roman"/>
          <w:caps w:val="false"/>
          <w:smallCaps w:val="false"/>
          <w:sz w:val="20"/>
          <w:u w:val="single"/>
        </w:rPr>
        <w:t>(</w:t>
      </w:r>
      <w:r>
        <w:rPr>
          <w:rFonts w:ascii="Times New Roman" w:hAnsi="Times New Roman"/>
          <w:caps w:val="false"/>
          <w:smallCaps w:val="false"/>
          <w:sz w:val="20"/>
        </w:rPr>
        <w:t>Precision</w:t>
      </w:r>
      <w:r>
        <w:rPr>
          <w:rFonts w:ascii="Times New Roman" w:hAnsi="Times New Roman"/>
          <w:caps w:val="false"/>
          <w:smallCaps w:val="false"/>
          <w:sz w:val="20"/>
          <w:u w:val="single"/>
        </w:rPr>
        <w:t>),</w:t>
      </w:r>
      <w:r>
        <w:rPr>
          <w:rFonts w:ascii="Times New Roman" w:hAnsi="Times New Roman"/>
          <w:caps w:val="false"/>
          <w:smallCaps w:val="false"/>
          <w:sz w:val="20"/>
        </w:rPr>
        <w:t xml:space="preserve"> pursuant to which Precision granted the Company certain exclusive and non-exclusive license rights to develop, manufacture, and commercialize Precision’s allogeneic CAR T therapy azercabtagene zapreleucel </w:t>
      </w:r>
      <w:r>
        <w:rPr>
          <w:rFonts w:ascii="Times New Roman" w:hAnsi="Times New Roman"/>
          <w:caps w:val="false"/>
          <w:smallCaps w:val="false"/>
          <w:sz w:val="20"/>
          <w:u w:val="single"/>
        </w:rPr>
        <w:t>(</w:t>
      </w:r>
      <w:r>
        <w:rPr>
          <w:rFonts w:ascii="Times New Roman" w:hAnsi="Times New Roman"/>
          <w:caps w:val="false"/>
          <w:smallCaps w:val="false"/>
          <w:sz w:val="20"/>
        </w:rPr>
        <w:t>azer-cel</w:t>
      </w:r>
      <w:r>
        <w:rPr>
          <w:rFonts w:ascii="Times New Roman" w:hAnsi="Times New Roman"/>
          <w:caps w:val="false"/>
          <w:smallCaps w:val="false"/>
          <w:sz w:val="20"/>
          <w:u w:val="single"/>
        </w:rPr>
        <w:t>)</w:t>
      </w:r>
      <w:r>
        <w:rPr>
          <w:rFonts w:ascii="Times New Roman" w:hAnsi="Times New Roman"/>
          <w:caps w:val="false"/>
          <w:smallCaps w:val="false"/>
          <w:sz w:val="20"/>
        </w:rPr>
        <w:t xml:space="preserve"> for the treatment of autoimmune and other non-oncology diseases and conditions (collectively, the Field</w:t>
      </w:r>
      <w:r>
        <w:rPr>
          <w:rFonts w:ascii="Times New Roman" w:hAnsi="Times New Roman"/>
          <w:caps w:val="false"/>
          <w:smallCaps w:val="false"/>
          <w:sz w:val="20"/>
          <w:u w:val="single"/>
        </w:rPr>
        <w:t>).</w:t>
      </w:r>
    </w:p>
    <w:p>
      <w:pPr>
        <w:pStyle w:val="TextBody"/>
        <w:bidi w:val="0"/>
        <w:spacing w:before="0" w:after="0"/>
        <w:ind w:left="320" w:right="0" w:firstLine="720"/>
        <w:jc w:val="both"/>
        <w:rPr/>
      </w:pPr>
      <w:r>
        <w:rPr>
          <w:rFonts w:ascii="Times New Roman" w:hAnsi="Times New Roman"/>
          <w:caps w:val="false"/>
          <w:smallCaps w:val="false"/>
          <w:sz w:val="20"/>
        </w:rPr>
        <w:t xml:space="preserve">Pursuant to the Precision License Agreement, the Company will make an upfront payment to Precision of $7.5 million, consisting of (i) $5.25 million in cash and (ii) $2.25 million, as an equity investment, for the purchase of 2,920,816 shares of Precision’s common stock at a price of $0.77 per share. Within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of the Precision License Agreement, the Company will make a deferred payment of $2.5 million to Precision, consisting of an equity investment in Precision’s common stock at a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premium to the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volume-weighted average price (the </w:t>
      </w:r>
      <w:r>
        <w:rPr>
          <w:rStyle w:val="Emphasis"/>
          <w:rFonts w:ascii="Times New Roman" w:hAnsi="Times New Roman"/>
          <w:caps w:val="false"/>
          <w:smallCaps w:val="false"/>
          <w:sz w:val="20"/>
        </w:rPr>
        <w:t>30</w:t>
      </w:r>
      <w:r>
        <w:rPr>
          <w:rFonts w:ascii="Times New Roman" w:hAnsi="Times New Roman"/>
          <w:caps w:val="false"/>
          <w:smallCaps w:val="false"/>
          <w:sz w:val="20"/>
        </w:rPr>
        <w:t>-day VWAP</w:t>
      </w:r>
      <w:r>
        <w:rPr>
          <w:rFonts w:ascii="Times New Roman" w:hAnsi="Times New Roman"/>
          <w:caps w:val="false"/>
          <w:smallCaps w:val="false"/>
          <w:sz w:val="20"/>
          <w:u w:val="single"/>
        </w:rPr>
        <w:t>)</w:t>
      </w:r>
      <w:r>
        <w:rPr>
          <w:rFonts w:ascii="Times New Roman" w:hAnsi="Times New Roman"/>
          <w:caps w:val="false"/>
          <w:smallCaps w:val="false"/>
          <w:sz w:val="20"/>
        </w:rPr>
        <w:t xml:space="preserve"> prior to purchase. Upon achievement of certain near-term clinical or time-based milestones, the Company will make a $7.5 million payment to Precision, a portion of which will also be an equity investment in Precision’s common stock at a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premium to the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VWAP prior to purchase. 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following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the licensed product in such country. The Company has also agreed to make certain payments to Precision’s licensors during the term of the Precision License Agreement.</w:t>
      </w:r>
    </w:p>
    <w:p>
      <w:pPr>
        <w:pStyle w:val="TextBody"/>
        <w:bidi w:val="0"/>
        <w:spacing w:before="0" w:after="0"/>
        <w:ind w:left="320" w:right="0" w:firstLine="720"/>
        <w:jc w:val="both"/>
        <w:rPr>
          <w:caps w:val="false"/>
          <w:smallCaps w:val="false"/>
        </w:rPr>
      </w:pPr>
      <w:r>
        <w:rPr>
          <w:caps w:val="false"/>
          <w:smallCaps w:val="false"/>
        </w:rPr>
        <w:t> </w:t>
      </w:r>
    </w:p>
    <w:p>
      <w:pPr>
        <w:pStyle w:val="TextBody"/>
        <w:bidi w:val="0"/>
        <w:spacing w:before="0" w:after="0"/>
        <w:ind w:left="160" w:right="0" w:firstLine="900"/>
        <w:jc w:val="left"/>
        <w:rPr>
          <w:rFonts w:ascii="Times New Roman" w:hAnsi="Times New Roman"/>
          <w:i/>
          <w:caps w:val="false"/>
          <w:smallCaps w:val="false"/>
          <w:sz w:val="20"/>
        </w:rPr>
      </w:pPr>
      <w:r>
        <w:rPr>
          <w:rFonts w:ascii="Times New Roman" w:hAnsi="Times New Roman"/>
          <w:i/>
          <w:caps w:val="false"/>
          <w:smallCaps w:val="false"/>
          <w:sz w:val="20"/>
        </w:rPr>
        <w:t>Ex-U.S. BRIUMVI Launch</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32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26, 2024, </w:t>
      </w:r>
      <w:r>
        <w:rPr>
          <w:rFonts w:ascii="Times New Roman" w:hAnsi="Times New Roman"/>
          <w:caps w:val="false"/>
          <w:smallCaps w:val="false"/>
          <w:sz w:val="20"/>
        </w:rPr>
        <w:t xml:space="preserve">TG announced that its ex-US partner, Neuraxpharm launched BRIUMVI in Europe, for the treatment of adults patients with relapsing forms of multiple sclerosis (RMS), who have active disease defined by clinical or imaging features. The launch commenced in Germany, with additional launches throughout Europe to follow. In accordance with the ex-US commercialization agreement, TG will receive a milestone payment of $12.5 million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launch of BRIUMVI in a European country.</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1985"/>
        <w:gridCol w:w="410"/>
        <w:gridCol w:w="3125"/>
      </w:tblGrid>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TG THERAPEUTICS,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29, 2024</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 </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83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6" w:name="poa"/>
      <w:bookmarkEnd w:id="36"/>
      <w:r>
        <w:rPr>
          <w:rFonts w:ascii="Times New Roman" w:hAnsi="Times New Roman"/>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this Form 10-K has been signed by the following persons on behalf of the Registrant on February 29, 2024, and in the capacities indicated:</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28" w:type="dxa"/>
          <w:right w:w="0" w:type="dxa"/>
        </w:tblCellMar>
      </w:tblPr>
      <w:tblGrid>
        <w:gridCol w:w="1970"/>
        <w:gridCol w:w="60"/>
        <w:gridCol w:w="4715"/>
      </w:tblGrid>
      <w:tr>
        <w:trPr/>
        <w:tc>
          <w:tcPr>
            <w:tcW w:w="19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tc>
        <w:tc>
          <w:tcPr>
            <w:tcW w:w="60" w:type="dxa"/>
            <w:tcBorders/>
            <w:tcMar>
              <w:bottom w:w="0" w:type="dxa"/>
            </w:tcMar>
            <w:vAlign w:val="center"/>
          </w:tcPr>
          <w:p>
            <w:pPr>
              <w:pStyle w:val="TableContents"/>
              <w:bidi w:val="0"/>
              <w:spacing w:before="0" w:after="283"/>
              <w:jc w:val="left"/>
              <w:rPr/>
            </w:pPr>
            <w:r>
              <w:rPr/>
              <w:t> </w:t>
            </w:r>
          </w:p>
        </w:tc>
        <w:tc>
          <w:tcPr>
            <w:tcW w:w="47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r>
      <w:tr>
        <w:trPr/>
        <w:tc>
          <w:tcPr>
            <w:tcW w:w="1970" w:type="dxa"/>
            <w:tcBorders/>
            <w:tcMar>
              <w:bottom w:w="0" w:type="dxa"/>
            </w:tcMar>
            <w:vAlign w:val="center"/>
          </w:tcPr>
          <w:p>
            <w:pPr>
              <w:pStyle w:val="TableContents"/>
              <w:bidi w:val="0"/>
              <w:spacing w:before="0" w:after="0"/>
              <w:ind w:left="40" w:right="0" w:hanging="0"/>
              <w:jc w:val="center"/>
              <w:rPr>
                <w:rFonts w:ascii="Times New Roman" w:hAnsi="Times New Roman"/>
                <w:caps w:val="false"/>
                <w:smallCaps w:val="false"/>
                <w:sz w:val="20"/>
              </w:rPr>
            </w:pPr>
            <w:r>
              <w:rPr>
                <w:rFonts w:ascii="Times New Roman" w:hAnsi="Times New Roman"/>
                <w:caps w:val="false"/>
                <w:smallCaps w:val="false"/>
                <w:sz w:val="20"/>
              </w:rPr>
              <w:t>/s/ Michael S. Weiss</w:t>
              <w:br/>
              <w:t>Michael S. Weiss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r>
        <w:trPr/>
        <w:tc>
          <w:tcPr>
            <w:tcW w:w="197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Sean A. Power</w:t>
              <w:br/>
              <w:t>Sean A. Power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Treasurer and Corporate Secretary</w:t>
            </w:r>
          </w:p>
        </w:tc>
      </w:tr>
      <w:tr>
        <w:trPr/>
        <w:tc>
          <w:tcPr>
            <w:tcW w:w="197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Laurence N. Charney</w:t>
              <w:br/>
              <w:t>Laurence N. Charney</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Yann Echelard</w:t>
              <w:br/>
              <w:t>Yann Echelard</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Kenneth Hoberman</w:t>
              <w:br/>
              <w:t>Kenneth Hoberman</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Daniel Hume</w:t>
              <w:br/>
              <w:t>Daniel Hume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97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Sagar Lonial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Sagar Lonial</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7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 xml:space="preserve">84 </w:t>
      </w:r>
    </w:p>
    <w:p>
      <w:pPr>
        <w:pStyle w:val="TextBody"/>
        <w:bidi w:val="0"/>
        <w:spacing w:before="0" w:after="0"/>
        <w:ind w:left="0" w:right="0" w:hanging="0"/>
        <w:jc w:val="right"/>
        <w:rPr/>
      </w:pPr>
      <w:bookmarkStart w:id="37" w:name="ex_631839.htm"/>
      <w:bookmarkStart w:id="38" w:name="ksex_631839"/>
      <w:bookmarkEnd w:id="37"/>
      <w:bookmarkEnd w:id="38"/>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10.38</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information marked as [***] has been excluded from this exhibit because it is both</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material and is the type that the registrant treats as private or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 and among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CELL THERAPY,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PRECISION BIOSCIENCES,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283"/>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w:t>
      </w:r>
      <w:r>
        <w:rPr>
          <w:rFonts w:ascii="Times New Roman" w:hAnsi="Times New Roman"/>
          <w:b/>
          <w:caps w:val="false"/>
          <w:smallCaps w:val="false"/>
          <w:sz w:val="20"/>
        </w:rPr>
        <w:t>License Agreement</w:t>
      </w:r>
      <w:r>
        <w:rPr>
          <w:rFonts w:ascii="Times New Roman" w:hAnsi="Times New Roman"/>
          <w:caps w:val="false"/>
          <w:smallCaps w:val="false"/>
          <w:sz w:val="20"/>
        </w:rPr>
        <w:t xml:space="preserve"> (“</w:t>
      </w:r>
      <w:r>
        <w:rPr>
          <w:rFonts w:ascii="Times New Roman" w:hAnsi="Times New Roman"/>
          <w:b/>
          <w:i/>
          <w:caps w:val="false"/>
          <w:smallCaps w:val="false"/>
          <w:sz w:val="20"/>
        </w:rPr>
        <w:t>Agreement</w:t>
      </w:r>
      <w:r>
        <w:rPr>
          <w:rFonts w:ascii="Times New Roman" w:hAnsi="Times New Roman"/>
          <w:caps w:val="false"/>
          <w:smallCaps w:val="false"/>
          <w:sz w:val="20"/>
        </w:rPr>
        <w:t>”) is entered into as of January 7, 2024 (the “</w:t>
      </w:r>
      <w:r>
        <w:rPr>
          <w:rFonts w:ascii="Times New Roman" w:hAnsi="Times New Roman"/>
          <w:b/>
          <w:i/>
          <w:caps w:val="false"/>
          <w:smallCaps w:val="false"/>
          <w:sz w:val="20"/>
        </w:rPr>
        <w:t>Effective Date</w:t>
      </w:r>
      <w:r>
        <w:rPr>
          <w:rFonts w:ascii="Times New Roman" w:hAnsi="Times New Roman"/>
          <w:caps w:val="false"/>
          <w:smallCaps w:val="false"/>
          <w:sz w:val="20"/>
        </w:rPr>
        <w:t xml:space="preserve">”), by and among </w:t>
      </w:r>
      <w:r>
        <w:rPr>
          <w:rFonts w:ascii="Times New Roman" w:hAnsi="Times New Roman"/>
          <w:b/>
          <w:caps w:val="false"/>
          <w:smallCaps w:val="false"/>
          <w:sz w:val="20"/>
        </w:rPr>
        <w:t>Precision BioSciences, Inc.</w:t>
      </w:r>
      <w:r>
        <w:rPr>
          <w:rFonts w:ascii="Times New Roman" w:hAnsi="Times New Roman"/>
          <w:caps w:val="false"/>
          <w:smallCaps w:val="false"/>
          <w:sz w:val="20"/>
        </w:rPr>
        <w:t>, a corporation organized and existing under the laws of Delaware, having an address at 302 East Pettigrew St., Suite A-100, Durham, North Carolina 27701 (“</w:t>
      </w:r>
      <w:r>
        <w:rPr>
          <w:rFonts w:ascii="Times New Roman" w:hAnsi="Times New Roman"/>
          <w:b/>
          <w:i/>
          <w:caps w:val="false"/>
          <w:smallCaps w:val="false"/>
          <w:sz w:val="20"/>
        </w:rPr>
        <w:t>Precision</w:t>
      </w:r>
      <w:r>
        <w:rPr>
          <w:rFonts w:ascii="Times New Roman" w:hAnsi="Times New Roman"/>
          <w:caps w:val="false"/>
          <w:smallCaps w:val="false"/>
          <w:sz w:val="20"/>
        </w:rPr>
        <w:t xml:space="preserve">”), </w:t>
      </w:r>
      <w:r>
        <w:rPr>
          <w:rFonts w:ascii="Times New Roman" w:hAnsi="Times New Roman"/>
          <w:b/>
          <w:caps w:val="false"/>
          <w:smallCaps w:val="false"/>
          <w:sz w:val="20"/>
        </w:rPr>
        <w:t>TG Cell Therapy, Inc.</w:t>
      </w:r>
      <w:r>
        <w:rPr>
          <w:rFonts w:ascii="Times New Roman" w:hAnsi="Times New Roman"/>
          <w:caps w:val="false"/>
          <w:smallCaps w:val="false"/>
          <w:sz w:val="20"/>
        </w:rPr>
        <w:t>, a corporation organized and existing under the laws of Delaware, with its principal business office located at 3020 Carrington Mill Blvd, Suite 475, Morrisville, North Carolina 27560 (“</w:t>
      </w:r>
      <w:r>
        <w:rPr>
          <w:rFonts w:ascii="Times New Roman" w:hAnsi="Times New Roman"/>
          <w:b/>
          <w:i/>
          <w:caps w:val="false"/>
          <w:smallCaps w:val="false"/>
          <w:sz w:val="20"/>
        </w:rPr>
        <w:t>TGTX</w:t>
      </w:r>
      <w:r>
        <w:rPr>
          <w:rFonts w:ascii="Times New Roman" w:hAnsi="Times New Roman"/>
          <w:caps w:val="false"/>
          <w:smallCaps w:val="false"/>
          <w:sz w:val="20"/>
        </w:rPr>
        <w:t xml:space="preserve">”), and, with respect to Sections 8.14 and 15.18 (including the other sections or subsections referred to therein or applicable thereto), </w:t>
      </w:r>
      <w:r>
        <w:rPr>
          <w:rFonts w:ascii="Times New Roman" w:hAnsi="Times New Roman"/>
          <w:b/>
          <w:caps w:val="false"/>
          <w:smallCaps w:val="false"/>
          <w:sz w:val="20"/>
        </w:rPr>
        <w:t>TG Therapeutics, Inc.</w:t>
      </w:r>
      <w:r>
        <w:rPr>
          <w:rFonts w:ascii="Times New Roman" w:hAnsi="Times New Roman"/>
          <w:caps w:val="false"/>
          <w:smallCaps w:val="false"/>
          <w:sz w:val="20"/>
        </w:rPr>
        <w:t>, a corporation organized and existing under the laws of Delaware, with its principal business office located at 3020 Carrington Mill Blvd, Suite 475, Morrisville, North Carolina 27560 (“</w:t>
      </w:r>
      <w:r>
        <w:rPr>
          <w:rFonts w:ascii="Times New Roman" w:hAnsi="Times New Roman"/>
          <w:b/>
          <w:i/>
          <w:caps w:val="false"/>
          <w:smallCaps w:val="false"/>
          <w:sz w:val="20"/>
        </w:rPr>
        <w:t>TGTX Parent</w:t>
      </w:r>
      <w:r>
        <w:rPr>
          <w:rFonts w:ascii="Times New Roman" w:hAnsi="Times New Roman"/>
          <w:caps w:val="false"/>
          <w:smallCaps w:val="false"/>
          <w:sz w:val="20"/>
        </w:rPr>
        <w:t>”). TGTX and Precision are each hereafter referred to individually as a “</w:t>
      </w:r>
      <w:r>
        <w:rPr>
          <w:rFonts w:ascii="Times New Roman" w:hAnsi="Times New Roman"/>
          <w:b/>
          <w:i/>
          <w:caps w:val="false"/>
          <w:smallCaps w:val="false"/>
          <w:sz w:val="20"/>
        </w:rPr>
        <w:t>Party</w:t>
      </w:r>
      <w:r>
        <w:rPr>
          <w:rFonts w:ascii="Times New Roman" w:hAnsi="Times New Roman"/>
          <w:caps w:val="false"/>
          <w:smallCaps w:val="false"/>
          <w:sz w:val="20"/>
        </w:rPr>
        <w:t>” and together as the “</w:t>
      </w:r>
      <w:r>
        <w:rPr>
          <w:rFonts w:ascii="Times New Roman" w:hAnsi="Times New Roman"/>
          <w:b/>
          <w:i/>
          <w:caps w:val="false"/>
          <w:smallCaps w:val="false"/>
          <w:sz w:val="20"/>
        </w:rPr>
        <w:t>Parties</w:t>
      </w:r>
      <w:r>
        <w:rPr>
          <w:rFonts w:ascii="Times New Roman" w:hAnsi="Times New Roman"/>
          <w:i/>
          <w:caps w:val="false"/>
          <w:smallCaps w:val="false"/>
          <w:sz w:val="20"/>
        </w:rPr>
        <w: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Precision is a Nasdaq-listed, genome-editing and cell therapy company, which leverages its proprietary ARCUS Technology (as defined below) that is based on I-CREI derived engineered meganucleases and cell therapy platform to develop, manufacture, and commercialize allogeneic CAR-T (as defined below) products and for in vivo gene editing for the treatment of genetic disease;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TGTX and its Affiliates, including its parent, TGTX Parent, are engaged in the research, development, and commercialization of pharmaceutical products targeting B-cell diseases and conditions;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TGTX desires to obtain from Precision, and Precision desires to grant to TGTX, certain exclusive and non-exclusive license rights to develop, manufacture, and commercialize Precision’s current investigational cell therapy product, known as “azer-cel,” for treatment of autoimmune and other non-oncology diseases and conditions, all subject to the terms and conditions of this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w:t>
      </w:r>
      <w:r>
        <w:rPr>
          <w:rFonts w:ascii="Times New Roman" w:hAnsi="Times New Roman"/>
          <w:caps w:val="false"/>
          <w:smallCaps w:val="false"/>
          <w:sz w:val="20"/>
        </w:rPr>
        <w:t xml:space="preserve">, </w:t>
      </w:r>
      <w:r>
        <w:rPr>
          <w:rFonts w:ascii="Times New Roman" w:hAnsi="Times New Roman"/>
          <w:b/>
          <w:caps w:val="false"/>
          <w:smallCaps w:val="false"/>
          <w:sz w:val="20"/>
        </w:rPr>
        <w:t>THEREFORE</w:t>
      </w:r>
      <w:r>
        <w:rPr>
          <w:rFonts w:ascii="Times New Roman" w:hAnsi="Times New Roman"/>
          <w:caps w:val="false"/>
          <w:smallCaps w:val="false"/>
          <w:sz w:val="20"/>
        </w:rPr>
        <w:t>, in consideration of the mutual covenants contained herein, and for other good and valuable consideration, the receipt and adequacy of which are hereby acknowledged,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w:t>
      </w:r>
      <w:r>
        <w:rPr>
          <w:rFonts w:ascii="Times New Roman" w:hAnsi="Times New Roman"/>
          <w:caps w:val="false"/>
          <w:smallCaps w:val="false"/>
          <w:sz w:val="20"/>
        </w:rPr>
        <w:br/>
        <w:br/>
      </w:r>
      <w:r>
        <w:rPr>
          <w:rFonts w:ascii="Times New Roman" w:hAnsi="Times New Roman"/>
          <w:b/>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Capitalized terms used in this Agreement and the Schedules and Exhibits hereto shall have the following meanings (or as defined elsewhere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i/>
          <w:caps w:val="false"/>
          <w:smallCaps w:val="false"/>
          <w:sz w:val="20"/>
        </w:rPr>
        <w:t>Acquirer</w:t>
      </w:r>
      <w:r>
        <w:rPr>
          <w:rFonts w:ascii="Times New Roman" w:hAnsi="Times New Roman"/>
          <w:caps w:val="false"/>
          <w:smallCaps w:val="false"/>
          <w:sz w:val="20"/>
        </w:rPr>
        <w:t>” has the meaning set forth in the definition of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i/>
          <w:caps w:val="false"/>
          <w:smallCaps w:val="false"/>
          <w:sz w:val="20"/>
        </w:rPr>
        <w:t>Active Ingredient</w:t>
      </w:r>
      <w:r>
        <w:rPr>
          <w:rFonts w:ascii="Times New Roman" w:hAnsi="Times New Roman"/>
          <w:caps w:val="false"/>
          <w:smallCaps w:val="false"/>
          <w:sz w:val="20"/>
        </w:rPr>
        <w:t>” means, with respect to a Combination Product, an active therapeutic ingredient having a different therapeutic target or mode of action, or which is otherwise treated or designated by the applicable Regulatory Authority as a separate active ingredient, than the applicable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i/>
          <w:caps w:val="false"/>
          <w:smallCaps w:val="false"/>
          <w:sz w:val="20"/>
        </w:rPr>
        <w:t>Affiliate</w:t>
      </w:r>
      <w:r>
        <w:rPr>
          <w:rFonts w:ascii="Times New Roman" w:hAnsi="Times New Roman"/>
          <w:caps w:val="false"/>
          <w:smallCaps w:val="false"/>
          <w:sz w:val="20"/>
        </w:rPr>
        <w:t>” means, with respect to any Person, any entity that, at the relevant time (whether as of the Effective Date or thereafter), directly or indirectly through one or more intermediaries, controls, is controlled by, or is under common control with such Person, for so long as such control exists. As used in this Section 1.3, “control” means: (a) to possess, directly or indirectly, the power to direct or cause the direction of the management or policies of an entity, whether through ownership of voting securities or by contract relating to voting rights or corporate governance; or (b) direct or indirect ownership of fifty percent (50%) (or such lesser percentage that is the maximum allowed to be owned by a foreign entity in a particular jurisdiction) or more of the voting share capital or other equity interest in such entity. Notwithstanding anything to the contrary in this Agreement, Precision, on the one hand, and TGTX, on the other hand, shall not be considered Affiliates of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b/>
          <w:i/>
          <w:caps w:val="false"/>
          <w:smallCaps w:val="false"/>
          <w:sz w:val="20"/>
        </w:rPr>
        <w:t>Agreement</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b/>
          <w:i/>
          <w:caps w:val="false"/>
          <w:smallCaps w:val="false"/>
          <w:sz w:val="20"/>
        </w:rPr>
        <w:t>Applicable Laws</w:t>
      </w:r>
      <w:r>
        <w:rPr>
          <w:rFonts w:ascii="Times New Roman" w:hAnsi="Times New Roman"/>
          <w:caps w:val="false"/>
          <w:smallCaps w:val="false"/>
          <w:sz w:val="20"/>
        </w:rPr>
        <w:t>” means the applicable provisions of any and all federal, national, supranational, regional, state and local laws, treaties, statutes, rules, regulations, guidelines or requirements, administrative codes, guidance, ordinances, judgments, decrees, directives, injunctions, orders, or permits of or from any court, arbitrator, Regulatory Authority, Governmental Authority, taxing authority, national securities exchange or exchange listing organization having jurisdiction over or related to the relevant subject item that may be in effect from time to time during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b/>
          <w:i/>
          <w:caps w:val="false"/>
          <w:smallCaps w:val="false"/>
          <w:sz w:val="20"/>
        </w:rPr>
        <w:t>ARCUS Nuclease</w:t>
      </w:r>
      <w:r>
        <w:rPr>
          <w:rFonts w:ascii="Times New Roman" w:hAnsi="Times New Roman"/>
          <w:caps w:val="false"/>
          <w:smallCaps w:val="false"/>
          <w:sz w:val="20"/>
        </w:rPr>
        <w:t>” means any fully synthetic nuclease derived from a homing endonuclease and made using the ARCUS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b/>
          <w:i/>
          <w:caps w:val="false"/>
          <w:smallCaps w:val="false"/>
          <w:sz w:val="20"/>
        </w:rPr>
        <w:t>ARCUS Regulatory Matters</w:t>
      </w:r>
      <w:r>
        <w:rPr>
          <w:rFonts w:ascii="Times New Roman" w:hAnsi="Times New Roman"/>
          <w:caps w:val="false"/>
          <w:smallCaps w:val="false"/>
          <w:sz w:val="20"/>
        </w:rPr>
        <w:t>” has the meaning set forth in Section 4.1.3.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b/>
          <w:i/>
          <w:caps w:val="false"/>
          <w:smallCaps w:val="false"/>
          <w:sz w:val="20"/>
        </w:rPr>
        <w:t>ARCUS Technology</w:t>
      </w:r>
      <w:r>
        <w:rPr>
          <w:rFonts w:ascii="Times New Roman" w:hAnsi="Times New Roman"/>
          <w:caps w:val="false"/>
          <w:smallCaps w:val="false"/>
          <w:sz w:val="20"/>
        </w:rPr>
        <w:t>” means Precision’s proprietary genome editing platform known as ARCUS™, relating to the design, creation, selection, development, optimization and delivery of fully synthetic enzymes derived from homing endonucleases, including any modifications or improvements to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b/>
          <w:i/>
          <w:caps w:val="false"/>
          <w:smallCaps w:val="false"/>
          <w:sz w:val="20"/>
        </w:rPr>
        <w:t>Background IP</w:t>
      </w:r>
      <w:r>
        <w:rPr>
          <w:rFonts w:ascii="Times New Roman" w:hAnsi="Times New Roman"/>
          <w:caps w:val="false"/>
          <w:smallCaps w:val="false"/>
          <w:sz w:val="20"/>
        </w:rPr>
        <w:t>” means TGTX Background IP or Precision Background IP,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        “</w:t>
      </w:r>
      <w:r>
        <w:rPr>
          <w:rFonts w:ascii="Times New Roman" w:hAnsi="Times New Roman"/>
          <w:b/>
          <w:i/>
          <w:caps w:val="false"/>
          <w:smallCaps w:val="false"/>
          <w:sz w:val="20"/>
        </w:rPr>
        <w:t>Bayh-Dole Act</w:t>
      </w:r>
      <w:r>
        <w:rPr>
          <w:rFonts w:ascii="Times New Roman" w:hAnsi="Times New Roman"/>
          <w:caps w:val="false"/>
          <w:smallCaps w:val="false"/>
          <w:sz w:val="20"/>
        </w:rPr>
        <w:t>” has the meaning set forth in Section 10.2.6.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       “</w:t>
      </w:r>
      <w:r>
        <w:rPr>
          <w:rFonts w:ascii="Times New Roman" w:hAnsi="Times New Roman"/>
          <w:b/>
          <w:i/>
          <w:caps w:val="false"/>
          <w:smallCaps w:val="false"/>
          <w:sz w:val="20"/>
        </w:rPr>
        <w:t>Biosimilar Product</w:t>
      </w:r>
      <w:r>
        <w:rPr>
          <w:rFonts w:ascii="Times New Roman" w:hAnsi="Times New Roman"/>
          <w:caps w:val="false"/>
          <w:smallCaps w:val="false"/>
          <w:sz w:val="20"/>
        </w:rPr>
        <w:t>” means a product that is developed and commercialized by a Third Party, without any involvement (contractual or otherwise) of TGTX or its Affiliates, that the applicable Regulatory Authority has determined is a biosimilar to the Licensed Product, meaning it is highly similar to and has no clinically meaningful differences from the Licensed Product, that is approved by an abbreviated marketing authorization process that relies on the Marketing Authorization of the Licensed Product as the original or reference biological product as to which the determination of biosimilarity is made, and that is approved for use in the Licensed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        “</w:t>
      </w:r>
      <w:r>
        <w:rPr>
          <w:rFonts w:ascii="Times New Roman" w:hAnsi="Times New Roman"/>
          <w:b/>
          <w:i/>
          <w:caps w:val="false"/>
          <w:smallCaps w:val="false"/>
          <w:sz w:val="20"/>
        </w:rPr>
        <w:t>BLA</w:t>
      </w:r>
      <w:r>
        <w:rPr>
          <w:rFonts w:ascii="Times New Roman" w:hAnsi="Times New Roman"/>
          <w:caps w:val="false"/>
          <w:smallCaps w:val="false"/>
          <w:sz w:val="20"/>
        </w:rPr>
        <w:t>” means a Biologic License Application (as more fully described in U.S. 21 C.F.R. Part 601.20 or its successor regulation), as may be amended from time to time, or any analogous application or submission with any Regulatory Authority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        “</w:t>
      </w:r>
      <w:r>
        <w:rPr>
          <w:rFonts w:ascii="Times New Roman" w:hAnsi="Times New Roman"/>
          <w:b/>
          <w:i/>
          <w:caps w:val="false"/>
          <w:smallCaps w:val="false"/>
          <w:sz w:val="20"/>
        </w:rPr>
        <w:t>Business Day</w:t>
      </w:r>
      <w:r>
        <w:rPr>
          <w:rFonts w:ascii="Times New Roman" w:hAnsi="Times New Roman"/>
          <w:caps w:val="false"/>
          <w:smallCaps w:val="false"/>
          <w:sz w:val="20"/>
        </w:rPr>
        <w:t>” means any day, other than any Saturday, Sunday, or any day that banks are authorized or required to be closed in Durham, North Carolina, or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        “</w:t>
      </w:r>
      <w:r>
        <w:rPr>
          <w:rFonts w:ascii="Times New Roman" w:hAnsi="Times New Roman"/>
          <w:b/>
          <w:i/>
          <w:caps w:val="false"/>
          <w:smallCaps w:val="false"/>
          <w:sz w:val="20"/>
        </w:rPr>
        <w:t>Calendar</w:t>
      </w:r>
      <w:r>
        <w:rPr>
          <w:rFonts w:ascii="Times New Roman" w:hAnsi="Times New Roman"/>
          <w:caps w:val="false"/>
          <w:smallCaps w:val="false"/>
          <w:sz w:val="20"/>
        </w:rPr>
        <w:t xml:space="preserve"> </w:t>
      </w:r>
      <w:r>
        <w:rPr>
          <w:rFonts w:ascii="Times New Roman" w:hAnsi="Times New Roman"/>
          <w:b/>
          <w:i/>
          <w:caps w:val="false"/>
          <w:smallCaps w:val="false"/>
          <w:sz w:val="20"/>
        </w:rPr>
        <w:t>Quarter</w:t>
      </w:r>
      <w:r>
        <w:rPr>
          <w:rFonts w:ascii="Times New Roman" w:hAnsi="Times New Roman"/>
          <w:caps w:val="false"/>
          <w:smallCaps w:val="false"/>
          <w:sz w:val="20"/>
        </w:rPr>
        <w:t>” means each respective period of three (3) consecutive months ending on March 31, June 30, September 30, and December 31 of any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        “</w:t>
      </w:r>
      <w:r>
        <w:rPr>
          <w:rFonts w:ascii="Times New Roman" w:hAnsi="Times New Roman"/>
          <w:b/>
          <w:i/>
          <w:caps w:val="false"/>
          <w:smallCaps w:val="false"/>
          <w:sz w:val="20"/>
        </w:rPr>
        <w:t>Calendar</w:t>
      </w:r>
      <w:r>
        <w:rPr>
          <w:rFonts w:ascii="Times New Roman" w:hAnsi="Times New Roman"/>
          <w:caps w:val="false"/>
          <w:smallCaps w:val="false"/>
          <w:sz w:val="20"/>
        </w:rPr>
        <w:t xml:space="preserve"> </w:t>
      </w:r>
      <w:r>
        <w:rPr>
          <w:rFonts w:ascii="Times New Roman" w:hAnsi="Times New Roman"/>
          <w:b/>
          <w:i/>
          <w:caps w:val="false"/>
          <w:smallCaps w:val="false"/>
          <w:sz w:val="20"/>
        </w:rPr>
        <w:t>Year</w:t>
      </w:r>
      <w:r>
        <w:rPr>
          <w:rFonts w:ascii="Times New Roman" w:hAnsi="Times New Roman"/>
          <w:caps w:val="false"/>
          <w:smallCaps w:val="false"/>
          <w:sz w:val="20"/>
        </w:rPr>
        <w:t>” means each respective period of twelve (12) consecutive months commencing on January 1 and ending on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        “</w:t>
      </w:r>
      <w:r>
        <w:rPr>
          <w:rFonts w:ascii="Times New Roman" w:hAnsi="Times New Roman"/>
          <w:b/>
          <w:i/>
          <w:caps w:val="false"/>
          <w:smallCaps w:val="false"/>
          <w:sz w:val="20"/>
        </w:rPr>
        <w:t>CAR-T</w:t>
      </w:r>
      <w:r>
        <w:rPr>
          <w:rFonts w:ascii="Times New Roman" w:hAnsi="Times New Roman"/>
          <w:caps w:val="false"/>
          <w:smallCaps w:val="false"/>
          <w:sz w:val="20"/>
        </w:rPr>
        <w:t xml:space="preserve">” means human T cells genetically engineered </w:t>
      </w:r>
      <w:r>
        <w:rPr>
          <w:rFonts w:ascii="Times New Roman" w:hAnsi="Times New Roman"/>
          <w:i/>
          <w:caps w:val="false"/>
          <w:smallCaps w:val="false"/>
          <w:sz w:val="20"/>
        </w:rPr>
        <w:t>ex vivo</w:t>
      </w:r>
      <w:r>
        <w:rPr>
          <w:rFonts w:ascii="Times New Roman" w:hAnsi="Times New Roman"/>
          <w:caps w:val="false"/>
          <w:smallCaps w:val="false"/>
          <w:sz w:val="20"/>
        </w:rPr>
        <w:t xml:space="preserve"> with Chimeric Antigen Receptor(s).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        “</w:t>
      </w:r>
      <w:r>
        <w:rPr>
          <w:rFonts w:ascii="Times New Roman" w:hAnsi="Times New Roman"/>
          <w:b/>
          <w:i/>
          <w:caps w:val="false"/>
          <w:smallCaps w:val="false"/>
          <w:sz w:val="20"/>
        </w:rPr>
        <w:t>CD19</w:t>
      </w:r>
      <w:r>
        <w:rPr>
          <w:rFonts w:ascii="Times New Roman" w:hAnsi="Times New Roman"/>
          <w:caps w:val="false"/>
          <w:smallCaps w:val="false"/>
          <w:sz w:val="20"/>
        </w:rPr>
        <w:t>” means B-lymphocyte antigen CD19.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        “</w:t>
      </w:r>
      <w:r>
        <w:rPr>
          <w:rFonts w:ascii="Times New Roman" w:hAnsi="Times New Roman"/>
          <w:b/>
          <w:i/>
          <w:caps w:val="false"/>
          <w:smallCaps w:val="false"/>
          <w:sz w:val="20"/>
        </w:rPr>
        <w:t>Cellectis Agreement</w:t>
      </w:r>
      <w:r>
        <w:rPr>
          <w:rFonts w:ascii="Times New Roman" w:hAnsi="Times New Roman"/>
          <w:caps w:val="false"/>
          <w:smallCaps w:val="false"/>
          <w:sz w:val="20"/>
        </w:rPr>
        <w:t>” has the meaning set forth in Section 7.5.2.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1.19        “</w:t>
      </w:r>
      <w:r>
        <w:rPr>
          <w:rFonts w:ascii="Times New Roman" w:hAnsi="Times New Roman"/>
          <w:b/>
          <w:i/>
          <w:caps w:val="false"/>
          <w:smallCaps w:val="false"/>
          <w:sz w:val="20"/>
        </w:rPr>
        <w:t>Cellectis Patents</w:t>
      </w:r>
      <w:r>
        <w:rPr>
          <w:rFonts w:ascii="Times New Roman" w:hAnsi="Times New Roman"/>
          <w:caps w:val="false"/>
          <w:smallCaps w:val="false"/>
          <w:sz w:val="20"/>
        </w:rPr>
        <w:t>” has the meaning set forth in Section 7.5.2.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1.20        “</w:t>
      </w:r>
      <w:r>
        <w:rPr>
          <w:rFonts w:ascii="Times New Roman" w:hAnsi="Times New Roman"/>
          <w:b/>
          <w:i/>
          <w:caps w:val="false"/>
          <w:smallCaps w:val="false"/>
          <w:sz w:val="20"/>
        </w:rPr>
        <w:t>Cellectis S.A.</w:t>
      </w:r>
      <w:r>
        <w:rPr>
          <w:rFonts w:ascii="Times New Roman" w:hAnsi="Times New Roman"/>
          <w:caps w:val="false"/>
          <w:smallCaps w:val="false"/>
          <w:sz w:val="20"/>
        </w:rPr>
        <w:t>” has the meaning set forth in Section 7.5.2.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        “</w:t>
      </w:r>
      <w:r>
        <w:rPr>
          <w:rFonts w:ascii="Times New Roman" w:hAnsi="Times New Roman"/>
          <w:b/>
          <w:i/>
          <w:caps w:val="false"/>
          <w:smallCaps w:val="false"/>
          <w:sz w:val="20"/>
        </w:rPr>
        <w:t>Change of Control</w:t>
      </w:r>
      <w:r>
        <w:rPr>
          <w:rFonts w:ascii="Times New Roman" w:hAnsi="Times New Roman"/>
          <w:caps w:val="false"/>
          <w:smallCaps w:val="false"/>
          <w:sz w:val="20"/>
        </w:rPr>
        <w:t>” means, with respect to a Person: (a) the acquisition by a person or group (each as used in this definition uncapitalized, such terms have the meanings specified in Section 13(d) of the Exchange Act and Rule 13d-3 thereunder), in one transaction or a series of related transactions, of direct or indirect beneficial ownership of more than fifty percent (50%) of the outstanding voting equity securities of such Person (excluding, for clarity, an acquisition by a person or group where the equity holders of such acquired Person or its parent immediately prior to such transaction hold a majority of the outstanding voting equity securities of the surviving entity or the parent of the surviving entity immediately following such transaction); (b) a merger, reorganization or consolidation involving such Person as a result of which (1) a person or group acquires direct or indirect beneficial ownership of more than fifty percent (50%) of the voting power of the surviving entity immediately after such merger, reorganization or consolidation and (2) the voting securities of such Person outstanding immediately prior to such merger, reorganization or consolidation, or any securities into which such voting securities have been converted or exchanged, cease to represent more than fifty percent (50%) of the combined voting power of the surviving entity or the parent of the surviving entity immediately following such merger, reorganization or consolidation; or (c) a sale, exclusive license or other transfer of all or a material part of the assets of such Person related to the transactions contemplated by this Agreement in one transaction or a series of related transactions to a person or group. The acquiring or combining person or group in any of (a), (b) or (c), and any of such person’s or group’s Affiliates (whether in existence as of or any time following the applicable transaction, but other than such acquired Person and its Affiliates as in existence prior to the applicable transaction or Affiliates it controls after the applicable transaction) are referred to collectively herein as the “</w:t>
      </w:r>
      <w:r>
        <w:rPr>
          <w:rFonts w:ascii="Times New Roman" w:hAnsi="Times New Roman"/>
          <w:b/>
          <w:i/>
          <w:caps w:val="false"/>
          <w:smallCaps w:val="false"/>
          <w:sz w:val="20"/>
        </w:rPr>
        <w:t>Acquirer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1.22      “</w:t>
      </w:r>
      <w:r>
        <w:rPr>
          <w:rFonts w:ascii="Times New Roman" w:hAnsi="Times New Roman"/>
          <w:b/>
          <w:i/>
          <w:caps w:val="false"/>
          <w:smallCaps w:val="false"/>
          <w:sz w:val="20"/>
        </w:rPr>
        <w:t>Chimeric Antigen Receptor</w:t>
      </w:r>
      <w:r>
        <w:rPr>
          <w:rFonts w:ascii="Times New Roman" w:hAnsi="Times New Roman"/>
          <w:caps w:val="false"/>
          <w:smallCaps w:val="false"/>
          <w:sz w:val="20"/>
        </w:rPr>
        <w:t>” means a genetically engineered molecule that (a) when present on the surface of human T cells, enables the T cells to recognize and bind to specific antigens that are present on the surface of cells, and (b) comprises a single-chain antibody fragment (scFv), a transmembrane domain, and at least one intracellular signaling domain.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1.23        “</w:t>
      </w:r>
      <w:r>
        <w:rPr>
          <w:rFonts w:ascii="Times New Roman" w:hAnsi="Times New Roman"/>
          <w:b/>
          <w:i/>
          <w:caps w:val="false"/>
          <w:smallCaps w:val="false"/>
          <w:sz w:val="20"/>
        </w:rPr>
        <w:t>Claim</w:t>
      </w:r>
      <w:r>
        <w:rPr>
          <w:rFonts w:ascii="Times New Roman" w:hAnsi="Times New Roman"/>
          <w:caps w:val="false"/>
          <w:smallCaps w:val="false"/>
          <w:sz w:val="20"/>
        </w:rPr>
        <w:t>” has the meaning set forth in Section 11.1.1.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1.24       “</w:t>
      </w:r>
      <w:r>
        <w:rPr>
          <w:rFonts w:ascii="Times New Roman" w:hAnsi="Times New Roman"/>
          <w:b/>
          <w:i/>
          <w:caps w:val="false"/>
          <w:smallCaps w:val="false"/>
          <w:sz w:val="20"/>
        </w:rPr>
        <w:t>Clinical Trial</w:t>
      </w:r>
      <w:r>
        <w:rPr>
          <w:rFonts w:ascii="Times New Roman" w:hAnsi="Times New Roman"/>
          <w:caps w:val="false"/>
          <w:smallCaps w:val="false"/>
          <w:sz w:val="20"/>
        </w:rPr>
        <w:t>” means a clinical study conducted on certain numbers of human subjects (depending on the phase of the trial) that is designed to (a) establish that a product for the treatment of human diseases and conditions is reasonably safe for continued testing, (b) investigate the safety and efficacy of the product for its intended use, and to define warnings, precautions and adverse reactions that may be associated with the product in the dosage range to be prescribed, or (c) support Marketing Authorization or Pricing and Reimbursement Approval of such product or label expansion of such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1.25‎        “</w:t>
      </w:r>
      <w:r>
        <w:rPr>
          <w:rFonts w:ascii="Times New Roman" w:hAnsi="Times New Roman"/>
          <w:b/>
          <w:i/>
          <w:caps w:val="false"/>
          <w:smallCaps w:val="false"/>
          <w:sz w:val="20"/>
        </w:rPr>
        <w:t>CMO</w:t>
      </w:r>
      <w:r>
        <w:rPr>
          <w:rFonts w:ascii="Times New Roman" w:hAnsi="Times New Roman"/>
          <w:caps w:val="false"/>
          <w:smallCaps w:val="false"/>
          <w:sz w:val="20"/>
        </w:rPr>
        <w:t>” means contract manufacturing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1.26        “</w:t>
      </w:r>
      <w:r>
        <w:rPr>
          <w:rFonts w:ascii="Times New Roman" w:hAnsi="Times New Roman"/>
          <w:b/>
          <w:i/>
          <w:caps w:val="false"/>
          <w:smallCaps w:val="false"/>
          <w:sz w:val="20"/>
        </w:rPr>
        <w:t>Code</w:t>
      </w:r>
      <w:r>
        <w:rPr>
          <w:rFonts w:ascii="Times New Roman" w:hAnsi="Times New Roman"/>
          <w:caps w:val="false"/>
          <w:smallCaps w:val="false"/>
          <w:sz w:val="20"/>
        </w:rPr>
        <w:t>” has the meaning set forth in Section 13.7.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1.27        “</w:t>
      </w:r>
      <w:r>
        <w:rPr>
          <w:rFonts w:ascii="Times New Roman" w:hAnsi="Times New Roman"/>
          <w:b/>
          <w:i/>
          <w:caps w:val="false"/>
          <w:smallCaps w:val="false"/>
          <w:sz w:val="20"/>
        </w:rPr>
        <w:t>Combination</w:t>
      </w:r>
      <w:r>
        <w:rPr>
          <w:rFonts w:ascii="Times New Roman" w:hAnsi="Times New Roman"/>
          <w:caps w:val="false"/>
          <w:smallCaps w:val="false"/>
          <w:sz w:val="20"/>
        </w:rPr>
        <w:t xml:space="preserve"> </w:t>
      </w:r>
      <w:r>
        <w:rPr>
          <w:rFonts w:ascii="Times New Roman" w:hAnsi="Times New Roman"/>
          <w:b/>
          <w:i/>
          <w:caps w:val="false"/>
          <w:smallCaps w:val="false"/>
          <w:sz w:val="20"/>
        </w:rPr>
        <w:t>Product</w:t>
      </w:r>
      <w:r>
        <w:rPr>
          <w:rFonts w:ascii="Times New Roman" w:hAnsi="Times New Roman"/>
          <w:caps w:val="false"/>
          <w:smallCaps w:val="false"/>
          <w:sz w:val="20"/>
        </w:rPr>
        <w:t>” has the meaning set forth in the definition of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1.28        “</w:t>
      </w:r>
      <w:r>
        <w:rPr>
          <w:rFonts w:ascii="Times New Roman" w:hAnsi="Times New Roman"/>
          <w:b/>
          <w:i/>
          <w:caps w:val="false"/>
          <w:smallCaps w:val="false"/>
          <w:sz w:val="20"/>
        </w:rPr>
        <w:t>Commercial Milestone Payment</w:t>
      </w:r>
      <w:r>
        <w:rPr>
          <w:rFonts w:ascii="Times New Roman" w:hAnsi="Times New Roman"/>
          <w:caps w:val="false"/>
          <w:smallCaps w:val="false"/>
          <w:sz w:val="20"/>
        </w:rPr>
        <w:t>” has the meaning set forth in Section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1.29       “</w:t>
      </w:r>
      <w:r>
        <w:rPr>
          <w:rFonts w:ascii="Times New Roman" w:hAnsi="Times New Roman"/>
          <w:b/>
          <w:i/>
          <w:caps w:val="false"/>
          <w:smallCaps w:val="false"/>
          <w:sz w:val="20"/>
        </w:rPr>
        <w:t>Commercialization</w:t>
      </w:r>
      <w:r>
        <w:rPr>
          <w:rFonts w:ascii="Times New Roman" w:hAnsi="Times New Roman"/>
          <w:caps w:val="false"/>
          <w:smallCaps w:val="false"/>
          <w:sz w:val="20"/>
        </w:rPr>
        <w:t xml:space="preserve">” means any and all activities directed to the commercial exploitation of a Licensed Product, including: (a) activities directed to storing, marketing, promoting, detailing, distributing, importing, exporting, selling and offering to sell that Licensed Product; (b) conducting Clinical Trials after Marketing Authorization of a Licensed Product with respect to such Licensed Product; (c) interacting with Regulatory Authorities regarding the foregoing; and (d) seeking Regulatory Approvals (as applicable) for and registration of that Licensed Product; </w:t>
      </w:r>
      <w:r>
        <w:rPr>
          <w:rFonts w:ascii="Times New Roman" w:hAnsi="Times New Roman"/>
          <w:i/>
          <w:caps w:val="false"/>
          <w:smallCaps w:val="false"/>
          <w:sz w:val="20"/>
        </w:rPr>
        <w:t>provided</w:t>
      </w:r>
      <w:r>
        <w:rPr>
          <w:rFonts w:ascii="Times New Roman" w:hAnsi="Times New Roman"/>
          <w:caps w:val="false"/>
          <w:smallCaps w:val="false"/>
          <w:sz w:val="20"/>
        </w:rPr>
        <w:t xml:space="preserve"> that seeking Marketing Authorization constitutes Development and not Commercialization. When used as a verb, “to </w:t>
      </w:r>
      <w:r>
        <w:rPr>
          <w:rFonts w:ascii="Times New Roman" w:hAnsi="Times New Roman"/>
          <w:b/>
          <w:i/>
          <w:caps w:val="false"/>
          <w:smallCaps w:val="false"/>
          <w:sz w:val="20"/>
        </w:rPr>
        <w:t>Commercialize</w:t>
      </w:r>
      <w:r>
        <w:rPr>
          <w:rFonts w:ascii="Times New Roman" w:hAnsi="Times New Roman"/>
          <w:caps w:val="false"/>
          <w:smallCaps w:val="false"/>
          <w:sz w:val="20"/>
        </w:rPr>
        <w:t>” and “</w:t>
      </w:r>
      <w:r>
        <w:rPr>
          <w:rFonts w:ascii="Times New Roman" w:hAnsi="Times New Roman"/>
          <w:b/>
          <w:i/>
          <w:caps w:val="false"/>
          <w:smallCaps w:val="false"/>
          <w:sz w:val="20"/>
        </w:rPr>
        <w:t>Commercializing</w:t>
      </w:r>
      <w:r>
        <w:rPr>
          <w:rFonts w:ascii="Times New Roman" w:hAnsi="Times New Roman"/>
          <w:caps w:val="false"/>
          <w:smallCaps w:val="false"/>
          <w:sz w:val="20"/>
        </w:rPr>
        <w:t>” means to engage in Commercialization and “</w:t>
      </w:r>
      <w:r>
        <w:rPr>
          <w:rFonts w:ascii="Times New Roman" w:hAnsi="Times New Roman"/>
          <w:b/>
          <w:i/>
          <w:caps w:val="false"/>
          <w:smallCaps w:val="false"/>
          <w:sz w:val="20"/>
        </w:rPr>
        <w:t>Commercialized</w:t>
      </w:r>
      <w:r>
        <w:rPr>
          <w:rFonts w:ascii="Times New Roman" w:hAnsi="Times New Roman"/>
          <w:caps w:val="false"/>
          <w:smallCaps w:val="false"/>
          <w:sz w:val="20"/>
        </w:rPr>
        <w:t>” has a corresponding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1.30        “</w:t>
      </w:r>
      <w:r>
        <w:rPr>
          <w:rFonts w:ascii="Times New Roman" w:hAnsi="Times New Roman"/>
          <w:b/>
          <w:i/>
          <w:caps w:val="false"/>
          <w:smallCaps w:val="false"/>
          <w:sz w:val="20"/>
        </w:rPr>
        <w:t>Commercially Reasonable Efforts</w:t>
      </w:r>
      <w:r>
        <w:rPr>
          <w:rFonts w:ascii="Times New Roman" w:hAnsi="Times New Roman"/>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1.30.1    with respect to the obligations of a Party under this Agreement relating to Development activities, the level of efforts and expenditure of resources required to carry out such obligation in a sustained manner consistent with the efforts and resources such Party or its Affiliates typically devotes to a product of similar market potential, resulting from its own research efforts or development and commercialization collaborations for which it is responsible, at a similar stage in its development or product life, taking into account Relevant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1.30.2     with respect to the level of obligations of a Party under this Agreement relating to Commercialization activities, the level of efforts and expenditure of resources required to carry out such obligation in a sustained manner consistent with the efforts and resources of a typical Third Party biopharmaceutical company of similar size and with similar resources as such Party or its Affiliates typically devotes to a product of similar market potential, at a similar stage in its development or product life, taking into account Relevant Factors;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1.30.3    with respect to the obligations of a Party under this Agreement relating to any other objective, reasonable, good-faith efforts, taking into account industry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that, if in consideration of the Relevant Factors (or, as it relates to Section 1.30.3, industry practices), Commercially Reasonable Efforts requires any act to be performed, with respect to such performance and for the period of time during which Commercially Reasonable Efforts dictates such performance, Commercially Reasonable Efforts requires that the applicable Party (a) promptly assign responsibility for obligations to specific employee(s) who are held accountable for progress and monitor such act on an on-going basis, (b) set and consistently seek to achieve specific, meaningful and measurable objectives for carrying out such act, and (c) consistently make and implement decisions and allocate resources designed to advance progress with respect to such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1.32        “</w:t>
      </w:r>
      <w:r>
        <w:rPr>
          <w:rFonts w:ascii="Times New Roman" w:hAnsi="Times New Roman"/>
          <w:b/>
          <w:i/>
          <w:caps w:val="false"/>
          <w:smallCaps w:val="false"/>
          <w:sz w:val="20"/>
        </w:rPr>
        <w:t>Confidential Proprietary Information</w:t>
      </w:r>
      <w:r>
        <w:rPr>
          <w:rFonts w:ascii="Times New Roman" w:hAnsi="Times New Roman"/>
          <w:caps w:val="false"/>
          <w:smallCaps w:val="false"/>
          <w:sz w:val="20"/>
        </w:rPr>
        <w:t>” has the meaning set forth in Section 12.1.1.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1.33       “</w:t>
      </w:r>
      <w:r>
        <w:rPr>
          <w:rFonts w:ascii="Times New Roman" w:hAnsi="Times New Roman"/>
          <w:b/>
          <w:i/>
          <w:caps w:val="false"/>
          <w:smallCaps w:val="false"/>
          <w:sz w:val="20"/>
        </w:rPr>
        <w:t>Confidentiality Agreement</w:t>
      </w:r>
      <w:r>
        <w:rPr>
          <w:rFonts w:ascii="Times New Roman" w:hAnsi="Times New Roman"/>
          <w:caps w:val="false"/>
          <w:smallCaps w:val="false"/>
          <w:sz w:val="20"/>
        </w:rPr>
        <w:t>” means that certain Confidentiality Agreement entered into between the Parties as of September 11,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1.34       “</w:t>
      </w:r>
      <w:r>
        <w:rPr>
          <w:rFonts w:ascii="Times New Roman" w:hAnsi="Times New Roman"/>
          <w:b/>
          <w:i/>
          <w:caps w:val="false"/>
          <w:smallCaps w:val="false"/>
          <w:sz w:val="20"/>
        </w:rPr>
        <w:t>Control</w:t>
      </w:r>
      <w:r>
        <w:rPr>
          <w:rFonts w:ascii="Times New Roman" w:hAnsi="Times New Roman"/>
          <w:caps w:val="false"/>
          <w:smallCaps w:val="false"/>
          <w:sz w:val="20"/>
        </w:rPr>
        <w:t>” or “</w:t>
      </w:r>
      <w:r>
        <w:rPr>
          <w:rFonts w:ascii="Times New Roman" w:hAnsi="Times New Roman"/>
          <w:b/>
          <w:i/>
          <w:caps w:val="false"/>
          <w:smallCaps w:val="false"/>
          <w:sz w:val="20"/>
        </w:rPr>
        <w:t>Controlled</w:t>
      </w:r>
      <w:r>
        <w:rPr>
          <w:rFonts w:ascii="Times New Roman" w:hAnsi="Times New Roman"/>
          <w:caps w:val="false"/>
          <w:smallCaps w:val="false"/>
          <w:sz w:val="20"/>
        </w:rPr>
        <w:t>” means, with respect to any Know-How, Patents, other intellectual property rights, Clinical Data and Documentation, or Regulatory Filings, that a Party has the legal authority or right (whether by ownership, license, or otherwise, but without taking into account any rights granted by one Party to the other Party pursuant to this Agreement) to grant to the other Party a license, covenant not to sue, sublicense, access, or right to use (as applicable) under such Know-How, Patents, or other intellectual property rights, on the terms and conditions set forth herein, in each case without violating any obligations of the granting Party owed to a Third Party or breaching the terms of any agreement with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1.35        “</w:t>
      </w:r>
      <w:r>
        <w:rPr>
          <w:rFonts w:ascii="Times New Roman" w:hAnsi="Times New Roman"/>
          <w:b/>
          <w:i/>
          <w:caps w:val="false"/>
          <w:smallCaps w:val="false"/>
          <w:sz w:val="20"/>
        </w:rPr>
        <w:t>Cover</w:t>
      </w:r>
      <w:r>
        <w:rPr>
          <w:rFonts w:ascii="Times New Roman" w:hAnsi="Times New Roman"/>
          <w:caps w:val="false"/>
          <w:smallCaps w:val="false"/>
          <w:sz w:val="20"/>
        </w:rPr>
        <w:t>” means, with respect to a claim of a Patent and given product or other subject matter, that such claim would be infringed, in the absence of a license, or ownership, by the Exploitation of such product or other subject matter (considering claims of patent applications to be issued as then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1.36        “</w:t>
      </w:r>
      <w:r>
        <w:rPr>
          <w:rFonts w:ascii="Times New Roman" w:hAnsi="Times New Roman"/>
          <w:b/>
          <w:i/>
          <w:caps w:val="false"/>
          <w:smallCaps w:val="false"/>
          <w:sz w:val="20"/>
        </w:rPr>
        <w:t>Currently Outstanding Precision Common Stock</w:t>
      </w:r>
      <w:r>
        <w:rPr>
          <w:rFonts w:ascii="Times New Roman" w:hAnsi="Times New Roman"/>
          <w:caps w:val="false"/>
          <w:smallCaps w:val="false"/>
          <w:sz w:val="20"/>
        </w:rPr>
        <w:t>” refers to the number of shares of Precision Common Stock that are issued and outstanding as of the applicable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1.37       “</w:t>
      </w:r>
      <w:r>
        <w:rPr>
          <w:rFonts w:ascii="Times New Roman" w:hAnsi="Times New Roman"/>
          <w:b/>
          <w:i/>
          <w:caps w:val="false"/>
          <w:smallCaps w:val="false"/>
          <w:sz w:val="20"/>
        </w:rPr>
        <w:t>Development</w:t>
      </w:r>
      <w:r>
        <w:rPr>
          <w:rFonts w:ascii="Times New Roman" w:hAnsi="Times New Roman"/>
          <w:caps w:val="false"/>
          <w:smallCaps w:val="false"/>
          <w:sz w:val="20"/>
        </w:rPr>
        <w:t>” means all activities related to the development of products, including Licensed Products, for the treatment of human diseases and conditions. When used as a verb, “</w:t>
      </w:r>
      <w:r>
        <w:rPr>
          <w:rFonts w:ascii="Times New Roman" w:hAnsi="Times New Roman"/>
          <w:b/>
          <w:i/>
          <w:caps w:val="false"/>
          <w:smallCaps w:val="false"/>
          <w:sz w:val="20"/>
        </w:rPr>
        <w:t>Develop</w:t>
      </w:r>
      <w:r>
        <w:rPr>
          <w:rFonts w:ascii="Times New Roman" w:hAnsi="Times New Roman"/>
          <w:caps w:val="false"/>
          <w:smallCaps w:val="false"/>
          <w:sz w:val="20"/>
        </w:rPr>
        <w:t>” or “</w:t>
      </w:r>
      <w:r>
        <w:rPr>
          <w:rFonts w:ascii="Times New Roman" w:hAnsi="Times New Roman"/>
          <w:b/>
          <w:i/>
          <w:caps w:val="false"/>
          <w:smallCaps w:val="false"/>
          <w:sz w:val="20"/>
        </w:rPr>
        <w:t>Developing</w:t>
      </w:r>
      <w:r>
        <w:rPr>
          <w:rFonts w:ascii="Times New Roman" w:hAnsi="Times New Roman"/>
          <w:caps w:val="false"/>
          <w:smallCaps w:val="false"/>
          <w:sz w:val="20"/>
        </w:rPr>
        <w:t>” means to engage in Development and “</w:t>
      </w:r>
      <w:r>
        <w:rPr>
          <w:rFonts w:ascii="Times New Roman" w:hAnsi="Times New Roman"/>
          <w:b/>
          <w:i/>
          <w:caps w:val="false"/>
          <w:smallCaps w:val="false"/>
          <w:sz w:val="20"/>
        </w:rPr>
        <w:t>Developed</w:t>
      </w:r>
      <w:r>
        <w:rPr>
          <w:rFonts w:ascii="Times New Roman" w:hAnsi="Times New Roman"/>
          <w:caps w:val="false"/>
          <w:smallCaps w:val="false"/>
          <w:sz w:val="20"/>
        </w:rPr>
        <w:t>” has a corresponding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1.38        “</w:t>
      </w:r>
      <w:r>
        <w:rPr>
          <w:rFonts w:ascii="Times New Roman" w:hAnsi="Times New Roman"/>
          <w:b/>
          <w:i/>
          <w:caps w:val="false"/>
          <w:smallCaps w:val="false"/>
          <w:sz w:val="20"/>
        </w:rPr>
        <w:t>Development Records</w:t>
      </w:r>
      <w:r>
        <w:rPr>
          <w:rFonts w:ascii="Times New Roman" w:hAnsi="Times New Roman"/>
          <w:caps w:val="false"/>
          <w:smallCaps w:val="false"/>
          <w:sz w:val="20"/>
        </w:rPr>
        <w:t>” has the meaning set forth in Section 3.2.1.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1.39        “</w:t>
      </w:r>
      <w:r>
        <w:rPr>
          <w:rFonts w:ascii="Times New Roman" w:hAnsi="Times New Roman"/>
          <w:b/>
          <w:i/>
          <w:caps w:val="false"/>
          <w:smallCaps w:val="false"/>
          <w:sz w:val="20"/>
        </w:rPr>
        <w:t>Disclosing Party</w:t>
      </w:r>
      <w:r>
        <w:rPr>
          <w:rFonts w:ascii="Times New Roman" w:hAnsi="Times New Roman"/>
          <w:caps w:val="false"/>
          <w:smallCaps w:val="false"/>
          <w:sz w:val="20"/>
        </w:rPr>
        <w:t>” has the meaning set forth in Section 12.1.2.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1.40        “</w:t>
      </w:r>
      <w:r>
        <w:rPr>
          <w:rFonts w:ascii="Times New Roman" w:hAnsi="Times New Roman"/>
          <w:b/>
          <w:i/>
          <w:caps w:val="false"/>
          <w:smallCaps w:val="false"/>
          <w:sz w:val="20"/>
        </w:rPr>
        <w:t>Dispute</w:t>
      </w:r>
      <w:r>
        <w:rPr>
          <w:rFonts w:ascii="Times New Roman" w:hAnsi="Times New Roman"/>
          <w:caps w:val="false"/>
          <w:smallCaps w:val="false"/>
          <w:sz w:val="20"/>
        </w:rPr>
        <w:t>” has the meaning set forth in Section 14.2.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1.41      “</w:t>
      </w:r>
      <w:r>
        <w:rPr>
          <w:rFonts w:ascii="Times New Roman" w:hAnsi="Times New Roman"/>
          <w:b/>
          <w:i/>
          <w:caps w:val="false"/>
          <w:smallCaps w:val="false"/>
          <w:sz w:val="20"/>
        </w:rPr>
        <w:t>Distributor</w:t>
      </w:r>
      <w:r>
        <w:rPr>
          <w:rFonts w:ascii="Times New Roman" w:hAnsi="Times New Roman"/>
          <w:caps w:val="false"/>
          <w:smallCaps w:val="false"/>
          <w:sz w:val="20"/>
        </w:rPr>
        <w:t>” means, as applicable, with respect to a given Licensed Product, any Person appointed by (a) TGTX, (b) any of TGTX’s Affiliates or (c) any of their respective Sublicensees that is not an Affiliate of (a) or (b), to distribute, market and sell the Licensed Product in one or more countries in the Territory, in circumstances where the Person (x) purchases its requirements of the Licensed Product from TGTX for their respective Affiliates or its or their Sublicensees but (y) has no right to conduct any Development or Manufacturing (other than packaging) activities with respect to such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1.42        “</w:t>
      </w:r>
      <w:r>
        <w:rPr>
          <w:rFonts w:ascii="Times New Roman" w:hAnsi="Times New Roman"/>
          <w:b/>
          <w:i/>
          <w:caps w:val="false"/>
          <w:smallCaps w:val="false"/>
          <w:sz w:val="20"/>
        </w:rPr>
        <w:t>Dollar</w:t>
      </w:r>
      <w:r>
        <w:rPr>
          <w:rFonts w:ascii="Times New Roman" w:hAnsi="Times New Roman"/>
          <w:caps w:val="false"/>
          <w:smallCaps w:val="false"/>
          <w:sz w:val="20"/>
        </w:rPr>
        <w:t>” means a U.S. dollar, and “</w:t>
      </w:r>
      <w:r>
        <w:rPr>
          <w:rFonts w:ascii="Times New Roman" w:hAnsi="Times New Roman"/>
          <w:b/>
          <w:i/>
          <w:caps w:val="false"/>
          <w:smallCaps w:val="false"/>
          <w:sz w:val="20"/>
        </w:rPr>
        <w:t>$</w:t>
      </w:r>
      <w:r>
        <w:rPr>
          <w:rFonts w:ascii="Times New Roman" w:hAnsi="Times New Roman"/>
          <w:caps w:val="false"/>
          <w:smallCaps w:val="false"/>
          <w:sz w:val="20"/>
        </w:rPr>
        <w:t>” is to be interpreted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1.43        “</w:t>
      </w:r>
      <w:r>
        <w:rPr>
          <w:rFonts w:ascii="Times New Roman" w:hAnsi="Times New Roman"/>
          <w:b/>
          <w:i/>
          <w:caps w:val="false"/>
          <w:smallCaps w:val="false"/>
          <w:sz w:val="20"/>
        </w:rPr>
        <w:t>Duke</w:t>
      </w:r>
      <w:r>
        <w:rPr>
          <w:rFonts w:ascii="Times New Roman" w:hAnsi="Times New Roman"/>
          <w:caps w:val="false"/>
          <w:smallCaps w:val="false"/>
          <w:sz w:val="20"/>
        </w:rPr>
        <w:t>” has the meaning set forth in the definition of Duke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1.44      “</w:t>
      </w:r>
      <w:r>
        <w:rPr>
          <w:rFonts w:ascii="Times New Roman" w:hAnsi="Times New Roman"/>
          <w:b/>
          <w:i/>
          <w:caps w:val="false"/>
          <w:smallCaps w:val="false"/>
          <w:sz w:val="20"/>
        </w:rPr>
        <w:t>Duke Agreement</w:t>
      </w:r>
      <w:r>
        <w:rPr>
          <w:rFonts w:ascii="Times New Roman" w:hAnsi="Times New Roman"/>
          <w:caps w:val="false"/>
          <w:smallCaps w:val="false"/>
          <w:sz w:val="20"/>
        </w:rPr>
        <w:t>” means the License Agreement entered into by Precision and Duke University (“</w:t>
      </w:r>
      <w:r>
        <w:rPr>
          <w:rFonts w:ascii="Times New Roman" w:hAnsi="Times New Roman"/>
          <w:b/>
          <w:i/>
          <w:caps w:val="false"/>
          <w:smallCaps w:val="false"/>
          <w:sz w:val="20"/>
        </w:rPr>
        <w:t>Duke</w:t>
      </w:r>
      <w:r>
        <w:rPr>
          <w:rFonts w:ascii="Times New Roman" w:hAnsi="Times New Roman"/>
          <w:caps w:val="false"/>
          <w:smallCaps w:val="false"/>
          <w:sz w:val="20"/>
        </w:rPr>
        <w:t>”) on April 17, 2006, as amended by the Amendment, dated May 31, 2007, and as further amended by the Letter Agreements, dated December 10, 2007, February 13, 2009, January 17, 2012, December 6, 2013, December 13, 2013, and February 4, 2014, and as further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1.45      “</w:t>
      </w:r>
      <w:r>
        <w:rPr>
          <w:rFonts w:ascii="Times New Roman" w:hAnsi="Times New Roman"/>
          <w:b/>
          <w:i/>
          <w:caps w:val="false"/>
          <w:smallCaps w:val="false"/>
          <w:sz w:val="20"/>
        </w:rPr>
        <w:t>Duke IP</w:t>
      </w:r>
      <w:r>
        <w:rPr>
          <w:rFonts w:ascii="Times New Roman" w:hAnsi="Times New Roman"/>
          <w:caps w:val="false"/>
          <w:smallCaps w:val="false"/>
          <w:sz w:val="20"/>
        </w:rPr>
        <w:t xml:space="preserve">” means all Patents and Know-How licensed to Precision under the Duke Agreement that constitute Precision Background IP. The patent numbers and patent application numbers of the Patents that are included within the Duke IP as of the Effective Date are set forth in </w:t>
      </w:r>
      <w:r>
        <w:rPr>
          <w:rFonts w:ascii="Times New Roman" w:hAnsi="Times New Roman"/>
          <w:caps w:val="false"/>
          <w:smallCaps w:val="false"/>
          <w:sz w:val="20"/>
          <w:u w:val="single"/>
        </w:rPr>
        <w:t>Schedule 1.45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1.46        “</w:t>
      </w:r>
      <w:r>
        <w:rPr>
          <w:rFonts w:ascii="Times New Roman" w:hAnsi="Times New Roman"/>
          <w:b/>
          <w:i/>
          <w:caps w:val="false"/>
          <w:smallCaps w:val="false"/>
          <w:sz w:val="20"/>
        </w:rPr>
        <w:t>Effective Date</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1.47        “</w:t>
      </w:r>
      <w:r>
        <w:rPr>
          <w:rFonts w:ascii="Times New Roman" w:hAnsi="Times New Roman"/>
          <w:b/>
          <w:i/>
          <w:caps w:val="false"/>
          <w:smallCaps w:val="false"/>
          <w:sz w:val="20"/>
        </w:rPr>
        <w:t>Equity Termination Event</w:t>
      </w:r>
      <w:r>
        <w:rPr>
          <w:rFonts w:ascii="Times New Roman" w:hAnsi="Times New Roman"/>
          <w:caps w:val="false"/>
          <w:smallCaps w:val="false"/>
          <w:sz w:val="20"/>
        </w:rPr>
        <w:t>” has the meaning set forth in Section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1.48        “</w:t>
      </w:r>
      <w:r>
        <w:rPr>
          <w:rFonts w:ascii="Times New Roman" w:hAnsi="Times New Roman"/>
          <w:b/>
          <w:i/>
          <w:caps w:val="false"/>
          <w:smallCaps w:val="false"/>
          <w:sz w:val="20"/>
        </w:rPr>
        <w:t>E.U.</w:t>
      </w:r>
      <w:r>
        <w:rPr>
          <w:rFonts w:ascii="Times New Roman" w:hAnsi="Times New Roman"/>
          <w:caps w:val="false"/>
          <w:smallCaps w:val="false"/>
          <w:sz w:val="20"/>
        </w:rPr>
        <w:t>” means, except as set forth in Section 8.5, the European Union as constituted on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1.49        “</w:t>
      </w:r>
      <w:r>
        <w:rPr>
          <w:rFonts w:ascii="Times New Roman" w:hAnsi="Times New Roman"/>
          <w:b/>
          <w:i/>
          <w:caps w:val="false"/>
          <w:smallCaps w:val="false"/>
          <w:sz w:val="20"/>
        </w:rPr>
        <w:t>Exchange Act</w:t>
      </w:r>
      <w:r>
        <w:rPr>
          <w:rFonts w:ascii="Times New Roman" w:hAnsi="Times New Roman"/>
          <w:caps w:val="false"/>
          <w:smallCaps w:val="false"/>
          <w:sz w:val="20"/>
        </w:rPr>
        <w:t>” has the meaning set forth in Section 8.2.2(e).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1.50       “</w:t>
      </w:r>
      <w:r>
        <w:rPr>
          <w:rFonts w:ascii="Times New Roman" w:hAnsi="Times New Roman"/>
          <w:b/>
          <w:i/>
          <w:caps w:val="false"/>
          <w:smallCaps w:val="false"/>
          <w:sz w:val="20"/>
        </w:rPr>
        <w:t>Exchange Cap</w:t>
      </w:r>
      <w:r>
        <w:rPr>
          <w:rFonts w:ascii="Times New Roman" w:hAnsi="Times New Roman"/>
          <w:caps w:val="false"/>
          <w:smallCaps w:val="false"/>
          <w:sz w:val="20"/>
        </w:rPr>
        <w:t>” refers to the maximum number of Precision Shares that may be issued pursuant to this Agreement, it being acknowledged and agreed that in no event shall the Precision Shares that may be issued pursuant to the terms of this Agreement exceed either of the following: (a) 19.99% of the Currently Outstanding Precision Common Stock as of the Effective Date of this Agreement; or (b) with respect to a “change of control” (as defined by Nasdaq Listing Rule 5635), the number of shares of Precision Common Stock that would result in beneficial ownership of more than 19.99% of the Currently Outstanding Precision Common Stock following such issuance, in each case (i) subject to appropriate adjustments being made in respect of any reorganization, recapitalization, non-cash dividend, stock split, reverse stock split, reconstruction, consolidation, division, reclassification of such shares into a lesser or greater number of securities or other similar transaction that occurs after the Effective Date and (ii) in accordance with the rules and regulations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1.51      “</w:t>
      </w:r>
      <w:r>
        <w:rPr>
          <w:rFonts w:ascii="Times New Roman" w:hAnsi="Times New Roman"/>
          <w:b/>
          <w:i/>
          <w:caps w:val="false"/>
          <w:smallCaps w:val="false"/>
          <w:sz w:val="20"/>
        </w:rPr>
        <w:t>Executive Officers</w:t>
      </w:r>
      <w:r>
        <w:rPr>
          <w:rFonts w:ascii="Times New Roman" w:hAnsi="Times New Roman"/>
          <w:caps w:val="false"/>
          <w:smallCaps w:val="false"/>
          <w:sz w:val="20"/>
        </w:rPr>
        <w:t>” means (a) with respect to Precision, [***], and (b) with respect to TGTX, [***]; or the successor of such person in the foregoing (a) or (b) or any other person that such person in the foregoing (a) or (b) designates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1.52        “</w:t>
      </w:r>
      <w:r>
        <w:rPr>
          <w:rFonts w:ascii="Times New Roman" w:hAnsi="Times New Roman"/>
          <w:b/>
          <w:i/>
          <w:caps w:val="false"/>
          <w:smallCaps w:val="false"/>
          <w:sz w:val="20"/>
        </w:rPr>
        <w:t>Existing In-License Agreements</w:t>
      </w:r>
      <w:r>
        <w:rPr>
          <w:rFonts w:ascii="Times New Roman" w:hAnsi="Times New Roman"/>
          <w:caps w:val="false"/>
          <w:smallCaps w:val="false"/>
          <w:sz w:val="20"/>
        </w:rPr>
        <w:t>” means the Duke Agreement and the Cellectis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1.53        “</w:t>
      </w:r>
      <w:r>
        <w:rPr>
          <w:rFonts w:ascii="Times New Roman" w:hAnsi="Times New Roman"/>
          <w:b/>
          <w:i/>
          <w:caps w:val="false"/>
          <w:smallCaps w:val="false"/>
          <w:sz w:val="20"/>
        </w:rPr>
        <w:t>Existing Patents</w:t>
      </w:r>
      <w:r>
        <w:rPr>
          <w:rFonts w:ascii="Times New Roman" w:hAnsi="Times New Roman"/>
          <w:caps w:val="false"/>
          <w:smallCaps w:val="false"/>
          <w:sz w:val="20"/>
        </w:rPr>
        <w:t>” has the meaning set forth in Section 10.2.2.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1.54        “</w:t>
      </w:r>
      <w:r>
        <w:rPr>
          <w:rFonts w:ascii="Times New Roman" w:hAnsi="Times New Roman"/>
          <w:b/>
          <w:i/>
          <w:caps w:val="false"/>
          <w:smallCaps w:val="false"/>
          <w:sz w:val="20"/>
        </w:rPr>
        <w:t>Existing Third Party Agreements</w:t>
      </w:r>
      <w:r>
        <w:rPr>
          <w:rFonts w:ascii="Times New Roman" w:hAnsi="Times New Roman"/>
          <w:caps w:val="false"/>
          <w:smallCaps w:val="false"/>
          <w:sz w:val="20"/>
        </w:rPr>
        <w:t>” has the meaning set forth in Section 10.2.3.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1.55        “</w:t>
      </w:r>
      <w:r>
        <w:rPr>
          <w:rFonts w:ascii="Times New Roman" w:hAnsi="Times New Roman"/>
          <w:b/>
          <w:i/>
          <w:caps w:val="false"/>
          <w:smallCaps w:val="false"/>
          <w:sz w:val="20"/>
        </w:rPr>
        <w:t>Exploit</w:t>
      </w:r>
      <w:r>
        <w:rPr>
          <w:rFonts w:ascii="Times New Roman" w:hAnsi="Times New Roman"/>
          <w:caps w:val="false"/>
          <w:smallCaps w:val="false"/>
          <w:sz w:val="20"/>
        </w:rPr>
        <w:t>” means to Research, Develop, Manufacture, Commercialize and otherwise exploit. “</w:t>
      </w:r>
      <w:r>
        <w:rPr>
          <w:rFonts w:ascii="Times New Roman" w:hAnsi="Times New Roman"/>
          <w:b/>
          <w:i/>
          <w:caps w:val="false"/>
          <w:smallCaps w:val="false"/>
          <w:sz w:val="20"/>
        </w:rPr>
        <w:t>Exploitation</w:t>
      </w:r>
      <w:r>
        <w:rPr>
          <w:rFonts w:ascii="Times New Roman" w:hAnsi="Times New Roman"/>
          <w:caps w:val="false"/>
          <w:smallCaps w:val="false"/>
          <w:sz w:val="20"/>
        </w:rPr>
        <w:t>” has correlating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1.56        “</w:t>
      </w:r>
      <w:r>
        <w:rPr>
          <w:rFonts w:ascii="Times New Roman" w:hAnsi="Times New Roman"/>
          <w:b/>
          <w:i/>
          <w:caps w:val="false"/>
          <w:smallCaps w:val="false"/>
          <w:sz w:val="20"/>
        </w:rPr>
        <w:t>Extraordinary Matter</w:t>
      </w:r>
      <w:r>
        <w:rPr>
          <w:rFonts w:ascii="Times New Roman" w:hAnsi="Times New Roman"/>
          <w:caps w:val="false"/>
          <w:smallCaps w:val="false"/>
          <w:sz w:val="20"/>
        </w:rPr>
        <w:t>” has the meaning set forth in Section 8.2.7.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1.57        “</w:t>
      </w:r>
      <w:r>
        <w:rPr>
          <w:rFonts w:ascii="Times New Roman" w:hAnsi="Times New Roman"/>
          <w:b/>
          <w:i/>
          <w:caps w:val="false"/>
          <w:smallCaps w:val="false"/>
          <w:sz w:val="20"/>
        </w:rPr>
        <w:t>FDA</w:t>
      </w:r>
      <w:r>
        <w:rPr>
          <w:rFonts w:ascii="Times New Roman" w:hAnsi="Times New Roman"/>
          <w:caps w:val="false"/>
          <w:smallCaps w:val="false"/>
          <w:sz w:val="20"/>
        </w:rPr>
        <w:t>” means the United States Food and Drug Administration or any successor agency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1.58        “</w:t>
      </w:r>
      <w:r>
        <w:rPr>
          <w:rFonts w:ascii="Times New Roman" w:hAnsi="Times New Roman"/>
          <w:b/>
          <w:i/>
          <w:caps w:val="false"/>
          <w:smallCaps w:val="false"/>
          <w:sz w:val="20"/>
        </w:rPr>
        <w:t>Final Precision Stock Issuance</w:t>
      </w:r>
      <w:r>
        <w:rPr>
          <w:rFonts w:ascii="Times New Roman" w:hAnsi="Times New Roman"/>
          <w:caps w:val="false"/>
          <w:smallCaps w:val="false"/>
          <w:sz w:val="20"/>
        </w:rPr>
        <w:t>” has the meaning set forth in Section 8.2.1(d).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1.59        “</w:t>
      </w:r>
      <w:r>
        <w:rPr>
          <w:rFonts w:ascii="Times New Roman" w:hAnsi="Times New Roman"/>
          <w:b/>
          <w:i/>
          <w:caps w:val="false"/>
          <w:smallCaps w:val="false"/>
          <w:sz w:val="20"/>
        </w:rPr>
        <w:t>Final Precision Stock Payment</w:t>
      </w:r>
      <w:r>
        <w:rPr>
          <w:rFonts w:ascii="Times New Roman" w:hAnsi="Times New Roman"/>
          <w:caps w:val="false"/>
          <w:smallCaps w:val="false"/>
          <w:sz w:val="20"/>
        </w:rPr>
        <w:t>” has the meaning set forth in Section 8.2.1(d).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1.60      “</w:t>
      </w:r>
      <w:r>
        <w:rPr>
          <w:rFonts w:ascii="Times New Roman" w:hAnsi="Times New Roman"/>
          <w:b/>
          <w:i/>
          <w:caps w:val="false"/>
          <w:smallCaps w:val="false"/>
          <w:sz w:val="20"/>
        </w:rPr>
        <w:t>First Commercial Sale</w:t>
      </w:r>
      <w:r>
        <w:rPr>
          <w:rFonts w:ascii="Times New Roman" w:hAnsi="Times New Roman"/>
          <w:caps w:val="false"/>
          <w:smallCaps w:val="false"/>
          <w:sz w:val="20"/>
        </w:rPr>
        <w:t>” means, with respect to a Licensed Product, the first sale of such Licensed Product by the applicable Selling Party to a Third Party for end use or consumption of such Licensed Product in a given country in the Territory after Marketing Authorization required to market and sell the Licensed Product has been granted with respect to such Licensed Product by the applicable Regulatory Authority in such country in which such Licensed Product is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1.62      “</w:t>
      </w:r>
      <w:r>
        <w:rPr>
          <w:rFonts w:ascii="Times New Roman" w:hAnsi="Times New Roman"/>
          <w:b/>
          <w:i/>
          <w:caps w:val="false"/>
          <w:smallCaps w:val="false"/>
          <w:sz w:val="20"/>
        </w:rPr>
        <w:t>Good Clinical Practices</w:t>
      </w:r>
      <w:r>
        <w:rPr>
          <w:rFonts w:ascii="Times New Roman" w:hAnsi="Times New Roman"/>
          <w:caps w:val="false"/>
          <w:smallCaps w:val="false"/>
          <w:sz w:val="20"/>
        </w:rPr>
        <w:t>” or “</w:t>
      </w:r>
      <w:r>
        <w:rPr>
          <w:rFonts w:ascii="Times New Roman" w:hAnsi="Times New Roman"/>
          <w:b/>
          <w:i/>
          <w:caps w:val="false"/>
          <w:smallCaps w:val="false"/>
          <w:sz w:val="20"/>
        </w:rPr>
        <w:t>cGCP</w:t>
      </w:r>
      <w:r>
        <w:rPr>
          <w:rFonts w:ascii="Times New Roman" w:hAnsi="Times New Roman"/>
          <w:caps w:val="false"/>
          <w:smallCaps w:val="false"/>
          <w:sz w:val="20"/>
        </w:rPr>
        <w:t>” means all applicable current Good Clinical Practice standards for the design, conduct, performance, monitoring, auditing, recording, analysis and reporting of Clinical Trials, including, as applicable: (a) as set forth in the International Conference on Harmonisation of Technical Requirements for Registration of Pharmaceuticals for Human Use (“</w:t>
      </w:r>
      <w:r>
        <w:rPr>
          <w:rFonts w:ascii="Times New Roman" w:hAnsi="Times New Roman"/>
          <w:b/>
          <w:i/>
          <w:caps w:val="false"/>
          <w:smallCaps w:val="false"/>
          <w:sz w:val="20"/>
        </w:rPr>
        <w:t>ICH</w:t>
      </w:r>
      <w:r>
        <w:rPr>
          <w:rFonts w:ascii="Times New Roman" w:hAnsi="Times New Roman"/>
          <w:caps w:val="false"/>
          <w:smallCaps w:val="false"/>
          <w:sz w:val="20"/>
        </w:rPr>
        <w:t>”) E6 and any other guidelines for good clinical practice for trials on medicinal products in the Territory; (b) the Declaration of Helsinki (2004) as last amended at the 52nd World Medical Association in October 2000 and any further amendments or clarifications thereto; (c) U.S. Code of Federal Regulations Title 21, Parts 50, 54, 56, 312 and 314, as may be amended from time to time; and (d) the equivalent Applicable Laws in any relevant country, each as may be amended and applicable from time to time, and in each case ((a)-(d)), that provide for, among other things, assurance that the clinical data and reported results are credible and accurate and protect the rights, integrity, and confidentiality of trial subjects.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1.63       “</w:t>
      </w:r>
      <w:r>
        <w:rPr>
          <w:rFonts w:ascii="Times New Roman" w:hAnsi="Times New Roman"/>
          <w:b/>
          <w:i/>
          <w:caps w:val="false"/>
          <w:smallCaps w:val="false"/>
          <w:sz w:val="20"/>
        </w:rPr>
        <w:t>Good Laboratory Practices</w:t>
      </w:r>
      <w:r>
        <w:rPr>
          <w:rFonts w:ascii="Times New Roman" w:hAnsi="Times New Roman"/>
          <w:caps w:val="false"/>
          <w:smallCaps w:val="false"/>
          <w:sz w:val="20"/>
        </w:rPr>
        <w:t>” or “</w:t>
      </w:r>
      <w:r>
        <w:rPr>
          <w:rFonts w:ascii="Times New Roman" w:hAnsi="Times New Roman"/>
          <w:b/>
          <w:i/>
          <w:caps w:val="false"/>
          <w:smallCaps w:val="false"/>
          <w:sz w:val="20"/>
        </w:rPr>
        <w:t>GLPs</w:t>
      </w:r>
      <w:r>
        <w:rPr>
          <w:rFonts w:ascii="Times New Roman" w:hAnsi="Times New Roman"/>
          <w:caps w:val="false"/>
          <w:smallCaps w:val="false"/>
          <w:sz w:val="20"/>
        </w:rPr>
        <w:t>” means all applicable Good Laboratory Practice standards, including, as applicable: (a) as set forth in the then-current good laboratory practice standards promulgated or endorsed by the FDA as defined in 21 C.F.R. Part 58; and (b) the equivalent Applicable Laws in any relevant country, each as may be amended and applicable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1.64        “</w:t>
      </w:r>
      <w:r>
        <w:rPr>
          <w:rFonts w:ascii="Times New Roman" w:hAnsi="Times New Roman"/>
          <w:b/>
          <w:i/>
          <w:caps w:val="false"/>
          <w:smallCaps w:val="false"/>
          <w:sz w:val="20"/>
        </w:rPr>
        <w:t>Good Manufacturing Practices</w:t>
      </w:r>
      <w:r>
        <w:rPr>
          <w:rFonts w:ascii="Times New Roman" w:hAnsi="Times New Roman"/>
          <w:caps w:val="false"/>
          <w:smallCaps w:val="false"/>
          <w:sz w:val="20"/>
        </w:rPr>
        <w:t>” or “</w:t>
      </w:r>
      <w:r>
        <w:rPr>
          <w:rFonts w:ascii="Times New Roman" w:hAnsi="Times New Roman"/>
          <w:b/>
          <w:i/>
          <w:caps w:val="false"/>
          <w:smallCaps w:val="false"/>
          <w:sz w:val="20"/>
        </w:rPr>
        <w:t>cGMP</w:t>
      </w:r>
      <w:r>
        <w:rPr>
          <w:rFonts w:ascii="Times New Roman" w:hAnsi="Times New Roman"/>
          <w:caps w:val="false"/>
          <w:smallCaps w:val="false"/>
          <w:sz w:val="20"/>
        </w:rPr>
        <w:t>” means all applicable current Good Manufacturing Practices including, as applicable: (a) the principles detailed in the US Current Good Manufacturing Practices, 21 C.F.R. Parts 4, 210, 211, 601, 610 and 820; (b) European Directive 2003/94/EC and Eudralex 4; (c) the principles detailed in the WHO TRS 986 Annex 2, TRS 961 Annex 6, TRS 957 Annex 2, and TRS 999 Annex 2; (d) ICH Q7 guidelines; and (e) the equivalent Applicable Laws in any relevant country, each as may be amended and applicable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1.65        “</w:t>
      </w:r>
      <w:r>
        <w:rPr>
          <w:rFonts w:ascii="Times New Roman" w:hAnsi="Times New Roman"/>
          <w:b/>
          <w:i/>
          <w:caps w:val="false"/>
          <w:smallCaps w:val="false"/>
          <w:sz w:val="20"/>
        </w:rPr>
        <w:t>Government Official</w:t>
      </w:r>
      <w:r>
        <w:rPr>
          <w:rFonts w:ascii="Times New Roman" w:hAnsi="Times New Roman"/>
          <w:caps w:val="false"/>
          <w:smallCaps w:val="false"/>
          <w:sz w:val="20"/>
        </w:rPr>
        <w:t>” has the meaning set forth in Section 10.6.4.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1.66       “</w:t>
      </w:r>
      <w:r>
        <w:rPr>
          <w:rFonts w:ascii="Times New Roman" w:hAnsi="Times New Roman"/>
          <w:b/>
          <w:i/>
          <w:caps w:val="false"/>
          <w:smallCaps w:val="false"/>
          <w:sz w:val="20"/>
        </w:rPr>
        <w:t>Governmental Authority</w:t>
      </w:r>
      <w:r>
        <w:rPr>
          <w:rFonts w:ascii="Times New Roman" w:hAnsi="Times New Roman"/>
          <w:caps w:val="false"/>
          <w:smallCaps w:val="false"/>
          <w:sz w:val="20"/>
        </w:rPr>
        <w:t>” 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and any court or tribunal (or any department, bureau or division thereof, or any governmental arbitrator or arbitral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1.67        “</w:t>
      </w:r>
      <w:r>
        <w:rPr>
          <w:rFonts w:ascii="Times New Roman" w:hAnsi="Times New Roman"/>
          <w:b/>
          <w:i/>
          <w:caps w:val="false"/>
          <w:smallCaps w:val="false"/>
          <w:sz w:val="20"/>
        </w:rPr>
        <w:t>Holding Period</w:t>
      </w:r>
      <w:r>
        <w:rPr>
          <w:rFonts w:ascii="Times New Roman" w:hAnsi="Times New Roman"/>
          <w:caps w:val="false"/>
          <w:smallCaps w:val="false"/>
          <w:sz w:val="20"/>
        </w:rPr>
        <w:t>” has the meaning set forth in Section 8.2.6.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1.68        “</w:t>
      </w:r>
      <w:r>
        <w:rPr>
          <w:rFonts w:ascii="Times New Roman" w:hAnsi="Times New Roman"/>
          <w:b/>
          <w:i/>
          <w:caps w:val="false"/>
          <w:smallCaps w:val="false"/>
          <w:sz w:val="20"/>
        </w:rPr>
        <w:t>ICD-11</w:t>
      </w:r>
      <w:r>
        <w:rPr>
          <w:rFonts w:ascii="Times New Roman" w:hAnsi="Times New Roman"/>
          <w:caps w:val="false"/>
          <w:smallCaps w:val="false"/>
          <w:sz w:val="20"/>
        </w:rPr>
        <w:t>” means the 11th revision of the International Classification of Diseases of the World Health Organization or a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1.69        “</w:t>
      </w:r>
      <w:r>
        <w:rPr>
          <w:rFonts w:ascii="Times New Roman" w:hAnsi="Times New Roman"/>
          <w:b/>
          <w:i/>
          <w:caps w:val="false"/>
          <w:smallCaps w:val="false"/>
          <w:sz w:val="20"/>
        </w:rPr>
        <w:t>ICH</w:t>
      </w:r>
      <w:r>
        <w:rPr>
          <w:rFonts w:ascii="Times New Roman" w:hAnsi="Times New Roman"/>
          <w:caps w:val="false"/>
          <w:smallCaps w:val="false"/>
          <w:sz w:val="20"/>
        </w:rPr>
        <w:t>” has the meaning set forth in the definition of Good Clinical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1.70        “</w:t>
      </w:r>
      <w:r>
        <w:rPr>
          <w:rFonts w:ascii="Times New Roman" w:hAnsi="Times New Roman"/>
          <w:b/>
          <w:i/>
          <w:caps w:val="false"/>
          <w:smallCaps w:val="false"/>
          <w:sz w:val="20"/>
        </w:rPr>
        <w:t>Imugene</w:t>
      </w:r>
      <w:r>
        <w:rPr>
          <w:rFonts w:ascii="Times New Roman" w:hAnsi="Times New Roman"/>
          <w:caps w:val="false"/>
          <w:smallCaps w:val="false"/>
          <w:sz w:val="20"/>
        </w:rPr>
        <w:t>” means Imugene (USA)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1.71      “</w:t>
      </w:r>
      <w:r>
        <w:rPr>
          <w:rFonts w:ascii="Times New Roman" w:hAnsi="Times New Roman"/>
          <w:b/>
          <w:i/>
          <w:caps w:val="false"/>
          <w:smallCaps w:val="false"/>
          <w:sz w:val="20"/>
        </w:rPr>
        <w:t>IND</w:t>
      </w:r>
      <w:r>
        <w:rPr>
          <w:rFonts w:ascii="Times New Roman" w:hAnsi="Times New Roman"/>
          <w:caps w:val="false"/>
          <w:smallCaps w:val="false"/>
          <w:sz w:val="20"/>
        </w:rPr>
        <w:t>” means an investigational new drug application filed with the FDA or any similar application filed with a Regulatory Authority in a country outside the U.S. required to commence Clinical Trials of a pharmaceutical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1.72        “</w:t>
      </w:r>
      <w:r>
        <w:rPr>
          <w:rFonts w:ascii="Times New Roman" w:hAnsi="Times New Roman"/>
          <w:b/>
          <w:i/>
          <w:caps w:val="false"/>
          <w:smallCaps w:val="false"/>
          <w:sz w:val="20"/>
        </w:rPr>
        <w:t>Indemnitee</w:t>
      </w:r>
      <w:r>
        <w:rPr>
          <w:rFonts w:ascii="Times New Roman" w:hAnsi="Times New Roman"/>
          <w:caps w:val="false"/>
          <w:smallCaps w:val="false"/>
          <w:sz w:val="20"/>
        </w:rPr>
        <w:t>” has the meaning set forth in Section 11.1.3.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1.73        “</w:t>
      </w:r>
      <w:r>
        <w:rPr>
          <w:rFonts w:ascii="Times New Roman" w:hAnsi="Times New Roman"/>
          <w:b/>
          <w:i/>
          <w:caps w:val="false"/>
          <w:smallCaps w:val="false"/>
          <w:sz w:val="20"/>
        </w:rPr>
        <w:t>Indemnitor</w:t>
      </w:r>
      <w:r>
        <w:rPr>
          <w:rFonts w:ascii="Times New Roman" w:hAnsi="Times New Roman"/>
          <w:caps w:val="false"/>
          <w:smallCaps w:val="false"/>
          <w:sz w:val="20"/>
        </w:rPr>
        <w:t>” has the meaning set forth in Section 11.1.3.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1.74        “</w:t>
      </w:r>
      <w:r>
        <w:rPr>
          <w:rFonts w:ascii="Times New Roman" w:hAnsi="Times New Roman"/>
          <w:b/>
          <w:i/>
          <w:caps w:val="false"/>
          <w:smallCaps w:val="false"/>
          <w:sz w:val="20"/>
        </w:rPr>
        <w:t>Infringement</w:t>
      </w:r>
      <w:r>
        <w:rPr>
          <w:rFonts w:ascii="Times New Roman" w:hAnsi="Times New Roman"/>
          <w:caps w:val="false"/>
          <w:smallCaps w:val="false"/>
          <w:sz w:val="20"/>
        </w:rPr>
        <w:t>” has the meaning set forth in Section 9.3.1.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1.75        “</w:t>
      </w:r>
      <w:r>
        <w:rPr>
          <w:rFonts w:ascii="Times New Roman" w:hAnsi="Times New Roman"/>
          <w:b/>
          <w:i/>
          <w:caps w:val="false"/>
          <w:smallCaps w:val="false"/>
          <w:sz w:val="20"/>
        </w:rPr>
        <w:t>Initiation</w:t>
      </w:r>
      <w:r>
        <w:rPr>
          <w:rFonts w:ascii="Times New Roman" w:hAnsi="Times New Roman"/>
          <w:caps w:val="false"/>
          <w:smallCaps w:val="false"/>
          <w:sz w:val="20"/>
        </w:rPr>
        <w:t>” means with respect to any Clinical Trial, the enrollment of the first human subject in such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1.76        “</w:t>
      </w:r>
      <w:r>
        <w:rPr>
          <w:rFonts w:ascii="Times New Roman" w:hAnsi="Times New Roman"/>
          <w:b/>
          <w:i/>
          <w:caps w:val="false"/>
          <w:smallCaps w:val="false"/>
          <w:sz w:val="20"/>
        </w:rPr>
        <w:t>Initiation Deadline</w:t>
      </w:r>
      <w:r>
        <w:rPr>
          <w:rFonts w:ascii="Times New Roman" w:hAnsi="Times New Roman"/>
          <w:caps w:val="false"/>
          <w:smallCaps w:val="false"/>
          <w:sz w:val="20"/>
        </w:rPr>
        <w:t>” has the meaning set forth in Section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1.77        “</w:t>
      </w:r>
      <w:r>
        <w:rPr>
          <w:rFonts w:ascii="Times New Roman" w:hAnsi="Times New Roman"/>
          <w:b/>
          <w:i/>
          <w:caps w:val="false"/>
          <w:smallCaps w:val="false"/>
          <w:sz w:val="20"/>
        </w:rPr>
        <w:t>Insolvency Event</w:t>
      </w:r>
      <w:r>
        <w:rPr>
          <w:rFonts w:ascii="Times New Roman" w:hAnsi="Times New Roman"/>
          <w:caps w:val="false"/>
          <w:smallCaps w:val="false"/>
          <w:sz w:val="20"/>
        </w:rPr>
        <w:t>” means any of the events set out in Section 13.2.3.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1.78        “</w:t>
      </w:r>
      <w:r>
        <w:rPr>
          <w:rFonts w:ascii="Times New Roman" w:hAnsi="Times New Roman"/>
          <w:b/>
          <w:i/>
          <w:caps w:val="false"/>
          <w:smallCaps w:val="false"/>
          <w:sz w:val="20"/>
        </w:rPr>
        <w:t>Internal Compliance Codes</w:t>
      </w:r>
      <w:r>
        <w:rPr>
          <w:rFonts w:ascii="Times New Roman" w:hAnsi="Times New Roman"/>
          <w:caps w:val="false"/>
          <w:smallCaps w:val="false"/>
          <w:sz w:val="20"/>
        </w:rPr>
        <w:t>” has the meaning set forth in Section 10.6.2.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1.79‎        “</w:t>
      </w:r>
      <w:r>
        <w:rPr>
          <w:rFonts w:ascii="Times New Roman" w:hAnsi="Times New Roman"/>
          <w:b/>
          <w:i/>
          <w:caps w:val="false"/>
          <w:smallCaps w:val="false"/>
          <w:sz w:val="20"/>
        </w:rPr>
        <w:t>Inventions</w:t>
      </w:r>
      <w:r>
        <w:rPr>
          <w:rFonts w:ascii="Times New Roman" w:hAnsi="Times New Roman"/>
          <w:caps w:val="false"/>
          <w:smallCaps w:val="false"/>
          <w:sz w:val="20"/>
        </w:rPr>
        <w:t>” means all Know-How and inventions, whether or not patentable, and all rights, title and interest in and to the intellectual property rights (including Patent rights)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1.80        “</w:t>
      </w:r>
      <w:r>
        <w:rPr>
          <w:rFonts w:ascii="Times New Roman" w:hAnsi="Times New Roman"/>
          <w:b/>
          <w:i/>
          <w:caps w:val="false"/>
          <w:smallCaps w:val="false"/>
          <w:sz w:val="20"/>
        </w:rPr>
        <w:t>Joint IP</w:t>
      </w:r>
      <w:r>
        <w:rPr>
          <w:rFonts w:ascii="Times New Roman" w:hAnsi="Times New Roman"/>
          <w:caps w:val="false"/>
          <w:smallCaps w:val="false"/>
          <w:sz w:val="20"/>
        </w:rPr>
        <w:t>” has the meaning set forth in Section 9.1.2.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1.81        “</w:t>
      </w:r>
      <w:r>
        <w:rPr>
          <w:rFonts w:ascii="Times New Roman" w:hAnsi="Times New Roman"/>
          <w:b/>
          <w:i/>
          <w:caps w:val="false"/>
          <w:smallCaps w:val="false"/>
          <w:sz w:val="20"/>
        </w:rPr>
        <w:t>Joint Patents</w:t>
      </w:r>
      <w:r>
        <w:rPr>
          <w:rFonts w:ascii="Times New Roman" w:hAnsi="Times New Roman"/>
          <w:caps w:val="false"/>
          <w:smallCaps w:val="false"/>
          <w:sz w:val="20"/>
        </w:rPr>
        <w:t>” means any Patent constituting or claiming any Joint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1.82         “</w:t>
      </w:r>
      <w:r>
        <w:rPr>
          <w:rFonts w:ascii="Times New Roman" w:hAnsi="Times New Roman"/>
          <w:b/>
          <w:i/>
          <w:caps w:val="false"/>
          <w:smallCaps w:val="false"/>
          <w:sz w:val="20"/>
        </w:rPr>
        <w:t>JSC</w:t>
      </w:r>
      <w:r>
        <w:rPr>
          <w:rFonts w:ascii="Times New Roman" w:hAnsi="Times New Roman"/>
          <w:caps w:val="false"/>
          <w:smallCaps w:val="false"/>
          <w:sz w:val="20"/>
        </w:rPr>
        <w:t>” has the meaning set forth in Section 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1.83       “</w:t>
      </w:r>
      <w:r>
        <w:rPr>
          <w:rFonts w:ascii="Times New Roman" w:hAnsi="Times New Roman"/>
          <w:b/>
          <w:i/>
          <w:caps w:val="false"/>
          <w:smallCaps w:val="false"/>
          <w:sz w:val="20"/>
        </w:rPr>
        <w:t>Know-How</w:t>
      </w:r>
      <w:r>
        <w:rPr>
          <w:rFonts w:ascii="Times New Roman" w:hAnsi="Times New Roman"/>
          <w:caps w:val="false"/>
          <w:smallCaps w:val="false"/>
          <w:sz w:val="20"/>
        </w:rPr>
        <w:t>” means any proprietary scientific, clinical or technical information, inventions, discoveries, results and data of any type whatsoever, in any tangible or intangible form, including databases, safety and efficacy information, practices, methods, instructions, techniques, processes, drawings, documentation, specifications, formulations, formulae, knowledge, know-how, trade secrets, materials, skill, experience, test data and other information and technology applicable to formulations, compositions or products or to their Exploitation or to methods of assaying or testing them, including pharmacological, pharmaceutical, medicinal chemistry, biological, chemical, biochemical, toxicological and clinical test data, physical and analytical, safety, quality control data, manufacturing, and stability data, studies and procedures, and manufacturing process and development information, results and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1.84      “</w:t>
      </w:r>
      <w:r>
        <w:rPr>
          <w:rFonts w:ascii="Times New Roman" w:hAnsi="Times New Roman"/>
          <w:b/>
          <w:i/>
          <w:caps w:val="false"/>
          <w:smallCaps w:val="false"/>
          <w:sz w:val="20"/>
        </w:rPr>
        <w:t>Knowledge</w:t>
      </w:r>
      <w:r>
        <w:rPr>
          <w:rFonts w:ascii="Times New Roman" w:hAnsi="Times New Roman"/>
          <w:caps w:val="false"/>
          <w:smallCaps w:val="false"/>
          <w:sz w:val="20"/>
        </w:rPr>
        <w:t>” means the actual knowledge of each of Precision’s Chief Executive Officer, Chief Research Officer, Chief Financial Officer, Chief Business Officer and Vice President of Intellectual Property after due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1.85        “</w:t>
      </w:r>
      <w:r>
        <w:rPr>
          <w:rFonts w:ascii="Times New Roman" w:hAnsi="Times New Roman"/>
          <w:b/>
          <w:i/>
          <w:caps w:val="false"/>
          <w:smallCaps w:val="false"/>
          <w:sz w:val="20"/>
        </w:rPr>
        <w:t>Licensed ARCUS Nuclease</w:t>
      </w:r>
      <w:r>
        <w:rPr>
          <w:rFonts w:ascii="Times New Roman" w:hAnsi="Times New Roman"/>
          <w:caps w:val="false"/>
          <w:smallCaps w:val="false"/>
          <w:sz w:val="20"/>
        </w:rPr>
        <w:t>” means [***</w:t>
      </w:r>
      <w:r>
        <w:rPr>
          <w:rFonts w:ascii="Times New Roman" w:hAnsi="Times New Roman"/>
          <w:caps w:val="false"/>
          <w:smallCaps w:val="false"/>
          <w:sz w:val="20"/>
          <w:u w:val="single"/>
        </w:rPr>
        <w: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1.86        “</w:t>
      </w:r>
      <w:r>
        <w:rPr>
          <w:rFonts w:ascii="Times New Roman" w:hAnsi="Times New Roman"/>
          <w:b/>
          <w:i/>
          <w:caps w:val="false"/>
          <w:smallCaps w:val="false"/>
          <w:sz w:val="20"/>
        </w:rPr>
        <w:t>Licensed</w:t>
      </w:r>
      <w:r>
        <w:rPr>
          <w:rFonts w:ascii="Times New Roman" w:hAnsi="Times New Roman"/>
          <w:caps w:val="false"/>
          <w:smallCaps w:val="false"/>
          <w:sz w:val="20"/>
        </w:rPr>
        <w:t xml:space="preserve"> </w:t>
      </w:r>
      <w:r>
        <w:rPr>
          <w:rFonts w:ascii="Times New Roman" w:hAnsi="Times New Roman"/>
          <w:b/>
          <w:i/>
          <w:caps w:val="false"/>
          <w:smallCaps w:val="false"/>
          <w:sz w:val="20"/>
        </w:rPr>
        <w:t>Field</w:t>
      </w:r>
      <w:r>
        <w:rPr>
          <w:rFonts w:ascii="Times New Roman" w:hAnsi="Times New Roman"/>
          <w:caps w:val="false"/>
          <w:smallCaps w:val="false"/>
          <w:sz w:val="20"/>
        </w:rPr>
        <w:t>” means the treatment, prevention, cure, mitigation or palliation of any and all human diseases, conditions or disorders, excluding the treatment, prevention, cure, mitigation and palliation of any and all cancers (i.e., diseases, conditions or disorders identified in chapter 2 (“Neoplasms”) of the ICD-11).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1.87       “</w:t>
      </w:r>
      <w:r>
        <w:rPr>
          <w:rFonts w:ascii="Times New Roman" w:hAnsi="Times New Roman"/>
          <w:b/>
          <w:i/>
          <w:caps w:val="false"/>
          <w:smallCaps w:val="false"/>
          <w:sz w:val="20"/>
        </w:rPr>
        <w:t>Licensed Product</w:t>
      </w:r>
      <w:r>
        <w:rPr>
          <w:rFonts w:ascii="Times New Roman" w:hAnsi="Times New Roman"/>
          <w:caps w:val="false"/>
          <w:smallCaps w:val="false"/>
          <w:sz w:val="20"/>
        </w:rPr>
        <w:t>” means the investigational allogeneic CAR-T product directed to CD19 known as “azercabtagene zapreleucel” or “azer-cel” and having the Precision internal designation PBCAR0191, including any preparation, formulation, dosage, packaging or method of administration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1.88        “</w:t>
      </w:r>
      <w:r>
        <w:rPr>
          <w:rFonts w:ascii="Times New Roman" w:hAnsi="Times New Roman"/>
          <w:b/>
          <w:i/>
          <w:caps w:val="false"/>
          <w:smallCaps w:val="false"/>
          <w:sz w:val="20"/>
        </w:rPr>
        <w:t>Licensed Product Trademarks</w:t>
      </w:r>
      <w:r>
        <w:rPr>
          <w:rFonts w:ascii="Times New Roman" w:hAnsi="Times New Roman"/>
          <w:caps w:val="false"/>
          <w:smallCaps w:val="false"/>
          <w:sz w:val="20"/>
        </w:rPr>
        <w:t>” has the meaning set forth in Section 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1.89        “</w:t>
      </w:r>
      <w:r>
        <w:rPr>
          <w:rFonts w:ascii="Times New Roman" w:hAnsi="Times New Roman"/>
          <w:b/>
          <w:i/>
          <w:caps w:val="false"/>
          <w:smallCaps w:val="false"/>
          <w:sz w:val="20"/>
        </w:rPr>
        <w:t>Lock-Up Securities</w:t>
      </w:r>
      <w:r>
        <w:rPr>
          <w:rFonts w:ascii="Times New Roman" w:hAnsi="Times New Roman"/>
          <w:caps w:val="false"/>
          <w:smallCaps w:val="false"/>
          <w:sz w:val="20"/>
        </w:rPr>
        <w:t>” has the meaning set forth in Section 8.2.6.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1.90        “</w:t>
      </w:r>
      <w:r>
        <w:rPr>
          <w:rFonts w:ascii="Times New Roman" w:hAnsi="Times New Roman"/>
          <w:b/>
          <w:i/>
          <w:caps w:val="false"/>
          <w:smallCaps w:val="false"/>
          <w:sz w:val="20"/>
        </w:rPr>
        <w:t>Losses</w:t>
      </w:r>
      <w:r>
        <w:rPr>
          <w:rFonts w:ascii="Times New Roman" w:hAnsi="Times New Roman"/>
          <w:caps w:val="false"/>
          <w:smallCaps w:val="false"/>
          <w:sz w:val="20"/>
        </w:rPr>
        <w:t>” has the meaning set forth in Section 11.1.1.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1.92        “</w:t>
      </w:r>
      <w:r>
        <w:rPr>
          <w:rFonts w:ascii="Times New Roman" w:hAnsi="Times New Roman"/>
          <w:b/>
          <w:i/>
          <w:caps w:val="false"/>
          <w:smallCaps w:val="false"/>
          <w:sz w:val="20"/>
        </w:rPr>
        <w:t>Manufacture</w:t>
      </w:r>
      <w:r>
        <w:rPr>
          <w:rFonts w:ascii="Times New Roman" w:hAnsi="Times New Roman"/>
          <w:caps w:val="false"/>
          <w:smallCaps w:val="false"/>
          <w:sz w:val="20"/>
        </w:rPr>
        <w:t>” and “</w:t>
      </w:r>
      <w:r>
        <w:rPr>
          <w:rFonts w:ascii="Times New Roman" w:hAnsi="Times New Roman"/>
          <w:b/>
          <w:i/>
          <w:caps w:val="false"/>
          <w:smallCaps w:val="false"/>
          <w:sz w:val="20"/>
        </w:rPr>
        <w:t>Manufacturing</w:t>
      </w:r>
      <w:r>
        <w:rPr>
          <w:rFonts w:ascii="Times New Roman" w:hAnsi="Times New Roman"/>
          <w:caps w:val="false"/>
          <w:smallCaps w:val="false"/>
          <w:sz w:val="20"/>
        </w:rPr>
        <w:t>” means any and all activities related to the production, manufacture, formulation, finishing, packaging, labeling, shipping and holding of a Licensed Product, or other product or therapy, or any component, intermediary or precursor thereof (including, for clarity, [***]), and including process development, process qualification and validation, scale-up, pre-clinical, clinical and commercial manufacture, characterization, quality assurance and quality control (including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1.93      “</w:t>
      </w:r>
      <w:r>
        <w:rPr>
          <w:rFonts w:ascii="Times New Roman" w:hAnsi="Times New Roman"/>
          <w:b/>
          <w:i/>
          <w:caps w:val="false"/>
          <w:smallCaps w:val="false"/>
          <w:sz w:val="20"/>
        </w:rPr>
        <w:t>Marketing Authorization</w:t>
      </w:r>
      <w:r>
        <w:rPr>
          <w:rFonts w:ascii="Times New Roman" w:hAnsi="Times New Roman"/>
          <w:caps w:val="false"/>
          <w:smallCaps w:val="false"/>
          <w:sz w:val="20"/>
        </w:rPr>
        <w:t>” means, with respect to a particular Licensed Product in a particular country or regulatory jurisdiction, collectively, all Regulatory Approvals (including any Pricing and Reimbursement Approval or access approvals, if applicable) required by the relevant Regulatory Authority in order to initiate marketing, selling or Commercializing a Licensed Product in such country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1.94        “</w:t>
      </w:r>
      <w:r>
        <w:rPr>
          <w:rFonts w:ascii="Times New Roman" w:hAnsi="Times New Roman"/>
          <w:b/>
          <w:i/>
          <w:caps w:val="false"/>
          <w:smallCaps w:val="false"/>
          <w:sz w:val="20"/>
        </w:rPr>
        <w:t>MaxCyte</w:t>
      </w:r>
      <w:r>
        <w:rPr>
          <w:rFonts w:ascii="Times New Roman" w:hAnsi="Times New Roman"/>
          <w:caps w:val="false"/>
          <w:smallCaps w:val="false"/>
          <w:sz w:val="20"/>
        </w:rPr>
        <w:t>” has the meaning set forth in Section 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1.95        “</w:t>
      </w:r>
      <w:r>
        <w:rPr>
          <w:rFonts w:ascii="Times New Roman" w:hAnsi="Times New Roman"/>
          <w:b/>
          <w:i/>
          <w:caps w:val="false"/>
          <w:smallCaps w:val="false"/>
          <w:sz w:val="20"/>
        </w:rPr>
        <w:t>MaxCyte Agreement</w:t>
      </w:r>
      <w:r>
        <w:rPr>
          <w:rFonts w:ascii="Times New Roman" w:hAnsi="Times New Roman"/>
          <w:caps w:val="false"/>
          <w:smallCaps w:val="false"/>
          <w:sz w:val="20"/>
        </w:rPr>
        <w:t>” means the License Agreement entered into by Precision and MaxCyte on November 12, 2018, as amended by the Amendment, dated as of April 1, 2020, and as further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1.96        “</w:t>
      </w:r>
      <w:r>
        <w:rPr>
          <w:rFonts w:ascii="Times New Roman" w:hAnsi="Times New Roman"/>
          <w:b/>
          <w:i/>
          <w:caps w:val="false"/>
          <w:smallCaps w:val="false"/>
          <w:sz w:val="20"/>
        </w:rPr>
        <w:t>Medical Affairs</w:t>
      </w:r>
      <w:r>
        <w:rPr>
          <w:rFonts w:ascii="Times New Roman" w:hAnsi="Times New Roman"/>
          <w:caps w:val="false"/>
          <w:smallCaps w:val="false"/>
          <w:sz w:val="20"/>
        </w:rPr>
        <w:t>” means activities conducted by a Party’s medical affairs departments (or, if a Party does not have a medical affairs department, the equivalent function thereof), including communications with key opinion leaders, medical education, symposia, advisory boards (to the extent related to medical affairs or clinical guidance), activities performed in connection with patient registries, and other medical programs and communications, including educational grants, research grants (including conducting investigator-initiated studies), and charitable donations to the extent related to medical affairs related to the Licensed Product and not to other activities that do not involve the promotion, marketing, sale, or other Commercialization of the Licensed Product and are not conducted by a Party’s medical affairs (or equivalent) departments. Medical Affairs excludes any activities directed to Manufacturing, Development, or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1.97       “</w:t>
      </w:r>
      <w:r>
        <w:rPr>
          <w:rFonts w:ascii="Times New Roman" w:hAnsi="Times New Roman"/>
          <w:b/>
          <w:i/>
          <w:caps w:val="false"/>
          <w:smallCaps w:val="false"/>
          <w:sz w:val="20"/>
        </w:rPr>
        <w:t>Medical Affairs Plan</w:t>
      </w:r>
      <w:r>
        <w:rPr>
          <w:rFonts w:ascii="Times New Roman" w:hAnsi="Times New Roman"/>
          <w:caps w:val="false"/>
          <w:smallCaps w:val="false"/>
          <w:sz w:val="20"/>
        </w:rPr>
        <w:t>” means, with respect to the Licensed Product, the written high-level strategic and tactical plans for the Medical Affairs activities for such Licensed Product to be conducted in the Licensed Field in the Territory that will be prepared and updated by TGTX as provided in Section 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1.98        “</w:t>
      </w:r>
      <w:r>
        <w:rPr>
          <w:rFonts w:ascii="Times New Roman" w:hAnsi="Times New Roman"/>
          <w:b/>
          <w:i/>
          <w:caps w:val="false"/>
          <w:smallCaps w:val="false"/>
          <w:sz w:val="20"/>
        </w:rPr>
        <w:t>Milestone 1 Precision Stock Issuance</w:t>
      </w:r>
      <w:r>
        <w:rPr>
          <w:rFonts w:ascii="Times New Roman" w:hAnsi="Times New Roman"/>
          <w:caps w:val="false"/>
          <w:smallCaps w:val="false"/>
          <w:sz w:val="20"/>
        </w:rPr>
        <w:t>” has the meaning set forth in Section 8.2.1(c).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1.99        “</w:t>
      </w:r>
      <w:r>
        <w:rPr>
          <w:rFonts w:ascii="Times New Roman" w:hAnsi="Times New Roman"/>
          <w:b/>
          <w:i/>
          <w:caps w:val="false"/>
          <w:smallCaps w:val="false"/>
          <w:sz w:val="20"/>
        </w:rPr>
        <w:t>Milestone 1 Precision Stock Payment</w:t>
      </w:r>
      <w:r>
        <w:rPr>
          <w:rFonts w:ascii="Times New Roman" w:hAnsi="Times New Roman"/>
          <w:caps w:val="false"/>
          <w:smallCaps w:val="false"/>
          <w:sz w:val="20"/>
        </w:rPr>
        <w:t>” has the meaning set forth in Section 8.2.1(c).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1.100      “</w:t>
      </w:r>
      <w:r>
        <w:rPr>
          <w:rFonts w:ascii="Times New Roman" w:hAnsi="Times New Roman"/>
          <w:b/>
          <w:i/>
          <w:caps w:val="false"/>
          <w:smallCaps w:val="false"/>
          <w:sz w:val="20"/>
        </w:rPr>
        <w:t>Milestone Event</w:t>
      </w:r>
      <w:r>
        <w:rPr>
          <w:rFonts w:ascii="Times New Roman" w:hAnsi="Times New Roman"/>
          <w:caps w:val="false"/>
          <w:smallCaps w:val="false"/>
          <w:sz w:val="20"/>
        </w:rPr>
        <w:t>” means any milestone event set forth in Section 8.3 or Section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1.101      “</w:t>
      </w:r>
      <w:r>
        <w:rPr>
          <w:rFonts w:ascii="Times New Roman" w:hAnsi="Times New Roman"/>
          <w:b/>
          <w:i/>
          <w:caps w:val="false"/>
          <w:smallCaps w:val="false"/>
          <w:sz w:val="20"/>
        </w:rPr>
        <w:t>Minimum Price</w:t>
      </w:r>
      <w:r>
        <w:rPr>
          <w:rFonts w:ascii="Times New Roman" w:hAnsi="Times New Roman"/>
          <w:caps w:val="false"/>
          <w:smallCaps w:val="false"/>
          <w:sz w:val="20"/>
        </w:rPr>
        <w:t>” means the price that is the lower of the following: (a) the Nasdaq official closing price (as reflected on Nasdaq.com) immediately preceding the signing of this Agreement; or (b) the average Nasdaq official closing price of the Precision Common Stock (as reflected on Nasdaq.com) for the five Trading Days immediately preceding the signing of this Agreement. For purposes of this Agreement, the Minimum Price is $0.3722 per share, subject to appropriate adjustments being made in respect of any reorganization, recapitalization, non-cash dividend, stock split, reverse stock split, reconstruction, consolidation, division, reclassification of such shares into a lesser or greater number of securities or other similar transaction that occurs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1.102      “</w:t>
      </w:r>
      <w:r>
        <w:rPr>
          <w:rFonts w:ascii="Times New Roman" w:hAnsi="Times New Roman"/>
          <w:b/>
          <w:i/>
          <w:caps w:val="false"/>
          <w:smallCaps w:val="false"/>
          <w:sz w:val="20"/>
        </w:rPr>
        <w:t>Nasdaq</w:t>
      </w:r>
      <w:r>
        <w:rPr>
          <w:rFonts w:ascii="Times New Roman" w:hAnsi="Times New Roman"/>
          <w:caps w:val="false"/>
          <w:smallCaps w:val="false"/>
          <w:sz w:val="20"/>
        </w:rPr>
        <w:t>” means the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1.103      “</w:t>
      </w:r>
      <w:r>
        <w:rPr>
          <w:rFonts w:ascii="Times New Roman" w:hAnsi="Times New Roman"/>
          <w:b/>
          <w:i/>
          <w:caps w:val="false"/>
          <w:smallCaps w:val="false"/>
          <w:sz w:val="20"/>
        </w:rPr>
        <w:t>Net Sales</w:t>
      </w:r>
      <w:r>
        <w:rPr>
          <w:rFonts w:ascii="Times New Roman" w:hAnsi="Times New Roman"/>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foregoing amounts shall be determined from the books and records of the Selling Party, maintained in accordance with U.S. GAAP, consistently applied. [***]. In the case of sale or disposal of the applicable Licensed Product for consideration other than exclusively monetary consideration, Net Sales for such Licensed Product shall be the value of the non-cash consideration received, as determined in accordance with U.S. GAAP. In no event will any particular amount identified above be deducted more than once in calculating Net Sales. Sales of the applicable Licensed Product between the individual Selling Parties for such Licensed Product for resale shall be excluded from the computation of Net Sales (unless such Licensed Product is consumed by such Selling Party), but the subsequent resale of such Licensed Product by such Selling Party to a Third Party shall be included within the computation of Net Sales. Licensed Products transferred as part of an expanded access program, compassionate sales or use program, an indigent program, as </w:t>
      </w:r>
      <w:r>
        <w:rPr>
          <w:rFonts w:ascii="Times New Roman" w:hAnsi="Times New Roman"/>
          <w:i/>
          <w:caps w:val="false"/>
          <w:smallCaps w:val="false"/>
          <w:sz w:val="20"/>
        </w:rPr>
        <w:t>bona fide</w:t>
      </w:r>
      <w:r>
        <w:rPr>
          <w:rFonts w:ascii="Times New Roman" w:hAnsi="Times New Roman"/>
          <w:caps w:val="false"/>
          <w:smallCaps w:val="false"/>
          <w:sz w:val="20"/>
        </w:rPr>
        <w:t xml:space="preserve"> samples, as donations, or for the performance of Clinical Trials, shall not be included in Net Sales for such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determining Net Sales of the Licensed Product sold in combination with or as part of a bundle with other products, or in packaged arrangements to customers that include the Licensed Product, in each case other than Combination Products (which are addressed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that the Licensed Product is sold as part of a Combination Product (where “</w:t>
      </w:r>
      <w:r>
        <w:rPr>
          <w:rFonts w:ascii="Times New Roman" w:hAnsi="Times New Roman"/>
          <w:b/>
          <w:i/>
          <w:caps w:val="false"/>
          <w:smallCaps w:val="false"/>
          <w:sz w:val="20"/>
        </w:rPr>
        <w:t>Combination Product</w:t>
      </w:r>
      <w:r>
        <w:rPr>
          <w:rFonts w:ascii="Times New Roman" w:hAnsi="Times New Roman"/>
          <w:caps w:val="false"/>
          <w:smallCaps w:val="false"/>
          <w:sz w:val="20"/>
        </w:rPr>
        <w:t>” means any pharmaceutical product which comprises the Licensed Product and one or more other Active Ingredients that do not constitute the Licensed Product, whether co-formulated, co-packaged or otherwise sold together for one price), the Net Sales of the Licensed Product, for the purposes of determining royalty payments, shall be determined by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1.104      “</w:t>
      </w:r>
      <w:r>
        <w:rPr>
          <w:rFonts w:ascii="Times New Roman" w:hAnsi="Times New Roman"/>
          <w:b/>
          <w:i/>
          <w:caps w:val="false"/>
          <w:smallCaps w:val="false"/>
          <w:sz w:val="20"/>
        </w:rPr>
        <w:t>Parent Obligations</w:t>
      </w:r>
      <w:r>
        <w:rPr>
          <w:rFonts w:ascii="Times New Roman" w:hAnsi="Times New Roman"/>
          <w:caps w:val="false"/>
          <w:smallCaps w:val="false"/>
          <w:sz w:val="20"/>
        </w:rPr>
        <w:t>” has the meaning set forth in Section 15.18.1.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1.105      “</w:t>
      </w:r>
      <w:r>
        <w:rPr>
          <w:rFonts w:ascii="Times New Roman" w:hAnsi="Times New Roman"/>
          <w:b/>
          <w:i/>
          <w:caps w:val="false"/>
          <w:smallCaps w:val="false"/>
          <w:sz w:val="20"/>
        </w:rPr>
        <w:t>Party</w:t>
      </w:r>
      <w:r>
        <w:rPr>
          <w:rFonts w:ascii="Times New Roman" w:hAnsi="Times New Roman"/>
          <w:caps w:val="false"/>
          <w:smallCaps w:val="false"/>
          <w:sz w:val="20"/>
        </w:rPr>
        <w:t>” and “</w:t>
      </w:r>
      <w:r>
        <w:rPr>
          <w:rFonts w:ascii="Times New Roman" w:hAnsi="Times New Roman"/>
          <w:b/>
          <w:i/>
          <w:caps w:val="false"/>
          <w:smallCaps w:val="false"/>
          <w:sz w:val="20"/>
        </w:rPr>
        <w:t>Parties</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1.106     “</w:t>
      </w:r>
      <w:r>
        <w:rPr>
          <w:rFonts w:ascii="Times New Roman" w:hAnsi="Times New Roman"/>
          <w:b/>
          <w:i/>
          <w:caps w:val="false"/>
          <w:smallCaps w:val="false"/>
          <w:sz w:val="20"/>
        </w:rPr>
        <w:t>Patent Defense Matters</w:t>
      </w:r>
      <w:r>
        <w:rPr>
          <w:rFonts w:ascii="Times New Roman" w:hAnsi="Times New Roman"/>
          <w:caps w:val="false"/>
          <w:smallCaps w:val="false"/>
          <w:sz w:val="20"/>
        </w:rPr>
        <w:t xml:space="preserve">” means the conduct of interferences, derivation proceedings,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 and post-grant review, the defense of oppositions and other similar proceedings with respect to a Patent, excluding any activities associated with claims, including as a counterclaim or declaratory judgment action, of unpatentability, invalidity or unenforceability of such Patent that are brought by a Third Party in connection with an alleged or threatened infringement by a Third Party of a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1.107      “</w:t>
      </w:r>
      <w:r>
        <w:rPr>
          <w:rFonts w:ascii="Times New Roman" w:hAnsi="Times New Roman"/>
          <w:b/>
          <w:i/>
          <w:caps w:val="false"/>
          <w:smallCaps w:val="false"/>
          <w:sz w:val="20"/>
        </w:rPr>
        <w:t>Patents</w:t>
      </w:r>
      <w:r>
        <w:rPr>
          <w:rFonts w:ascii="Times New Roman" w:hAnsi="Times New Roman"/>
          <w:caps w:val="false"/>
          <w:smallCaps w:val="false"/>
          <w:sz w:val="20"/>
        </w:rPr>
        <w:t>” mean: (a) pending patent applications, issued patents, utility models and designs; (b) reissues, 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1.108       “</w:t>
      </w:r>
      <w:r>
        <w:rPr>
          <w:rFonts w:ascii="Times New Roman" w:hAnsi="Times New Roman"/>
          <w:b/>
          <w:i/>
          <w:caps w:val="false"/>
          <w:smallCaps w:val="false"/>
          <w:sz w:val="20"/>
        </w:rPr>
        <w:t>Permitted Transferee</w:t>
      </w:r>
      <w:r>
        <w:rPr>
          <w:rFonts w:ascii="Times New Roman" w:hAnsi="Times New Roman"/>
          <w:caps w:val="false"/>
          <w:smallCaps w:val="false"/>
          <w:sz w:val="20"/>
        </w:rPr>
        <w:t xml:space="preserve">” means TGTX Parent or any entity controlled by TGTX Parent that is an Affiliate of TGTX and to whom the Shares are being transferred without consideration; </w:t>
      </w:r>
      <w:r>
        <w:rPr>
          <w:rFonts w:ascii="Times New Roman" w:hAnsi="Times New Roman"/>
          <w:i/>
          <w:caps w:val="false"/>
          <w:smallCaps w:val="false"/>
          <w:sz w:val="20"/>
        </w:rPr>
        <w:t>provided</w:t>
      </w:r>
      <w:r>
        <w:rPr>
          <w:rFonts w:ascii="Times New Roman" w:hAnsi="Times New Roman"/>
          <w:caps w:val="false"/>
          <w:smallCaps w:val="false"/>
          <w:sz w:val="20"/>
        </w:rPr>
        <w:t>, however, that no such Person shall be deemed a Permitted Transferee for any purpose under this Agreement unless (a) the Permitted Transferee, prior to or simultaneously with any transfer of Shares to such Affiliate, shall have agreed in writing to be subject to and bound by, and makes the representations and warranties set forth in, Sections 8.2.3, 8.2.4, 8.2.6, 8.2.7 and 8.2.8 (and all other provisions of this Agreement referred to therein or applicable thereto) as though it were “TGTX” or “TGTX Parent” hereunder, as applicable (including specifically executing an irrevocable proxy to vote the Shares as required by Section 8.2.7), (b) each of TGTX and TGTX Parent acknowledges and agrees that it continues to be bound by the terms of this Agreement, and (c) TGTX provides written documentation, reasonably acceptable to Precision, that such permitted transfer complies with all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1.109    “</w:t>
      </w:r>
      <w:r>
        <w:rPr>
          <w:rFonts w:ascii="Times New Roman" w:hAnsi="Times New Roman"/>
          <w:b/>
          <w:i/>
          <w:caps w:val="false"/>
          <w:smallCaps w:val="false"/>
          <w:sz w:val="20"/>
        </w:rPr>
        <w:t>Person</w:t>
      </w:r>
      <w:r>
        <w:rPr>
          <w:rFonts w:ascii="Times New Roman" w:hAnsi="Times New Roman"/>
          <w:caps w:val="false"/>
          <w:smallCaps w:val="false"/>
          <w:sz w:val="20"/>
        </w:rPr>
        <w:t>” means any corporation, limited or general partnership, limited liability company, joint venture, trust, unincorporated association, governmental body, authority, bureau or agency, any other entity or body, or an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1.110       “</w:t>
      </w:r>
      <w:r>
        <w:rPr>
          <w:rFonts w:ascii="Times New Roman" w:hAnsi="Times New Roman"/>
          <w:b/>
          <w:i/>
          <w:caps w:val="false"/>
          <w:smallCaps w:val="false"/>
          <w:sz w:val="20"/>
        </w:rPr>
        <w:t>Phase I</w:t>
      </w:r>
      <w:r>
        <w:rPr>
          <w:rFonts w:ascii="Times New Roman" w:hAnsi="Times New Roman"/>
          <w:caps w:val="false"/>
          <w:smallCaps w:val="false"/>
          <w:sz w:val="20"/>
        </w:rPr>
        <w:t xml:space="preserve"> </w:t>
      </w:r>
      <w:r>
        <w:rPr>
          <w:rFonts w:ascii="Times New Roman" w:hAnsi="Times New Roman"/>
          <w:b/>
          <w:i/>
          <w:caps w:val="false"/>
          <w:smallCaps w:val="false"/>
          <w:sz w:val="20"/>
        </w:rPr>
        <w:t>Clinical</w:t>
      </w:r>
      <w:r>
        <w:rPr>
          <w:rFonts w:ascii="Times New Roman" w:hAnsi="Times New Roman"/>
          <w:caps w:val="false"/>
          <w:smallCaps w:val="false"/>
          <w:sz w:val="20"/>
        </w:rPr>
        <w:t xml:space="preserve"> </w:t>
      </w:r>
      <w:r>
        <w:rPr>
          <w:rFonts w:ascii="Times New Roman" w:hAnsi="Times New Roman"/>
          <w:b/>
          <w:i/>
          <w:caps w:val="false"/>
          <w:smallCaps w:val="false"/>
          <w:sz w:val="20"/>
        </w:rPr>
        <w:t>Trial</w:t>
      </w:r>
      <w:r>
        <w:rPr>
          <w:rFonts w:ascii="Times New Roman" w:hAnsi="Times New Roman"/>
          <w:caps w:val="false"/>
          <w:smallCaps w:val="false"/>
          <w:sz w:val="20"/>
        </w:rPr>
        <w:t>” means a Clinical Trial that would satisfy the requirements of 21 C.F.R. § 312.21(a) (or equivalent regulation in countries other than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1.111      “</w:t>
      </w:r>
      <w:r>
        <w:rPr>
          <w:rFonts w:ascii="Times New Roman" w:hAnsi="Times New Roman"/>
          <w:b/>
          <w:i/>
          <w:caps w:val="false"/>
          <w:smallCaps w:val="false"/>
          <w:sz w:val="20"/>
        </w:rPr>
        <w:t>Phase II</w:t>
      </w:r>
      <w:r>
        <w:rPr>
          <w:rFonts w:ascii="Times New Roman" w:hAnsi="Times New Roman"/>
          <w:caps w:val="false"/>
          <w:smallCaps w:val="false"/>
          <w:sz w:val="20"/>
        </w:rPr>
        <w:t xml:space="preserve"> </w:t>
      </w:r>
      <w:r>
        <w:rPr>
          <w:rFonts w:ascii="Times New Roman" w:hAnsi="Times New Roman"/>
          <w:b/>
          <w:i/>
          <w:caps w:val="false"/>
          <w:smallCaps w:val="false"/>
          <w:sz w:val="20"/>
        </w:rPr>
        <w:t>Clinical</w:t>
      </w:r>
      <w:r>
        <w:rPr>
          <w:rFonts w:ascii="Times New Roman" w:hAnsi="Times New Roman"/>
          <w:caps w:val="false"/>
          <w:smallCaps w:val="false"/>
          <w:sz w:val="20"/>
        </w:rPr>
        <w:t xml:space="preserve"> </w:t>
      </w:r>
      <w:r>
        <w:rPr>
          <w:rFonts w:ascii="Times New Roman" w:hAnsi="Times New Roman"/>
          <w:b/>
          <w:i/>
          <w:caps w:val="false"/>
          <w:smallCaps w:val="false"/>
          <w:sz w:val="20"/>
        </w:rPr>
        <w:t>Trial</w:t>
      </w:r>
      <w:r>
        <w:rPr>
          <w:rFonts w:ascii="Times New Roman" w:hAnsi="Times New Roman"/>
          <w:caps w:val="false"/>
          <w:smallCaps w:val="false"/>
          <w:sz w:val="20"/>
        </w:rPr>
        <w:t>” means a Clinical Trial that would satisfy the requirements of 21 C.F.R. § 312.21(b) (or equivalent regulation in countries other than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1.112      “</w:t>
      </w:r>
      <w:r>
        <w:rPr>
          <w:rFonts w:ascii="Times New Roman" w:hAnsi="Times New Roman"/>
          <w:b/>
          <w:i/>
          <w:caps w:val="false"/>
          <w:smallCaps w:val="false"/>
          <w:sz w:val="20"/>
        </w:rPr>
        <w:t>Phase III</w:t>
      </w:r>
      <w:r>
        <w:rPr>
          <w:rFonts w:ascii="Times New Roman" w:hAnsi="Times New Roman"/>
          <w:caps w:val="false"/>
          <w:smallCaps w:val="false"/>
          <w:sz w:val="20"/>
        </w:rPr>
        <w:t xml:space="preserve"> </w:t>
      </w:r>
      <w:r>
        <w:rPr>
          <w:rFonts w:ascii="Times New Roman" w:hAnsi="Times New Roman"/>
          <w:b/>
          <w:i/>
          <w:caps w:val="false"/>
          <w:smallCaps w:val="false"/>
          <w:sz w:val="20"/>
        </w:rPr>
        <w:t>Clinical</w:t>
      </w:r>
      <w:r>
        <w:rPr>
          <w:rFonts w:ascii="Times New Roman" w:hAnsi="Times New Roman"/>
          <w:caps w:val="false"/>
          <w:smallCaps w:val="false"/>
          <w:sz w:val="20"/>
        </w:rPr>
        <w:t xml:space="preserve"> </w:t>
      </w:r>
      <w:r>
        <w:rPr>
          <w:rFonts w:ascii="Times New Roman" w:hAnsi="Times New Roman"/>
          <w:b/>
          <w:i/>
          <w:caps w:val="false"/>
          <w:smallCaps w:val="false"/>
          <w:sz w:val="20"/>
        </w:rPr>
        <w:t>Trial</w:t>
      </w:r>
      <w:r>
        <w:rPr>
          <w:rFonts w:ascii="Times New Roman" w:hAnsi="Times New Roman"/>
          <w:caps w:val="false"/>
          <w:smallCaps w:val="false"/>
          <w:sz w:val="20"/>
        </w:rPr>
        <w:t>” means a controlled or uncontrolled human Clinical Trial of a product that would satisfy the requirements of 21 C.F.R. § 312.21(c) (or equivalent regulation in countries other than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1.113     “</w:t>
      </w:r>
      <w:r>
        <w:rPr>
          <w:rFonts w:ascii="Times New Roman" w:hAnsi="Times New Roman"/>
          <w:b/>
          <w:i/>
          <w:caps w:val="false"/>
          <w:smallCaps w:val="false"/>
          <w:sz w:val="20"/>
        </w:rPr>
        <w:t>Pivotal Clinical Trial</w:t>
      </w:r>
      <w:r>
        <w:rPr>
          <w:rFonts w:ascii="Times New Roman" w:hAnsi="Times New Roman"/>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1.114‎      “</w:t>
      </w:r>
      <w:r>
        <w:rPr>
          <w:rFonts w:ascii="Times New Roman" w:hAnsi="Times New Roman"/>
          <w:b/>
          <w:i/>
          <w:caps w:val="false"/>
          <w:smallCaps w:val="false"/>
          <w:sz w:val="20"/>
        </w:rPr>
        <w:t>Precision</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1.115      “</w:t>
      </w:r>
      <w:r>
        <w:rPr>
          <w:rFonts w:ascii="Times New Roman" w:hAnsi="Times New Roman"/>
          <w:b/>
          <w:i/>
          <w:caps w:val="false"/>
          <w:smallCaps w:val="false"/>
          <w:sz w:val="20"/>
        </w:rPr>
        <w:t>Precision Arising IP</w:t>
      </w:r>
      <w:r>
        <w:rPr>
          <w:rFonts w:ascii="Times New Roman" w:hAnsi="Times New Roman"/>
          <w:caps w:val="false"/>
          <w:smallCaps w:val="false"/>
          <w:sz w:val="20"/>
        </w:rPr>
        <w:t>” means, individually or collectively, Precision Sole IP and Precision’s share in Joint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1.116      “</w:t>
      </w:r>
      <w:r>
        <w:rPr>
          <w:rFonts w:ascii="Times New Roman" w:hAnsi="Times New Roman"/>
          <w:b/>
          <w:i/>
          <w:caps w:val="false"/>
          <w:smallCaps w:val="false"/>
          <w:sz w:val="20"/>
        </w:rPr>
        <w:t>Precision Arising Platform IP</w:t>
      </w:r>
      <w:r>
        <w:rPr>
          <w:rFonts w:ascii="Times New Roman" w:hAnsi="Times New Roman"/>
          <w:caps w:val="false"/>
          <w:smallCaps w:val="false"/>
          <w:sz w:val="20"/>
        </w:rPr>
        <w:t>” means any and all Precision Arising IP that is not Precision Arising Product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1.117      “</w:t>
      </w:r>
      <w:r>
        <w:rPr>
          <w:rFonts w:ascii="Times New Roman" w:hAnsi="Times New Roman"/>
          <w:b/>
          <w:i/>
          <w:caps w:val="false"/>
          <w:smallCaps w:val="false"/>
          <w:sz w:val="20"/>
        </w:rPr>
        <w:t>Precision Arising Product IP</w:t>
      </w:r>
      <w:r>
        <w:rPr>
          <w:rFonts w:ascii="Times New Roman" w:hAnsi="Times New Roman"/>
          <w:caps w:val="false"/>
          <w:smallCaps w:val="false"/>
          <w:sz w:val="20"/>
        </w:rPr>
        <w:t>” means Precision Arising IP that is necessary or reasonably useful for the Exploitation of the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1.118     “</w:t>
      </w:r>
      <w:r>
        <w:rPr>
          <w:rFonts w:ascii="Times New Roman" w:hAnsi="Times New Roman"/>
          <w:b/>
          <w:i/>
          <w:caps w:val="false"/>
          <w:smallCaps w:val="false"/>
          <w:sz w:val="20"/>
        </w:rPr>
        <w:t>Precision Background IP</w:t>
      </w:r>
      <w:r>
        <w:rPr>
          <w:rFonts w:ascii="Times New Roman" w:hAnsi="Times New Roman"/>
          <w:caps w:val="false"/>
          <w:smallCaps w:val="false"/>
          <w:sz w:val="20"/>
        </w:rPr>
        <w:t>” means any and all (a) Patents Controlled by Precision or its Affiliates at any time during the Term that Cover a Licensed Product, or use of the Licensed ARCUS Nuclease to make a Licensed Product, or any Know-How in the following clause (b); (b) Know-How Controlled by Precision or its Affiliates (i) as of the Effective Date or (ii) during the Term, in each case (i) and (ii) that is necessary or reasonably useful for the Exploitation of a Licensed Product in the Licensed Field; and (c)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1.119      “</w:t>
      </w:r>
      <w:r>
        <w:rPr>
          <w:rFonts w:ascii="Times New Roman" w:hAnsi="Times New Roman"/>
          <w:b/>
          <w:i/>
          <w:caps w:val="false"/>
          <w:smallCaps w:val="false"/>
          <w:sz w:val="20"/>
        </w:rPr>
        <w:t>Precision Background Platform IP</w:t>
      </w:r>
      <w:r>
        <w:rPr>
          <w:rFonts w:ascii="Times New Roman" w:hAnsi="Times New Roman"/>
          <w:caps w:val="false"/>
          <w:smallCaps w:val="false"/>
          <w:sz w:val="20"/>
        </w:rPr>
        <w:t>” means any and all Precision Background IP that is not Precision Background Product IP, including ARCUS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1.120      “</w:t>
      </w:r>
      <w:r>
        <w:rPr>
          <w:rFonts w:ascii="Times New Roman" w:hAnsi="Times New Roman"/>
          <w:b/>
          <w:i/>
          <w:caps w:val="false"/>
          <w:smallCaps w:val="false"/>
          <w:sz w:val="20"/>
        </w:rPr>
        <w:t>Precision Background Product IP</w:t>
      </w:r>
      <w:r>
        <w:rPr>
          <w:rFonts w:ascii="Times New Roman" w:hAnsi="Times New Roman"/>
          <w:caps w:val="false"/>
          <w:smallCaps w:val="false"/>
          <w:sz w:val="20"/>
        </w:rPr>
        <w:t>” means any and all Precision Background IP that is directly and particularly related to the Exploitation of the Licensed Product in the Licensed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1.121        “</w:t>
      </w:r>
      <w:r>
        <w:rPr>
          <w:rFonts w:ascii="Times New Roman" w:hAnsi="Times New Roman"/>
          <w:b/>
          <w:i/>
          <w:caps w:val="false"/>
          <w:smallCaps w:val="false"/>
          <w:sz w:val="20"/>
        </w:rPr>
        <w:t>Precision Common Stock</w:t>
      </w:r>
      <w:r>
        <w:rPr>
          <w:rFonts w:ascii="Times New Roman" w:hAnsi="Times New Roman"/>
          <w:caps w:val="false"/>
          <w:smallCaps w:val="false"/>
          <w:sz w:val="20"/>
        </w:rPr>
        <w:t>” means Precision’s common stock, par value $0.000005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1.122        “</w:t>
      </w:r>
      <w:r>
        <w:rPr>
          <w:rFonts w:ascii="Times New Roman" w:hAnsi="Times New Roman"/>
          <w:b/>
          <w:i/>
          <w:caps w:val="false"/>
          <w:smallCaps w:val="false"/>
          <w:sz w:val="20"/>
        </w:rPr>
        <w:t>Precision-Imugene JSC</w:t>
      </w:r>
      <w:r>
        <w:rPr>
          <w:rFonts w:ascii="Times New Roman" w:hAnsi="Times New Roman"/>
          <w:caps w:val="false"/>
          <w:smallCaps w:val="false"/>
          <w:sz w:val="20"/>
        </w:rPr>
        <w:t>” means the joint steering committee existing under Section 2.2 of the Precision-Imugene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1.123      “</w:t>
      </w:r>
      <w:r>
        <w:rPr>
          <w:rFonts w:ascii="Times New Roman" w:hAnsi="Times New Roman"/>
          <w:b/>
          <w:i/>
          <w:caps w:val="false"/>
          <w:smallCaps w:val="false"/>
          <w:sz w:val="20"/>
        </w:rPr>
        <w:t>Precision-Imugene License Agreement</w:t>
      </w:r>
      <w:r>
        <w:rPr>
          <w:rFonts w:ascii="Times New Roman" w:hAnsi="Times New Roman"/>
          <w:caps w:val="false"/>
          <w:smallCaps w:val="false"/>
          <w:sz w:val="20"/>
        </w:rPr>
        <w:t>” means the License Agreement between Imugene and Precision, dated August 15, 2023,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1.124       “</w:t>
      </w:r>
      <w:r>
        <w:rPr>
          <w:rFonts w:ascii="Times New Roman" w:hAnsi="Times New Roman"/>
          <w:b/>
          <w:i/>
          <w:caps w:val="false"/>
          <w:smallCaps w:val="false"/>
          <w:sz w:val="20"/>
        </w:rPr>
        <w:t>Precision Indemnitee</w:t>
      </w:r>
      <w:r>
        <w:rPr>
          <w:rFonts w:ascii="Times New Roman" w:hAnsi="Times New Roman"/>
          <w:caps w:val="false"/>
          <w:smallCaps w:val="false"/>
          <w:sz w:val="20"/>
        </w:rPr>
        <w:t>” has the meaning set forth in Section 11.1.2.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1.125       “</w:t>
      </w:r>
      <w:r>
        <w:rPr>
          <w:rFonts w:ascii="Times New Roman" w:hAnsi="Times New Roman"/>
          <w:b/>
          <w:i/>
          <w:caps w:val="false"/>
          <w:smallCaps w:val="false"/>
          <w:sz w:val="20"/>
        </w:rPr>
        <w:t>Precision Patent</w:t>
      </w:r>
      <w:r>
        <w:rPr>
          <w:rFonts w:ascii="Times New Roman" w:hAnsi="Times New Roman"/>
          <w:caps w:val="false"/>
          <w:smallCaps w:val="false"/>
          <w:sz w:val="20"/>
        </w:rPr>
        <w:t>” means any Patent included in the Precision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1.126       “</w:t>
      </w:r>
      <w:r>
        <w:rPr>
          <w:rFonts w:ascii="Times New Roman" w:hAnsi="Times New Roman"/>
          <w:b/>
          <w:i/>
          <w:caps w:val="false"/>
          <w:smallCaps w:val="false"/>
          <w:sz w:val="20"/>
        </w:rPr>
        <w:t>Precision Platform IP</w:t>
      </w:r>
      <w:r>
        <w:rPr>
          <w:rFonts w:ascii="Times New Roman" w:hAnsi="Times New Roman"/>
          <w:caps w:val="false"/>
          <w:smallCaps w:val="false"/>
          <w:sz w:val="20"/>
        </w:rPr>
        <w:t>” means, individually or collectively, the Precision Background Platform IP and the Precision Arising Platform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1.127       “</w:t>
      </w:r>
      <w:r>
        <w:rPr>
          <w:rFonts w:ascii="Times New Roman" w:hAnsi="Times New Roman"/>
          <w:b/>
          <w:i/>
          <w:caps w:val="false"/>
          <w:smallCaps w:val="false"/>
          <w:sz w:val="20"/>
        </w:rPr>
        <w:t>Precision Product IP</w:t>
      </w:r>
      <w:r>
        <w:rPr>
          <w:rFonts w:ascii="Times New Roman" w:hAnsi="Times New Roman"/>
          <w:caps w:val="false"/>
          <w:smallCaps w:val="false"/>
          <w:sz w:val="20"/>
        </w:rPr>
        <w:t>” means, individually or collectively, the Precision Background Product IP and the Precision Arising Product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1.128       “</w:t>
      </w:r>
      <w:r>
        <w:rPr>
          <w:rFonts w:ascii="Times New Roman" w:hAnsi="Times New Roman"/>
          <w:b/>
          <w:i/>
          <w:caps w:val="false"/>
          <w:smallCaps w:val="false"/>
          <w:sz w:val="20"/>
        </w:rPr>
        <w:t>Precision Product Patent</w:t>
      </w:r>
      <w:r>
        <w:rPr>
          <w:rFonts w:ascii="Times New Roman" w:hAnsi="Times New Roman"/>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1.129      “</w:t>
      </w:r>
      <w:r>
        <w:rPr>
          <w:rFonts w:ascii="Times New Roman" w:hAnsi="Times New Roman"/>
          <w:b/>
          <w:i/>
          <w:caps w:val="false"/>
          <w:smallCaps w:val="false"/>
          <w:sz w:val="20"/>
        </w:rPr>
        <w:t>Precision Product-Specific Claim</w:t>
      </w:r>
      <w:r>
        <w:rPr>
          <w:rFonts w:ascii="Times New Roman" w:hAnsi="Times New Roman"/>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1.130      “</w:t>
      </w:r>
      <w:r>
        <w:rPr>
          <w:rFonts w:ascii="Times New Roman" w:hAnsi="Times New Roman"/>
          <w:b/>
          <w:i/>
          <w:caps w:val="false"/>
          <w:smallCaps w:val="false"/>
          <w:sz w:val="20"/>
        </w:rPr>
        <w:t>Precision Share Price</w:t>
      </w:r>
      <w:r>
        <w:rPr>
          <w:rFonts w:ascii="Times New Roman" w:hAnsi="Times New Roman"/>
          <w:caps w:val="false"/>
          <w:smallCaps w:val="false"/>
          <w:sz w:val="20"/>
        </w:rPr>
        <w:t>” means the greater of (a) two hundred percent (200%) of the VWAP of the Precision Common Stock calculated during the applicable period specified in this Agreement and (b) the Minimum Price (for clarity, the Precision Share Price applicable to any Precision Stock Issuance shall not be less than the Minimum Price); provided, however, that if the Precision Common Stock is no longer listed on Nasdaq or another securities exchange, the Precision Share Price shall be equal to two hundred percent (200%) of the fair market value of a share of Precision Common Stock, as reasonably determined in good faith by the Precision Board of Directors or any successor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1.131      “</w:t>
      </w:r>
      <w:r>
        <w:rPr>
          <w:rFonts w:ascii="Times New Roman" w:hAnsi="Times New Roman"/>
          <w:b/>
          <w:i/>
          <w:caps w:val="false"/>
          <w:smallCaps w:val="false"/>
          <w:sz w:val="20"/>
        </w:rPr>
        <w:t>Precision Shares</w:t>
      </w:r>
      <w:r>
        <w:rPr>
          <w:rFonts w:ascii="Times New Roman" w:hAnsi="Times New Roman"/>
          <w:caps w:val="false"/>
          <w:smallCaps w:val="false"/>
          <w:sz w:val="20"/>
        </w:rPr>
        <w:t>” refers to the shares of Precision Common Stock issued by Precision to TGTX in accordance with, and subject to the terms and conditions specified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1.132      “</w:t>
      </w:r>
      <w:r>
        <w:rPr>
          <w:rFonts w:ascii="Times New Roman" w:hAnsi="Times New Roman"/>
          <w:b/>
          <w:i/>
          <w:caps w:val="false"/>
          <w:smallCaps w:val="false"/>
          <w:sz w:val="20"/>
        </w:rPr>
        <w:t>Precision Sole IP</w:t>
      </w:r>
      <w:r>
        <w:rPr>
          <w:rFonts w:ascii="Times New Roman" w:hAnsi="Times New Roman"/>
          <w:caps w:val="false"/>
          <w:smallCaps w:val="false"/>
          <w:sz w:val="20"/>
        </w:rPr>
        <w:t>” has the meaning set forth in Section 9.1.2(b).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1.133      “</w:t>
      </w:r>
      <w:r>
        <w:rPr>
          <w:rFonts w:ascii="Times New Roman" w:hAnsi="Times New Roman"/>
          <w:b/>
          <w:i/>
          <w:caps w:val="false"/>
          <w:smallCaps w:val="false"/>
          <w:sz w:val="20"/>
        </w:rPr>
        <w:t>Precision Stock Issuances</w:t>
      </w:r>
      <w:r>
        <w:rPr>
          <w:rFonts w:ascii="Times New Roman" w:hAnsi="Times New Roman"/>
          <w:caps w:val="false"/>
          <w:smallCaps w:val="false"/>
          <w:sz w:val="20"/>
        </w:rPr>
        <w:t>” has the meaning set forth in Section 8.2.1(d).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1.134      “</w:t>
      </w:r>
      <w:r>
        <w:rPr>
          <w:rFonts w:ascii="Times New Roman" w:hAnsi="Times New Roman"/>
          <w:b/>
          <w:i/>
          <w:caps w:val="false"/>
          <w:smallCaps w:val="false"/>
          <w:sz w:val="20"/>
        </w:rPr>
        <w:t>Precision Stock Payments</w:t>
      </w:r>
      <w:r>
        <w:rPr>
          <w:rFonts w:ascii="Times New Roman" w:hAnsi="Times New Roman"/>
          <w:caps w:val="false"/>
          <w:smallCaps w:val="false"/>
          <w:sz w:val="20"/>
        </w:rPr>
        <w:t>” has the meaning set forth in Section 8.2.1(d).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1.135      “</w:t>
      </w:r>
      <w:r>
        <w:rPr>
          <w:rFonts w:ascii="Times New Roman" w:hAnsi="Times New Roman"/>
          <w:b/>
          <w:i/>
          <w:caps w:val="false"/>
          <w:smallCaps w:val="false"/>
          <w:sz w:val="20"/>
        </w:rPr>
        <w:t>Precision Technology</w:t>
      </w:r>
      <w:r>
        <w:rPr>
          <w:rFonts w:ascii="Times New Roman" w:hAnsi="Times New Roman"/>
          <w:caps w:val="false"/>
          <w:smallCaps w:val="false"/>
          <w:sz w:val="20"/>
        </w:rPr>
        <w:t>” means, individually or collectively, the Precision Background IP and the Precision Arising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1.136     “</w:t>
      </w:r>
      <w:r>
        <w:rPr>
          <w:rFonts w:ascii="Times New Roman" w:hAnsi="Times New Roman"/>
          <w:b/>
          <w:i/>
          <w:caps w:val="false"/>
          <w:smallCaps w:val="false"/>
          <w:sz w:val="20"/>
        </w:rPr>
        <w:t>Pricing and Reimbursement Approval</w:t>
      </w:r>
      <w:r>
        <w:rPr>
          <w:rFonts w:ascii="Times New Roman" w:hAnsi="Times New Roman"/>
          <w:caps w:val="false"/>
          <w:smallCaps w:val="false"/>
          <w:sz w:val="20"/>
        </w:rPr>
        <w:t>” means, with respect to a particular Licensed Product and a particular country or regulatory jurisdiction, any approval, agreement, determination or decision of any Regulatory Authority establishing the price or level of reimbursement for such Licensed Product, as required in a given country or jurisdiction prior to sale of such Licensed Product in such country or jurisdiction at the relevant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1.137    “</w:t>
      </w:r>
      <w:r>
        <w:rPr>
          <w:rFonts w:ascii="Times New Roman" w:hAnsi="Times New Roman"/>
          <w:b/>
          <w:i/>
          <w:caps w:val="false"/>
          <w:smallCaps w:val="false"/>
          <w:sz w:val="20"/>
        </w:rPr>
        <w:t>Prosecute and Maintain</w:t>
      </w:r>
      <w:r>
        <w:rPr>
          <w:rFonts w:ascii="Times New Roman" w:hAnsi="Times New Roman"/>
          <w:caps w:val="false"/>
          <w:smallCaps w:val="false"/>
          <w:sz w:val="20"/>
        </w:rPr>
        <w:t>” or “</w:t>
      </w:r>
      <w:r>
        <w:rPr>
          <w:rFonts w:ascii="Times New Roman" w:hAnsi="Times New Roman"/>
          <w:b/>
          <w:i/>
          <w:caps w:val="false"/>
          <w:smallCaps w:val="false"/>
          <w:sz w:val="20"/>
        </w:rPr>
        <w:t>Prosecution and Maintenance</w:t>
      </w:r>
      <w:r>
        <w:rPr>
          <w:rFonts w:ascii="Times New Roman" w:hAnsi="Times New Roman"/>
          <w:caps w:val="false"/>
          <w:smallCaps w:val="false"/>
          <w:sz w:val="20"/>
        </w:rPr>
        <w:t>” with respect to a particular Patent, means (a) all activities associated with the preparation, filing, prosecution and maintenance of such Patent, and (b) all Patent Defense Matters with respect to such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1.138       “</w:t>
      </w:r>
      <w:r>
        <w:rPr>
          <w:rFonts w:ascii="Times New Roman" w:hAnsi="Times New Roman"/>
          <w:b/>
          <w:i/>
          <w:caps w:val="false"/>
          <w:smallCaps w:val="false"/>
          <w:sz w:val="20"/>
        </w:rPr>
        <w:t>Prosecuting Party</w:t>
      </w:r>
      <w:r>
        <w:rPr>
          <w:rFonts w:ascii="Times New Roman" w:hAnsi="Times New Roman"/>
          <w:caps w:val="false"/>
          <w:smallCaps w:val="false"/>
          <w:sz w:val="20"/>
        </w:rPr>
        <w:t>” has the meaning set forth in Section 9.2.2.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1.139       “</w:t>
      </w:r>
      <w:r>
        <w:rPr>
          <w:rFonts w:ascii="Times New Roman" w:hAnsi="Times New Roman"/>
          <w:b/>
          <w:i/>
          <w:caps w:val="false"/>
          <w:smallCaps w:val="false"/>
          <w:sz w:val="20"/>
        </w:rPr>
        <w:t>Proxyholder</w:t>
      </w:r>
      <w:r>
        <w:rPr>
          <w:rFonts w:ascii="Times New Roman" w:hAnsi="Times New Roman"/>
          <w:caps w:val="false"/>
          <w:smallCaps w:val="false"/>
          <w:sz w:val="20"/>
        </w:rPr>
        <w:t>” has the meaning set forth in Section 8.2.7.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1.140       “</w:t>
      </w:r>
      <w:r>
        <w:rPr>
          <w:rFonts w:ascii="Times New Roman" w:hAnsi="Times New Roman"/>
          <w:b/>
          <w:i/>
          <w:caps w:val="false"/>
          <w:smallCaps w:val="false"/>
          <w:sz w:val="20"/>
        </w:rPr>
        <w:t>Publication</w:t>
      </w:r>
      <w:r>
        <w:rPr>
          <w:rFonts w:ascii="Times New Roman" w:hAnsi="Times New Roman"/>
          <w:caps w:val="false"/>
          <w:smallCaps w:val="false"/>
          <w:sz w:val="20"/>
        </w:rPr>
        <w:t>” has the meaning set forth in Section 12.3.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1.141       “</w:t>
      </w:r>
      <w:r>
        <w:rPr>
          <w:rFonts w:ascii="Times New Roman" w:hAnsi="Times New Roman"/>
          <w:b/>
          <w:i/>
          <w:caps w:val="false"/>
          <w:smallCaps w:val="false"/>
          <w:sz w:val="20"/>
        </w:rPr>
        <w:t>Receiving Party</w:t>
      </w:r>
      <w:r>
        <w:rPr>
          <w:rFonts w:ascii="Times New Roman" w:hAnsi="Times New Roman"/>
          <w:caps w:val="false"/>
          <w:smallCaps w:val="false"/>
          <w:sz w:val="20"/>
        </w:rPr>
        <w:t>” has the meaning set forth in Section 12.1.2.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1.142    “</w:t>
      </w:r>
      <w:r>
        <w:rPr>
          <w:rFonts w:ascii="Times New Roman" w:hAnsi="Times New Roman"/>
          <w:b/>
          <w:i/>
          <w:caps w:val="false"/>
          <w:smallCaps w:val="false"/>
          <w:sz w:val="20"/>
        </w:rPr>
        <w:t>Regulatory Approvals</w:t>
      </w:r>
      <w:r>
        <w:rPr>
          <w:rFonts w:ascii="Times New Roman" w:hAnsi="Times New Roman"/>
          <w:caps w:val="false"/>
          <w:smallCaps w:val="false"/>
          <w:sz w:val="20"/>
        </w:rPr>
        <w:t>” means, collectively, any and all approvals (including supplements, amendments, pre- and post-approvals, Pricing and Reimbursement Approvals), licenses, registrations, permits, notifications, and authorizations (including marketing and labeling authorizations) or waivers of any Regulatory Authority that are necessary for the testing or Exploitation of a pharmaceutical product (including the Licensed Product) in any country or jurisdiction, including Pricing and Reimbursement Approval,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1.143     “</w:t>
      </w:r>
      <w:r>
        <w:rPr>
          <w:rFonts w:ascii="Times New Roman" w:hAnsi="Times New Roman"/>
          <w:b/>
          <w:i/>
          <w:caps w:val="false"/>
          <w:smallCaps w:val="false"/>
          <w:sz w:val="20"/>
        </w:rPr>
        <w:t>Regulatory Authority</w:t>
      </w:r>
      <w:r>
        <w:rPr>
          <w:rFonts w:ascii="Times New Roman" w:hAnsi="Times New Roman"/>
          <w:caps w:val="false"/>
          <w:smallCaps w:val="false"/>
          <w:sz w:val="20"/>
        </w:rPr>
        <w:t>” means any Governmental Authority that has responsibility in its applicable jurisdiction over the Exploitation of pharmaceutical products (including the Licensed Product) in any country or jurisdiction. For countries or jurisdictions where governmental approval is required for pricing or reimbursement for a pharmaceutical product (including the Licensed Product) to be reimbursed by national health insurance (or its local equivalent), Regulatory Authority includes any Governmental Authority whose review or approval of pricing or reimbursement of such product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1.144      “</w:t>
      </w:r>
      <w:r>
        <w:rPr>
          <w:rFonts w:ascii="Times New Roman" w:hAnsi="Times New Roman"/>
          <w:b/>
          <w:i/>
          <w:caps w:val="false"/>
          <w:smallCaps w:val="false"/>
          <w:sz w:val="20"/>
        </w:rPr>
        <w:t>Regulatory Filings</w:t>
      </w:r>
      <w:r>
        <w:rPr>
          <w:rFonts w:ascii="Times New Roman" w:hAnsi="Times New Roman"/>
          <w:caps w:val="false"/>
          <w:smallCaps w:val="false"/>
          <w:sz w:val="20"/>
        </w:rPr>
        <w:t>” means, collectively, any and all applications, filings, submissions, approvals (including supplements, amendments, pre- and post-approvals, pricing and reimbursement approvals), licenses, registrations, permits, notifications, and authorizations (including marketing and labeling authorizations), non-clinical and clinical study authorization applications or notifications (including all supporting files, writings, data, studies and reports) or waivers with respect to the Commercialization of a pharmaceutical product (including Licensed Products) made to or received from any Regulatory Authority or research ethics committee in a given country or jurisdiction, including INDs and BLAs.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1.145     “</w:t>
      </w:r>
      <w:r>
        <w:rPr>
          <w:rFonts w:ascii="Times New Roman" w:hAnsi="Times New Roman"/>
          <w:b/>
          <w:i/>
          <w:caps w:val="false"/>
          <w:smallCaps w:val="false"/>
          <w:sz w:val="20"/>
        </w:rPr>
        <w:t>Relevant Factors</w:t>
      </w:r>
      <w:r>
        <w:rPr>
          <w:rFonts w:ascii="Times New Roman" w:hAnsi="Times New Roman"/>
          <w:caps w:val="false"/>
          <w:smallCaps w:val="false"/>
          <w:sz w:val="20"/>
        </w:rPr>
        <w:t>” means all factors that are relevant to the Development, Manufacture or Commercialization of a product, including its safety and efficacy, product profile, cost to develop, cost and availability of supply, the time required to complete Development, the competitiveness of the marketplace (including the proprietary position and anticipated market share of the product), the patent position with respect to such product (including the ability to obtain or enforce, or have obtained or enforced, such patent rights), the third-party patent landscape relevant to the product, the regulatory structure involved, the likelihood of regulatory approval, the anticipated or actual profitability of the applicable product and other technical, commercial, legal, scientific, regulatory and medical considerations, in all cases, on a country-by-country basis, including, without limitation, decisions and actions relating to the sequence and advisability of initiating Development in [***], and including, with respect to TGTX’s efforts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1.146      “</w:t>
      </w:r>
      <w:r>
        <w:rPr>
          <w:rFonts w:ascii="Times New Roman" w:hAnsi="Times New Roman"/>
          <w:b/>
          <w:i/>
          <w:caps w:val="false"/>
          <w:smallCaps w:val="false"/>
          <w:sz w:val="20"/>
        </w:rPr>
        <w:t>Representatives</w:t>
      </w:r>
      <w:r>
        <w:rPr>
          <w:rFonts w:ascii="Times New Roman" w:hAnsi="Times New Roman"/>
          <w:caps w:val="false"/>
          <w:smallCaps w:val="false"/>
          <w:sz w:val="20"/>
        </w:rPr>
        <w:t>” has the meaning set forth in Section 9.1.6.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1.147     “</w:t>
      </w:r>
      <w:r>
        <w:rPr>
          <w:rFonts w:ascii="Times New Roman" w:hAnsi="Times New Roman"/>
          <w:b/>
          <w:i/>
          <w:caps w:val="false"/>
          <w:smallCaps w:val="false"/>
          <w:sz w:val="20"/>
        </w:rPr>
        <w:t>Research</w:t>
      </w:r>
      <w:r>
        <w:rPr>
          <w:rFonts w:ascii="Times New Roman" w:hAnsi="Times New Roman"/>
          <w:caps w:val="false"/>
          <w:smallCaps w:val="false"/>
          <w:sz w:val="20"/>
        </w:rPr>
        <w:t>” means, with respect to a Licensed Product, or other product or therapy, any and all activities directed to the discovery, identification, screening, testing, assessment and optimization of such Licensed Product, or other product or therapy.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1.148      “</w:t>
      </w:r>
      <w:r>
        <w:rPr>
          <w:rFonts w:ascii="Times New Roman" w:hAnsi="Times New Roman"/>
          <w:b/>
          <w:i/>
          <w:caps w:val="false"/>
          <w:smallCaps w:val="false"/>
          <w:sz w:val="20"/>
        </w:rPr>
        <w:t>Restricted Period</w:t>
      </w:r>
      <w:r>
        <w:rPr>
          <w:rFonts w:ascii="Times New Roman" w:hAnsi="Times New Roman"/>
          <w:caps w:val="false"/>
          <w:smallCaps w:val="false"/>
          <w:sz w:val="20"/>
        </w:rPr>
        <w:t>” has the meaning set forth in Section 8.2.7.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1.149      “</w:t>
      </w:r>
      <w:r>
        <w:rPr>
          <w:rFonts w:ascii="Times New Roman" w:hAnsi="Times New Roman"/>
          <w:b/>
          <w:i/>
          <w:caps w:val="false"/>
          <w:smallCaps w:val="false"/>
          <w:sz w:val="20"/>
        </w:rPr>
        <w:t>Review Period</w:t>
      </w:r>
      <w:r>
        <w:rPr>
          <w:rFonts w:ascii="Times New Roman" w:hAnsi="Times New Roman"/>
          <w:caps w:val="false"/>
          <w:smallCaps w:val="false"/>
          <w:sz w:val="20"/>
        </w:rPr>
        <w:t>” has the meaning set forth in Section 12.3.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1.150     “</w:t>
      </w:r>
      <w:r>
        <w:rPr>
          <w:rFonts w:ascii="Times New Roman" w:hAnsi="Times New Roman"/>
          <w:b/>
          <w:i/>
          <w:caps w:val="false"/>
          <w:smallCaps w:val="false"/>
          <w:sz w:val="20"/>
        </w:rPr>
        <w:t>Right of Reference</w:t>
      </w:r>
      <w:r>
        <w:rPr>
          <w:rFonts w:ascii="Times New Roman" w:hAnsi="Times New Roman"/>
          <w:caps w:val="false"/>
          <w:smallCaps w:val="false"/>
          <w:sz w:val="20"/>
        </w:rPr>
        <w:t>” means the right and authority to rely upon, and otherwise use, a study or an investigation for the purpose of filing, and conducting a Clinical Trial under, an IND, or obtaining approval of a Marketing Authorization or other Regulatory Approval, including the ability to make available the underlying raw data from the study or investigation for audit by the applicable Regulatory Authority in such country or other jurisdiction,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1.151      “</w:t>
      </w:r>
      <w:r>
        <w:rPr>
          <w:rFonts w:ascii="Times New Roman" w:hAnsi="Times New Roman"/>
          <w:b/>
          <w:i/>
          <w:caps w:val="false"/>
          <w:smallCaps w:val="false"/>
          <w:sz w:val="20"/>
        </w:rPr>
        <w:t>Royalty</w:t>
      </w:r>
      <w:r>
        <w:rPr>
          <w:rFonts w:ascii="Times New Roman" w:hAnsi="Times New Roman"/>
          <w:caps w:val="false"/>
          <w:smallCaps w:val="false"/>
          <w:sz w:val="20"/>
        </w:rPr>
        <w:t>” has the meaning set forth in Section 8.6.2.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1.152      “</w:t>
      </w:r>
      <w:r>
        <w:rPr>
          <w:rFonts w:ascii="Times New Roman" w:hAnsi="Times New Roman"/>
          <w:b/>
          <w:i/>
          <w:caps w:val="false"/>
          <w:smallCaps w:val="false"/>
          <w:sz w:val="20"/>
        </w:rPr>
        <w:t>Royalty Term</w:t>
      </w:r>
      <w:r>
        <w:rPr>
          <w:rFonts w:ascii="Times New Roman" w:hAnsi="Times New Roman"/>
          <w:caps w:val="false"/>
          <w:smallCaps w:val="false"/>
          <w:sz w:val="20"/>
        </w:rPr>
        <w:t>” has the meaning set forth in Section 8.6.1.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1.153      “</w:t>
      </w:r>
      <w:r>
        <w:rPr>
          <w:rFonts w:ascii="Times New Roman" w:hAnsi="Times New Roman"/>
          <w:b/>
          <w:i/>
          <w:caps w:val="false"/>
          <w:smallCaps w:val="false"/>
          <w:sz w:val="20"/>
        </w:rPr>
        <w:t>Rule 144</w:t>
      </w:r>
      <w:r>
        <w:rPr>
          <w:rFonts w:ascii="Times New Roman" w:hAnsi="Times New Roman"/>
          <w:caps w:val="false"/>
          <w:smallCaps w:val="false"/>
          <w:sz w:val="20"/>
        </w:rPr>
        <w:t>” has the meaning set forth in Section 8.2.4.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1.155      “</w:t>
      </w:r>
      <w:r>
        <w:rPr>
          <w:rFonts w:ascii="Times New Roman" w:hAnsi="Times New Roman"/>
          <w:b/>
          <w:i/>
          <w:caps w:val="false"/>
          <w:smallCaps w:val="false"/>
          <w:sz w:val="20"/>
        </w:rPr>
        <w:t>Securities Act</w:t>
      </w:r>
      <w:r>
        <w:rPr>
          <w:rFonts w:ascii="Times New Roman" w:hAnsi="Times New Roman"/>
          <w:caps w:val="false"/>
          <w:smallCaps w:val="false"/>
          <w:sz w:val="20"/>
        </w:rPr>
        <w:t>” has the meaning set forth in Section 8.2.2(a).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1.156      “</w:t>
      </w:r>
      <w:r>
        <w:rPr>
          <w:rFonts w:ascii="Times New Roman" w:hAnsi="Times New Roman"/>
          <w:b/>
          <w:i/>
          <w:caps w:val="false"/>
          <w:smallCaps w:val="false"/>
          <w:sz w:val="20"/>
        </w:rPr>
        <w:t>Selling Party</w:t>
      </w:r>
      <w:r>
        <w:rPr>
          <w:rFonts w:ascii="Times New Roman" w:hAnsi="Times New Roman"/>
          <w:caps w:val="false"/>
          <w:smallCaps w:val="false"/>
          <w:sz w:val="20"/>
        </w:rPr>
        <w:t>” means TGTX, its Affiliates or its or their Sublicensees.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1.157      “</w:t>
      </w:r>
      <w:r>
        <w:rPr>
          <w:rFonts w:ascii="Times New Roman" w:hAnsi="Times New Roman"/>
          <w:b/>
          <w:i/>
          <w:caps w:val="false"/>
          <w:smallCaps w:val="false"/>
          <w:sz w:val="20"/>
        </w:rPr>
        <w:t>Servier</w:t>
      </w:r>
      <w:r>
        <w:rPr>
          <w:rFonts w:ascii="Times New Roman" w:hAnsi="Times New Roman"/>
          <w:caps w:val="false"/>
          <w:smallCaps w:val="false"/>
          <w:sz w:val="20"/>
        </w:rPr>
        <w:t>” has the meaning set forth in the definition of Servier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1.158    “</w:t>
      </w:r>
      <w:r>
        <w:rPr>
          <w:rFonts w:ascii="Times New Roman" w:hAnsi="Times New Roman"/>
          <w:b/>
          <w:i/>
          <w:caps w:val="false"/>
          <w:smallCaps w:val="false"/>
          <w:sz w:val="20"/>
        </w:rPr>
        <w:t>Servier Agreement</w:t>
      </w:r>
      <w:r>
        <w:rPr>
          <w:rFonts w:ascii="Times New Roman" w:hAnsi="Times New Roman"/>
          <w:caps w:val="false"/>
          <w:smallCaps w:val="false"/>
          <w:sz w:val="20"/>
        </w:rPr>
        <w:t>” means the Program Purchase Agreement entered into by Precision and Les Laboratoires Servier and Institut de Recherches Internationales Servier (collectively, “</w:t>
      </w:r>
      <w:r>
        <w:rPr>
          <w:rFonts w:ascii="Times New Roman" w:hAnsi="Times New Roman"/>
          <w:b/>
          <w:i/>
          <w:caps w:val="false"/>
          <w:smallCaps w:val="false"/>
          <w:sz w:val="20"/>
        </w:rPr>
        <w:t>Servier</w:t>
      </w:r>
      <w:r>
        <w:rPr>
          <w:rFonts w:ascii="Times New Roman" w:hAnsi="Times New Roman"/>
          <w:caps w:val="false"/>
          <w:smallCaps w:val="false"/>
          <w:sz w:val="20"/>
        </w:rPr>
        <w:t>”) on April 9, 2021,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1.159      “</w:t>
      </w:r>
      <w:r>
        <w:rPr>
          <w:rFonts w:ascii="Times New Roman" w:hAnsi="Times New Roman"/>
          <w:b/>
          <w:i/>
          <w:caps w:val="false"/>
          <w:smallCaps w:val="false"/>
          <w:sz w:val="20"/>
        </w:rPr>
        <w:t>Standstill Provisions</w:t>
      </w:r>
      <w:r>
        <w:rPr>
          <w:rFonts w:ascii="Times New Roman" w:hAnsi="Times New Roman"/>
          <w:caps w:val="false"/>
          <w:smallCaps w:val="false"/>
          <w:sz w:val="20"/>
        </w:rPr>
        <w:t>” has the meaning set forth in Section 8.2.8.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1.160      “</w:t>
      </w:r>
      <w:r>
        <w:rPr>
          <w:rFonts w:ascii="Times New Roman" w:hAnsi="Times New Roman"/>
          <w:b/>
          <w:i/>
          <w:caps w:val="false"/>
          <w:smallCaps w:val="false"/>
          <w:sz w:val="20"/>
        </w:rPr>
        <w:t>Stockholder Approval</w:t>
      </w:r>
      <w:r>
        <w:rPr>
          <w:rFonts w:ascii="Times New Roman" w:hAnsi="Times New Roman"/>
          <w:caps w:val="false"/>
          <w:smallCaps w:val="false"/>
          <w:sz w:val="20"/>
        </w:rPr>
        <w:t>” means such approval as may be required by the applicable rules and regulations of Nasdaq (or any successor entity) or any other applicable exchange from the stockholders of Precision with respect to issuance of Precision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1.161       “</w:t>
      </w:r>
      <w:r>
        <w:rPr>
          <w:rFonts w:ascii="Times New Roman" w:hAnsi="Times New Roman"/>
          <w:b/>
          <w:i/>
          <w:caps w:val="false"/>
          <w:smallCaps w:val="false"/>
          <w:sz w:val="20"/>
        </w:rPr>
        <w:t>Stockholder Matter</w:t>
      </w:r>
      <w:r>
        <w:rPr>
          <w:rFonts w:ascii="Times New Roman" w:hAnsi="Times New Roman"/>
          <w:caps w:val="false"/>
          <w:smallCaps w:val="false"/>
          <w:sz w:val="20"/>
        </w:rPr>
        <w:t>” has the meaning set forth in Section 8.2.7.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1.162     “</w:t>
      </w:r>
      <w:r>
        <w:rPr>
          <w:rFonts w:ascii="Times New Roman" w:hAnsi="Times New Roman"/>
          <w:b/>
          <w:i/>
          <w:caps w:val="false"/>
          <w:smallCaps w:val="false"/>
          <w:sz w:val="20"/>
        </w:rPr>
        <w:t>Sublicensee</w:t>
      </w:r>
      <w:r>
        <w:rPr>
          <w:rFonts w:ascii="Times New Roman" w:hAnsi="Times New Roman"/>
          <w:caps w:val="false"/>
          <w:smallCaps w:val="false"/>
          <w:sz w:val="20"/>
        </w:rPr>
        <w:t>” means a Third Party that is granted a license or sublicense to Develop, Manufacture or Commercialize a Licensed Product in the Licensed Field in the Territory, beyond the mere right to purchase such Licensed Product from TGTX and its Affiliates, and excludes TGTX’s and its Affiliates’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1.163      “</w:t>
      </w:r>
      <w:r>
        <w:rPr>
          <w:rFonts w:ascii="Times New Roman" w:hAnsi="Times New Roman"/>
          <w:b/>
          <w:i/>
          <w:caps w:val="false"/>
          <w:smallCaps w:val="false"/>
          <w:sz w:val="20"/>
        </w:rPr>
        <w:t>Term</w:t>
      </w:r>
      <w:r>
        <w:rPr>
          <w:rFonts w:ascii="Times New Roman" w:hAnsi="Times New Roman"/>
          <w:caps w:val="false"/>
          <w:smallCaps w:val="false"/>
          <w:sz w:val="20"/>
        </w:rPr>
        <w:t>” has the meaning set forth in Section 13.1.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1.164      “</w:t>
      </w:r>
      <w:r>
        <w:rPr>
          <w:rFonts w:ascii="Times New Roman" w:hAnsi="Times New Roman"/>
          <w:b/>
          <w:i/>
          <w:caps w:val="false"/>
          <w:smallCaps w:val="false"/>
          <w:sz w:val="20"/>
        </w:rPr>
        <w:t>Terminated Product</w:t>
      </w:r>
      <w:r>
        <w:rPr>
          <w:rFonts w:ascii="Times New Roman" w:hAnsi="Times New Roman"/>
          <w:caps w:val="false"/>
          <w:smallCaps w:val="false"/>
          <w:sz w:val="20"/>
        </w:rPr>
        <w:t>” has the meaning set forth in Section 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1.165      “</w:t>
      </w:r>
      <w:r>
        <w:rPr>
          <w:rFonts w:ascii="Times New Roman" w:hAnsi="Times New Roman"/>
          <w:b/>
          <w:i/>
          <w:caps w:val="false"/>
          <w:smallCaps w:val="false"/>
          <w:sz w:val="20"/>
        </w:rPr>
        <w:t>Territory</w:t>
      </w:r>
      <w:r>
        <w:rPr>
          <w:rFonts w:ascii="Times New Roman" w:hAnsi="Times New Roman"/>
          <w:caps w:val="false"/>
          <w:smallCaps w:val="false"/>
          <w:sz w:val="20"/>
        </w:rPr>
        <w:t>” means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1.166      “</w:t>
      </w:r>
      <w:r>
        <w:rPr>
          <w:rFonts w:ascii="Times New Roman" w:hAnsi="Times New Roman"/>
          <w:b/>
          <w:i/>
          <w:caps w:val="false"/>
          <w:smallCaps w:val="false"/>
          <w:sz w:val="20"/>
        </w:rPr>
        <w:t>TGTX</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1.167      “</w:t>
      </w:r>
      <w:r>
        <w:rPr>
          <w:rFonts w:ascii="Times New Roman" w:hAnsi="Times New Roman"/>
          <w:b/>
          <w:i/>
          <w:caps w:val="false"/>
          <w:smallCaps w:val="false"/>
          <w:sz w:val="20"/>
        </w:rPr>
        <w:t>TGTX Arising IP</w:t>
      </w:r>
      <w:r>
        <w:rPr>
          <w:rFonts w:ascii="Times New Roman" w:hAnsi="Times New Roman"/>
          <w:caps w:val="false"/>
          <w:smallCaps w:val="false"/>
          <w:sz w:val="20"/>
        </w:rPr>
        <w:t>” means, individually or collectively, TGTX Sole IP and TGTX’s share in Joint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1.168     “</w:t>
      </w:r>
      <w:r>
        <w:rPr>
          <w:rFonts w:ascii="Times New Roman" w:hAnsi="Times New Roman"/>
          <w:b/>
          <w:i/>
          <w:caps w:val="false"/>
          <w:smallCaps w:val="false"/>
          <w:sz w:val="20"/>
        </w:rPr>
        <w:t>TGTX Background IP</w:t>
      </w:r>
      <w:r>
        <w:rPr>
          <w:rFonts w:ascii="Times New Roman" w:hAnsi="Times New Roman"/>
          <w:caps w:val="false"/>
          <w:smallCaps w:val="false"/>
          <w:sz w:val="20"/>
        </w:rPr>
        <w:t>” means any and all Patents and Know-How that TGTX or any of its Affiliates Controls as of the Effective Date, or discovers, creates or acquires outside the scope of its performance of activities under this Agreement; in each case, that is necessary or reasonably useful for the Exploitation of a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1.169      “</w:t>
      </w:r>
      <w:r>
        <w:rPr>
          <w:rFonts w:ascii="Times New Roman" w:hAnsi="Times New Roman"/>
          <w:b/>
          <w:i/>
          <w:caps w:val="false"/>
          <w:smallCaps w:val="false"/>
          <w:sz w:val="20"/>
        </w:rPr>
        <w:t>TGTX Indemnitee</w:t>
      </w:r>
      <w:r>
        <w:rPr>
          <w:rFonts w:ascii="Times New Roman" w:hAnsi="Times New Roman"/>
          <w:caps w:val="false"/>
          <w:smallCaps w:val="false"/>
          <w:sz w:val="20"/>
        </w:rPr>
        <w:t>” has the meaning set forth in Section 11.1.1.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1.170      “</w:t>
      </w:r>
      <w:r>
        <w:rPr>
          <w:rFonts w:ascii="Times New Roman" w:hAnsi="Times New Roman"/>
          <w:b/>
          <w:i/>
          <w:caps w:val="false"/>
          <w:smallCaps w:val="false"/>
          <w:sz w:val="20"/>
        </w:rPr>
        <w:t>TGTX Parent</w:t>
      </w:r>
      <w:r>
        <w:rPr>
          <w:rFonts w:ascii="Times New Roman" w:hAnsi="Times New Roman"/>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1.171      “</w:t>
      </w:r>
      <w:r>
        <w:rPr>
          <w:rFonts w:ascii="Times New Roman" w:hAnsi="Times New Roman"/>
          <w:b/>
          <w:i/>
          <w:caps w:val="false"/>
          <w:smallCaps w:val="false"/>
          <w:sz w:val="20"/>
        </w:rPr>
        <w:t>TGTX Parent Common Stock</w:t>
      </w:r>
      <w:r>
        <w:rPr>
          <w:rFonts w:ascii="Times New Roman" w:hAnsi="Times New Roman"/>
          <w:caps w:val="false"/>
          <w:smallCaps w:val="false"/>
          <w:sz w:val="20"/>
        </w:rPr>
        <w:t>” means TGTX Parent’s common stock, par value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1.172      “</w:t>
      </w:r>
      <w:r>
        <w:rPr>
          <w:rFonts w:ascii="Times New Roman" w:hAnsi="Times New Roman"/>
          <w:b/>
          <w:i/>
          <w:caps w:val="false"/>
          <w:smallCaps w:val="false"/>
          <w:sz w:val="20"/>
        </w:rPr>
        <w:t>TGTX Parent Consideration Shares</w:t>
      </w:r>
      <w:r>
        <w:rPr>
          <w:rFonts w:ascii="Times New Roman" w:hAnsi="Times New Roman"/>
          <w:caps w:val="false"/>
          <w:smallCaps w:val="false"/>
          <w:sz w:val="20"/>
        </w:rPr>
        <w:t>” refers to the shares of TGTX Parent Common Stock issued by TGTX Parent to Precision in accordance with, and subject to the terms and conditions specified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1.173      “</w:t>
      </w:r>
      <w:r>
        <w:rPr>
          <w:rFonts w:ascii="Times New Roman" w:hAnsi="Times New Roman"/>
          <w:b/>
          <w:i/>
          <w:caps w:val="false"/>
          <w:smallCaps w:val="false"/>
          <w:sz w:val="20"/>
        </w:rPr>
        <w:t>TGTX Patent</w:t>
      </w:r>
      <w:r>
        <w:rPr>
          <w:rFonts w:ascii="Times New Roman" w:hAnsi="Times New Roman"/>
          <w:caps w:val="false"/>
          <w:smallCaps w:val="false"/>
          <w:sz w:val="20"/>
        </w:rPr>
        <w:t>” means any Patent constituting or claiming any TGTX Background IP or TGTX Sole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1.174      “</w:t>
      </w:r>
      <w:r>
        <w:rPr>
          <w:rFonts w:ascii="Times New Roman" w:hAnsi="Times New Roman"/>
          <w:b/>
          <w:i/>
          <w:caps w:val="false"/>
          <w:smallCaps w:val="false"/>
          <w:sz w:val="20"/>
        </w:rPr>
        <w:t>TGTX Promotional Materials</w:t>
      </w:r>
      <w:r>
        <w:rPr>
          <w:rFonts w:ascii="Times New Roman" w:hAnsi="Times New Roman"/>
          <w:caps w:val="false"/>
          <w:smallCaps w:val="false"/>
          <w:sz w:val="20"/>
        </w:rPr>
        <w:t>” has the meaning set forth in Section 5.1.3(a).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1.175      “</w:t>
      </w:r>
      <w:r>
        <w:rPr>
          <w:rFonts w:ascii="Times New Roman" w:hAnsi="Times New Roman"/>
          <w:b/>
          <w:i/>
          <w:caps w:val="false"/>
          <w:smallCaps w:val="false"/>
          <w:sz w:val="20"/>
        </w:rPr>
        <w:t>TGTX Sole IP</w:t>
      </w:r>
      <w:r>
        <w:rPr>
          <w:rFonts w:ascii="Times New Roman" w:hAnsi="Times New Roman"/>
          <w:caps w:val="false"/>
          <w:smallCaps w:val="false"/>
          <w:sz w:val="20"/>
        </w:rPr>
        <w:t>” has the meaning set forth in Section 9.1.2.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1.176      “</w:t>
      </w:r>
      <w:r>
        <w:rPr>
          <w:rFonts w:ascii="Times New Roman" w:hAnsi="Times New Roman"/>
          <w:b/>
          <w:i/>
          <w:caps w:val="false"/>
          <w:smallCaps w:val="false"/>
          <w:sz w:val="20"/>
        </w:rPr>
        <w:t>TGTX Technology</w:t>
      </w:r>
      <w:r>
        <w:rPr>
          <w:rFonts w:ascii="Times New Roman" w:hAnsi="Times New Roman"/>
          <w:caps w:val="false"/>
          <w:smallCaps w:val="false"/>
          <w:sz w:val="20"/>
        </w:rPr>
        <w:t>” means TGTX Background IP and TGTX Sole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1.178      “</w:t>
      </w:r>
      <w:r>
        <w:rPr>
          <w:rFonts w:ascii="Times New Roman" w:hAnsi="Times New Roman"/>
          <w:b/>
          <w:i/>
          <w:caps w:val="false"/>
          <w:smallCaps w:val="false"/>
          <w:sz w:val="20"/>
        </w:rPr>
        <w:t>Third Party</w:t>
      </w:r>
      <w:r>
        <w:rPr>
          <w:rFonts w:ascii="Times New Roman" w:hAnsi="Times New Roman"/>
          <w:caps w:val="false"/>
          <w:smallCaps w:val="false"/>
          <w:sz w:val="20"/>
        </w:rPr>
        <w:t>” means any Person other than TGTX or Precision (or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1.179     “</w:t>
      </w:r>
      <w:r>
        <w:rPr>
          <w:rFonts w:ascii="Times New Roman" w:hAnsi="Times New Roman"/>
          <w:b/>
          <w:i/>
          <w:caps w:val="false"/>
          <w:smallCaps w:val="false"/>
          <w:sz w:val="20"/>
        </w:rPr>
        <w:t>Trading Day</w:t>
      </w:r>
      <w:r>
        <w:rPr>
          <w:rFonts w:ascii="Times New Roman" w:hAnsi="Times New Roman"/>
          <w:caps w:val="false"/>
          <w:smallCaps w:val="false"/>
          <w:sz w:val="20"/>
        </w:rPr>
        <w:t xml:space="preserve">” means a day on which the Nasdaq is open for trading,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no closing price or daily trading volume is reported in respect of the relevant shares on the Nasdaq for one (1) or more consecutive trading days, such day or days will be disregarded in any relevant calculation and shall be deemed not to have existed when ascertaining any period of trading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1.180      “</w:t>
      </w:r>
      <w:r>
        <w:rPr>
          <w:rFonts w:ascii="Times New Roman" w:hAnsi="Times New Roman"/>
          <w:b/>
          <w:i/>
          <w:caps w:val="false"/>
          <w:smallCaps w:val="false"/>
          <w:sz w:val="20"/>
        </w:rPr>
        <w:t>Transfer</w:t>
      </w:r>
      <w:r>
        <w:rPr>
          <w:rFonts w:ascii="Times New Roman" w:hAnsi="Times New Roman"/>
          <w:caps w:val="false"/>
          <w:smallCaps w:val="false"/>
          <w:sz w:val="20"/>
        </w:rPr>
        <w:t>” has the meaning set forth in Section 8.2.6.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1.182      “</w:t>
      </w:r>
      <w:r>
        <w:rPr>
          <w:rFonts w:ascii="Times New Roman" w:hAnsi="Times New Roman"/>
          <w:b/>
          <w:i/>
          <w:caps w:val="false"/>
          <w:smallCaps w:val="false"/>
          <w:sz w:val="20"/>
        </w:rPr>
        <w:t>Upfront Precision Stock Issuance</w:t>
      </w:r>
      <w:r>
        <w:rPr>
          <w:rFonts w:ascii="Times New Roman" w:hAnsi="Times New Roman"/>
          <w:caps w:val="false"/>
          <w:smallCaps w:val="false"/>
          <w:sz w:val="20"/>
        </w:rPr>
        <w:t>” has the meaning set forth in Section 8.2.1(a).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1.183      “</w:t>
      </w:r>
      <w:r>
        <w:rPr>
          <w:rFonts w:ascii="Times New Roman" w:hAnsi="Times New Roman"/>
          <w:b/>
          <w:i/>
          <w:caps w:val="false"/>
          <w:smallCaps w:val="false"/>
          <w:sz w:val="20"/>
        </w:rPr>
        <w:t>Upfront Precision Stock Payment</w:t>
      </w:r>
      <w:r>
        <w:rPr>
          <w:rFonts w:ascii="Times New Roman" w:hAnsi="Times New Roman"/>
          <w:caps w:val="false"/>
          <w:smallCaps w:val="false"/>
          <w:sz w:val="20"/>
        </w:rPr>
        <w:t>” has the meaning set forth in Section 8.2.1(a).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1.184      “</w:t>
      </w:r>
      <w:r>
        <w:rPr>
          <w:rFonts w:ascii="Times New Roman" w:hAnsi="Times New Roman"/>
          <w:b/>
          <w:i/>
          <w:caps w:val="false"/>
          <w:smallCaps w:val="false"/>
          <w:sz w:val="20"/>
        </w:rPr>
        <w:t>U.S.</w:t>
      </w:r>
      <w:r>
        <w:rPr>
          <w:rFonts w:ascii="Times New Roman" w:hAnsi="Times New Roman"/>
          <w:caps w:val="false"/>
          <w:smallCaps w:val="false"/>
          <w:sz w:val="20"/>
        </w:rPr>
        <w:t>” means the United States of America and its territories and possessions.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1.185      “</w:t>
      </w:r>
      <w:r>
        <w:rPr>
          <w:rFonts w:ascii="Times New Roman" w:hAnsi="Times New Roman"/>
          <w:b/>
          <w:i/>
          <w:caps w:val="false"/>
          <w:smallCaps w:val="false"/>
          <w:sz w:val="20"/>
        </w:rPr>
        <w:t>U.S. GAAP</w:t>
      </w:r>
      <w:r>
        <w:rPr>
          <w:rFonts w:ascii="Times New Roman" w:hAnsi="Times New Roman"/>
          <w:caps w:val="false"/>
          <w:smallCaps w:val="false"/>
          <w:sz w:val="20"/>
        </w:rPr>
        <w:t>” has the meaning set forth in the definition of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1.186      “</w:t>
      </w:r>
      <w:r>
        <w:rPr>
          <w:rFonts w:ascii="Times New Roman" w:hAnsi="Times New Roman"/>
          <w:b/>
          <w:i/>
          <w:caps w:val="false"/>
          <w:smallCaps w:val="false"/>
          <w:sz w:val="20"/>
        </w:rPr>
        <w:t>Valid Claim</w:t>
      </w:r>
      <w:r>
        <w:rPr>
          <w:rFonts w:ascii="Times New Roman" w:hAnsi="Times New Roman"/>
          <w:caps w:val="false"/>
          <w:smallCaps w:val="false"/>
          <w:sz w:val="20"/>
        </w:rPr>
        <w:t>” means, with respect to a given Licensed Product, a claim that Covers (a) [***], (b) [***] or (c) [***], in each case (a) - (c) contained in (y) an issued and unexpired Patent that has not been revoked or held unenforceable, unpatentable or invalid by a decision of a court or other governmental agency of competent jurisdiction that is not appealable or has not been appealed within the time allowed for appeal; or (z) a pending patent application that has not been cancelled, withdrawn or abandoned or finally rejected by an administrative agency action from which no appeal can be taken and that has been pending for no longer than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1.187     “</w:t>
      </w:r>
      <w:r>
        <w:rPr>
          <w:rFonts w:ascii="Times New Roman" w:hAnsi="Times New Roman"/>
          <w:b/>
          <w:i/>
          <w:caps w:val="false"/>
          <w:smallCaps w:val="false"/>
          <w:sz w:val="20"/>
        </w:rPr>
        <w:t>VWAP</w:t>
      </w:r>
      <w:r>
        <w:rPr>
          <w:rFonts w:ascii="Times New Roman" w:hAnsi="Times New Roman"/>
          <w:caps w:val="false"/>
          <w:smallCaps w:val="false"/>
          <w:sz w:val="20"/>
        </w:rPr>
        <w:t>” means the arithmetic average of the daily volume-weighted average per share price of the relevant shares of common stock on Nasdaq (or, if such shares are no longer listed on Nasdaq, the applicable securities exchange, if any, on which they are then listed) during the Trading Day (subject to appropriate adjustments being made in respect of any reorganization, recapitalization, non-cash dividend, stock split, reverse stock split, reconstruction, consolidation, division, reclassification of such shares into a lesser or greater number of securities or other similar transaction, other than a buyback or capital reduction, during the relevant period or subsequent thereto and prior to the issuance of the relevant shares of common stock, and in respect of certain other market circumstances to adjust for market anomalies, such as suspensions of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1.188      “</w:t>
      </w:r>
      <w:r>
        <w:rPr>
          <w:rFonts w:ascii="Times New Roman" w:hAnsi="Times New Roman"/>
          <w:b/>
          <w:i/>
          <w:caps w:val="false"/>
          <w:smallCaps w:val="false"/>
          <w:sz w:val="20"/>
        </w:rPr>
        <w:t>Withholding Tax Action</w:t>
      </w:r>
      <w:r>
        <w:rPr>
          <w:rFonts w:ascii="Times New Roman" w:hAnsi="Times New Roman"/>
          <w:caps w:val="false"/>
          <w:smallCaps w:val="false"/>
          <w:sz w:val="20"/>
        </w:rPr>
        <w:t>” has the meaning set forth in Section 8.11.4.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center"/>
        <w:rPr>
          <w:rFonts w:ascii="Times New Roman" w:hAnsi="Times New Roman"/>
          <w:caps w:val="false"/>
          <w:smallCaps w:val="false"/>
          <w:sz w:val="20"/>
        </w:rPr>
      </w:pPr>
      <w:r>
        <w:rPr>
          <w:rFonts w:ascii="Times New Roman" w:hAnsi="Times New Roman"/>
          <w:b/>
          <w:caps w:val="false"/>
          <w:smallCaps w:val="false"/>
          <w:sz w:val="20"/>
        </w:rPr>
        <w:t>ARTICLE 2</w:t>
      </w:r>
      <w:r>
        <w:rPr>
          <w:rFonts w:ascii="Times New Roman" w:hAnsi="Times New Roman"/>
          <w:caps w:val="false"/>
          <w:smallCaps w:val="false"/>
          <w:sz w:val="20"/>
        </w:rPr>
        <w:br/>
        <w:br/>
      </w:r>
      <w:r>
        <w:rPr>
          <w:rFonts w:ascii="Times New Roman" w:hAnsi="Times New Roman"/>
          <w:b/>
          <w:caps w:val="false"/>
          <w:smallCaps w:val="false"/>
          <w:sz w:val="20"/>
        </w:rPr>
        <w:t>GOVERNANCE AND JOINT STEERING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2.1          </w:t>
      </w:r>
      <w:r>
        <w:rPr>
          <w:rFonts w:ascii="Times New Roman" w:hAnsi="Times New Roman"/>
          <w:b/>
          <w:caps w:val="false"/>
          <w:smallCaps w:val="false"/>
          <w:sz w:val="20"/>
        </w:rPr>
        <w:t>Relationship Managers</w:t>
      </w:r>
      <w:r>
        <w:rPr>
          <w:rFonts w:ascii="Times New Roman" w:hAnsi="Times New Roman"/>
          <w:caps w:val="false"/>
          <w:smallCaps w:val="false"/>
          <w:sz w:val="20"/>
        </w:rPr>
        <w:t>. No later than [***] after the Effective Date, each Party will appoint an individual to act as its relationship manager under this Agreement as soon as practicable after the Effective Date (each a “</w:t>
      </w:r>
      <w:r>
        <w:rPr>
          <w:rFonts w:ascii="Times New Roman" w:hAnsi="Times New Roman"/>
          <w:b/>
          <w:i/>
          <w:caps w:val="false"/>
          <w:smallCaps w:val="false"/>
          <w:sz w:val="20"/>
        </w:rPr>
        <w:t>Relationship Manager</w:t>
      </w:r>
      <w:r>
        <w:rPr>
          <w:rFonts w:ascii="Times New Roman" w:hAnsi="Times New Roman"/>
          <w:caps w:val="false"/>
          <w:smallCaps w:val="false"/>
          <w:sz w:val="20"/>
        </w:rPr>
        <w:t>”). The Relationship Managers will: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and; (c) facilitate the prompt resolution of any disputes; and (d) attend JSC meetings, in each case, as a non-voting member. A Relationship Manager may also bring any matter to the attention of the JSC if such Relationship Manager reasonably believes that such matter warrants such attention. Each Party will use reasonable efforts to keep an appropriate level of continuity but may replace its Relationship Manager at any time upon written notice to the other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2.2       </w:t>
      </w:r>
      <w:r>
        <w:rPr>
          <w:rFonts w:ascii="Times New Roman" w:hAnsi="Times New Roman"/>
          <w:b/>
          <w:caps w:val="false"/>
          <w:smallCaps w:val="false"/>
          <w:sz w:val="20"/>
        </w:rPr>
        <w:t>Coordination with Imugene</w:t>
      </w:r>
      <w:r>
        <w:rPr>
          <w:rFonts w:ascii="Times New Roman" w:hAnsi="Times New Roman"/>
          <w:caps w:val="false"/>
          <w:smallCaps w:val="false"/>
          <w:sz w:val="20"/>
        </w:rPr>
        <w:t>. Precision will use Commercially Reasonable Efforts to facilitate TGTX’s entry into a cooperation agreement with Imugene, in form reasonably acceptable to TGTX, as promptly as possible following the Effective Date (but in any event no later than [***] following the Effective Date) to enable TGTX to Develop, Manufacture and Commercialize the Licensed Product in accordance with the terms of this Agreement, and providing for, among other things, information sharing (including, without limitation, with respect to all chemistry, manufacturing, and controls (CMC) data), regulatory coordination, promotional materials, compliance policies, complaints or inquiries, and coordination of prosecution and maintenance of Patents, in each case, between TGTX and Imugene relating to the Licensed Product.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caps w:val="false"/>
          <w:smallCaps w:val="false"/>
          <w:sz w:val="20"/>
        </w:rPr>
        <w:t>Joint Steering Committee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2.3.1    </w:t>
      </w:r>
      <w:r>
        <w:rPr>
          <w:rFonts w:ascii="Times New Roman" w:hAnsi="Times New Roman"/>
          <w:b/>
          <w:caps w:val="false"/>
          <w:smallCaps w:val="false"/>
          <w:sz w:val="20"/>
        </w:rPr>
        <w:t>Establishment; Purpose of JSC</w:t>
      </w:r>
      <w:r>
        <w:rPr>
          <w:rFonts w:ascii="Times New Roman" w:hAnsi="Times New Roman"/>
          <w:caps w:val="false"/>
          <w:smallCaps w:val="false"/>
          <w:sz w:val="20"/>
        </w:rPr>
        <w:t>. No later than [***] after the Effective Date, the Parties will establish a joint steering committee (the “</w:t>
      </w:r>
      <w:r>
        <w:rPr>
          <w:rFonts w:ascii="Times New Roman" w:hAnsi="Times New Roman"/>
          <w:b/>
          <w:i/>
          <w:caps w:val="false"/>
          <w:smallCaps w:val="false"/>
          <w:sz w:val="20"/>
        </w:rPr>
        <w:t>JSC</w:t>
      </w:r>
      <w:r>
        <w:rPr>
          <w:rFonts w:ascii="Times New Roman" w:hAnsi="Times New Roman"/>
          <w:caps w:val="false"/>
          <w:smallCaps w:val="false"/>
          <w:sz w:val="20"/>
        </w:rPr>
        <w:t>”) to monitor the Exploitation of the Licensed Product in the Licensed Field in the Territory. The JSC will be composed of an equal number of representatives from each Party, and a minimum of three (3) representatives of each Party, and who have the appropriate and direct knowledge and expertise and requisite decision-making authority. Each Party may replace any of its representatives on the JSC and appoint a person to fill the vacancy arising from each such replacement. A Party that replaces a representative will notify the other Party at least [***] prior to the next scheduled meeting of the JSC. Both Parties will use reasonable efforts to keep an appropriate level of continuity in representation. Representatives may be represented at any meeting by another person designated by the absent representative. Each Party’s representatives on the JSC will inform and coordinate within their respective organization to enable each Party to fulfill its obligations as agreed upon between the Parties under this Agreement, including within the time frames set forth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2.3.2    </w:t>
      </w:r>
      <w:r>
        <w:rPr>
          <w:rFonts w:ascii="Times New Roman" w:hAnsi="Times New Roman"/>
          <w:b/>
          <w:caps w:val="false"/>
          <w:smallCaps w:val="false"/>
          <w:sz w:val="20"/>
        </w:rPr>
        <w:t>Meeting Agendas</w:t>
      </w:r>
      <w:r>
        <w:rPr>
          <w:rFonts w:ascii="Times New Roman" w:hAnsi="Times New Roman"/>
          <w:caps w:val="false"/>
          <w:smallCaps w:val="false"/>
          <w:sz w:val="20"/>
        </w:rPr>
        <w:t xml:space="preserve">. Each Party will disclose to the other Party the proposed agenda items along with appropriate information at least [***] in advance of each meeting of the JSC; </w:t>
      </w:r>
      <w:r>
        <w:rPr>
          <w:rFonts w:ascii="Times New Roman" w:hAnsi="Times New Roman"/>
          <w:i/>
          <w:caps w:val="false"/>
          <w:smallCaps w:val="false"/>
          <w:sz w:val="20"/>
        </w:rPr>
        <w:t>provided</w:t>
      </w:r>
      <w:r>
        <w:rPr>
          <w:rFonts w:ascii="Times New Roman" w:hAnsi="Times New Roman"/>
          <w:caps w:val="false"/>
          <w:smallCaps w:val="false"/>
          <w:sz w:val="20"/>
        </w:rPr>
        <w:t xml:space="preserve"> that under exigent circumstances requiring JSC input, a Party may provide its agenda items to the other Party within a shorter period of time in advance of a meeting, or may propose that there not be a specific agenda for a particular meeting, so long as such other Party consents to such later addition of such agenda items or the absence of a specific agenda for such JSC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2.3.3    </w:t>
      </w:r>
      <w:r>
        <w:rPr>
          <w:rFonts w:ascii="Times New Roman" w:hAnsi="Times New Roman"/>
          <w:b/>
          <w:caps w:val="false"/>
          <w:smallCaps w:val="false"/>
          <w:sz w:val="20"/>
        </w:rPr>
        <w:t>Meetings</w:t>
      </w:r>
      <w:r>
        <w:rPr>
          <w:rFonts w:ascii="Times New Roman" w:hAnsi="Times New Roman"/>
          <w:caps w:val="false"/>
          <w:smallCaps w:val="false"/>
          <w:sz w:val="20"/>
        </w:rPr>
        <w:t xml:space="preserve">. The JSC will hold meetings at such times as it elects to do so, but will meet no less frequently than quarterly, unless otherwise agreed by the Parties. The JSC may meet in person or by means of teleconference, Internet conference, videoconference, or other similar communication method;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Parties will use reasonable efforts for at least one meeting each Calendar Year to be conducted in person at a location selected alternatively by Precision and TGTX or such other location as the Parties may agree. Each Party will be responsible for all of its own costs and expenses of participating in any JSC meeting. The Relationship Managers will jointly prepare and circulate minutes for each JSC meeting within [***] after each such meeting and will ensure that such minutes are reviewed and approved by their respective companies within [***]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2.3.4    </w:t>
      </w:r>
      <w:r>
        <w:rPr>
          <w:rFonts w:ascii="Times New Roman" w:hAnsi="Times New Roman"/>
          <w:b/>
          <w:caps w:val="false"/>
          <w:smallCaps w:val="false"/>
          <w:sz w:val="20"/>
        </w:rPr>
        <w:t>JSC Responsibilities</w:t>
      </w:r>
      <w:r>
        <w:rPr>
          <w:rFonts w:ascii="Times New Roman" w:hAnsi="Times New Roman"/>
          <w:caps w:val="false"/>
          <w:smallCaps w:val="false"/>
          <w:sz w:val="20"/>
        </w:rPr>
        <w:t>. The responsibilities of the JSC will be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provide a forum for the discussion of the Parties’ activities and the flow of information contemplated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review and discuss the Development of each Licensed Product, including clinical trial protocols, monitoring plans, and data disclosure plans included with each such protocol;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 review and discuss any clinical trial protocols, monitoring plans, and data disclosure plans included with each such protocol with respect to each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(d)    review and discuss matters that may have a material adverse impact upon the regulatory status of the Licensed Product, as described in Section 4.1.2(f);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(e)    review and discuss Medical Affairs Plans and any updates thereto for any Licensed Product, as described in Section 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(f)    review and discuss the Commercialization of the Licensed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(g)    oversee the implementation of activities to be performed under any other written agreement between the Parties with respect to the subject matter hereof;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(h)    perform such other functions as expressly set forth in this Agreement or allocated to the JSC by the Parties’ written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2.4        </w:t>
      </w:r>
      <w:r>
        <w:rPr>
          <w:rFonts w:ascii="Times New Roman" w:hAnsi="Times New Roman"/>
          <w:b/>
          <w:caps w:val="false"/>
          <w:smallCaps w:val="false"/>
          <w:sz w:val="20"/>
        </w:rPr>
        <w:t>Non-Member Attendance</w:t>
      </w:r>
      <w:r>
        <w:rPr>
          <w:rFonts w:ascii="Times New Roman" w:hAnsi="Times New Roman"/>
          <w:caps w:val="false"/>
          <w:smallCaps w:val="false"/>
          <w:sz w:val="20"/>
        </w:rPr>
        <w:t xml:space="preserve">. Each Party may from time to time invite a reasonable number of participants, in addition to its representatives (which may include legal counsel), to attend a meeting of the JSC (in a non-voting capacity), if such participants have expertise that is relevant to the planned agenda for such JSC meeting;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either Party intends to have any Third Party (including any consultant) attend such a meeting, then such Party will provide prior written notice to the other Party reasonably in advance of such meeting and will ensure that such Third Party is bound by obligations of confidentiality and non-use at least as stringent as those set forth in Article 12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b/>
          <w:caps w:val="false"/>
          <w:smallCaps w:val="false"/>
          <w:sz w:val="20"/>
        </w:rPr>
        <w:t>Decision-Making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2.5.1    </w:t>
      </w:r>
      <w:r>
        <w:rPr>
          <w:rFonts w:ascii="Times New Roman" w:hAnsi="Times New Roman"/>
          <w:b/>
          <w:caps w:val="false"/>
          <w:smallCaps w:val="false"/>
          <w:sz w:val="20"/>
        </w:rPr>
        <w:t>General Process</w:t>
      </w:r>
      <w:r>
        <w:rPr>
          <w:rFonts w:ascii="Times New Roman" w:hAnsi="Times New Roman"/>
          <w:caps w:val="false"/>
          <w:smallCaps w:val="false"/>
          <w:sz w:val="20"/>
        </w:rPr>
        <w:t>. The JSC will only have the advisory powers expressly assigned to it in this Article 2 and elsewhere in this Agreement and will not have the authority to: (a) modify or amend the terms of this Agreement; or (b) waive either Party’s compliance with the terms of this Agreement. [***]. No action taken at any meeting of the JSC will be effective unless there is a quorum at such meeting, and at all such meetings, a quorum will be reached if two voting representatives of each Party are present or participating in such meeting. Except as otherwise expressly set forth in this Agreement, the phrases “determine,” “designate,” “confirm,” “approve,” or “determine whether to approve” by the JSC and similar phrases used in this Agreement will mean approval in accordance with this Section 2.5, including the escalation and tie</w:t>
        <w:noBreakHyphen/>
        <w:t>breaking provisions herein. For the avoidance of doubt, matters that are specified in Section 2.3.4 to be reviewed and discussed (as opposed to approved) do not require any agreement or decision by either Party and are not subject to the voting and decision-making procedures set forth in this Section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2.5.2    </w:t>
      </w:r>
      <w:r>
        <w:rPr>
          <w:rFonts w:ascii="Times New Roman" w:hAnsi="Times New Roman"/>
          <w:b/>
          <w:caps w:val="false"/>
          <w:smallCaps w:val="false"/>
          <w:sz w:val="20"/>
        </w:rPr>
        <w:t>Decisions of the JSC</w:t>
      </w:r>
      <w:r>
        <w:rPr>
          <w:rFonts w:ascii="Times New Roman" w:hAnsi="Times New Roman"/>
          <w:caps w:val="false"/>
          <w:smallCaps w:val="false"/>
          <w:sz w:val="20"/>
        </w:rPr>
        <w:t>. The JSC will use good faith efforts, in compliance with this Section 2.5.2, to promptly resolve any such matter for which it has authority. If, after the use of good faith efforts, the JSC is unable to resolve any such matter that is within the scope of the JSC’s authority or any other disagreement between the Parties that may be referred to the JSC, in each case, within a period of [***], then a Party may refer such matter for resolution in accordance with Section 2.6.1.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b/>
          <w:caps w:val="false"/>
          <w:smallCaps w:val="false"/>
          <w:sz w:val="20"/>
        </w:rPr>
        <w:t>Resolution of JSC Disputes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2.6.1    </w:t>
      </w:r>
      <w:r>
        <w:rPr>
          <w:rFonts w:ascii="Times New Roman" w:hAnsi="Times New Roman"/>
          <w:b/>
          <w:caps w:val="false"/>
          <w:smallCaps w:val="false"/>
          <w:sz w:val="20"/>
        </w:rPr>
        <w:t>Referral to Executive Officers</w:t>
      </w:r>
      <w:r>
        <w:rPr>
          <w:rFonts w:ascii="Times New Roman" w:hAnsi="Times New Roman"/>
          <w:caps w:val="false"/>
          <w:smallCaps w:val="false"/>
          <w:sz w:val="20"/>
        </w:rPr>
        <w:t>. If a Party makes an election under Section 2.5.2 to refer a matter on which the JSC cannot reach a consensus decision for resolution by the Executive Officers, then the JSC will submit in writing the respective positions of the Parties to their respective Executive Officers. The Executive Officers will use good faith efforts to resolve any such matter so referred to them as soon as practicable, and any final decision that the Executive Officers agree to in writing will be conclusive and binding on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2.6.2    </w:t>
      </w:r>
      <w:r>
        <w:rPr>
          <w:rFonts w:ascii="Times New Roman" w:hAnsi="Times New Roman"/>
          <w:b/>
          <w:caps w:val="false"/>
          <w:smallCaps w:val="false"/>
          <w:sz w:val="20"/>
        </w:rPr>
        <w:t>No Change; Status Quo</w:t>
      </w:r>
      <w:r>
        <w:rPr>
          <w:rFonts w:ascii="Times New Roman" w:hAnsi="Times New Roman"/>
          <w:caps w:val="false"/>
          <w:smallCaps w:val="false"/>
          <w:sz w:val="20"/>
        </w:rPr>
        <w:t xml:space="preserve">. If the Executive Officers are unable to reach agreement on any such matter referred to them within [***] after such matter is so referred (or such longer period as the Executive Officers may agree upon), then neither Party will have final decision-making authority over approval of such matter and all such matters must be decided by unanimous agreement of the Parties in order to take any action or adopt any change from the then-current </w:t>
      </w:r>
      <w:r>
        <w:rPr>
          <w:rFonts w:ascii="Times New Roman" w:hAnsi="Times New Roman"/>
          <w:i/>
          <w:caps w:val="false"/>
          <w:smallCaps w:val="false"/>
          <w:sz w:val="20"/>
        </w:rPr>
        <w:t>status quo</w:t>
      </w:r>
      <w:r>
        <w:rPr>
          <w:rFonts w:ascii="Times New Roman" w:hAnsi="Times New Roman"/>
          <w:caps w:val="false"/>
          <w:smallCaps w:val="false"/>
          <w:sz w:val="20"/>
        </w:rPr>
        <w:t xml:space="preserve">, as applicable, </w:t>
      </w:r>
      <w:r>
        <w:rPr>
          <w:rFonts w:ascii="Times New Roman" w:hAnsi="Times New Roman"/>
          <w:i/>
          <w:caps w:val="false"/>
          <w:smallCaps w:val="false"/>
          <w:sz w:val="20"/>
        </w:rPr>
        <w:t>provided</w:t>
      </w:r>
      <w:r>
        <w:rPr>
          <w:rFonts w:ascii="Times New Roman" w:hAnsi="Times New Roman"/>
          <w:caps w:val="false"/>
          <w:smallCaps w:val="false"/>
          <w:sz w:val="20"/>
        </w:rPr>
        <w:t xml:space="preserve"> that TGTX will have final decision-making authority with respect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2.6.3    </w:t>
      </w:r>
      <w:r>
        <w:rPr>
          <w:rFonts w:ascii="Times New Roman" w:hAnsi="Times New Roman"/>
          <w:b/>
          <w:caps w:val="false"/>
          <w:smallCaps w:val="false"/>
          <w:sz w:val="20"/>
        </w:rPr>
        <w:t>Limitations on Decision-Making</w:t>
      </w:r>
      <w:r>
        <w:rPr>
          <w:rFonts w:ascii="Times New Roman" w:hAnsi="Times New Roman"/>
          <w:caps w:val="false"/>
          <w:smallCaps w:val="false"/>
          <w:sz w:val="20"/>
        </w:rPr>
        <w:t>. Notwithstanding any provision to the contrary set forth in this Agreement, without the other Party’s prior written consent, neither Party (in the exercise of a Party’s final decision-making authority), the JSC, nor a Party’s Executive Officer, in each case, may make a decision that could reasonably be expected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2.7        </w:t>
      </w:r>
      <w:r>
        <w:rPr>
          <w:rFonts w:ascii="Times New Roman" w:hAnsi="Times New Roman"/>
          <w:b/>
          <w:caps w:val="false"/>
          <w:smallCaps w:val="false"/>
          <w:sz w:val="20"/>
        </w:rPr>
        <w:t>Discontinuation of JSC</w:t>
      </w:r>
      <w:r>
        <w:rPr>
          <w:rFonts w:ascii="Times New Roman" w:hAnsi="Times New Roman"/>
          <w:caps w:val="false"/>
          <w:smallCaps w:val="false"/>
          <w:sz w:val="20"/>
        </w:rPr>
        <w:t>. The JSC will continue to exist until the first to occur of (a) [***] or (b) [***]. Once the JSC is disbanded, the JSC will have no further obligations under this Agreement and, thereafter, the Relationship Managers will be the points of contact for the exchange of information between the Parties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3</w:t>
      </w:r>
      <w:r>
        <w:rPr>
          <w:rFonts w:ascii="Times New Roman" w:hAnsi="Times New Roman"/>
          <w:caps w:val="false"/>
          <w:smallCaps w:val="false"/>
          <w:sz w:val="20"/>
        </w:rPr>
        <w:br/>
        <w:br/>
      </w:r>
      <w:r>
        <w:rPr>
          <w:rFonts w:ascii="Times New Roman" w:hAnsi="Times New Roman"/>
          <w:b/>
          <w:caps w:val="false"/>
          <w:smallCaps w:val="false"/>
          <w:sz w:val="20"/>
        </w:rPr>
        <w:t>DEVELOPMENT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b/>
          <w:caps w:val="false"/>
          <w:smallCaps w:val="false"/>
          <w:sz w:val="20"/>
        </w:rPr>
        <w:t xml:space="preserve">Licensed Product.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3.1.1    </w:t>
      </w:r>
      <w:r>
        <w:rPr>
          <w:rFonts w:ascii="Times New Roman" w:hAnsi="Times New Roman"/>
          <w:b/>
          <w:caps w:val="false"/>
          <w:smallCaps w:val="false"/>
          <w:sz w:val="20"/>
        </w:rPr>
        <w:t>Conduct of the Parties</w:t>
      </w:r>
      <w:r>
        <w:rPr>
          <w:rFonts w:ascii="Times New Roman" w:hAnsi="Times New Roman"/>
          <w:caps w:val="false"/>
          <w:smallCaps w:val="false"/>
          <w:sz w:val="20"/>
        </w:rPr>
        <w:t>. The Parties’ mutual objective is to permit TGTX, pursuant to and in accordance with the terms of this Agreement, to Develop the Licensed Product(s) in the Licensed Field while not taking any action that would be reasonably likely to materially adversely affect Development of the Licensed Product outside the Licensed Field. Each Party shall conduct itself and its activities hereunder consistent with that understanding, consistent with sound and ethical business and scientific practices. In all matters related to such activities (including, with respect to Precision, its actions under the Precision-Imugene License Agreement), the Parties shall strive to balance, as best as reasonably possible, their respective legitimate interests and concerns and to realize the economic potential of the Licensed Product(s) in the Licensed Field and outside the Licensed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3.1.2    </w:t>
      </w:r>
      <w:r>
        <w:rPr>
          <w:rFonts w:ascii="Times New Roman" w:hAnsi="Times New Roman"/>
          <w:b/>
          <w:caps w:val="false"/>
          <w:smallCaps w:val="false"/>
          <w:sz w:val="20"/>
        </w:rPr>
        <w:t>Development Responsibility; Diligence Obligations</w:t>
      </w:r>
      <w:r>
        <w:rPr>
          <w:rFonts w:ascii="Times New Roman" w:hAnsi="Times New Roman"/>
          <w:caps w:val="false"/>
          <w:smallCaps w:val="false"/>
          <w:sz w:val="20"/>
        </w:rPr>
        <w:t>. Subject to the terms of this Agreement, TGTX shall be responsible for, at its sole cost and expense, all Development of the Licensed Product in the Licensed Field in the Territory, including all Clinical Trials and activities that are necessary for or otherwise support obtaining and maintaining Regulatory Approvals in the Licensed Field in the Territory. TGTX shall use Commercially Reasonable Efforts to Develop and seek and obtain Regulatory Approval for the Licensed Product in the Licensed Field in the Territory [***], all in accordance with all Applicable Laws. [***] (such date, as may be extend by clause (a) or (b), the “</w:t>
      </w:r>
      <w:r>
        <w:rPr>
          <w:rFonts w:ascii="Times New Roman" w:hAnsi="Times New Roman"/>
          <w:b/>
          <w:i/>
          <w:caps w:val="false"/>
          <w:smallCaps w:val="false"/>
          <w:sz w:val="20"/>
        </w:rPr>
        <w:t>Initiation Deadline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3.1.3    </w:t>
      </w:r>
      <w:r>
        <w:rPr>
          <w:rFonts w:ascii="Times New Roman" w:hAnsi="Times New Roman"/>
          <w:b/>
          <w:caps w:val="false"/>
          <w:smallCaps w:val="false"/>
          <w:sz w:val="20"/>
        </w:rPr>
        <w:t>Standard of Conduct</w:t>
      </w:r>
      <w:r>
        <w:rPr>
          <w:rFonts w:ascii="Times New Roman" w:hAnsi="Times New Roman"/>
          <w:caps w:val="false"/>
          <w:smallCaps w:val="false"/>
          <w:sz w:val="20"/>
        </w:rPr>
        <w:t>. TGTX will perform, and will cause its Affiliates, Sublicensees, and subcontractors to perform, all Development activities for the Licensed Product in a timely, good scientific manner, in accordance with GLP, cGMP, and cGCP, as applicable, and in compliance with Applicable Laws and Commercially Reasonable Efforts. In addition, TGTX will conduct its obligations with respect to any Clinical Trial with the study design set forth in the applicable protocol, each as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b/>
          <w:caps w:val="false"/>
          <w:smallCaps w:val="false"/>
          <w:sz w:val="20"/>
        </w:rPr>
        <w:t>Development Records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3.2.1    </w:t>
      </w:r>
      <w:r>
        <w:rPr>
          <w:rFonts w:ascii="Times New Roman" w:hAnsi="Times New Roman"/>
          <w:b/>
          <w:caps w:val="false"/>
          <w:smallCaps w:val="false"/>
          <w:sz w:val="20"/>
        </w:rPr>
        <w:t>Generally</w:t>
      </w:r>
      <w:r>
        <w:rPr>
          <w:rFonts w:ascii="Times New Roman" w:hAnsi="Times New Roman"/>
          <w:caps w:val="false"/>
          <w:smallCaps w:val="false"/>
          <w:sz w:val="20"/>
        </w:rPr>
        <w:t>. TGTX will, and will cause its Affiliates, Sublicensees, and subcontractors to, maintain reasonably complete, current, and accurate records of all Development activities conducted by or on behalf of TGTX, and its Affiliates, Sublicensees, and subcontractors, respectively, pursuant to this Agreement and all data and other information resulting from such activities consistent with its usual practices, in validated computer systems that are materially in compliance with 21 C.F.R. §11 and in accordance with Applicable Laws (“</w:t>
      </w:r>
      <w:r>
        <w:rPr>
          <w:rFonts w:ascii="Times New Roman" w:hAnsi="Times New Roman"/>
          <w:b/>
          <w:i/>
          <w:caps w:val="false"/>
          <w:smallCaps w:val="false"/>
          <w:sz w:val="20"/>
        </w:rPr>
        <w:t>Development Records</w:t>
      </w:r>
      <w:r>
        <w:rPr>
          <w:rFonts w:ascii="Times New Roman" w:hAnsi="Times New Roman"/>
          <w:caps w:val="false"/>
          <w:smallCaps w:val="false"/>
          <w:sz w:val="20"/>
        </w:rPr>
        <w:t>”). Such Development Records will fully and properly reflect all work done and results achieved in the performance of the Development activities for the Licensed Products in good scientific manner appropriate for regulatory and patent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3.2.2    </w:t>
      </w:r>
      <w:r>
        <w:rPr>
          <w:rFonts w:ascii="Times New Roman" w:hAnsi="Times New Roman"/>
          <w:b/>
          <w:caps w:val="false"/>
          <w:smallCaps w:val="false"/>
          <w:sz w:val="20"/>
        </w:rPr>
        <w:t>Additional Requirements</w:t>
      </w:r>
      <w:r>
        <w:rPr>
          <w:rFonts w:ascii="Times New Roman" w:hAnsi="Times New Roman"/>
          <w:caps w:val="false"/>
          <w:smallCaps w:val="false"/>
          <w:sz w:val="20"/>
        </w:rPr>
        <w:t>. TGTX will maintain all Development Records related to the Licensed Product for a period of [***] after the end of the Term. TGTX will document all non-clinical and preclinical studies and Clinical Trials of the Licensed Product in formal written study reports in accordance with GLP, cGMP, and cGCP, as applicable, and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Upon Precision’s reasonable request, not more frequently than [***] during which TGTX or its Affiliates, Sublicensees, or subcontractors are performing or having performed Development activities for any Licensed Product, TGTX will, and will cause its Affiliates, Sublicensees, and subcontractors to, allow Precision to access, review, and copy such records (including access to relevant databases). Precision will have the right to use the data and results generated by or on behalf of TGTX and its Affiliates, Sublicensees, and subcontractors hereunder to Exploit any Licensed Product outside of the Licensed Field in the Territory. TGTX will ensure that all records or other documents that it transmits to Precision electronically under this Agreement are transmitted over secure systems that include adequate encryption safeguards to prevent unauthorized access and maintain data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Upon TGTX’s reasonable request during the Term, not more frequently than [***] during which Precision or its Affiliates, Sublicensees, or subcontractors are performing or having performed development activities for any Licensed Product, Precision will allow TGTX to access, review, and copy all data and other information resulting from such activities (including access to relevant databases) that are Controlled by Precision. TGTX will have the right to use such data and information hereunder to Exploit any Licensed Product in the Licensed Field in the Territory. Precision will ensure that all data and other information that it transmits to TGTX electronically under this Agreement are transmitted over secure systems that include adequate encryption safeguards to prevent unauthorized access and maintain data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3.3        </w:t>
      </w:r>
      <w:r>
        <w:rPr>
          <w:rFonts w:ascii="Times New Roman" w:hAnsi="Times New Roman"/>
          <w:b/>
          <w:caps w:val="false"/>
          <w:smallCaps w:val="false"/>
          <w:sz w:val="20"/>
        </w:rPr>
        <w:t>Data Exchange and Use</w:t>
      </w:r>
      <w:r>
        <w:rPr>
          <w:rFonts w:ascii="Times New Roman" w:hAnsi="Times New Roman"/>
          <w:caps w:val="false"/>
          <w:smallCaps w:val="false"/>
          <w:sz w:val="20"/>
        </w:rPr>
        <w:t>. In addition to its adverse event and safety data reporting obligations set forth in Section 4.4, each Party will promptly provide the other Party, through the JSC (or, based on the time sensitivity or urgency of such data and results, directly between representatives of the Parties outside of the JSC), with copies of all data and results and all supporting documentation (</w:t>
      </w:r>
      <w:r>
        <w:rPr>
          <w:rFonts w:ascii="Times New Roman" w:hAnsi="Times New Roman"/>
          <w:i/>
          <w:caps w:val="false"/>
          <w:smallCaps w:val="false"/>
          <w:sz w:val="20"/>
        </w:rPr>
        <w:t>e.g.</w:t>
      </w:r>
      <w:r>
        <w:rPr>
          <w:rFonts w:ascii="Times New Roman" w:hAnsi="Times New Roman"/>
          <w:caps w:val="false"/>
          <w:smallCaps w:val="false"/>
          <w:sz w:val="20"/>
        </w:rPr>
        <w:t>, protocols, Investigator’s Brochures, case report forms, analysis plans, and all in English language) (collectively, “</w:t>
      </w:r>
      <w:r>
        <w:rPr>
          <w:rFonts w:ascii="Times New Roman" w:hAnsi="Times New Roman"/>
          <w:b/>
          <w:i/>
          <w:caps w:val="false"/>
          <w:smallCaps w:val="false"/>
          <w:sz w:val="20"/>
        </w:rPr>
        <w:t>Clinical Data and Documentation</w:t>
      </w:r>
      <w:r>
        <w:rPr>
          <w:rFonts w:ascii="Times New Roman" w:hAnsi="Times New Roman"/>
          <w:caps w:val="false"/>
          <w:smallCaps w:val="false"/>
          <w:sz w:val="20"/>
        </w:rPr>
        <w:t>”) (a) Controlled by such Party or its Affiliates (or Sublicensees, in the case of TGTX) (b) owned by, or licensed to, Precision’s licensees, to the extent Controlled by Precision, in each case, (a) or (b), that are generated by or on behalf of such Party or its Affiliates (or its licensees or Sublicensees, as applicable) in the Development of each Licensed Product, including in the Development of the existing Licensed Product under the Precision-Imugene License Agreement. TGTX will have the right to use and reference such data and results provided by Precision for the purpose of performing Development activities under this Agreement, obtaining, supporting, and maintaining Regulatory Approvals and any Reimbursement Approval, as applicable, of Licensed Products in the Licensed Field in the Territory, without additional consideration. Precision and its Affiliates and licensees will have the right to use and reference such data and results provided by TGTX for the purpose of Developing the Licensed Product (but, during the Term, only outside the Licensed Field) or any other products based on ARCUS Technology, and obtaining, supporting, and maintaining Regulatory Approvals or any Reimbursement Approvals, as applicable, of any such product, without additional consideration. For clarity, Precision shall not clinically Develop the Licensed Product in the Licensed Field in the Territory during the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3.4        </w:t>
      </w:r>
      <w:r>
        <w:rPr>
          <w:rFonts w:ascii="Times New Roman" w:hAnsi="Times New Roman"/>
          <w:b/>
          <w:caps w:val="false"/>
          <w:smallCaps w:val="false"/>
          <w:sz w:val="20"/>
        </w:rPr>
        <w:t>Development Reports</w:t>
      </w:r>
      <w:r>
        <w:rPr>
          <w:rFonts w:ascii="Times New Roman" w:hAnsi="Times New Roman"/>
          <w:caps w:val="false"/>
          <w:smallCaps w:val="false"/>
          <w:sz w:val="20"/>
        </w:rPr>
        <w:t>. On an annual basis, during any period in which TGTX is performing, or having performed, Development activities for the Licensed Product, TGTX will provide Precision, at TGTX’s sole cost and expense, with reasonably detailed written reports summarizing the Development activities performed during the period since the preceding report, the Development activities in process, and the future activities that TGTX or its Sublicensees or subcontractors expect to initiate. Without limiting the foregoing, such reports will contain sufficient detail to enable Precision to assess TGTX’s compliance with its Development diligence obligations set forth in this Article 3. TGTX will promptly respond to Precision’s reasonable requests from time to time for additional information regarding significant Development activities for the Licensed Product performed by or on behalf of TGTX or its Affiliates, Sublicensees, or subcontractors.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4</w:t>
      </w:r>
      <w:r>
        <w:rPr>
          <w:rFonts w:ascii="Times New Roman" w:hAnsi="Times New Roman"/>
          <w:caps w:val="false"/>
          <w:smallCaps w:val="false"/>
          <w:sz w:val="20"/>
        </w:rPr>
        <w:br/>
        <w:br/>
      </w:r>
      <w:r>
        <w:rPr>
          <w:rFonts w:ascii="Times New Roman" w:hAnsi="Times New Roman"/>
          <w:b/>
          <w:caps w:val="false"/>
          <w:smallCaps w:val="false"/>
          <w:sz w:val="20"/>
        </w:rPr>
        <w:t>REGULATORY MATTERS; MEDICAL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4.1          </w:t>
      </w:r>
      <w:r>
        <w:rPr>
          <w:rFonts w:ascii="Times New Roman" w:hAnsi="Times New Roman"/>
          <w:b/>
          <w:caps w:val="false"/>
          <w:smallCaps w:val="false"/>
          <w:sz w:val="20"/>
        </w:rPr>
        <w:t>Regulatory Responsibilities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4.1.1      </w:t>
      </w:r>
      <w:r>
        <w:rPr>
          <w:rFonts w:ascii="Times New Roman" w:hAnsi="Times New Roman"/>
          <w:b/>
          <w:caps w:val="false"/>
          <w:smallCaps w:val="false"/>
          <w:sz w:val="20"/>
        </w:rPr>
        <w:t>Licensed Product Outside the Licensed Field</w:t>
      </w:r>
      <w:r>
        <w:rPr>
          <w:rFonts w:ascii="Times New Roman" w:hAnsi="Times New Roman"/>
          <w:caps w:val="false"/>
          <w:smallCaps w:val="false"/>
          <w:sz w:val="20"/>
        </w:rPr>
        <w:t>. As between Precision and TGTX, Precision (or its licensees) shall be solely responsible for any and all regulatory activities with respect to the Licensed Product outside the Licensed Field, including filing of all Regulatory Filings for the Licensed Product, maintenance of all Regulatory Approvals, any reports or submissions required to be made to any non-governmental Third Party payors, and any and all regulatory matters arising after obtaining Regulatory Approval, including post-marketing inquiries and safety surveillance activities. Precision shall keep TGTX reasonably and promptly apprised of such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4.1.2       </w:t>
      </w:r>
      <w:r>
        <w:rPr>
          <w:rFonts w:ascii="Times New Roman" w:hAnsi="Times New Roman"/>
          <w:b/>
          <w:caps w:val="false"/>
          <w:smallCaps w:val="false"/>
          <w:sz w:val="20"/>
        </w:rPr>
        <w:t>Licensed Product in the Licensed Field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As between Precision and TGTX, subject to the terms of this Agreement, TGTX shall be responsible for regulatory activities with respect to the Licensed Product in the Licensed Field in the Territory, and shall use Commercially Reasonable Efforts to prepare any and all Regulatory Filings for all indications in the Licensed Field. TGTX shall provide the JSC with drafts of all chemistry, manufacturing, and controls (CMC) and quality-related filings for Licensed Products in the Licensed Field in the Territory at least [***] prior to submission to a Regulatory Authority to allow the JSC a reasonable opportunity to review and comment on such filings. TGTX shall consider the JSC’s comments on such filings in good faith but has no obligation to accept any comments of the JSC. TGTX shall submit all Regulatory Filings for Licensed Products in the Licensed Field in the Territory in the name of TGTX or its Affiliate or designee, and all resulting Regulatory Approvals will be owned by, and held in the name of, TGTX or its Affiliate or designee.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To the extent possible, and as soon as reasonably possible, each Party shall provide to the JSC reasonable written notice of all meetings and conference telephone calls with any Regulatory Authority in which matters that would be expected to relate to the Licensed Product will be discussed.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Each Party shall notify the JSC within [***] after it receives information about the initiation of any investigation or inquiry by any Regulatory Authority concerning the Development, Manufacture or Commercialization of the Licensed Product to the extent such investigation or inquiry would be reasonably likely to adversely affect the other Party. Precision shall keep TGTX reasonably and promptly informed of any such information it receives from Imugene.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If a Regulatory Authority desires to conduct an inspection or audit with regard to the Licensed Product or TGTX’s facility or a facility under contract with TGTX or its Affiliate with respect to the activities relevant to this Agreement, TGTX shall permit and cooperate with such inspection or audit, and shall cause the contract facility to permit and cooperate with such Regulatory Authority during such inspection or audit. TGTX shall conform its activities under this Agreement to any commitments made in such a response, except to the extent that TGTX believes in good faith that such commitments violate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If any Regulatory Authority takes or gives notice of its intent to take any regulatory action with respect to any activity of either Party, its Affiliate, or licensee (or Sublicensee, in the case of TGTX) relating to the Licensed Product, then such Party will notify the JSC of such contact, inspection, or notice or action within [***] after receipt of such notice (or, if later, within [***] of such Party becoming aware of such action). Such Party will have the final decision-making authority with respect to [***]. The costs and expenses of any such regulatory action will be borne by such Party. Precision shall keep TGTX reasonably and promptly informed of any such notice received by the Precision-Imugene JSC.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If either Party believes that the other Party, its Affiliate, or licensee (or Sublicensee, in the case of TGTX) is taking or intends to take any action with respect to the Licensed Product that could have a material adverse impact upon the regulatory status of the Licensed Product, [***]. Precision shall keep TGTX reasonably and promptly informed of any such matter brought to the attention of the Precision-Imugene JSC.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4.1.3     </w:t>
      </w:r>
      <w:r>
        <w:rPr>
          <w:rFonts w:ascii="Times New Roman" w:hAnsi="Times New Roman"/>
          <w:b/>
          <w:caps w:val="false"/>
          <w:smallCaps w:val="false"/>
          <w:sz w:val="20"/>
        </w:rPr>
        <w:t>ARCUS Nuclease Matters</w:t>
      </w:r>
      <w:r>
        <w:rPr>
          <w:rFonts w:ascii="Times New Roman" w:hAnsi="Times New Roman"/>
          <w:caps w:val="false"/>
          <w:smallCaps w:val="false"/>
          <w:sz w:val="20"/>
        </w:rPr>
        <w:t>. Notwithstanding anything to the contrary and without limiting any other right of Precision in this Article 4, Precision shall have the right, prior to BLA approval for the Licensed Product, to have its employees attend each INTERACT meeting or pre-IND submission meeting, the end of the Phase II Clinical Trial meeting for the Licensed Product, and any other meeting with the FDA or EMA if such other meeting has any item on the agenda specifically directed to the manufacturing, quality, safety (including non-clinical safety related to production of ARCUS Nucleases) or delivery of ARCUS Nucleases or ARCUS Technology for the portion of the meeting specifically directed to such topics (collectively, “</w:t>
      </w:r>
      <w:r>
        <w:rPr>
          <w:rFonts w:ascii="Times New Roman" w:hAnsi="Times New Roman"/>
          <w:b/>
          <w:i/>
          <w:caps w:val="false"/>
          <w:smallCaps w:val="false"/>
          <w:sz w:val="20"/>
        </w:rPr>
        <w:t>ARCUS Regulatory Matters</w:t>
      </w:r>
      <w:r>
        <w:rPr>
          <w:rFonts w:ascii="Times New Roman" w:hAnsi="Times New Roman"/>
          <w:caps w:val="false"/>
          <w:smallCaps w:val="false"/>
          <w:sz w:val="20"/>
        </w:rPr>
        <w:t>”). Prior to BLA approval for the Licensed Product, TGTX will provide drafts of its communications with the FDA and EMA (including with respect to CMC-related matters) to the extent they relate to ARCUS Regulatory Matters to Precision for review and comment, and will consider Precision’s comments in good faith and not unreasonably reject any such comments, before submitting such communications to the FDA or EMA. Following BLA approval for the Licensed Product, TGTX shall provide Precision notice regarding any communications from Regulatory Authorities regarding ARCUS 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b/>
          <w:caps w:val="false"/>
          <w:smallCaps w:val="false"/>
          <w:sz w:val="20"/>
        </w:rPr>
        <w:t>Regulatory Costs</w:t>
      </w:r>
      <w:r>
        <w:rPr>
          <w:rFonts w:ascii="Times New Roman" w:hAnsi="Times New Roman"/>
          <w:caps w:val="false"/>
          <w:smallCaps w:val="false"/>
          <w:sz w:val="20"/>
        </w:rPr>
        <w:t>. TGTX shall bear all costs and expenses it incurs to conduct all regulatory activities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b/>
          <w:caps w:val="false"/>
          <w:smallCaps w:val="false"/>
          <w:sz w:val="20"/>
        </w:rPr>
        <w:t>Right of Reference</w:t>
      </w:r>
      <w:r>
        <w:rPr>
          <w:rFonts w:ascii="Times New Roman" w:hAnsi="Times New Roman"/>
          <w:caps w:val="false"/>
          <w:smallCaps w:val="false"/>
          <w:sz w:val="20"/>
        </w:rPr>
        <w:t>. Each Party hereby grants, and shall cause its Affiliates and require its licensees (and Sublicensees, in the case of TGTX) to grant, at no cost, to the other Party, its Affiliates and any of their respective licensees (in the case of Precision) or Sublicensees (in the case of TGTX) a Right of Reference and right to use and reference (which, for the purposes of Section 13.7, the Parties agree is a license) any data and Regulatory Filings Controlled by the granting Party, its Affiliates, or its licensees (or Sublicensees, in the case of TGTX) that relates to the Licensed Product that the other Party reasonably believes may be necessary or useful to the Development, Manufacture or Commercialization of the Licensed Product in such other Party’s respective field (i.e., in the Licensed Field, in the case of TGTX, or outside the Licensed Field, in the case of Precision), and the granting Party will provide, and shall cause its Affiliates and require its licensees (in the case of Precision) and Sublicensees (in the case of TGTX) to provide, a signed statement to the foregoing effect, as reasonably requested by the other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4.4          </w:t>
      </w:r>
      <w:r>
        <w:rPr>
          <w:rFonts w:ascii="Times New Roman" w:hAnsi="Times New Roman"/>
          <w:b/>
          <w:caps w:val="false"/>
          <w:smallCaps w:val="false"/>
          <w:sz w:val="20"/>
        </w:rPr>
        <w:t>Adverse Event Reporting; PV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4.4.1    </w:t>
      </w:r>
      <w:r>
        <w:rPr>
          <w:rFonts w:ascii="Times New Roman" w:hAnsi="Times New Roman"/>
          <w:b/>
          <w:caps w:val="false"/>
          <w:smallCaps w:val="false"/>
          <w:sz w:val="20"/>
        </w:rPr>
        <w:t>Generally</w:t>
      </w:r>
      <w:r>
        <w:rPr>
          <w:rFonts w:ascii="Times New Roman" w:hAnsi="Times New Roman"/>
          <w:caps w:val="false"/>
          <w:smallCaps w:val="false"/>
          <w:sz w:val="20"/>
        </w:rPr>
        <w:t>. As between the Parties, TGTX shall be responsible for the timely reporting of all relevant adverse drug reactions/experiences, product quality, product complaints and safety data relating to Licensed Products in the Licensed Field to the appropriate Regulatory Authorities in the Territory, in each case in accordance with Applicable Laws of the relevant countries and Regulatory Authorities. [***]. The PV Agreement shall include terms that comply with ICH guidelines, taking into account the roles of Imugene as data holder and TGTX as data generator, including timely reporting of all relevant adverse drug reactions/experiences, product quality, product complaints and safety data relating to Licensed Products to the appropriate Regulatory Authorities in the Territory in accordance with Applicable Laws of the relevant countries and Regulatory Authorities. In addition, the PV Agreement shall include provisions (a) providing detailed procedures regarding the maintenance of core safety information and the exchange of safety data relating to the Licensed Product or the Licensed ARCUS Nuclease worldwide within appropriate timeframes and in an appropriate format to enable each Party to meet both expedited and periodic regulatory reporting requirements; and (b) ensuring compliance with the reporting requirements of all applicable Regulatory Authorities on a worldwide basis for the reporting of safety data in accordance with standards stipulated in the ICH guidelines, and all applicable regulatory and legal requirements regarding the management of safety data. Pursuant to the PV Agreement, each party thereof shall be solely responsible for all costs and expenses it incurs to conduct its pharmacovigilance responsibilities.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4.4.2    </w:t>
      </w:r>
      <w:r>
        <w:rPr>
          <w:rFonts w:ascii="Times New Roman" w:hAnsi="Times New Roman"/>
          <w:b/>
          <w:caps w:val="false"/>
          <w:smallCaps w:val="false"/>
          <w:sz w:val="20"/>
        </w:rPr>
        <w:t>Right to Audit for Licensed Product</w:t>
      </w:r>
      <w:r>
        <w:rPr>
          <w:rFonts w:ascii="Times New Roman" w:hAnsi="Times New Roman"/>
          <w:caps w:val="false"/>
          <w:smallCaps w:val="false"/>
          <w:sz w:val="20"/>
        </w:rPr>
        <w:t xml:space="preserve">. Each Party shall have the right to perform audits of the other Party’s pharmacovigilance activities relating to the Parties’ activities in relation to the Licensed Product under the terms of this Agreement including compliance by the other Party with Applicable Laws. The frequency of such audits will be no more than [***] during the Term;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audits may be more frequent if, in the auditing Party’s sole discretion, more frequent audits are necessary by a risk-based approach, and except in ‘for cause’ situations where, in the event of a serious or potentially serious issue, additional audits may be conducted. The notification of one Party’s intent to conduct such an audit will be provided in writing to the other Party within a reasonable time period in advance, based upon the particular circumstances of the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b/>
          <w:caps w:val="false"/>
          <w:smallCaps w:val="false"/>
          <w:sz w:val="20"/>
        </w:rPr>
        <w:t>Product Withdrawals and Recalls</w:t>
      </w:r>
      <w:r>
        <w:rPr>
          <w:rFonts w:ascii="Times New Roman" w:hAnsi="Times New Roman"/>
          <w:caps w:val="false"/>
          <w:smallCaps w:val="false"/>
          <w:sz w:val="20"/>
        </w:rPr>
        <w:t>. In the event that (a) an event, incident, or circumstance has occurred which may result in the need for a recall or other removal of the Licensed Product or any lot or lots thereof from the market in the Licensed Field in the Territory; (b) any Regulatory Authority in the Territory threatens or initiates any action to remove the Licensed Product from the market in the Licensed Field in the Territory; or (c) any Regulatory Authority in the Territory requires distribution of a “Dear Doctor” letter or its equivalent, regarding use of the Licensed Product in the Licensed Field in the Territory, TGTX shall promptly advise Precision in writing with respect thereto, and shall provide to Precision copies of all relevant correspondence, notices, and any other related documents. In the event that (x) an event, incident, or circumstance has occurred which may result in the need for a recall or other removal of any Licensed Product or any lot or lots thereof from the market outside the Licensed Field in the Territory; (y) any Regulatory Authority in the Territory threatens or initiates any action to remove any Licensed Product from the market outside the Licensed Field in the Territory; or (z) any Regulatory Authority in the Territory requires distribution of a “Dear Doctor” letter or its equivalent, regarding use of the Licensed Product outside the Licensed Field in the Territory, Precision shall promptly (after it becomes aware of any of the events in (x) – (z)) advise TGTX, and shall require its licensees to promptly advise Precision, in writing with respect thereto, and shall provide to TGTX, and shall require its licensees to provide to Precision, copies of all relevant correspondence, notices, and any other related documents in its, or its licensee’s, as applicable, possession. Unless otherwise agreed by the Parties, TGTX shall be responsible for conducting a recall of the Licensed Product in the Licensed Field. TGTX will have the right to make the final determination whether to voluntarily implement any such recall, market suspension, or market withdrawal of the Licensed Product in the Licensed Field in the Territory. Each Party will cooperate with the other Party in the performance of any recall or 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4.6         </w:t>
      </w:r>
      <w:r>
        <w:rPr>
          <w:rFonts w:ascii="Times New Roman" w:hAnsi="Times New Roman"/>
          <w:b/>
          <w:caps w:val="false"/>
          <w:smallCaps w:val="false"/>
          <w:sz w:val="20"/>
        </w:rPr>
        <w:t>Medical Affairs</w:t>
      </w:r>
      <w:r>
        <w:rPr>
          <w:rFonts w:ascii="Times New Roman" w:hAnsi="Times New Roman"/>
          <w:caps w:val="false"/>
          <w:smallCaps w:val="false"/>
          <w:sz w:val="20"/>
        </w:rPr>
        <w:t xml:space="preserve"> No later than [***] prior to the anticipated date of performance of Medical Affairs activities for the Licensed Product in the Territory, TGTX will prepare an initial draft of each Medical Affairs Plan for the Licensed Product and provide such initial draft to the JSC to review and discuss. The Medical Affairs Plan will contain a high-level summary of the major Medical Affairs activities to be undertaken by TGTX for the Licensed Product in the Licensed Field in the Territory and the estimated timelines for performing such activities. Thereafter, from time to time, but at least annually, TGTX will propose updates to the Medical Affairs Plan for the Licensed Product in the Licensed Field in the Territory to reflect changes in such plan, including to account for relevant facts and circumstances that may influence such plan and the Medical Affairs activities set forth therein and provide each such update to the JSC to review and discuss. For each Calendar Quarter in which any Medical Affairs are conducted by or on behalf of TGTX or its Affiliates or Sublicensees for the Licensed Product in the Licensed Field in the Territory, TGTX will provide updates on Medical Affairs activities at each meeting of the JSC. The Parties recognize that each Party may benefit from the coordination of certain Medical Affairs activities for the Licensed Product(s) inside and outside of the Licensed Field. Accordingly, the Parties will coordinate such activities through the JSC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5</w:t>
      </w:r>
      <w:r>
        <w:rPr>
          <w:rFonts w:ascii="Times New Roman" w:hAnsi="Times New Roman"/>
          <w:caps w:val="false"/>
          <w:smallCaps w:val="false"/>
          <w:sz w:val="20"/>
        </w:rPr>
        <w:br/>
        <w:br/>
      </w:r>
      <w:r>
        <w:rPr>
          <w:rFonts w:ascii="Times New Roman" w:hAnsi="Times New Roman"/>
          <w:b/>
          <w:caps w:val="false"/>
          <w:smallCaps w:val="false"/>
          <w:sz w:val="20"/>
        </w:rPr>
        <w:t xml:space="preserve">COMMERCIALIZATION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5.1          </w:t>
      </w:r>
      <w:r>
        <w:rPr>
          <w:rFonts w:ascii="Times New Roman" w:hAnsi="Times New Roman"/>
          <w:b/>
          <w:caps w:val="false"/>
          <w:smallCaps w:val="false"/>
          <w:sz w:val="20"/>
        </w:rPr>
        <w:t>Licensed Product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5.1.1    </w:t>
      </w:r>
      <w:r>
        <w:rPr>
          <w:rFonts w:ascii="Times New Roman" w:hAnsi="Times New Roman"/>
          <w:b/>
          <w:caps w:val="false"/>
          <w:smallCaps w:val="false"/>
          <w:sz w:val="20"/>
        </w:rPr>
        <w:t>Principles of Commercialization</w:t>
      </w:r>
      <w:r>
        <w:rPr>
          <w:rFonts w:ascii="Times New Roman" w:hAnsi="Times New Roman"/>
          <w:caps w:val="false"/>
          <w:smallCaps w:val="false"/>
          <w:sz w:val="20"/>
        </w:rPr>
        <w:t>. The Parties intend for TGTX to use Commercially Reasonable Efforts to Commercialize the Licensed Product in the Licensed Field in the Territory, following Regulatory Approval thereof, as set forth in this Section 5.1. Each Party shall appoint a representative to be such Party’s single point of contact to facilitate information flow between the Parties relating to each Party’s experience and relationships in the Licensed Field (in the case of TGTX) and outside the Licensed Field (in the case of Precision). Each Party shall first address any communications relating to Commercialization by the other Party to such representatives unless otherwise agreed to by the Parties on a case-by-case basis. Such representatives shall, without limitation, coordinate direct involvement or meetings with subject matter experts within each Party’s internal organization and/or its field account management organization. Notwithstanding the foregoing, neither TGTX’s nor Precision’s representative shall be required to provide details relating to any customer specific transaction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5.1.2    </w:t>
      </w:r>
      <w:r>
        <w:rPr>
          <w:rFonts w:ascii="Times New Roman" w:hAnsi="Times New Roman"/>
          <w:b/>
          <w:caps w:val="false"/>
          <w:smallCaps w:val="false"/>
          <w:sz w:val="20"/>
        </w:rPr>
        <w:t>Commercialization Activities</w:t>
      </w:r>
      <w:r>
        <w:rPr>
          <w:rFonts w:ascii="Times New Roman" w:hAnsi="Times New Roman"/>
          <w:caps w:val="false"/>
          <w:smallCaps w:val="false"/>
          <w:sz w:val="20"/>
        </w:rPr>
        <w:t>. TGTX shall (a) use Commercially Reasonable Efforts to Commercialize the Licensed Product in the Licensed Field following Regulatory Approval thereof in the Licensed Field in the Territory [***]; and (b) use Commercially Reasonable Efforts to perform other activities not otherwise identified herein but which are required by Regulatory Authorities to Commercialize the Licensed Product in any indication in the Licensed Field for which Regulatory Approval has been obtained in the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5.1.3    </w:t>
      </w:r>
      <w:r>
        <w:rPr>
          <w:rFonts w:ascii="Times New Roman" w:hAnsi="Times New Roman"/>
          <w:b/>
          <w:caps w:val="false"/>
          <w:smallCaps w:val="false"/>
          <w:sz w:val="20"/>
        </w:rPr>
        <w:t>Advertising and Promotional Materials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w:t>
      </w:r>
      <w:r>
        <w:rPr>
          <w:rFonts w:ascii="Times New Roman" w:hAnsi="Times New Roman"/>
          <w:b/>
          <w:caps w:val="false"/>
          <w:smallCaps w:val="false"/>
          <w:sz w:val="20"/>
        </w:rPr>
        <w:t>TGTX Promotional Materials</w:t>
      </w:r>
      <w:r>
        <w:rPr>
          <w:rFonts w:ascii="Times New Roman" w:hAnsi="Times New Roman"/>
          <w:caps w:val="false"/>
          <w:smallCaps w:val="false"/>
          <w:sz w:val="20"/>
        </w:rPr>
        <w:t>. TGTX will be responsible for development of all advertising and promotional materials, programs and initiatives related to the use of the Licensed Product in the Licensed Field in the Territory, including medical education, symposia, opinion leader development, peer-to-peer development, publications, journal ads, and all other written communications that describe the features or benefits of the Licensed Product, in each case in the Licensed Field in the Territory (the “</w:t>
      </w:r>
      <w:r>
        <w:rPr>
          <w:rFonts w:ascii="Times New Roman" w:hAnsi="Times New Roman"/>
          <w:b/>
          <w:i/>
          <w:caps w:val="false"/>
          <w:smallCaps w:val="false"/>
          <w:sz w:val="20"/>
        </w:rPr>
        <w:t>TGTX Promotional Materials</w:t>
      </w:r>
      <w:r>
        <w:rPr>
          <w:rFonts w:ascii="Times New Roman" w:hAnsi="Times New Roman"/>
          <w:caps w:val="false"/>
          <w:smallCaps w:val="false"/>
          <w:sz w:val="20"/>
        </w:rPr>
        <w:t>”). All TGTX Promotional Materials shall be prepared in accordance with Applicable Law, TGTX’s policies for compliance with Applicable Laws, industry guidelines relating to promotional and advertising materials, any requirements of the FDA imposed as a condition of any Regulatory Approval, industry marketing codes such as the PhRMA code, and implementation guidelines to be mutually agreed upon by the Parties. TGTX shall implement appropriate policies and procedures relating to safety reporting, approval of TGTX Promotional Materials, sales force training and similar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w:t>
      </w:r>
      <w:r>
        <w:rPr>
          <w:rFonts w:ascii="Times New Roman" w:hAnsi="Times New Roman"/>
          <w:b/>
          <w:caps w:val="false"/>
          <w:smallCaps w:val="false"/>
          <w:sz w:val="20"/>
        </w:rPr>
        <w:t>TGTX</w:t>
      </w:r>
      <w:r>
        <w:rPr>
          <w:rFonts w:ascii="Times New Roman" w:hAnsi="Times New Roman"/>
          <w:caps w:val="false"/>
          <w:smallCaps w:val="false"/>
          <w:sz w:val="20"/>
        </w:rPr>
        <w:t>’</w:t>
      </w:r>
      <w:r>
        <w:rPr>
          <w:rFonts w:ascii="Times New Roman" w:hAnsi="Times New Roman"/>
          <w:b/>
          <w:caps w:val="false"/>
          <w:smallCaps w:val="false"/>
          <w:sz w:val="20"/>
        </w:rPr>
        <w:t>s Compliance Policies</w:t>
      </w:r>
      <w:r>
        <w:rPr>
          <w:rFonts w:ascii="Times New Roman" w:hAnsi="Times New Roman"/>
          <w:caps w:val="false"/>
          <w:smallCaps w:val="false"/>
          <w:sz w:val="20"/>
        </w:rPr>
        <w:t>. TGTX, on Precision’s request, shall provide Precision copies of and access to TGTX’s policies for compliance with Applicable Law relating to promotional and advertising materials, and TGTX’s procedures relating to the approval of promotional materials, sales force compliance training, and related matters. Precision shall have the right to audit TGTX’s compliance policies and procedures, no more than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5.1.4    </w:t>
      </w:r>
      <w:r>
        <w:rPr>
          <w:rFonts w:ascii="Times New Roman" w:hAnsi="Times New Roman"/>
          <w:b/>
          <w:caps w:val="false"/>
          <w:smallCaps w:val="false"/>
          <w:sz w:val="20"/>
        </w:rPr>
        <w:t>Complaints and Inquiries</w:t>
      </w:r>
      <w:r>
        <w:rPr>
          <w:rFonts w:ascii="Times New Roman" w:hAnsi="Times New Roman"/>
          <w:caps w:val="false"/>
          <w:smallCaps w:val="false"/>
          <w:sz w:val="20"/>
        </w:rPr>
        <w:t>. The Parties shall mutually develop a protocol for responding to any and all complaints, medical questions, or other inquiries relating to the Licensed Product in the Licensed Field in the Territory, which are directed to such Parties’ respective sales representatives. TGTX shall be responsible for responding to complaints, medical questions, or other inquiries relating to the TGTX Commercialization Activities and Precision or its designee shall be responsible for responding to all other complaints, medical questions, or other inquiries. TGTX shall notify Precision of, and provide to Precision, all pertinent information in TGTX’s possession relating to any and all suspected or actual tampering, counterfeiting, or contamination or other similar problems with respect to the Licensed Product in the Licensed Field in the Territory. Precision shall notify TGTX of, and provide to TGTX, all pertinent information in Precision’s possession relating to any and all suspected or actual tampering, counterfeiting, or contamination or other similar problems with respect to any Licensed Product outside the Licensed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b/>
          <w:caps w:val="false"/>
          <w:smallCaps w:val="false"/>
          <w:sz w:val="20"/>
        </w:rPr>
        <w:t>Reports</w:t>
      </w:r>
      <w:r>
        <w:rPr>
          <w:rFonts w:ascii="Times New Roman" w:hAnsi="Times New Roman"/>
          <w:caps w:val="false"/>
          <w:smallCaps w:val="false"/>
          <w:sz w:val="20"/>
        </w:rPr>
        <w:t>. On an annual basis commencing on the first anniversary of the First Commercial Sale, TGTX will be obligated to deliver to Precision a report describing the status of TGTX’s and its Affiliates and Sublicensees’ Commercialization efforts with respect to Licensed Products in the Licensed Field in the Territory. In addition, Precision may from time to time provide TGTX with written requests describing specific types of information Precision requires in order to comply with Precision’s reporting and disclosure obligations under any Applicable Laws, and TGTX shall include such information in such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5.3       </w:t>
      </w:r>
      <w:r>
        <w:rPr>
          <w:rFonts w:ascii="Times New Roman" w:hAnsi="Times New Roman"/>
          <w:b/>
          <w:caps w:val="false"/>
          <w:smallCaps w:val="false"/>
          <w:sz w:val="20"/>
        </w:rPr>
        <w:t>Compensation for Sales Outside the Licensed Field</w:t>
      </w:r>
      <w:r>
        <w:rPr>
          <w:rFonts w:ascii="Times New Roman" w:hAnsi="Times New Roman"/>
          <w:caps w:val="false"/>
          <w:smallCaps w:val="false"/>
          <w:sz w:val="20"/>
        </w:rPr>
        <w:t>. If Precision reasonably believes that there are material sales recorded or conducted by or on behalf of TGTX, its Affiliates, or its Sublicensees of the Licensed Product outside the Licensed Field in the Territory, Precision shall be permitted to implement and conduct reasonable procedures under which material sales and purchases of the Licensed Product in the Territory and other related market research data shall be audited and monitored, using for example IQVIA data and information, and TGTX agrees to reasonably cooperate with Precision in the implementation and conduct of such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6</w:t>
      </w:r>
      <w:r>
        <w:rPr>
          <w:rFonts w:ascii="Times New Roman" w:hAnsi="Times New Roman"/>
          <w:caps w:val="false"/>
          <w:smallCaps w:val="false"/>
          <w:sz w:val="20"/>
        </w:rPr>
        <w:br/>
        <w:br/>
      </w:r>
      <w:r>
        <w:rPr>
          <w:rFonts w:ascii="Times New Roman" w:hAnsi="Times New Roman"/>
          <w:b/>
          <w:caps w:val="false"/>
          <w:smallCaps w:val="false"/>
          <w:sz w:val="20"/>
        </w:rPr>
        <w:t>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b/>
          <w:caps w:val="false"/>
          <w:smallCaps w:val="false"/>
          <w:sz w:val="20"/>
        </w:rPr>
        <w:t>Licensed Products</w:t>
      </w:r>
      <w:r>
        <w:rPr>
          <w:rFonts w:ascii="Times New Roman" w:hAnsi="Times New Roman"/>
          <w:caps w:val="false"/>
          <w:smallCaps w:val="false"/>
          <w:sz w:val="20"/>
        </w:rPr>
        <w:t>. Except as provided in Section 6.2, and subject to the terms of this Agreement, TGTX shall be solely responsible, at its sole cost and expense, for all Manufacturing (or having Manufactured through a CMO), including development of any Chemistry, Manufacturing and Controls sections of any Regulatory Filings or Regulatory Approval, for all Licensed Products for TGTX’s, its Affiliates’ and Sublicensees’ pre-clinical and clinical Development and Commercialization in the Licensed Field in the Territory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6.2          </w:t>
      </w:r>
      <w:r>
        <w:rPr>
          <w:rFonts w:ascii="Times New Roman" w:hAnsi="Times New Roman"/>
          <w:b/>
          <w:caps w:val="false"/>
          <w:smallCaps w:val="false"/>
          <w:sz w:val="20"/>
        </w:rPr>
        <w:t>Clinical Supply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6.2.1    Within [***] after the Effective Date, Precision shall deliver to TGTX [***] a single batch (batch number PBCAR0191-2023-0006) of released Clinical Trial material for the Licensed Product (in its form in existence as of the Effective Date). [***], together with access to all relevant quality, facility and equipment-related documentation in respect of such batch. Precision shall use Commercially Reasonable Efforts to promptly respond to any questions or inquiries from TGTX with respect to such batch. TGTX and Precision will also, within [***] after the Effective Date, enter into a quality agreement, in standard and customary form, with respect to such batch. In addition, Precision shall facilitate TGTX’s entering into agreements with Precision’s Third Party vendors for the storage, handling and shipping of such batch and, until such time, shall reasonably continue to provide such services directly or with its vendors with respect to such batch at Precision’s reasonable cost, which TGTX shall promptly reimburse.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6.2.2    Precision acknowledges and agrees that, pursuant to Section 7.3 of the Precision-Imugene License Agreement, Precision has the right to designate, and hereby designates TGTX, and will communicate such designation to Imugene promptly after entering into this Agreement, as the party with which Imugene must enter into an agreement to provide for the supply to TGTX of [***], together with a quality agreement setting forth Imugene’s (or its Affiliate’s) quality and compliance obligations with respect to the manufacture and supply of the applicable product, in each case, in accordance with Section 7.3 of the Precision-Imugene License Agreement, [***] (such agreement, including the documentation of the technology transfer right and obligation described in this Section 6.2.2, the “</w:t>
      </w:r>
      <w:r>
        <w:rPr>
          <w:rFonts w:ascii="Times New Roman" w:hAnsi="Times New Roman"/>
          <w:b/>
          <w:i/>
          <w:caps w:val="false"/>
          <w:smallCaps w:val="false"/>
          <w:sz w:val="20"/>
        </w:rPr>
        <w:t>Clinical Supply Agreement</w:t>
      </w:r>
      <w:r>
        <w:rPr>
          <w:rFonts w:ascii="Times New Roman" w:hAnsi="Times New Roman"/>
          <w:caps w:val="false"/>
          <w:smallCaps w:val="false"/>
          <w:sz w:val="20"/>
        </w:rPr>
        <w:t>”). [***]. In addition, Precision acknowledges and agrees that, pursuant to Section 7.2 of the Precision-Imugene License Agreement, Precision has the right to designate, and hereby designates, TGTX, and will communicate such designation to Imugene promptly after entering into this Agreement, as the party with which Imugene shall conduct a manufacturing technology transfer in accordance with Section 7.2 of the Precision-Imugene License Agreement, including entering into a technology transfer plan, with such technology transfer right and obligation to be set forth in the Clinical Supply Agreement or a related agreement, in form reasonably acceptable to TGTX.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7</w:t>
      </w:r>
      <w:r>
        <w:rPr>
          <w:rFonts w:ascii="Times New Roman" w:hAnsi="Times New Roman"/>
          <w:caps w:val="false"/>
          <w:smallCaps w:val="false"/>
          <w:sz w:val="20"/>
        </w:rPr>
        <w:br/>
        <w:br/>
      </w:r>
      <w:r>
        <w:rPr>
          <w:rFonts w:ascii="Times New Roman" w:hAnsi="Times New Roman"/>
          <w:b/>
          <w:caps w:val="false"/>
          <w:smallCaps w:val="false"/>
          <w:sz w:val="20"/>
        </w:rPr>
        <w:t>LICENSE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7.1          </w:t>
      </w:r>
      <w:r>
        <w:rPr>
          <w:rFonts w:ascii="Times New Roman" w:hAnsi="Times New Roman"/>
          <w:b/>
          <w:caps w:val="false"/>
          <w:smallCaps w:val="false"/>
          <w:sz w:val="20"/>
        </w:rPr>
        <w:t>License Grants to TGTX</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7.1.1    </w:t>
      </w:r>
      <w:r>
        <w:rPr>
          <w:rFonts w:ascii="Times New Roman" w:hAnsi="Times New Roman"/>
          <w:b/>
          <w:caps w:val="false"/>
          <w:smallCaps w:val="false"/>
          <w:sz w:val="20"/>
        </w:rPr>
        <w:t>Exclusive License</w:t>
      </w:r>
      <w:r>
        <w:rPr>
          <w:rFonts w:ascii="Times New Roman" w:hAnsi="Times New Roman"/>
          <w:caps w:val="false"/>
          <w:smallCaps w:val="false"/>
          <w:sz w:val="20"/>
        </w:rPr>
        <w:t xml:space="preserve">. Subject to the terms and conditions of this Agreement, Precision (on behalf of itself and its Affiliates) hereby grants to TGTX an exclusive (even as to Precision and its Affiliates), royalty-bearing (as set forth in Section 8.6), license, with the right to grant sublicenses (through multiple tiers, as provided in Section 7.3), under the Precision Product IP, to Exploit, or to have Exploited, the Licensed Product in the Licensed Field in the Territory;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that the foregoing license shall be non-exclusive with respect to Manufacture of the Licensed Product. Notwithstanding the foregoing, Precision or its designee may conduct Research and other Development activities with the Licensed Product;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activities are directed to the Research and Development of the ARCUS Technology and not the Licensed Product itself, and further </w:t>
      </w:r>
      <w:r>
        <w:rPr>
          <w:rFonts w:ascii="Times New Roman" w:hAnsi="Times New Roman"/>
          <w:i/>
          <w:caps w:val="false"/>
          <w:smallCaps w:val="false"/>
          <w:sz w:val="20"/>
        </w:rPr>
        <w:t>provided</w:t>
      </w:r>
      <w:r>
        <w:rPr>
          <w:rFonts w:ascii="Times New Roman" w:hAnsi="Times New Roman"/>
          <w:caps w:val="false"/>
          <w:smallCaps w:val="false"/>
          <w:sz w:val="20"/>
        </w:rPr>
        <w:t xml:space="preserve"> that Precision shall not have the right to conduct, or authorize any Affiliate or Third Party to conduct: (a) Research or other Development activities with the Licensed Product that are specifically directed to (i) any disease, condition or disorder in the Licensed Field or (ii) [***]; or (b) any clinical study of the Licensed Product in the Licensed Field in the Territory. For the avoidance of doubt, TGTX may utilize TGTX Arising IP in connection with the foregoing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7.1.2    </w:t>
      </w:r>
      <w:r>
        <w:rPr>
          <w:rFonts w:ascii="Times New Roman" w:hAnsi="Times New Roman"/>
          <w:b/>
          <w:caps w:val="false"/>
          <w:smallCaps w:val="false"/>
          <w:sz w:val="20"/>
        </w:rPr>
        <w:t>Non-Exclusive Licenses</w:t>
      </w:r>
      <w:r>
        <w:rPr>
          <w:rFonts w:ascii="Times New Roman" w:hAnsi="Times New Roman"/>
          <w:caps w:val="false"/>
          <w:smallCaps w:val="false"/>
          <w:sz w:val="20"/>
        </w:rPr>
        <w:t>. Subject to the terms and conditions of this Agreement, Precision (on behalf of itself and its Affiliates) hereby grants to TGTX a non-exclusive, royalty-bearing (as set forth in Section 8.6) license, with the right to grant sublicenses (through multiple tiers, as provided in Section 7.3), under the Precision Platform IP, to Exploit, or to have Exploited, the Licensed Product in the Licensed Field in the Territory. The license set forth in this Section 7.1.2 under Precision Platform IP is intended to provide TGTX a “freedom to operate” license with respect to the Precision Platform IP solely for the Exploitation of Licensed Products in the Licensed Field, and not for TGTX’s independent use of the Precision Platform IP. TGTX acknowledges and agrees that TGTX will not have any right to (a) access or receive any ARCUS Technology, (b) design, create, select, or optimize any ARCUS Nucleases using the ARCUS Technology, or (c) otherwise use the ARCUS Technology as a genome engineering tool; in the case of (a) and (c), except to the extent that the ARCUS Technology is embodied in the Licensed ARCUS Nuclease or the Licensed Product and utilized solely in TGTX’s practice of the licenses granted in Section 7.1.1. The Parties agree that ARCUS Technology will not be transferred to TGTX or its designee under this Agreement. For the avoidance of doubt, TGTX may utilize TGTX Arising IP in connection with the foregoing license.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7.1.3    </w:t>
      </w:r>
      <w:r>
        <w:rPr>
          <w:rFonts w:ascii="Times New Roman" w:hAnsi="Times New Roman"/>
          <w:b/>
          <w:caps w:val="false"/>
          <w:smallCaps w:val="false"/>
          <w:sz w:val="20"/>
        </w:rPr>
        <w:t>Restrictions on Licensed ARCUS Nuclease</w:t>
      </w:r>
      <w:r>
        <w:rPr>
          <w:rFonts w:ascii="Times New Roman" w:hAnsi="Times New Roman"/>
          <w:caps w:val="false"/>
          <w:smallCaps w:val="false"/>
          <w:sz w:val="20"/>
        </w:rPr>
        <w:t>. TGTX acknowledges and agrees that the foregoing license does not include any right to, and TGTX shall not, and shall not permit any of its Affiliates or its or their Sublicensees to (a) modify the Licensed ARCUS Nuclease, or (b) [***], in each case (a) and (b), without Precision’s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7.2         </w:t>
      </w:r>
      <w:r>
        <w:rPr>
          <w:rFonts w:ascii="Times New Roman" w:hAnsi="Times New Roman"/>
          <w:b/>
          <w:caps w:val="false"/>
          <w:smallCaps w:val="false"/>
          <w:sz w:val="20"/>
        </w:rPr>
        <w:t>License Grant to Precision</w:t>
      </w:r>
      <w:r>
        <w:rPr>
          <w:rFonts w:ascii="Times New Roman" w:hAnsi="Times New Roman"/>
          <w:caps w:val="false"/>
          <w:smallCaps w:val="false"/>
          <w:sz w:val="20"/>
        </w:rPr>
        <w:t>. Subject to the terms and conditions of this Agreement, TGTX agrees to grant and hereby grants (on behalf of itself and its Affiliates) to Precision a perpetual, fully-paid, royalty-free, non-exclusive license, with right to grant sublicenses through multiple tiers, under all TGTX Arising IP and any TGTX Background IP that is necessary or reasonably useful for the applicable Licensed Product, or its use or manufacture, to Exploit, or to have Exploited, any Licensed Product in all fields in the Territory. Notwithstanding the non-exclusive nature of the foregoing license, TGTX shall not Research, Develop (including conduct of any Clinical Trial) or otherwise Exploit the Licensed Products outside the Licensed Field. Precision shall not practice the foregoing license in the Licensed Field unless and until the Licensed Product has become a Terminated Product in accordance with Article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b/>
          <w:caps w:val="false"/>
          <w:smallCaps w:val="false"/>
          <w:sz w:val="20"/>
        </w:rPr>
        <w:t>Third Party Sublicenses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7.3.1    </w:t>
      </w:r>
      <w:r>
        <w:rPr>
          <w:rFonts w:ascii="Times New Roman" w:hAnsi="Times New Roman"/>
          <w:b/>
          <w:caps w:val="false"/>
          <w:smallCaps w:val="false"/>
          <w:sz w:val="20"/>
        </w:rPr>
        <w:t>Generally</w:t>
      </w:r>
      <w:r>
        <w:rPr>
          <w:rFonts w:ascii="Times New Roman" w:hAnsi="Times New Roman"/>
          <w:caps w:val="false"/>
          <w:smallCaps w:val="false"/>
          <w:sz w:val="20"/>
        </w:rPr>
        <w:t xml:space="preserve">. TGTX and Precision may grant one or more sublicenses under the rights and licenses granted to it under Section 7.1 (in the case of TGTX) or Section 7.2 (in the case of Precision), in full or in part, to Third Parties (with the right to sublicense through multiple tiers); </w:t>
      </w:r>
      <w:r>
        <w:rPr>
          <w:rFonts w:ascii="Times New Roman" w:hAnsi="Times New Roman"/>
          <w:i/>
          <w:caps w:val="false"/>
          <w:smallCaps w:val="false"/>
          <w:sz w:val="20"/>
        </w:rPr>
        <w:t>provided</w:t>
      </w:r>
      <w:r>
        <w:rPr>
          <w:rFonts w:ascii="Times New Roman" w:hAnsi="Times New Roman"/>
          <w:caps w:val="false"/>
          <w:smallCaps w:val="false"/>
          <w:sz w:val="20"/>
        </w:rPr>
        <w:t>, that: (a) any such permitted sublicense is consistent with and subject to the terms and conditions of this Agreement, including the confidentiality provisions of Article 12 and the intellectual property provisions of Article 9 (in the case of TGTX); and (b) the Party granting such sublicense shall remain responsible for performance of such Party’s obligations under this Agreement and shall be responsible for all actions of each such sublicensee as if such sublicensee were the Party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7.3.2    </w:t>
      </w:r>
      <w:r>
        <w:rPr>
          <w:rFonts w:ascii="Times New Roman" w:hAnsi="Times New Roman"/>
          <w:b/>
          <w:caps w:val="false"/>
          <w:smallCaps w:val="false"/>
          <w:sz w:val="20"/>
        </w:rPr>
        <w:t>By TGTX</w:t>
      </w:r>
      <w:r>
        <w:rPr>
          <w:rFonts w:ascii="Times New Roman" w:hAnsi="Times New Roman"/>
          <w:caps w:val="false"/>
          <w:smallCaps w:val="false"/>
          <w:sz w:val="20"/>
        </w:rPr>
        <w:t xml:space="preserve">. TGTX will not grant any sublicense or other right that permits any Research, Development or Commercialization of the Licensed Product by any Third Party without Precision’s prior written consent,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TGTX may grant any sublicense or other right, without Precision’s prior written consent, to (a) a contract Distributor, Third Party contractor or service provider, including a CMO or contract research organization, in order to provide services for a fee for the benefit of TGTX or (b) a sublicensee that is a pharmaceutical or biotechnology company that [***]. Without limiting the foregoing, any sublicense or other right must include in the written agreement pursuant to which such sublicense or other right is granted provisions ensuring that (x) the Licensed Product is Exploited in a manner consistent with the requirements set forth in this Agreement, (y) Precision is an intended third party beneficiary to such agreement and (z) all rights attaching therefrom in relation to any activities contemplated by this Agreement and the right to enforce the provisions of such agreement against the applicable Third Party are vested in Precision. To the extent required by the Cellectis Agreement, each sublicense granted by TGTX under any Patents within Precision Product IP must grant the same scope of rights for all Patents within Precision Product IP and each sublicense granted by TGTX under any Patents within Precision Platform IP must grant the same scope of rights for all Patents within Precision Platform IP. Any purported sublicense or other right granted by TGTX that is not in compliance with the requirements of this Section 7.3.2 shall be null and void. TGTX shall deliver a copy of each sublicense, or amendment thereto, to Precision promptly following the execution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b/>
          <w:caps w:val="false"/>
          <w:smallCaps w:val="false"/>
          <w:sz w:val="20"/>
        </w:rPr>
        <w:t>Retention of Rights; No Implied Rights</w:t>
      </w:r>
      <w:r>
        <w:rPr>
          <w:rFonts w:ascii="Times New Roman" w:hAnsi="Times New Roman"/>
          <w:caps w:val="false"/>
          <w:smallCaps w:val="false"/>
          <w:sz w:val="20"/>
        </w:rPr>
        <w:t>. Except as expressly set forth in this Agreement, neither Party shall be granted, by implication, estoppel or otherwise, any license or right to or under any other intellectual property interest, including any trademarks, Know-How, or Patents, of the other Party. The licenses granted by Precision to TGTX hereunder do not include any rights with respect to other products or therapies with which a Licensed Product may be combined or any other products or therapies other than the Licensed Products under this Agreement. Each Party covenants that it will not use or practice any of the other Party’s intellectual property rights licensed to it under this Agreement except for the purposes expressly permitted in the applicable license grant. TGTX agrees to impose the foregoing covenant in this Section 7.4 on all of its Affiliates and sublicensees.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7.5          </w:t>
      </w:r>
      <w:r>
        <w:rPr>
          <w:rFonts w:ascii="Times New Roman" w:hAnsi="Times New Roman"/>
          <w:b/>
          <w:caps w:val="false"/>
          <w:smallCaps w:val="false"/>
          <w:sz w:val="20"/>
        </w:rPr>
        <w:t>Existing In</w:t>
      </w:r>
      <w:r>
        <w:rPr>
          <w:rFonts w:ascii="Times New Roman" w:hAnsi="Times New Roman"/>
          <w:caps w:val="false"/>
          <w:smallCaps w:val="false"/>
          <w:sz w:val="20"/>
        </w:rPr>
        <w:t>-</w:t>
      </w:r>
      <w:r>
        <w:rPr>
          <w:rFonts w:ascii="Times New Roman" w:hAnsi="Times New Roman"/>
          <w:b/>
          <w:caps w:val="false"/>
          <w:smallCaps w:val="false"/>
          <w:sz w:val="20"/>
        </w:rPr>
        <w:t>License Agreements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7.5.1    For clarity, the license granted to TGTX in Section 7.1 includes a sublicense under certain Duke IP and Cellectis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7.5.2    </w:t>
      </w:r>
      <w:r>
        <w:rPr>
          <w:rFonts w:ascii="Times New Roman" w:hAnsi="Times New Roman"/>
          <w:b/>
          <w:caps w:val="false"/>
          <w:smallCaps w:val="false"/>
          <w:sz w:val="20"/>
        </w:rPr>
        <w:t>Cellectis Patents.</w:t>
      </w:r>
      <w:r>
        <w:rPr>
          <w:rFonts w:ascii="Times New Roman" w:hAnsi="Times New Roman"/>
          <w:caps w:val="false"/>
          <w:smallCaps w:val="false"/>
          <w:sz w:val="20"/>
        </w:rPr>
        <w:t xml:space="preserve"> TGTX acknowledges and agrees that rights under certain Precision Patents are licensed to Precision by Cellectis S.A. (the “</w:t>
      </w:r>
      <w:r>
        <w:rPr>
          <w:rFonts w:ascii="Times New Roman" w:hAnsi="Times New Roman"/>
          <w:b/>
          <w:i/>
          <w:caps w:val="false"/>
          <w:smallCaps w:val="false"/>
          <w:sz w:val="20"/>
        </w:rPr>
        <w:t>Cellectis Patents</w:t>
      </w:r>
      <w:r>
        <w:rPr>
          <w:rFonts w:ascii="Times New Roman" w:hAnsi="Times New Roman"/>
          <w:caps w:val="false"/>
          <w:smallCaps w:val="false"/>
          <w:sz w:val="20"/>
        </w:rPr>
        <w:t>”) under that certain Patent Cross-License Agreement between Cellectis S.A. (“</w:t>
      </w:r>
      <w:r>
        <w:rPr>
          <w:rFonts w:ascii="Times New Roman" w:hAnsi="Times New Roman"/>
          <w:b/>
          <w:i/>
          <w:caps w:val="false"/>
          <w:smallCaps w:val="false"/>
          <w:sz w:val="20"/>
        </w:rPr>
        <w:t>Cellectis S.A.</w:t>
      </w:r>
      <w:r>
        <w:rPr>
          <w:rFonts w:ascii="Times New Roman" w:hAnsi="Times New Roman"/>
          <w:caps w:val="false"/>
          <w:smallCaps w:val="false"/>
          <w:sz w:val="20"/>
        </w:rPr>
        <w:t>”) and Precision dated January 23, 2014 (the “</w:t>
      </w:r>
      <w:r>
        <w:rPr>
          <w:rFonts w:ascii="Times New Roman" w:hAnsi="Times New Roman"/>
          <w:b/>
          <w:i/>
          <w:caps w:val="false"/>
          <w:smallCaps w:val="false"/>
          <w:sz w:val="20"/>
        </w:rPr>
        <w:t>Cellectis Agreement</w:t>
      </w:r>
      <w:r>
        <w:rPr>
          <w:rFonts w:ascii="Times New Roman" w:hAnsi="Times New Roman"/>
          <w:caps w:val="false"/>
          <w:smallCaps w:val="false"/>
          <w:sz w:val="20"/>
        </w:rPr>
        <w:t>”), and, notwithstanding any exclusive license granted to TGTX under this Agreement, (a) Cellectis S.A. retains rights under the Cellectis Patents and is not restricted from granting rights to Third Parties under the Cellectis Patents, (b) any licenses and rights granted by Precision to TGTX under the Cellectis Patents are granted only within the permissible scope of sublicenses granted under the Cellectis Agreement, and (c) pursuant to the Cellectis Agreement, Cellectis S.A. retains non-exclusive rights under certain Precision Patents identified in the Cellectis Agreement, which may be further sublicensed by Cellectis S.A. without Precision control or consent. TGTX acknowledges and agrees that any exercise of any right by Cellectis S.A., or by any Third Party through Cellectis S.A., under the Cellectis Agreement shall not constitute a breach of this Agreement by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7.5.3    </w:t>
      </w:r>
      <w:r>
        <w:rPr>
          <w:rFonts w:ascii="Times New Roman" w:hAnsi="Times New Roman"/>
          <w:b/>
          <w:caps w:val="false"/>
          <w:smallCaps w:val="false"/>
          <w:sz w:val="20"/>
        </w:rPr>
        <w:t>Duke IP.</w:t>
      </w:r>
      <w:r>
        <w:rPr>
          <w:rFonts w:ascii="Times New Roman" w:hAnsi="Times New Roman"/>
          <w:caps w:val="false"/>
          <w:smallCaps w:val="false"/>
          <w:sz w:val="20"/>
        </w:rPr>
        <w:t xml:space="preserve"> TGTX acknowledges and agrees that any licenses and rights granted by Precision to TGTX under the Duke IP are granted subject to the terms and conditions of the Duke Agreement, including Duke’s right to practice under the Duke IP for its own internal, non-commercial, educational, research and clinical purposes, and subject to the rights of the United States Government and applicable limitations under 37 C.F.R. § 401, Public Law 96-517 and Public Law 98-620 resulting from the United States Government’s funding of research leading to creation of the Duke IP. Without limiting the foregoing, TGTX agrees to comply with any obligations resulting from such government rights with respect to its practice of the Duke IP (if any)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7.5.4    </w:t>
      </w:r>
      <w:r>
        <w:rPr>
          <w:rFonts w:ascii="Times New Roman" w:hAnsi="Times New Roman"/>
          <w:b/>
          <w:caps w:val="false"/>
          <w:smallCaps w:val="false"/>
          <w:sz w:val="20"/>
        </w:rPr>
        <w:t>Other Third Party IP</w:t>
      </w:r>
      <w:r>
        <w:rPr>
          <w:rFonts w:ascii="Times New Roman" w:hAnsi="Times New Roman"/>
          <w:caps w:val="false"/>
          <w:smallCaps w:val="false"/>
          <w:sz w:val="20"/>
        </w:rPr>
        <w:t xml:space="preserve">. In the event that, after the Effective Date, any Know-How or Patent licensed to Precision by a Third Party (other than the Duke IP or Cellectis Patents) becomes necessary or reasonably useful for the Exploitation of a Licensed Product, then the Parties would discuss in good faith the terms pursuant to which Precision would grant a sublicense to TGTX under such Know-How or Patent, and subject to and effective upon the Parties’ mutual written agreement to such terms, such Know-How or Patent would be sublicensed by Precision to TGTX; </w:t>
      </w:r>
      <w:r>
        <w:rPr>
          <w:rFonts w:ascii="Times New Roman" w:hAnsi="Times New Roman"/>
          <w:i/>
          <w:caps w:val="false"/>
          <w:smallCaps w:val="false"/>
          <w:sz w:val="20"/>
        </w:rPr>
        <w:t>provided</w:t>
      </w:r>
      <w:r>
        <w:rPr>
          <w:rFonts w:ascii="Times New Roman" w:hAnsi="Times New Roman"/>
          <w:caps w:val="false"/>
          <w:smallCaps w:val="false"/>
          <w:sz w:val="20"/>
        </w:rPr>
        <w:t>, however, that nothing in this Agreement shall require Precision to grant any rights to TGTX under Precision’s agreement with MaxCyte.  For the avoidance of doubt, this Section 7.5.4 does not (a) apply to the Duke IP, Cellectis Patents or Existing In-License Agreements or (b) limit any of Precision’s representations and warranties under Section 10.1 and Section 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7.6       </w:t>
      </w:r>
      <w:r>
        <w:rPr>
          <w:rFonts w:ascii="Times New Roman" w:hAnsi="Times New Roman"/>
          <w:b/>
          <w:caps w:val="false"/>
          <w:smallCaps w:val="false"/>
          <w:sz w:val="20"/>
        </w:rPr>
        <w:t>Consideration</w:t>
      </w:r>
      <w:r>
        <w:rPr>
          <w:rFonts w:ascii="Times New Roman" w:hAnsi="Times New Roman"/>
          <w:caps w:val="false"/>
          <w:smallCaps w:val="false"/>
          <w:sz w:val="20"/>
        </w:rPr>
        <w:t>. The Parties acknowledge that each of the licenses and rights granted by Precision in this Agreement and each of the provisions of this Agreement for efforts or assistance by Precision and access to Precision Technology, individually and collectively, constitute good, valuable and sufficient consideration for each and all of the fees and payments called for hereunder and for each and all of the other obligations of TGTX, its Affiliates and its and their Sublicensees; and the Parties further acknowledge that the individual and collective rights under and access to Precision Technology renders the way in which those fees and payments hereunder are determined, their amount (and potential reduction) and their duration, appropriate and desirable as a matter of convenience.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7.7         </w:t>
      </w:r>
      <w:r>
        <w:rPr>
          <w:rFonts w:ascii="Times New Roman" w:hAnsi="Times New Roman"/>
          <w:b/>
          <w:caps w:val="false"/>
          <w:smallCaps w:val="false"/>
          <w:sz w:val="20"/>
        </w:rPr>
        <w:t>Notice</w:t>
      </w:r>
      <w:r>
        <w:rPr>
          <w:rFonts w:ascii="Times New Roman" w:hAnsi="Times New Roman"/>
          <w:caps w:val="false"/>
          <w:smallCaps w:val="false"/>
          <w:sz w:val="20"/>
        </w:rPr>
        <w:t>. Precision shall provide notice to TGTX in the event that Precision begins a process or enters into negotiations with any Third Party regarding a grant of license or other rights 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8</w:t>
      </w:r>
      <w:r>
        <w:rPr>
          <w:rFonts w:ascii="Times New Roman" w:hAnsi="Times New Roman"/>
          <w:caps w:val="false"/>
          <w:smallCaps w:val="false"/>
          <w:sz w:val="20"/>
        </w:rPr>
        <w:br/>
        <w:br/>
      </w:r>
      <w:r>
        <w:rPr>
          <w:rFonts w:ascii="Times New Roman" w:hAnsi="Times New Roman"/>
          <w:b/>
          <w:caps w:val="false"/>
          <w:smallCaps w:val="false"/>
          <w:sz w:val="20"/>
        </w:rPr>
        <w:t xml:space="preserve">FEES, EQUITY ISSUANCES, ROYALTIES, &amp; PAYMENTS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b/>
          <w:caps w:val="false"/>
          <w:smallCaps w:val="false"/>
          <w:sz w:val="20"/>
        </w:rPr>
        <w:t>Upfront Payment</w:t>
      </w:r>
      <w:r>
        <w:rPr>
          <w:rFonts w:ascii="Times New Roman" w:hAnsi="Times New Roman"/>
          <w:caps w:val="false"/>
          <w:smallCaps w:val="false"/>
          <w:sz w:val="20"/>
        </w:rPr>
        <w:t>. As partial consideration for the rights granted by Precision to TGTX pursuant to the terms of this Agreement, within thirty (30) days following the Effective Date, TGTX shall make a one-time payment to Precision equal to Five Million Two Hundred Fifty Thousand Dollars ($5,250,000).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b/>
          <w:caps w:val="false"/>
          <w:smallCaps w:val="false"/>
          <w:sz w:val="20"/>
        </w:rPr>
        <w:t>Matters Related to Precision Equity Issuances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8.2.1    </w:t>
      </w:r>
      <w:r>
        <w:rPr>
          <w:rFonts w:ascii="Times New Roman" w:hAnsi="Times New Roman"/>
          <w:b/>
          <w:caps w:val="false"/>
          <w:smallCaps w:val="false"/>
          <w:sz w:val="20"/>
        </w:rPr>
        <w:t>Equity Issuances by Precision</w:t>
      </w:r>
      <w:r>
        <w:rPr>
          <w:rFonts w:ascii="Times New Roman" w:hAnsi="Times New Roman"/>
          <w:caps w:val="false"/>
          <w:smallCaps w:val="false"/>
          <w:sz w:val="20"/>
        </w:rPr>
        <w:t>. As partial consideration for the rights granted by Precision to TGTX pursuant to the terms of this Agreement, Precision agrees to issue to TGTX, and TGTX agrees to pay for and accept, the Precision Shares, subject to the terms and conditions specified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Within thirty (30) days following the Effective Date, together with payment of the upfront payment pursuant to Section 8.1, TGTX shall make a one-time payment to Precision equal to Two Million Two Hundred Fifty Thousand Dollars ($2,250,000) (the “</w:t>
      </w:r>
      <w:r>
        <w:rPr>
          <w:rFonts w:ascii="Times New Roman" w:hAnsi="Times New Roman"/>
          <w:b/>
          <w:i/>
          <w:caps w:val="false"/>
          <w:smallCaps w:val="false"/>
          <w:sz w:val="20"/>
        </w:rPr>
        <w:t>Upfront Precision Stock Payment</w:t>
      </w:r>
      <w:r>
        <w:rPr>
          <w:rFonts w:ascii="Times New Roman" w:hAnsi="Times New Roman"/>
          <w:caps w:val="false"/>
          <w:smallCaps w:val="false"/>
          <w:sz w:val="20"/>
        </w:rPr>
        <w:t>”). TGTX shall, at least [***] prior to the date on which TGTX shall make the Upfront Precision Stock Payment, deliver a notice to Precision specifying the date on which such payment shall be made. Upon receipt of such payment and satisfaction of TGTX’s obligations under Section 8.1, Precision shall issue to TGTX the number of Precision Shares (rounded down to the nearest whole share) obtained by dividing the Upfront Precision Stock Payment by the Precision Share Price for the thirty (30) Trading Days preceding the Effective Date (the “</w:t>
      </w:r>
      <w:r>
        <w:rPr>
          <w:rFonts w:ascii="Times New Roman" w:hAnsi="Times New Roman"/>
          <w:b/>
          <w:i/>
          <w:caps w:val="false"/>
          <w:smallCaps w:val="false"/>
          <w:sz w:val="20"/>
        </w:rPr>
        <w:t>Upfront Precision Stock Issuance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Within twelve (12) months following the Effective Date, TGTX shall make a one-time payment to Precision equal to Two Million Five Hundred Thousand Dollars ($2,500,000) (the “</w:t>
      </w:r>
      <w:r>
        <w:rPr>
          <w:rFonts w:ascii="Times New Roman" w:hAnsi="Times New Roman"/>
          <w:b/>
          <w:i/>
          <w:caps w:val="false"/>
          <w:smallCaps w:val="false"/>
          <w:sz w:val="20"/>
        </w:rPr>
        <w:t>Deferred Precision Stock Payment</w:t>
      </w:r>
      <w:r>
        <w:rPr>
          <w:rFonts w:ascii="Times New Roman" w:hAnsi="Times New Roman"/>
          <w:caps w:val="false"/>
          <w:smallCaps w:val="false"/>
          <w:sz w:val="20"/>
        </w:rPr>
        <w:t>”). TGTX shall, at least [***] prior to the date on which TGTX shall make the Deferred Precision Stock Payment, deliver a notice to Precision specifying the date on which such payment shall be made. Upon receipt of such payment, Precision shall issue to TGTX the number of Precision Shares (rounded down to the nearest whole share) obtained by dividing the Deferred Precision Stock Payment by the Precision Share Price for the thirty (30) Trading Days preceding the date on which Precision receives the payment required by this Section 8.2.1(b) (such issuance, the “</w:t>
      </w:r>
      <w:r>
        <w:rPr>
          <w:rFonts w:ascii="Times New Roman" w:hAnsi="Times New Roman"/>
          <w:b/>
          <w:i/>
          <w:caps w:val="false"/>
          <w:smallCaps w:val="false"/>
          <w:sz w:val="20"/>
        </w:rPr>
        <w:t>Deferred Precision Stock Issuance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Upon the achievement of Milestone Event 1 (as set forth in Section 8.3), together with payment of the corresponding milestone payment pursuant to Section 8.3, TGTX shall make a one-time payment to Precision equal to Two Million Two Hundred Fifty Thousand Dollars ($2,250,000) (the “</w:t>
      </w:r>
      <w:r>
        <w:rPr>
          <w:rFonts w:ascii="Times New Roman" w:hAnsi="Times New Roman"/>
          <w:b/>
          <w:i/>
          <w:caps w:val="false"/>
          <w:smallCaps w:val="false"/>
          <w:sz w:val="20"/>
        </w:rPr>
        <w:t>Milestone 1 Precision Stock Payment</w:t>
      </w:r>
      <w:r>
        <w:rPr>
          <w:rFonts w:ascii="Times New Roman" w:hAnsi="Times New Roman"/>
          <w:caps w:val="false"/>
          <w:smallCaps w:val="false"/>
          <w:sz w:val="20"/>
        </w:rPr>
        <w:t>”) no later than thirty (30) days following the achievement of Milestone Event 1. TGTX shall, at least [***] prior to the date on which TGTX shall make the Milestone 1 Precision Stock Payment, deliver a notice to Precision specifying the date on which such payment shall be made. Upon receipt of such payment and satisfaction of TGTX’s payment obligations under Section 8.3 with respect to Milestone Event 1, Precision shall issue to TGTX the number of Precision Shares (rounded down to the nearest whole share) obtained by dividing the Milestone 1 Precision Stock Payment by the Precision Share Price for the thirty (30) Trading Days preceding the achievement date of Milestone Event 1 (such issuance, the “</w:t>
      </w:r>
      <w:r>
        <w:rPr>
          <w:rFonts w:ascii="Times New Roman" w:hAnsi="Times New Roman"/>
          <w:b/>
          <w:i/>
          <w:caps w:val="false"/>
          <w:smallCaps w:val="false"/>
          <w:sz w:val="20"/>
        </w:rPr>
        <w:t>Milestone 1 Precision Stock Issuance</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(d)    Upon the achievement of Milestone Event 2 (as set forth in Section 8.3), together with payment of the corresponding milestone payment pursuant to Section 8.3, TGTX shall make a one-time payment to Precision equal to Three Million Dollars ($3,000,000) (the “</w:t>
      </w:r>
      <w:r>
        <w:rPr>
          <w:rFonts w:ascii="Times New Roman" w:hAnsi="Times New Roman"/>
          <w:b/>
          <w:i/>
          <w:caps w:val="false"/>
          <w:smallCaps w:val="false"/>
          <w:sz w:val="20"/>
        </w:rPr>
        <w:t>Final Precision Stock Payment</w:t>
      </w:r>
      <w:r>
        <w:rPr>
          <w:rFonts w:ascii="Times New Roman" w:hAnsi="Times New Roman"/>
          <w:caps w:val="false"/>
          <w:smallCaps w:val="false"/>
          <w:sz w:val="20"/>
        </w:rPr>
        <w:t>” and together with the Upfront Precision Stock Payment, the Deferred Precision Stock Payment and the Milestone 1 Precision Stock Payment, the “</w:t>
      </w:r>
      <w:r>
        <w:rPr>
          <w:rFonts w:ascii="Times New Roman" w:hAnsi="Times New Roman"/>
          <w:b/>
          <w:i/>
          <w:caps w:val="false"/>
          <w:smallCaps w:val="false"/>
          <w:sz w:val="20"/>
        </w:rPr>
        <w:t>Precision Stock Payments</w:t>
      </w:r>
      <w:r>
        <w:rPr>
          <w:rFonts w:ascii="Times New Roman" w:hAnsi="Times New Roman"/>
          <w:caps w:val="false"/>
          <w:smallCaps w:val="false"/>
          <w:sz w:val="20"/>
        </w:rPr>
        <w:t>”) no later than thirty (30) days following the achievement of Milestone Event 2. TGTX shall, at least [***] prior to the date on which TGTX shall make the Final Precision Stock Payment, deliver a notice to Precision specifying the date on which such payment shall be made. Upon receipt of such payment and satisfaction of TGTX’s payment obligations under Section 8.3 with respect to Milestone Event 2, Precision shall issue to TGTX the number of Precision Shares (rounded down to the nearest whole share) obtained by dividing the Final Precision Stock Payment by the Precision Share Price for the thirty (30) Trading Days preceding the achievement date of Milestone Event 2 (such issuance, the “</w:t>
      </w:r>
      <w:r>
        <w:rPr>
          <w:rFonts w:ascii="Times New Roman" w:hAnsi="Times New Roman"/>
          <w:b/>
          <w:i/>
          <w:caps w:val="false"/>
          <w:smallCaps w:val="false"/>
          <w:sz w:val="20"/>
        </w:rPr>
        <w:t>Final Precision Stock Issuance</w:t>
      </w:r>
      <w:r>
        <w:rPr>
          <w:rFonts w:ascii="Times New Roman" w:hAnsi="Times New Roman"/>
          <w:caps w:val="false"/>
          <w:smallCaps w:val="false"/>
          <w:sz w:val="20"/>
        </w:rPr>
        <w:t>”, and, together with the Upfront Precision Stock Issuance, the Deferred Precision Stock Issuance and the Milestone 1 Precision Stock Issuance, the “</w:t>
      </w:r>
      <w:r>
        <w:rPr>
          <w:rFonts w:ascii="Times New Roman" w:hAnsi="Times New Roman"/>
          <w:b/>
          <w:i/>
          <w:caps w:val="false"/>
          <w:smallCaps w:val="false"/>
          <w:sz w:val="20"/>
        </w:rPr>
        <w:t>Precision Stock Issuances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8.2.2     </w:t>
      </w:r>
      <w:r>
        <w:rPr>
          <w:rFonts w:ascii="Times New Roman" w:hAnsi="Times New Roman"/>
          <w:b/>
          <w:caps w:val="false"/>
          <w:smallCaps w:val="false"/>
          <w:sz w:val="20"/>
        </w:rPr>
        <w:t>Representations and Warranties</w:t>
      </w:r>
      <w:r>
        <w:rPr>
          <w:rFonts w:ascii="Times New Roman" w:hAnsi="Times New Roman"/>
          <w:caps w:val="false"/>
          <w:smallCaps w:val="false"/>
          <w:sz w:val="20"/>
        </w:rPr>
        <w:t>. Precision represents and warrants, as of the Effective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Subject to the accuracy of the representations made by TGTX in Section 8.2.3 of this Agreement, the offer, issuance and sale of the Precision Shares to TGTX as contemplated hereby will be exempt from the registration requirements of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 and the registration and qualification requirements of all applicable securities laws of the states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Precision has all requisite corporate power and authority to enter into and to perform its obligations under this Agreement and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Precision has all requisite corporate power and authority to issue the Precision Shares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(d)    The Precision Shares have been duly authorized and, upon issuance in accordance with the terms of this Agreement, will be validly issued, fully paid and non-assessable and will not be subject to liens, encumbrances or restrictions on transfer, including preemptive rights, rights of first refusal, purchase options, call options, subscription rights or other similar rights of stockholders of Precision, other than as arising pursuant to this Agreement, as a result of any action by TGTX, or any of its Affiliates, or under federal or state securities laws. No stop order or suspension of trading of the Precision Common Stock has been imposed by Nasdaq or the Securities and Exchange Commission and remains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(e)    The Precision Common Stock is listed on Nasdaq and registered pursuant to Section 12(b) of the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and Precision has taken no action designed to or reasonably likely to have the effect of terminating the registration of the Precision Common Stock under the Exchange Act or delisting the Precision Common Stock from Nasdaq or any other applicable exchange;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(f)    The issuance and sale of the Precision Shares will not, on the date of the issuance and sale of the Precision Shares, (i) conflict with or result in a violation of any provision of Precision’s amended and restated certificate of incorporation, amended and restated bylaws and similar organizational documents, (ii) result in any encumbrance upon any of the Precision Shares, other than restrictions on resale pursuant to securities laws or as set forth in this Agreement, (iii) materially violate or conflict with, or result in a material breach, default, modification, acceleration of payment or termination under any provision of, or constitute a material default under, any contract entered into by Precision that is required to be filed as an exhibit by Precision in its public filings with the Securities and Exchange Commission pursuant to Items 601(b)(2), 601(b)(4), 601(b)(9) and 601(b)(10) of Regulation S-K promulgated by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8.2.3    </w:t>
      </w:r>
      <w:r>
        <w:rPr>
          <w:rFonts w:ascii="Times New Roman" w:hAnsi="Times New Roman"/>
          <w:b/>
          <w:caps w:val="false"/>
          <w:smallCaps w:val="false"/>
          <w:sz w:val="20"/>
        </w:rPr>
        <w:t>Representations and Warranties of TGTX</w:t>
      </w:r>
      <w:r>
        <w:rPr>
          <w:rFonts w:ascii="Times New Roman" w:hAnsi="Times New Roman"/>
          <w:caps w:val="false"/>
          <w:smallCaps w:val="false"/>
          <w:sz w:val="20"/>
        </w:rPr>
        <w:t>. TGTX represents and warrants that (a) it is an “accredited investor” as that term is defined in Rule 501(a) of Regulation D under the Securities Act; (b) it is acquiring the Precision Shares for investment for TGTX’s own account and not as a nominee or agent, and not with a view to the resale or distribution of any part thereof; (c) it does not have any contract, undertaking, agreement or arrangement with any Person to sell, transfer or grant participation to such Person or to any Third Party, with respect to any of such Precision Common Stock; and (d) it acknowledges that Precision is under no obligation to register the Precision Shares or to furnish any information or take any other action to assist TGTX in complying with the terms and conditions of any exemption which might be available under the Securities Act or any state securities laws with respect to sales of the Precision Shares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8.2.4    </w:t>
      </w:r>
      <w:r>
        <w:rPr>
          <w:rFonts w:ascii="Times New Roman" w:hAnsi="Times New Roman"/>
          <w:b/>
          <w:caps w:val="false"/>
          <w:smallCaps w:val="false"/>
          <w:sz w:val="20"/>
        </w:rPr>
        <w:t>Restrictions on the Precision Shares</w:t>
      </w:r>
      <w:r>
        <w:rPr>
          <w:rFonts w:ascii="Times New Roman" w:hAnsi="Times New Roman"/>
          <w:caps w:val="false"/>
          <w:smallCaps w:val="false"/>
          <w:sz w:val="20"/>
        </w:rPr>
        <w:t>. TGTX understands and agrees that the Precision Shares may not be sold, transferred, or otherwise disposed of without registration under the Securities Act or an exemption therefrom, and that in the absence of an effective registration statement covering the Precision Shares or any available exemption from registration under the Securities Act, the Precision Shares must be held indefinitely. TGTX understands the Precision Shares will bear restrictive legends in substantially the following form (and a stop-transfer order may be placed against transfer of the Precision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THESE SHARES HAVE NOT BEEN REGISTERED UNDER THE U.S. SECURITIES ACT OF 1933, AS AMENDED (THE “SECURITIES ACT”), OR ANY APPLICABLE STATE SECURITIES LAWS AND MAY NOT BE SOLD, OFFERED FOR SALE, PLEDGED OR HYPOTHECATED IN THE ABSENCE OF A REGISTRATION STATEMENT IN EFFECT WITH RESPECT TO THE SECURITIES UNDER THE SECURITIES ACT OR APPLICABLE STATE SECURITIES LAWS OR AN OPINION OF COUNSEL (WHICH COUNSEL SHALL BE REASONABLY SATISFACTORY TO PRECISION BIOSCIENCES, INC.) THAT SUCH REGISTRATION IS NOT REQUIRED OR UNLESS SOLD PURSUANT TO RULE 144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SALE, PLEDGE, HYPOTHECATION AND TRANSFER OF THESE SHARES IS SUBJECT TO THE TERMS AND CONDITIONS OF THE LICENSE AGREEMENT DATED JANUARY 7, 2024 BY AND AMONG PRECISION BIOSCIENCES, INC., TG CELL THERAPY, INC. AND TG THERAPEUTICS, INC., AS SUCH AGREEMENT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THESE SHARES ARE SUBJECT TO AN AGREEMENT TO VOTE THESE SHARES IN THE MANNER SET FORTH IN THE LICENSE AGREEMENT DATED JANUARY 7, 2024 BY AND AMONG PRECISION BIOSCIENCES, INC., TG CELL THERAPY, INC., AND TG THERAPEUTICS, INC, AS SUCH AGREEMENT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If such Precision Shares are transferred (other than to a Permitted Transferee) pursuant to Section 8.2.6 of this Agreement, TGTX may request that Precision remove, and if so requested, Precision shall agree to authorize and instruct (including by causing any required legal opinion to be provided) the removal of any legend from the Precision Shares, if permitted by applicable securities law, within [***] of any such request; </w:t>
      </w:r>
      <w:r>
        <w:rPr>
          <w:rFonts w:ascii="Times New Roman" w:hAnsi="Times New Roman"/>
          <w:i/>
          <w:caps w:val="false"/>
          <w:smallCaps w:val="false"/>
          <w:sz w:val="20"/>
        </w:rPr>
        <w:t>provided</w:t>
      </w:r>
      <w:r>
        <w:rPr>
          <w:rFonts w:ascii="Times New Roman" w:hAnsi="Times New Roman"/>
          <w:caps w:val="false"/>
          <w:smallCaps w:val="false"/>
          <w:sz w:val="20"/>
        </w:rPr>
        <w:t>, however, that each Party will be responsible for any fees it incurs in connection with such request and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request from TGTX, subject to and following the expiration of the applicable Holding Period (as defined below), in connection with a sale or otherwise pursuant to Rule 144 of the Securities Act (“</w:t>
      </w:r>
      <w:r>
        <w:rPr>
          <w:rFonts w:ascii="Times New Roman" w:hAnsi="Times New Roman"/>
          <w:b/>
          <w:i/>
          <w:caps w:val="false"/>
          <w:smallCaps w:val="false"/>
          <w:sz w:val="20"/>
        </w:rPr>
        <w:t>Rule 144</w:t>
      </w:r>
      <w:r>
        <w:rPr>
          <w:rFonts w:ascii="Times New Roman" w:hAnsi="Times New Roman"/>
          <w:caps w:val="false"/>
          <w:smallCaps w:val="false"/>
          <w:sz w:val="20"/>
        </w:rPr>
        <w:t>”), Precision shall remove the legend on such Precision Shares set forth above, to be re-issued in certificate form or book-entry evidence of ownership, in each case without such legend; provided, that, (a) such Precision Shares are eligible to be sold pursuant to Rule 144 at a time the transferor is not, and has not been for ninety (90) days prior to such time, an affiliate of Precision as defined under Rule 144, or (b) if an affiliate, then sold or transferred in compliance with Rule 144, including without limitation in compliance with the current public information requirements of Rule 144 if applicable to Precision at the time of such sale or transfer, and, in the cases of clauses (a) and (b), the holder and its broker have delivered customary documents requested by counsel to Precision in connection with such sale or transfer; and, provided, further, that if an opinion of counsel is required, then, subject to receipt of customary documents requested by counsel to Precision, Precision shall instruct Precision’s counsel to deliver such legal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8.2.5    </w:t>
      </w:r>
      <w:r>
        <w:rPr>
          <w:rFonts w:ascii="Times New Roman" w:hAnsi="Times New Roman"/>
          <w:b/>
          <w:caps w:val="false"/>
          <w:smallCaps w:val="false"/>
          <w:sz w:val="20"/>
        </w:rPr>
        <w:t>Limitations on the Number of Precision Shares Issued and Issuance Price</w:t>
      </w:r>
      <w:r>
        <w:rPr>
          <w:rFonts w:ascii="Times New Roman" w:hAnsi="Times New Roman"/>
          <w:caps w:val="false"/>
          <w:smallCaps w:val="false"/>
          <w:sz w:val="20"/>
        </w:rPr>
        <w:t>. Notwithstanding anything to the contrary in this Agreement, in no event shall the aggregate number of Precision Shares issuable pursuant to the Precision Stock Issuances exceed the Exchange Cap or otherwise cause Precision to be required to obtain Stockholder Approval. If, at any time following the Upfront Precision Stock Issuance but prior to any issuance of Precision Shares contemplated by Sections 8.2.1(b), 8.2.1(c), or 8.2.1(d), Precision (y) is no longer registered pursuant to Section 12(b) of the Exchange Act, or (z) has undergone a merger or consolidation with a Third Party in which Precision is not the surviving entity (each, an “</w:t>
      </w:r>
      <w:r>
        <w:rPr>
          <w:rFonts w:ascii="Times New Roman" w:hAnsi="Times New Roman"/>
          <w:b/>
          <w:i/>
          <w:caps w:val="false"/>
          <w:smallCaps w:val="false"/>
          <w:sz w:val="20"/>
        </w:rPr>
        <w:t>Equity Termination Event</w:t>
      </w:r>
      <w:r>
        <w:rPr>
          <w:rFonts w:ascii="Times New Roman" w:hAnsi="Times New Roman"/>
          <w:caps w:val="false"/>
          <w:smallCaps w:val="false"/>
          <w:sz w:val="20"/>
        </w:rPr>
        <w:t xml:space="preserve">”), then Precision (or its successor) shall not be obligated to issue any Precision Shares (or shares of any successor’s equity) following such Equity Termination Event; </w:t>
      </w:r>
      <w:r>
        <w:rPr>
          <w:rFonts w:ascii="Times New Roman" w:hAnsi="Times New Roman"/>
          <w:i/>
          <w:caps w:val="false"/>
          <w:smallCaps w:val="false"/>
          <w:sz w:val="20"/>
        </w:rPr>
        <w:t>provided</w:t>
      </w:r>
      <w:r>
        <w:rPr>
          <w:rFonts w:ascii="Times New Roman" w:hAnsi="Times New Roman"/>
          <w:caps w:val="false"/>
          <w:smallCaps w:val="false"/>
          <w:sz w:val="20"/>
        </w:rPr>
        <w:t>, however, that nothing in this Section 8.2.5 shall limit the aggregate cash payments (including the Precision Stock Payments) payable to Precision in connection with any Milestone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8.2.6    </w:t>
      </w:r>
      <w:r>
        <w:rPr>
          <w:rFonts w:ascii="Times New Roman" w:hAnsi="Times New Roman"/>
          <w:b/>
          <w:caps w:val="false"/>
          <w:smallCaps w:val="false"/>
          <w:sz w:val="20"/>
        </w:rPr>
        <w:t>Lock Up</w:t>
      </w:r>
      <w:r>
        <w:rPr>
          <w:rFonts w:ascii="Times New Roman" w:hAnsi="Times New Roman"/>
          <w:caps w:val="false"/>
          <w:smallCaps w:val="false"/>
          <w:sz w:val="20"/>
        </w:rPr>
        <w:t>. TGTX agrees that it will hold and will not, directly or indirectly, without Precision’s prior approval, sell, transfer or otherwise dispose of any shares of Precision Common Stock or any securities convertible into or exercisable or exchangeable for Precision Common Stock (the “</w:t>
      </w:r>
      <w:r>
        <w:rPr>
          <w:rFonts w:ascii="Times New Roman" w:hAnsi="Times New Roman"/>
          <w:b/>
          <w:i/>
          <w:caps w:val="false"/>
          <w:smallCaps w:val="false"/>
          <w:sz w:val="20"/>
        </w:rPr>
        <w:t>Lock-Up Securities</w:t>
      </w:r>
      <w:r>
        <w:rPr>
          <w:rFonts w:ascii="Times New Roman" w:hAnsi="Times New Roman"/>
          <w:caps w:val="false"/>
          <w:smallCaps w:val="false"/>
          <w:sz w:val="20"/>
        </w:rPr>
        <w:t>”), or otherwise make any short sale of, grant any option for the purchase of, or enter into any hedging or similar transaction with the same economic effect as a sale of the Lock-Up Securities (any such transaction, a “</w:t>
      </w:r>
      <w:r>
        <w:rPr>
          <w:rFonts w:ascii="Times New Roman" w:hAnsi="Times New Roman"/>
          <w:b/>
          <w:i/>
          <w:caps w:val="false"/>
          <w:smallCaps w:val="false"/>
          <w:sz w:val="20"/>
        </w:rPr>
        <w:t>Transfer</w:t>
      </w:r>
      <w:r>
        <w:rPr>
          <w:rFonts w:ascii="Times New Roman" w:hAnsi="Times New Roman"/>
          <w:caps w:val="false"/>
          <w:smallCaps w:val="false"/>
          <w:sz w:val="20"/>
        </w:rPr>
        <w:t>”), until the expiration of the following holding periods (each, a “</w:t>
      </w:r>
      <w:r>
        <w:rPr>
          <w:rFonts w:ascii="Times New Roman" w:hAnsi="Times New Roman"/>
          <w:b/>
          <w:i/>
          <w:caps w:val="false"/>
          <w:smallCaps w:val="false"/>
          <w:sz w:val="20"/>
        </w:rPr>
        <w:t>Holding Period</w:t>
      </w:r>
      <w:r>
        <w:rPr>
          <w:rFonts w:ascii="Times New Roman" w:hAnsi="Times New Roman"/>
          <w:caps w:val="false"/>
          <w:smallCaps w:val="false"/>
          <w:sz w:val="20"/>
        </w:rPr>
        <w:t>”): (a) the three (3) year anniversary of the Effective Date with respect to the Precision Shares issued in connection with the Upfront Precision Stock Issuance; (b) the two (2) year anniversary of the Deferred Precision Stock Issuance with respect to the Precision Shares issued in connection with the Deferred Precision Stock Issuance; (c) the two (2) year anniversary of the Milestone 1 Precision Stock Issuance with respect to the Precision Shares issued in connection with the Milestone 1 Precision Stock Issuance; and (d) the two (2) year anniversary of the Final Precision Stock Issuance with respect to the Precision Shares issued in connection with the Final Precision Stock Issuance. Notwithstanding the foregoing, TGTX shall not be prohibited from (y) transferring any Lock-Up Securities to (i) a Permitted Transferee or (ii) Precision; or (z) disposing any Lock-Up Securities pursuant to (i) any merger, consolidation or similar transaction to which Precision is a constituent corporation or (ii) a bona fide tender offer or exchange offer made to all of the holders of Precision Common Stock by a Person other than TGTX (or any of its Affiliates or any Person acting on behalf of or as part of a group or in concert with TGTX or any of its Affiliates). Notwithstanding the foregoing, the restrictions on the Lock-Up Securities automatically shall terminate and be of no further force or effect (aa) in the event Precision enters into any definitive agreement with a Third Party during a Holding Period contemplating a (i) Change of Control pursuant to a merger, consolidation or similar transaction to which Precision is a constituent corporation or (ii) tender offer or exchange offer to be made to all of the holders of Precision Common Stock by a Third Party (other than a Third Party acting on behalf of or as part of a group or in concert with TGTX), (bb) if at any time during a Holding Period the Precision Shares represent greater than 19.99% ownership of Precision’s then-outstanding voting securities solely as a result of an action taken by Precision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restrictions shall only terminate and be of no further force and effect to the extent necessary to permit TGTX to reduce its ownership of shares to 19.99%), or (cc) upon the termination of this Agreement in accordance with its terms, whichever first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8.2.7    </w:t>
      </w:r>
      <w:r>
        <w:rPr>
          <w:rFonts w:ascii="Times New Roman" w:hAnsi="Times New Roman"/>
          <w:b/>
          <w:caps w:val="false"/>
          <w:smallCaps w:val="false"/>
          <w:sz w:val="20"/>
        </w:rPr>
        <w:t>Voting Agreement</w:t>
      </w:r>
      <w:r>
        <w:rPr>
          <w:rFonts w:ascii="Times New Roman" w:hAnsi="Times New Roman"/>
          <w:caps w:val="false"/>
          <w:smallCaps w:val="false"/>
          <w:sz w:val="20"/>
        </w:rPr>
        <w:t>. During the three (3) year period following the Effective Date (the “</w:t>
      </w:r>
      <w:r>
        <w:rPr>
          <w:rFonts w:ascii="Times New Roman" w:hAnsi="Times New Roman"/>
          <w:b/>
          <w:i/>
          <w:caps w:val="false"/>
          <w:smallCaps w:val="false"/>
          <w:sz w:val="20"/>
        </w:rPr>
        <w:t>Restricted Period</w:t>
      </w:r>
      <w:r>
        <w:rPr>
          <w:rFonts w:ascii="Times New Roman" w:hAnsi="Times New Roman"/>
          <w:caps w:val="false"/>
          <w:smallCaps w:val="false"/>
          <w:sz w:val="20"/>
        </w:rPr>
        <w:t>”), if Precision, its Chief Executive Officer and/or its Chief Financial Officer (each, a “</w:t>
      </w:r>
      <w:r>
        <w:rPr>
          <w:rFonts w:ascii="Times New Roman" w:hAnsi="Times New Roman"/>
          <w:b/>
          <w:i/>
          <w:caps w:val="false"/>
          <w:smallCaps w:val="false"/>
          <w:sz w:val="20"/>
        </w:rPr>
        <w:t>Proxyholder</w:t>
      </w:r>
      <w:r>
        <w:rPr>
          <w:rFonts w:ascii="Times New Roman" w:hAnsi="Times New Roman"/>
          <w:caps w:val="false"/>
          <w:smallCaps w:val="false"/>
          <w:sz w:val="20"/>
        </w:rPr>
        <w:t>”) instructs TGTX in writing to vote in favor of, or against, any matter, action, ratification or other event for which approval of the holders of Precision Common Stock is sought or upon which such holders are otherwise entitled to vote, including the election of directors, but excluding any Extraordinary Matter (collectively, a “</w:t>
      </w:r>
      <w:r>
        <w:rPr>
          <w:rFonts w:ascii="Times New Roman" w:hAnsi="Times New Roman"/>
          <w:b/>
          <w:i/>
          <w:caps w:val="false"/>
          <w:smallCaps w:val="false"/>
          <w:sz w:val="20"/>
        </w:rPr>
        <w:t>Stockholder Matter</w:t>
      </w:r>
      <w:r>
        <w:rPr>
          <w:rFonts w:ascii="Times New Roman" w:hAnsi="Times New Roman"/>
          <w:caps w:val="false"/>
          <w:smallCaps w:val="false"/>
          <w:sz w:val="20"/>
        </w:rPr>
        <w:t>”), then TGTX will (a) after receiving proper notice of any meeting of stockholders of Precision related to such Stockholder Matter (or, if no notice is required or such notice is properly waived, after notice from the Proxyholder is given), be present, in person or by proxy, as a holder of shares of Precision Common Stock at all such meetings and be counted for the purposes of determining the presence of a quorum at such meetings and (b) vote (in person or by proxy, as applicable) all voting securities of Precision as to which TGTX has beneficial ownership or as to which TGTX otherwise exercises voting or dispositive authority in the manner directed by the Proxyholder. Notwithstanding the foregoing, TGTX may vote any or all of the securities of Precision as to which it is entitled to vote, as it may determine in its sole discretion, with respect to (y) any transaction which would result in a Change of Control of Precision and (z) any liquidation or dissolution of Precision (each, an “</w:t>
      </w:r>
      <w:r>
        <w:rPr>
          <w:rFonts w:ascii="Times New Roman" w:hAnsi="Times New Roman"/>
          <w:b/>
          <w:i/>
          <w:caps w:val="false"/>
          <w:smallCaps w:val="false"/>
          <w:sz w:val="20"/>
        </w:rPr>
        <w:t>Extraordinary Matter</w:t>
      </w:r>
      <w:r>
        <w:rPr>
          <w:rFonts w:ascii="Times New Roman" w:hAnsi="Times New Roman"/>
          <w:caps w:val="false"/>
          <w:smallCaps w:val="false"/>
          <w:sz w:val="20"/>
        </w:rPr>
        <w:t>”), if such Extraordinary Matter is presented to Precision’s stockholders for approval. To secure TGTX’s obligations to vote in accordance with this Agreement and to comply with the other terms hereof, TGTX hereby appoints the Proxyholder, or his or her designees, as TGTX’s true and lawful proxy and attorney, with the power to act alone and with full power of substitution, to vote all voting securities of Precision as to which TGTX has beneficial ownership or as to which TGTX otherwise exercises voting or dispositive authority in accordance with the provisions set forth in this Agreement and to execute all appropriate instruments consistent with this Agreement. The proxy and power of attorney granted by TGTX pursuant to this Section 8.2.7 are coupled with an interest, are given to secure the performance of TGTX’s duties under this Agreement and will be irrevocable until the third (3rd) anniversary following the Effective Date. The proxy and power of attorney will survive any merger, consolidation, conversion or reorganization of TGTX or any other entity holding any voting securities of Precision (other than any securities sold by TGTX to a Third Party in compliance with Section 8.2.6). For the avoidance of doubt, the proxy granted by this Section 8.2.7 shall not apply to any Extraordinary Matter. Notwithstanding the foregoing, the provisions of this Section 8.2.7 shall automatically terminate and be of no further force or effect upon the termination of this Agreement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8.2.8    </w:t>
      </w:r>
      <w:r>
        <w:rPr>
          <w:rFonts w:ascii="Times New Roman" w:hAnsi="Times New Roman"/>
          <w:b/>
          <w:caps w:val="false"/>
          <w:smallCaps w:val="false"/>
          <w:sz w:val="20"/>
        </w:rPr>
        <w:t>Standstill</w:t>
      </w:r>
      <w:r>
        <w:rPr>
          <w:rFonts w:ascii="Times New Roman" w:hAnsi="Times New Roman"/>
          <w:caps w:val="false"/>
          <w:smallCaps w:val="false"/>
          <w:sz w:val="20"/>
        </w:rPr>
        <w:t>. During the Restricted Period, TGTX and its Affiliates will not, directly or indirectly, except as expressly approved or invited by Precision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effect or seek, offer or propose (whether publicly or otherwise) to effect, or cause or participate in or in any way advise, assist or encourage any other Person to effect or seek, offer or propose (whether publicly or otherwise) to effect or participate in, directly or indirectly, (i) any acquisition of any securities of Precision or any of its subsidiaries or any securities convertible into or exercisable or exchangeable for any securities of Precision or any of its subsidiaries (or beneficial ownership thereof); (ii) any acquisition of any material assets of Precision or any of its subsidiaries, (iii) any tender or exchange offer, merger or other business combination or Change of Control involving Precision or any of its subsidiaries, (iv) any recapitalization, restructuring, liquidation, dissolution or other extraordinary transaction with respect to Precision or any of its subsidiaries, or (v) any “solicitation” of “proxies” (as such terms are used in the proxy rules of the Securities and Exchange Commission) or consents to vote any securities of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form, join or in any way participate in a “group” (as defined under the Exchange Act) with respect to any securities of Precision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otherwise act, alone or in concert with others, to seek to control or influence the board of directors or the management or policies of Precision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(d)    take any action that would reasonably be expected to require Precision to make a public announcement regarding any of the matters set forth in this Section 8.2.8;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(e)    enter into any discussions or arrangements with any Third Party with respect to any of the foregoing;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(f)    publicly disclose any intention, plan or arrangement regarding any of the matters set forth in this Section 8.2.8.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provisions set forth in this Section 8.2.8 (the “</w:t>
      </w:r>
      <w:r>
        <w:rPr>
          <w:rFonts w:ascii="Times New Roman" w:hAnsi="Times New Roman"/>
          <w:b/>
          <w:i/>
          <w:caps w:val="false"/>
          <w:smallCaps w:val="false"/>
          <w:sz w:val="20"/>
        </w:rPr>
        <w:t>Standstill Provisions</w:t>
      </w:r>
      <w:r>
        <w:rPr>
          <w:rFonts w:ascii="Times New Roman" w:hAnsi="Times New Roman"/>
          <w:caps w:val="false"/>
          <w:smallCaps w:val="false"/>
          <w:sz w:val="20"/>
        </w:rPr>
        <w:t xml:space="preserve">”), (x) if at any time (i) a Third Party enters into an agreement with Precision contemplating a Change of Control of Precision, including a merger, consolidation or other business combination transaction or tender offer related thereto, or the purchase of all or substantially all of the assets of Precision and its subsidiaries, or publicly announces its intention to do so, then the Standstill Provisions shall be suspended and of no further force or effect until the termination of such agreement or the public announcement of a withdrawal or abandonment of such intention, at which time the Standstill Provisions will be reinstated and apply in full force and effect or (ii) a Third Party commences, or publicly announces an intention to commence, a tender, exchange or offer that, if consummated, would result in a Change of Control of Precision, then the Standstill Provisions shall be suspended and of no force or effect until the expiration or termination of a tender, exchange or offer that has been commenced or the public announcement of a withdrawal or abandonment of an intention to commence a tender, exchange or offer at which time such restrictions will be reinstated and apply in full force and effect; (y) TGTX will not be precluded from making any confidential offers or proposals to the Precision Board of Directors in a manner reasonably believed not to require Precision to make a public announcement of such offer or proposal; </w:t>
      </w:r>
      <w:r>
        <w:rPr>
          <w:rFonts w:ascii="Times New Roman" w:hAnsi="Times New Roman"/>
          <w:i/>
          <w:caps w:val="false"/>
          <w:smallCaps w:val="false"/>
          <w:sz w:val="20"/>
        </w:rPr>
        <w:t>provided</w:t>
      </w:r>
      <w:r>
        <w:rPr>
          <w:rFonts w:ascii="Times New Roman" w:hAnsi="Times New Roman"/>
          <w:caps w:val="false"/>
          <w:smallCaps w:val="false"/>
          <w:sz w:val="20"/>
        </w:rPr>
        <w:t xml:space="preserve"> that TGTX shall not publicly disclose any such offers or proposals; and (z) TGTX shall not be precluded from owning or acquiring interests in mutual funds or similar entities that own shares of Precision Common Stock, and nothing herein shall prohibit passive investments by pension or employee benefit plans of TGTX. Notwithstanding the foregoing, the Standstill Provisions shall automatically terminate and be of no further force or effect upon the termination of this Agreement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8.3        </w:t>
      </w:r>
      <w:r>
        <w:rPr>
          <w:rFonts w:ascii="Times New Roman" w:hAnsi="Times New Roman"/>
          <w:b/>
          <w:caps w:val="false"/>
          <w:smallCaps w:val="false"/>
          <w:sz w:val="20"/>
        </w:rPr>
        <w:t>Clinical and Regulatory Milestones</w:t>
      </w:r>
      <w:r>
        <w:rPr>
          <w:rFonts w:ascii="Times New Roman" w:hAnsi="Times New Roman"/>
          <w:caps w:val="false"/>
          <w:smallCaps w:val="false"/>
          <w:sz w:val="20"/>
        </w:rPr>
        <w:t>. As partial consideration for the rights granted by Precision to TGTX hereunder with respect to the Licensed Product, TGTX shall pay to Precision or its designee the following milestone payments in the corresponding amount set forth in the right-hand column of the table immediately below upon the first achievement of each of the following milestone events in the left-hand column of the table immediately below by TGTX, its Affiliates or Sublicensees. The Milestone Events set forth below are intended to be sequential; achievement of a particular Milestone Event shall result in deemed achievement of all earlier Milestone Events; for example, achievement of Milestone Event 4 or Milestone Event 7 shall result in deemed achievement of Milestone Events 1 – 3.</w:t>
      </w:r>
    </w:p>
    <w:p>
      <w:pPr>
        <w:pStyle w:val="TextBody"/>
        <w:bidi w:val="0"/>
        <w:spacing w:before="0" w:after="0"/>
        <w:ind w:left="0" w:right="0" w:hanging="0"/>
        <w:jc w:val="both"/>
        <w:rPr>
          <w:caps w:val="false"/>
          <w:smallCaps w:val="false"/>
        </w:rPr>
      </w:pPr>
      <w:r>
        <w:rPr>
          <w:caps w:val="false"/>
          <w:smallCaps w:val="false"/>
        </w:rPr>
        <w:t> </w:t>
      </w:r>
    </w:p>
    <w:tbl>
      <w:tblPr>
        <w:tblW w:w="5025" w:type="dxa"/>
        <w:jc w:val="left"/>
        <w:tblInd w:w="-7" w:type="dxa"/>
        <w:tblLayout w:type="fixed"/>
        <w:tblCellMar>
          <w:top w:w="28" w:type="dxa"/>
          <w:left w:w="28" w:type="dxa"/>
          <w:bottom w:w="28" w:type="dxa"/>
          <w:right w:w="28" w:type="dxa"/>
        </w:tblCellMar>
      </w:tblPr>
      <w:tblGrid>
        <w:gridCol w:w="290"/>
        <w:gridCol w:w="3620"/>
        <w:gridCol w:w="1115"/>
      </w:tblGrid>
      <w:tr>
        <w:trPr/>
        <w:tc>
          <w:tcPr>
            <w:tcW w:w="2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both"/>
              <w:rPr/>
            </w:pPr>
            <w:r>
              <w:rPr/>
              <w:t> </w:t>
            </w:r>
          </w:p>
        </w:tc>
        <w:tc>
          <w:tcPr>
            <w:tcW w:w="36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Clinical and Regulatory Milestone Event</w:t>
            </w:r>
          </w:p>
        </w:tc>
        <w:tc>
          <w:tcPr>
            <w:tcW w:w="111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Milestone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$5,250,000</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3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8.3.1    For the avoidance of doubt, each of Milestone Events 1 – 9 is achievable only once.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8.3.2    TGTX shall notify Precision in writing no later than [***] after the achievement of each Milestone Event set forth in the table above and shall make the corresponding milestone payment within [***] after receipt by TGTX of an invoice from Precision delivered after such achievement; </w:t>
      </w:r>
      <w:r>
        <w:rPr>
          <w:rFonts w:ascii="Times New Roman" w:hAnsi="Times New Roman"/>
          <w:i/>
          <w:caps w:val="false"/>
          <w:smallCaps w:val="false"/>
          <w:sz w:val="20"/>
        </w:rPr>
        <w:t>provided</w:t>
      </w:r>
      <w:r>
        <w:rPr>
          <w:rFonts w:ascii="Times New Roman" w:hAnsi="Times New Roman"/>
          <w:caps w:val="false"/>
          <w:smallCaps w:val="false"/>
          <w:sz w:val="20"/>
        </w:rPr>
        <w:t>, however, that, subject to Section 8.14, TGTX may elect, in its discretion, to pay any such milestone payment (other than the payments with respect to Milestone Events 1 and 2) in (a) cash or (b) a combination of at least fifty percent (50%) cash and at most fifty percent (50%) TGTX Parent Consideration Shares that equal, in aggregate, the amount of such milestone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8.4         </w:t>
      </w:r>
      <w:r>
        <w:rPr>
          <w:rFonts w:ascii="Times New Roman" w:hAnsi="Times New Roman"/>
          <w:b/>
          <w:caps w:val="false"/>
          <w:smallCaps w:val="false"/>
          <w:sz w:val="20"/>
        </w:rPr>
        <w:t>Commercial Milestones</w:t>
      </w:r>
      <w:r>
        <w:rPr>
          <w:rFonts w:ascii="Times New Roman" w:hAnsi="Times New Roman"/>
          <w:caps w:val="false"/>
          <w:smallCaps w:val="false"/>
          <w:sz w:val="20"/>
        </w:rPr>
        <w:t>. As partial consideration for the rights granted by Precision to TGTX hereunder with respect to the Licensed Product, TGTX shall pay to Precision the following milestone payments in the corresponding amount set forth in the right-hand column of the table immediately below (each, a “</w:t>
      </w:r>
      <w:r>
        <w:rPr>
          <w:rFonts w:ascii="Times New Roman" w:hAnsi="Times New Roman"/>
          <w:b/>
          <w:i/>
          <w:caps w:val="false"/>
          <w:smallCaps w:val="false"/>
          <w:sz w:val="20"/>
        </w:rPr>
        <w:t>Commercial Milestone Payment</w:t>
      </w:r>
      <w:r>
        <w:rPr>
          <w:rFonts w:ascii="Times New Roman" w:hAnsi="Times New Roman"/>
          <w:caps w:val="false"/>
          <w:smallCaps w:val="false"/>
          <w:sz w:val="20"/>
        </w:rPr>
        <w:t>”) upon the first achievement of each of the following milestone events in the left-hand column of the table immediately below by TGTX, its Affiliates or Sublicensees. For purposes of determining whether the Net Sales thresholds in the table below have been achieved, all Net Sales of all Licensed Products shall be aggregated globally for all sales made by TGTX or any of its Affiliates or its or their Sublicensees of all Licensed Product (regardless of indication), in any and all preparations, formulations, dosages, packaging or methods of administration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715" w:type="dxa"/>
        <w:jc w:val="left"/>
        <w:tblInd w:w="-7" w:type="dxa"/>
        <w:tblLayout w:type="fixed"/>
        <w:tblCellMar>
          <w:top w:w="28" w:type="dxa"/>
          <w:left w:w="28" w:type="dxa"/>
          <w:bottom w:w="28" w:type="dxa"/>
          <w:right w:w="28" w:type="dxa"/>
        </w:tblCellMar>
      </w:tblPr>
      <w:tblGrid>
        <w:gridCol w:w="2660"/>
        <w:gridCol w:w="1055"/>
      </w:tblGrid>
      <w:tr>
        <w:trPr/>
        <w:tc>
          <w:tcPr>
            <w:tcW w:w="26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Milestone Event</w:t>
            </w:r>
          </w:p>
        </w:tc>
        <w:tc>
          <w:tcPr>
            <w:tcW w:w="105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Milestone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w:t>
            </w:r>
          </w:p>
        </w:tc>
      </w:tr>
      <w:tr>
        <w:trPr/>
        <w:tc>
          <w:tcPr>
            <w:tcW w:w="26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6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6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6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5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TGTX shall promptly notify Precision in writing of the achievement of each Milestone Event set forth in the table above within [***] after the end of the Calendar Year in which such milestone has been achieved and shall make the corresponding milestone payment within [***] after receipt by TGTX of an invoice from Precision delivered after such achievement; </w:t>
      </w:r>
      <w:r>
        <w:rPr>
          <w:rFonts w:ascii="Times New Roman" w:hAnsi="Times New Roman"/>
          <w:i/>
          <w:caps w:val="false"/>
          <w:smallCaps w:val="false"/>
          <w:sz w:val="20"/>
        </w:rPr>
        <w:t>provided</w:t>
      </w:r>
      <w:r>
        <w:rPr>
          <w:rFonts w:ascii="Times New Roman" w:hAnsi="Times New Roman"/>
          <w:caps w:val="false"/>
          <w:smallCaps w:val="false"/>
          <w:sz w:val="20"/>
        </w:rPr>
        <w:t>, however, that, subject to Section 8.14, TGTX may elect, in its discretion, to pay any such milestone payment in (a) cash or (b) a combination of at least fifty percent (50%) cash and at most fifty percent (50%) TGTX Parent Consideration Shares that equal, in aggregate, the amount of such milestone payment. Achievement of each Milestone Event measured by Net Sales shall result in achievement of all Milestone Events measured by a lower amount of Net Sales. To clarify, each Milestone Payment shall be a one-time payment, and once paid by TGTX to Precision, TGTX shall have no further obligation to make additional payments for the same Milestone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8.5       </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8.6         </w:t>
      </w:r>
      <w:r>
        <w:rPr>
          <w:rFonts w:ascii="Times New Roman" w:hAnsi="Times New Roman"/>
          <w:b/>
          <w:caps w:val="false"/>
          <w:smallCaps w:val="false"/>
          <w:sz w:val="20"/>
        </w:rPr>
        <w:t>Royalties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8.6.1      </w:t>
      </w:r>
      <w:r>
        <w:rPr>
          <w:rFonts w:ascii="Times New Roman" w:hAnsi="Times New Roman"/>
          <w:b/>
          <w:caps w:val="false"/>
          <w:smallCaps w:val="false"/>
          <w:sz w:val="20"/>
        </w:rPr>
        <w:t>Royalty Term</w:t>
      </w:r>
      <w:r>
        <w:rPr>
          <w:rFonts w:ascii="Times New Roman" w:hAnsi="Times New Roman"/>
          <w:caps w:val="false"/>
          <w:smallCaps w:val="false"/>
          <w:sz w:val="20"/>
        </w:rPr>
        <w:t>. TGTX shall pay Precision royalties as set forth in this Section 8.6 on a Licensed Product-by-Licensed Product and country-by-country basis in the Territory during the period of time beginning on the date of the First Commercial Sale of such Licensed Product in such country and continuing until the latest to occur of: (a) the expiration of the last-to-expire Valid Claim in such country Covering such Licensed Product; (b) the expiration of any period of data, regulatory, or market exclusivity, or supplemental protection certificates (other than Patents) covering the Licensed Product in such country; and (c) ten (10) years after the First Commercial Sale of such Licensed Product in such country (the “</w:t>
      </w:r>
      <w:r>
        <w:rPr>
          <w:rFonts w:ascii="Times New Roman" w:hAnsi="Times New Roman"/>
          <w:b/>
          <w:i/>
          <w:caps w:val="false"/>
          <w:smallCaps w:val="false"/>
          <w:sz w:val="20"/>
        </w:rPr>
        <w:t>Royalty Term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8.6.2    </w:t>
      </w:r>
      <w:r>
        <w:rPr>
          <w:rFonts w:ascii="Times New Roman" w:hAnsi="Times New Roman"/>
          <w:b/>
          <w:caps w:val="false"/>
          <w:smallCaps w:val="false"/>
          <w:sz w:val="20"/>
        </w:rPr>
        <w:t>Royalty Rates</w:t>
      </w:r>
      <w:r>
        <w:rPr>
          <w:rFonts w:ascii="Times New Roman" w:hAnsi="Times New Roman"/>
          <w:caps w:val="false"/>
          <w:smallCaps w:val="false"/>
          <w:sz w:val="20"/>
        </w:rPr>
        <w:t>. On a Licensed Product-by-Licensed Product and country-by-country basis, during the Royalty Term, TGTX shall pay to Precision a royalty equal to the percentages of aggregate annual Net Sales of such Licensed Product, as set forth below (the “</w:t>
      </w:r>
      <w:r>
        <w:rPr>
          <w:rFonts w:ascii="Times New Roman" w:hAnsi="Times New Roman"/>
          <w:b/>
          <w:i/>
          <w:caps w:val="false"/>
          <w:smallCaps w:val="false"/>
          <w:sz w:val="20"/>
        </w:rPr>
        <w:t>Royalty</w:t>
      </w:r>
      <w:r>
        <w:rPr>
          <w:rFonts w:ascii="Times New Roman" w:hAnsi="Times New Roman"/>
          <w:caps w:val="false"/>
          <w:smallCaps w:val="false"/>
          <w:sz w:val="20"/>
        </w:rPr>
        <w:t>”), calculated by multiplying the applicable royalty rate percentage for the region in which the applicable Net Sales occurred by the portion of aggregate, global Net Sales of the Licensed Products that occurred in the applicable region (i.e., inside or outside of the U.S.) in such Calendar Year. For purposes of determining whether the Net Sales thresholds in the table below have been achieved, all Net Sales of all Licensed Products shall be aggregated globally for all sales made by TGTX or any of its Affiliates or its or their Sublicensees of all Licensed Product (regardless of indication), in any and all preparations, formulations, dosages, packaging or methods of administration thereof, in all applicable countries during the Royalty Term (i.e., regardless of whether such Net Sales occur inside or outside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tbl>
      <w:tblPr>
        <w:tblW w:w="10205" w:type="dxa"/>
        <w:jc w:val="left"/>
        <w:tblInd w:w="-7" w:type="dxa"/>
        <w:tblLayout w:type="fixed"/>
        <w:tblCellMar>
          <w:top w:w="28" w:type="dxa"/>
          <w:left w:w="28" w:type="dxa"/>
          <w:bottom w:w="28" w:type="dxa"/>
          <w:right w:w="28" w:type="dxa"/>
        </w:tblCellMar>
      </w:tblPr>
      <w:tblGrid>
        <w:gridCol w:w="1846"/>
        <w:gridCol w:w="7453"/>
        <w:gridCol w:w="906"/>
      </w:tblGrid>
      <w:tr>
        <w:trPr/>
        <w:tc>
          <w:tcPr>
            <w:tcW w:w="184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Location of Net Sales </w:t>
            </w:r>
          </w:p>
        </w:tc>
        <w:tc>
          <w:tcPr>
            <w:tcW w:w="7453"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Annual Net</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Sales</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of the Licensed Products </w:t>
            </w:r>
          </w:p>
        </w:tc>
        <w:tc>
          <w:tcPr>
            <w:tcW w:w="90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Royalty</w:t>
            </w:r>
            <w:r>
              <w:rPr>
                <w:rFonts w:ascii="Times New Roman;Times;serif" w:hAnsi="Times New Roman;Times;serif"/>
                <w:caps w:val="false"/>
                <w:smallCaps w:val="false"/>
                <w:sz w:val="20"/>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less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equal to or greater than [***] but less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equal to or greater than [***] but less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equal to or greater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outside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less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outside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equal to or greater than [***] but less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outside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equal to or greater than [***] but less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18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occurring</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outside the U.S.</w:t>
            </w:r>
          </w:p>
        </w:tc>
        <w:tc>
          <w:tcPr>
            <w:tcW w:w="7453"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annual global Net Sales of Licensed Products equal to or greater than [***]</w:t>
            </w:r>
          </w:p>
        </w:tc>
        <w:tc>
          <w:tcPr>
            <w:tcW w:w="906"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8.6.3    </w:t>
      </w:r>
      <w:r>
        <w:rPr>
          <w:rFonts w:ascii="Times New Roman" w:hAnsi="Times New Roman"/>
          <w:b/>
          <w:caps w:val="false"/>
          <w:smallCaps w:val="false"/>
          <w:sz w:val="20"/>
        </w:rPr>
        <w:t>Royalty Reduction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w:t>
      </w:r>
      <w:r>
        <w:rPr>
          <w:rFonts w:ascii="Times New Roman" w:hAnsi="Times New Roman"/>
          <w:b/>
          <w:caps w:val="false"/>
          <w:smallCaps w:val="false"/>
          <w:sz w:val="20"/>
        </w:rPr>
        <w:t>Valid Claim</w:t>
      </w:r>
      <w:r>
        <w:rPr>
          <w:rFonts w:ascii="Times New Roman" w:hAnsi="Times New Roman"/>
          <w:caps w:val="false"/>
          <w:smallCaps w:val="false"/>
          <w:sz w:val="20"/>
        </w:rPr>
        <w:t>. If, at the time a Licensed Product is sold in a country during the Royalty Term for such Licensed Product, there is no longer a Valid Claim that Covers such Licensed Product in such country, the Royalty rates provided in Section 8.6.2 above for the sale of such Licensed Product in such country will be reduced in such country by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w:t>
      </w:r>
      <w:r>
        <w:rPr>
          <w:rFonts w:ascii="Times New Roman" w:hAnsi="Times New Roman"/>
          <w:b/>
          <w:caps w:val="false"/>
          <w:smallCaps w:val="false"/>
          <w:sz w:val="20"/>
        </w:rPr>
        <w:t>Biosimilar Competition</w:t>
      </w:r>
      <w:r>
        <w:rPr>
          <w:rFonts w:ascii="Times New Roman" w:hAnsi="Times New Roman"/>
          <w:caps w:val="false"/>
          <w:smallCaps w:val="false"/>
          <w:sz w:val="20"/>
        </w:rPr>
        <w:t>. If, on a country-by-country basis, one or more Third Parties commercializes one or more Biosimilar Products with respect to a Licensed Product in a country and the aggregate units of such Licensed Product sold in that country during any Calendar Quarter following introduction of such Biosimilar Products have fallen by at least: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      [***] in that country as compared to the average quarterly total aggregate units of such Licensed Products sold in such country during the [***] immediately prior to the Calendar Quarter in which such Biosimilar Products were first introduced, where unit volume sales will be identified and calculated based on relevant information published by IQVIA, any successor to IQVIA, or any other similar Third Party source reasonably agreed upon by the Parties, or, if unavailable, data obtained by TGTX from its Distributors and presented to Precision with sufficient detail to reasonably demonstrate its validity, then the Net Sales in such country used to calculate the Royalty payments due to Precision pursuant to Section 8.6.2 for such Licensed Product will be reduced by [***];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520"/>
        <w:jc w:val="both"/>
        <w:rPr>
          <w:rFonts w:ascii="Times New Roman" w:hAnsi="Times New Roman"/>
          <w:caps w:val="false"/>
          <w:smallCaps w:val="false"/>
          <w:sz w:val="20"/>
        </w:rPr>
      </w:pPr>
      <w:r>
        <w:rPr>
          <w:rFonts w:ascii="Times New Roman" w:hAnsi="Times New Roman"/>
          <w:caps w:val="false"/>
          <w:smallCaps w:val="false"/>
          <w:sz w:val="20"/>
        </w:rPr>
        <w:t>(ii)      [***] in that country as compared to the average quarterly total aggregate units of such Licensed Products sold in such country during the last [***] immediately prior to the Calendar Quarter in which such Biosimilar Products were first introduced, where unit volume sales will be identified and calculated based on relevant information published by IQVIA, any successor to IQVIA, or any other similar Third Party source reasonably agreed upon by the Parties, or, if unavailable, data obtained by TGTX from its Distributors and presented to Precision with sufficient detail to reasonably demonstrate its validity, then the Net Sales in such country used to calculate the Royalty Payments due to Precision pursuant to Section 8.6.2 for such Licensed Product will be reduced by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w:t>
      </w:r>
      <w:r>
        <w:rPr>
          <w:rFonts w:ascii="Times New Roman" w:hAnsi="Times New Roman"/>
          <w:b/>
          <w:caps w:val="false"/>
          <w:smallCaps w:val="false"/>
          <w:sz w:val="20"/>
        </w:rPr>
        <w:t>Third Party Licenses</w:t>
      </w:r>
      <w:r>
        <w:rPr>
          <w:rFonts w:ascii="Times New Roman" w:hAnsi="Times New Roman"/>
          <w:caps w:val="false"/>
          <w:smallCaps w:val="false"/>
          <w:sz w:val="20"/>
        </w:rPr>
        <w:t>. If TGTX obtains a license under Patents owned or controlled by a Third Party in a country that [***] any Licensed Product in the Licensed Field, then TGTX may offset against the Royalty payments due to Precision with respect to sales of such Licensed Product in such country an amount equal to [***] paid to such Third Party under such agreement in such country with respect to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(d)    </w:t>
      </w:r>
      <w:r>
        <w:rPr>
          <w:rFonts w:ascii="Times New Roman" w:hAnsi="Times New Roman"/>
          <w:b/>
          <w:caps w:val="false"/>
          <w:smallCaps w:val="false"/>
          <w:sz w:val="20"/>
        </w:rPr>
        <w:t>Cumulative Effect of Royalty Reductions</w:t>
      </w:r>
      <w:r>
        <w:rPr>
          <w:rFonts w:ascii="Times New Roman" w:hAnsi="Times New Roman"/>
          <w:caps w:val="false"/>
          <w:smallCaps w:val="false"/>
          <w:sz w:val="20"/>
        </w:rPr>
        <w:t>. On a Licensed Product-by-Licensed Product and country-by-country basis, in no event will the royalty reductions for such Licensed Product permitted under subsections (a) to (c) of this Section 8.6.3, alone or together, reduce the Royalty payments due to Precision with respect to such Licensed Product pursuant to Section 8.6.2 in a country in a given Calendar Quarter by more than [***] of the applicable Royalty payments that would otherwise be owed on the Net Sales of such Licensed Product in such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8.7        </w:t>
      </w:r>
      <w:r>
        <w:rPr>
          <w:rFonts w:ascii="Times New Roman" w:hAnsi="Times New Roman"/>
          <w:b/>
          <w:caps w:val="false"/>
          <w:smallCaps w:val="false"/>
          <w:sz w:val="20"/>
        </w:rPr>
        <w:t>Payment; Reports</w:t>
      </w:r>
      <w:r>
        <w:rPr>
          <w:rFonts w:ascii="Times New Roman" w:hAnsi="Times New Roman"/>
          <w:caps w:val="false"/>
          <w:smallCaps w:val="false"/>
          <w:sz w:val="20"/>
        </w:rPr>
        <w:t>. Royalty payments due by TGTX to Precision under Section 8.6 shall be: (a) calculated and reported for each Calendar Quarter; (b) paid within [***] after the end of each Calendar Quarter; and (c) accompanied by a report setting forth, with respect to each Calendar Quarter, on a Licensed Product-by-Licensed Product and country-by-country basis: (i) Net Sales of the Licensed Product by the applicable Selling Party(ies) in the Territory, and (ii) a calculation of the Royalty due by TGTX to Precision on such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8.8        </w:t>
      </w:r>
      <w:r>
        <w:rPr>
          <w:rFonts w:ascii="Times New Roman" w:hAnsi="Times New Roman"/>
          <w:b/>
          <w:caps w:val="false"/>
          <w:smallCaps w:val="false"/>
          <w:sz w:val="20"/>
        </w:rPr>
        <w:t>Method of Payment; Currency Conversion</w:t>
      </w:r>
      <w:r>
        <w:rPr>
          <w:rFonts w:ascii="Times New Roman" w:hAnsi="Times New Roman"/>
          <w:caps w:val="false"/>
          <w:smallCaps w:val="false"/>
          <w:sz w:val="20"/>
        </w:rPr>
        <w:t xml:space="preserve">. Unless otherwise agreed by the Parties, all payments due under this Agreement shall be paid in Dollars by wire transfer or electronic funds transfer of immediately available funds to an account designated by the payee;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that a Party shall only be required to disburse funds to the payee’s jurisdiction of incorporation or to a jurisdiction in which the payee has a significant business presence. When conversion of payments from any currency other than Dollars is required, such Party’s then-current standard exchange rate methodology will be employed for the translation of foreign currency sales into Dollars; </w:t>
      </w:r>
      <w:r>
        <w:rPr>
          <w:rFonts w:ascii="Times New Roman" w:hAnsi="Times New Roman"/>
          <w:i/>
          <w:caps w:val="false"/>
          <w:smallCaps w:val="false"/>
          <w:sz w:val="20"/>
        </w:rPr>
        <w:t>provided</w:t>
      </w:r>
      <w:r>
        <w:rPr>
          <w:rFonts w:ascii="Times New Roman" w:hAnsi="Times New Roman"/>
          <w:caps w:val="false"/>
          <w:smallCaps w:val="false"/>
          <w:sz w:val="20"/>
        </w:rPr>
        <w:t>, that this methodology is used by such Party in the translation of its foreign currency operating results, is consistent with U.S. GAAP or IFRS, as applicable, is audited by such Party’s independent certified public accountants in connection with the audit of the consolidated financial statements of such Party, and is used for external reporting of foreign currency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8.9       </w:t>
      </w:r>
      <w:r>
        <w:rPr>
          <w:rFonts w:ascii="Times New Roman" w:hAnsi="Times New Roman"/>
          <w:b/>
          <w:caps w:val="false"/>
          <w:smallCaps w:val="false"/>
          <w:sz w:val="20"/>
        </w:rPr>
        <w:t>Records and Audits</w:t>
      </w:r>
      <w:r>
        <w:rPr>
          <w:rFonts w:ascii="Times New Roman" w:hAnsi="Times New Roman"/>
          <w:caps w:val="false"/>
          <w:smallCaps w:val="false"/>
          <w:sz w:val="20"/>
        </w:rPr>
        <w:t>. TGTX shall maintain complete and accurate records in sufficient detail to permit Precision to confirm the accuracy of Commercial Milestone Payments and Royalty payments payable under this Agreement. Upon reasonable prior notice, such records shall be open during regular business hours for a period of [***] from the creation of individual records, for examination at Precision’s expense, and not more often than [***], by an independent certified public accountant selected by Precision and reasonably acceptable to TGTX for the sole purpose of verifying for Precision the accuracy of the financial statements or reports furnished by TGTX pursuant to this Agreement or of any payments made, or required to be made, by TGTX to Precision pursuant to this Agreement. No Calendar Quarter shall be subject to audit more than one time. Any such auditor shall not disclose TGTX’s Confidential Proprietary Information to Precision, except to the extent such disclosure is necessary to verify the accuracy of the financial reports furnished by TGTX or the amount of payments due by TGTX under this Agreement. Any amounts shown to be owed but unpaid, or overpaid and in need of reimbursement, shall be paid or refunded (as the case may be) within [***] after the accountant’s report, plus interest (as set forth in Section 8.10) from the original due date (unless challenged in good faith by TGTX, in which case any undisputed portion shall be paid in accordance with the foregoing timetable, any dispute with respect to such challenge shall be resolved in accordance with Section 14.2, and any remaining disputed portion shall be paid within [***] after resolution of the dispute). Precision shall bear the full cost of such audit unless such audit reveals an underpayment by TGTX during the applicable audit period, which underpayment was more than [***] of the amount set forth in such report, in which case TGTX shall bear the full cost of such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8.10       </w:t>
      </w:r>
      <w:r>
        <w:rPr>
          <w:rFonts w:ascii="Times New Roman" w:hAnsi="Times New Roman"/>
          <w:b/>
          <w:caps w:val="false"/>
          <w:smallCaps w:val="false"/>
          <w:sz w:val="20"/>
        </w:rPr>
        <w:t>Late Payments</w:t>
      </w:r>
      <w:r>
        <w:rPr>
          <w:rFonts w:ascii="Times New Roman" w:hAnsi="Times New Roman"/>
          <w:caps w:val="false"/>
          <w:smallCaps w:val="false"/>
          <w:sz w:val="20"/>
        </w:rPr>
        <w:t>. If any payment properly due under this Agreement and not subject to a good faith dispute is not paid when due in accordance with the applicable provisions of this Agreement, the payment shall accrue interest from the date due at [***]. The payment of such interest shall not limit Precision from exercising any other rights it may have as a consequence of the lateness of any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8.11       </w:t>
      </w:r>
      <w:r>
        <w:rPr>
          <w:rFonts w:ascii="Times New Roman" w:hAnsi="Times New Roman"/>
          <w:b/>
          <w:caps w:val="false"/>
          <w:smallCaps w:val="false"/>
          <w:sz w:val="20"/>
        </w:rPr>
        <w:t>Taxes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8.11.1    </w:t>
      </w:r>
      <w:r>
        <w:rPr>
          <w:rFonts w:ascii="Times New Roman" w:hAnsi="Times New Roman"/>
          <w:b/>
          <w:caps w:val="false"/>
          <w:smallCaps w:val="false"/>
          <w:sz w:val="20"/>
        </w:rPr>
        <w:t xml:space="preserve">Taxes on Income. </w:t>
      </w:r>
      <w:r>
        <w:rPr>
          <w:rFonts w:ascii="Times New Roman" w:hAnsi="Times New Roman"/>
          <w:caps w:val="false"/>
          <w:smallCaps w:val="false"/>
          <w:sz w:val="20"/>
        </w:rPr>
        <w:t>Each Party shall be solely responsible for the payment of all taxes imposed on its share of income arising directly or indirectly from the collaborative efforts of the Parties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8.11.2    </w:t>
      </w:r>
      <w:r>
        <w:rPr>
          <w:rFonts w:ascii="Times New Roman" w:hAnsi="Times New Roman"/>
          <w:b/>
          <w:caps w:val="false"/>
          <w:smallCaps w:val="false"/>
          <w:sz w:val="20"/>
        </w:rPr>
        <w:t xml:space="preserve">Tax Cooperation. </w:t>
      </w:r>
      <w:r>
        <w:rPr>
          <w:rFonts w:ascii="Times New Roman" w:hAnsi="Times New Roman"/>
          <w:caps w:val="false"/>
          <w:smallCaps w:val="false"/>
          <w:sz w:val="20"/>
        </w:rPr>
        <w:t>The Parties agree to cooperate with one another and use reasonable efforts to avoid or reduce tax withholding or similar obligations in respect of any payments made by TGTX to Precision under this Agreement. Without limiting the generality of the foregoing, Precision shall provide TGTX any tax forms and other information that may be reasonably necessary in order for TGTX to not withhold tax or to withhold tax at a reduced rate under an applicable bilateral income tax treaty. Each Party shall provide the other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8.11.3    </w:t>
      </w:r>
      <w:r>
        <w:rPr>
          <w:rFonts w:ascii="Times New Roman" w:hAnsi="Times New Roman"/>
          <w:b/>
          <w:caps w:val="false"/>
          <w:smallCaps w:val="false"/>
          <w:sz w:val="20"/>
        </w:rPr>
        <w:t xml:space="preserve">Payment of Taxes. </w:t>
      </w:r>
      <w:r>
        <w:rPr>
          <w:rFonts w:ascii="Times New Roman" w:hAnsi="Times New Roman"/>
          <w:caps w:val="false"/>
          <w:smallCaps w:val="false"/>
          <w:sz w:val="20"/>
        </w:rPr>
        <w:t>To the extent TGTX is required by Applicable Law to deduct and withhold taxes on any payment to Precision, such amount shall be withheld or deducted from the payment to be made by TGTX and TGTX shall pay the amounts of such taxes to the proper Governmental Authority in a timely manner and promptly transmit to Precision an official tax certificate or other evidence of such withholding sufficient to enable Precision to claim such payment of taxes. For the avoidance of doubt, to the extent that any such amount is withheld or deducted by TGTX, such withheld or deducted amount shall be treated for all purposes of this Agreement as having been paid to Precision, and TGTX shall not increase any payment due to Precision under this Agreement for any such withholding or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8.11.4    </w:t>
      </w:r>
      <w:r>
        <w:rPr>
          <w:rFonts w:ascii="Times New Roman" w:hAnsi="Times New Roman"/>
          <w:b/>
          <w:caps w:val="false"/>
          <w:smallCaps w:val="false"/>
          <w:sz w:val="20"/>
        </w:rPr>
        <w:t>Treatment of Certain Withholding Taxes</w:t>
      </w:r>
      <w:r>
        <w:rPr>
          <w:rFonts w:ascii="Times New Roman" w:hAnsi="Times New Roman"/>
          <w:caps w:val="false"/>
          <w:smallCaps w:val="false"/>
          <w:sz w:val="20"/>
        </w:rPr>
        <w:t>. Notwithstanding anything to the contrary in Section 8.11.3, if TGTX is required to deduct and withhold taxes on any payment to Precision and such withholding obligation arises as a result of any action by TGTX that has the effect of modifying the tax treatment of the Parties (including any assignment or sublicense, any change of domicile, or any failure on the part of the paying Party to comply with Applicable Law or filing or record retention requirements) (a “</w:t>
      </w:r>
      <w:r>
        <w:rPr>
          <w:rFonts w:ascii="Times New Roman" w:hAnsi="Times New Roman"/>
          <w:b/>
          <w:i/>
          <w:caps w:val="false"/>
          <w:smallCaps w:val="false"/>
          <w:sz w:val="20"/>
        </w:rPr>
        <w:t>Withholding Tax Action</w:t>
      </w:r>
      <w:r>
        <w:rPr>
          <w:rFonts w:ascii="Times New Roman" w:hAnsi="Times New Roman"/>
          <w:caps w:val="false"/>
          <w:smallCaps w:val="false"/>
          <w:sz w:val="20"/>
        </w:rPr>
        <w:t>”), then the sum payable by TGTX (in respect of which such deduction or withholding is required to be made) shall be increased to the extent necessary to ensure that Precision actually receives, as appropriate, a sum equal to the sum that it would have received had no such Withholding Tax Action occurred. For clarity, this Section 8.11.4 does not apply with respect to taxes that TGTX includes in its calculation of Net Sales in accordance with U.S. GAAP. For the avoidance of doubt, TGTX shall not be required to increase any sum payable for any deduction or withholding obligation arising as a result of any action by Precision that has the effect of modifying the tax treatment of the Parties (including any assignment, any change of domicile, or any failure on the part of Precision to comply with Applicable Law or filing or record retention requirements), which action(s) shall not constitute a Withholding Tax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8.12       </w:t>
      </w:r>
      <w:r>
        <w:rPr>
          <w:rFonts w:ascii="Times New Roman" w:hAnsi="Times New Roman"/>
          <w:b/>
          <w:caps w:val="false"/>
          <w:smallCaps w:val="false"/>
          <w:sz w:val="20"/>
        </w:rPr>
        <w:t>Blocked Currency.</w:t>
      </w:r>
      <w:r>
        <w:rPr>
          <w:rFonts w:ascii="Times New Roman" w:hAnsi="Times New Roman"/>
          <w:caps w:val="false"/>
          <w:smallCaps w:val="false"/>
          <w:sz w:val="20"/>
        </w:rPr>
        <w:t xml:space="preserve"> In each country where the local currency is blocked and cannot be removed from the country, royalties accrued on Net Sales in that country shall be paid in the equivalent amount in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8.13      </w:t>
      </w:r>
      <w:r>
        <w:rPr>
          <w:rFonts w:ascii="Times New Roman" w:hAnsi="Times New Roman"/>
          <w:b/>
          <w:caps w:val="false"/>
          <w:smallCaps w:val="false"/>
          <w:sz w:val="20"/>
        </w:rPr>
        <w:t xml:space="preserve">Manner and Place of Payment. </w:t>
      </w:r>
      <w:r>
        <w:rPr>
          <w:rFonts w:ascii="Times New Roman" w:hAnsi="Times New Roman"/>
          <w:caps w:val="false"/>
          <w:smallCaps w:val="false"/>
          <w:sz w:val="20"/>
        </w:rPr>
        <w:t>All payments (other than payments made by TGTX in TGTX Parent Consideration Shares) owed under this Agreement to Precision shall be made by wire transfer in immediately available funds to a bank and account designated in writing by Precision, unless otherwise specified in writing by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8.14      </w:t>
      </w:r>
      <w:r>
        <w:rPr>
          <w:rFonts w:ascii="Times New Roman" w:hAnsi="Times New Roman"/>
          <w:b/>
          <w:caps w:val="false"/>
          <w:smallCaps w:val="false"/>
          <w:sz w:val="20"/>
        </w:rPr>
        <w:t xml:space="preserve">TGTX Equity Issuances. </w:t>
      </w:r>
      <w:r>
        <w:rPr>
          <w:rFonts w:ascii="Times New Roman" w:hAnsi="Times New Roman"/>
          <w:caps w:val="false"/>
          <w:smallCaps w:val="false"/>
          <w:sz w:val="20"/>
        </w:rPr>
        <w:t>For purposes of determining the number of TGTX Parent Consideration Shares to be issued pursuant to Section 8.3 or 8.4, the value of such shares shall be based on the thirty (30) Trading Day VWAP of the TGTX Parent Common Stock immediately prior to the date on which the corresponding Milestone Event is achieved. In the event that TGTX elects to make any portion of an applicable milestone payment with a combination of cash and TGTX Parent Consideration Shares, TGTX and TGTX Parent shall satisfy and comply with each of the following obligations, and if any of the following obligations are and have not been satisfied as of each applicable payment date, TGTX shall be required to pay the applicable milestone payment entirely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8.14.1    The representations and warranties made by Precision in Section 8.2.2 shall be made by each of TGTX and TGTX Parent, and the representations and warranties made by TGTX in Sections 8.2.3(a), (b) and (c) shall be made by Precision as of the Effective Date, in each case as if such representations and warranties were restated in this Section 8.14.1,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with the applicable references to “Precision” being replaced with references to “each of TGTX and TGTX Parent” (except with, for purposes of Section 8.2.2(c), the applicable references to “Precision” being replaced with reference to “TGTX Parent”) and the applicable references to “TGTX” being replaced with references to “Precision”;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that references to “Precision” in “Precision Shares” and “Precision Common Stock” shall be replaced with “TGTX Parent”; and </w:t>
      </w:r>
      <w:r>
        <w:rPr>
          <w:rFonts w:ascii="Times New Roman" w:hAnsi="Times New Roman"/>
          <w:i/>
          <w:caps w:val="false"/>
          <w:smallCaps w:val="false"/>
          <w:sz w:val="20"/>
        </w:rPr>
        <w:t>provided</w:t>
      </w:r>
      <w:r>
        <w:rPr>
          <w:rFonts w:ascii="Times New Roman" w:hAnsi="Times New Roman"/>
          <w:caps w:val="false"/>
          <w:smallCaps w:val="false"/>
          <w:sz w:val="20"/>
        </w:rPr>
        <w:t>, further, for the avoidance of doubt, Precision shall be entitled to (and does not make any representations or warranties that it will not) immediately sell any TGTX Parent Consideration Shares upon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8.14.2     the representations and warranties described in Section 8.14.1 that are made by TGTX and TGTX Parent shall be deemed to be made as of, and accurate on, each date that TGTX Parent issues TGTX Parent Consideration Shares to Precision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8.14.3     the TGTX Parent Consideration Shares issued with respect to the applicable Milestone Event shall be freely and immediately tradable by Precision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8.14.4     TGTX Parent shall have taken, and shall take, all appropriate actions to comply with applicable securities laws and regulations and Nasdaq listing requirements to enable the immediate and continuous sale of the TGTX Parent Consideration Shares by Precision without restriction, including, at TGTX Parent’s election, (a) obtaining an opinion from counsel to TGTX Parent or a no-action letter confirming that such shares, when issued, are not subject to any holding period or other restriction under Rule 144 or (b) filing and continuously maintaining the effectiveness of a registration statement registering the offer and sale of such shares under the Securities Act until all such shares may be sold by Precision under Rule 144 free of any restrictions;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8.14.5    the covenants made by TGTX and Precision in Sections 8.2.7 and 8.2.8 shall be covenanted and agreed to by Precision and TGTX, respectively, as if such covenants were restated in this Section 8.14.5, </w:t>
      </w:r>
      <w:r>
        <w:rPr>
          <w:rFonts w:ascii="Times New Roman" w:hAnsi="Times New Roman"/>
          <w:i/>
          <w:caps w:val="false"/>
          <w:smallCaps w:val="false"/>
          <w:sz w:val="20"/>
        </w:rPr>
        <w:t>mutatis mutandis</w:t>
      </w:r>
      <w:r>
        <w:rPr>
          <w:rFonts w:ascii="Times New Roman" w:hAnsi="Times New Roman"/>
          <w:caps w:val="false"/>
          <w:smallCaps w:val="false"/>
          <w:sz w:val="20"/>
        </w:rPr>
        <w:t>, with the applicable references to “Precision” being replaced with references to “TGTX” or “TGTX Parent,” as appropriate, the applicable references to “TGTX” being replaced with references to “Precision,” and the applicable cross-references updated accordingly in the context of the restatement of such covenants in this Section 8.14.5.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9</w:t>
      </w:r>
      <w:r>
        <w:rPr>
          <w:rFonts w:ascii="Times New Roman" w:hAnsi="Times New Roman"/>
          <w:caps w:val="false"/>
          <w:smallCaps w:val="false"/>
          <w:sz w:val="20"/>
        </w:rPr>
        <w:br/>
        <w:br/>
      </w:r>
      <w:r>
        <w:rPr>
          <w:rFonts w:ascii="Times New Roman" w:hAnsi="Times New Roman"/>
          <w:b/>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9.1         </w:t>
      </w:r>
      <w:r>
        <w:rPr>
          <w:rFonts w:ascii="Times New Roman" w:hAnsi="Times New Roman"/>
          <w:b/>
          <w:caps w:val="false"/>
          <w:smallCaps w:val="false"/>
          <w:sz w:val="20"/>
        </w:rPr>
        <w:t>Ownership of Intellectual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9.1.1    </w:t>
      </w:r>
      <w:r>
        <w:rPr>
          <w:rFonts w:ascii="Times New Roman" w:hAnsi="Times New Roman"/>
          <w:b/>
          <w:caps w:val="false"/>
          <w:smallCaps w:val="false"/>
          <w:sz w:val="20"/>
        </w:rPr>
        <w:t>Background IP</w:t>
      </w:r>
      <w:r>
        <w:rPr>
          <w:rFonts w:ascii="Times New Roman" w:hAnsi="Times New Roman"/>
          <w:caps w:val="false"/>
          <w:smallCaps w:val="false"/>
          <w:sz w:val="20"/>
        </w:rPr>
        <w:t xml:space="preserve">. As between the Parties, and subject to the licenses granted under this Agreement (a) TGTX shall solely own (or retain ownership of) all rights, title and interests in and to the TGTX Background IP, and (b) Precision shall solely own (or retain ownership of) all rights, title and interests in and to the Precision Background IP. If any Third Party becomes an Acquirer of a Party after the Effective Date pursuant to a Change of Control of such Party, any Patents and Know-How Controlled by the Acquirer before the relevant Change of Control transaction or thereafter during the Term will not be considered part of the Precision Background IP (where Precision is the acquired Party) or TGTX Background IP (where TGTX is the acquired Party); </w:t>
      </w:r>
      <w:r>
        <w:rPr>
          <w:rFonts w:ascii="Times New Roman" w:hAnsi="Times New Roman"/>
          <w:i/>
          <w:caps w:val="false"/>
          <w:smallCaps w:val="false"/>
          <w:sz w:val="20"/>
        </w:rPr>
        <w:t>provided</w:t>
      </w:r>
      <w:r>
        <w:rPr>
          <w:rFonts w:ascii="Times New Roman" w:hAnsi="Times New Roman"/>
          <w:caps w:val="false"/>
          <w:smallCaps w:val="false"/>
          <w:sz w:val="20"/>
        </w:rPr>
        <w:t>, however, that any Patents or Know-How that would otherwise constitute Precision Background IP or TGTX Background IP, as applicable, and are discovered or created by or on behalf of the Acquirer after the relevant Change of Control transaction in connection with activities under this Agreement, will be considered part of the Precision Background IP or TGTX Background IP,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9.1.2    </w:t>
      </w:r>
      <w:r>
        <w:rPr>
          <w:rFonts w:ascii="Times New Roman" w:hAnsi="Times New Roman"/>
          <w:b/>
          <w:caps w:val="false"/>
          <w:smallCaps w:val="false"/>
          <w:sz w:val="20"/>
        </w:rPr>
        <w:t>Inventions</w:t>
      </w:r>
      <w:r>
        <w:rPr>
          <w:rFonts w:ascii="Times New Roman" w:hAnsi="Times New Roman"/>
          <w:caps w:val="false"/>
          <w:smallCaps w:val="false"/>
          <w:sz w:val="20"/>
        </w:rPr>
        <w:t>. Ownership of Inventions arising under this Agreement shall be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TGTX shall solely own (or retain ownership of) all Inventions discovered, created, acquired, conceived or reduced to practice, solely by or on behalf of TGTX or any of its Affiliates in the course of performing activities under this Agreement, except to the extent constituting Precision Sole IP (“</w:t>
      </w:r>
      <w:r>
        <w:rPr>
          <w:rFonts w:ascii="Times New Roman" w:hAnsi="Times New Roman"/>
          <w:b/>
          <w:i/>
          <w:caps w:val="false"/>
          <w:smallCaps w:val="false"/>
          <w:sz w:val="20"/>
        </w:rPr>
        <w:t>TGTX Sole IP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Precision shall solely own (or retain ownership of) (i) all Inventions discovered, created, acquired, conceived or reduced to practice, solely by or on behalf of Precision or any of its Affiliates in the course of performing activities under this Agreement, and (ii) all Inventions that relate to the [***], whether discovered, created, conceived or reduced to practice by or on behalf of TGTX or Precision or any of their respective Affiliates in the course of performing activities under this Agreement (“</w:t>
      </w:r>
      <w:r>
        <w:rPr>
          <w:rFonts w:ascii="Times New Roman" w:hAnsi="Times New Roman"/>
          <w:b/>
          <w:i/>
          <w:caps w:val="false"/>
          <w:smallCaps w:val="false"/>
          <w:sz w:val="20"/>
        </w:rPr>
        <w:t>Precision Sole IP</w:t>
      </w:r>
      <w:r>
        <w:rPr>
          <w:rFonts w:ascii="Times New Roman" w:hAnsi="Times New Roman"/>
          <w:caps w:val="false"/>
          <w:smallCaps w:val="false"/>
          <w:sz w:val="20"/>
        </w:rPr>
        <w:t>”). TGTX agrees to assign and hereby assigns to Precision all of its and its Affiliates’ right, title and interests in and to the Precision Sole IP and agrees to execute such documents and perform such other acts as Precision may reasonably request to obtain, perfect and enforce the Precision Sole IP and the assignment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Except to the extent constituting Precision Sole IP, any Invention discovered, created, conceived, reduced to practice or acquired, jointly by or on behalf of the Parties in the course of performing activities under this Agreement (“</w:t>
      </w:r>
      <w:r>
        <w:rPr>
          <w:rFonts w:ascii="Times New Roman" w:hAnsi="Times New Roman"/>
          <w:b/>
          <w:i/>
          <w:caps w:val="false"/>
          <w:smallCaps w:val="false"/>
          <w:sz w:val="20"/>
        </w:rPr>
        <w:t>Joint IP</w:t>
      </w:r>
      <w:r>
        <w:rPr>
          <w:rFonts w:ascii="Times New Roman" w:hAnsi="Times New Roman"/>
          <w:caps w:val="false"/>
          <w:smallCaps w:val="false"/>
          <w:sz w:val="20"/>
        </w:rPr>
        <w:t>”), will be jointly owned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9.1.3     </w:t>
      </w:r>
      <w:r>
        <w:rPr>
          <w:rFonts w:ascii="Times New Roman" w:hAnsi="Times New Roman"/>
          <w:b/>
          <w:caps w:val="false"/>
          <w:smallCaps w:val="false"/>
          <w:sz w:val="20"/>
        </w:rPr>
        <w:t>Inventorship</w:t>
      </w:r>
      <w:r>
        <w:rPr>
          <w:rFonts w:ascii="Times New Roman" w:hAnsi="Times New Roman"/>
          <w:i/>
          <w:caps w:val="false"/>
          <w:smallCaps w:val="false"/>
          <w:sz w:val="20"/>
        </w:rPr>
        <w:t xml:space="preserve">. </w:t>
      </w:r>
      <w:r>
        <w:rPr>
          <w:rFonts w:ascii="Times New Roman" w:hAnsi="Times New Roman"/>
          <w:caps w:val="false"/>
          <w:smallCaps w:val="false"/>
          <w:sz w:val="20"/>
        </w:rPr>
        <w:t>Inventorship as between the Parties will be determined in accordance with U.S. patent laws. All such determinations shall be documented to ensure that the Patent claims in any divisional or continuation patent applications reflect appropriate inventorship.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9.1.4     </w:t>
      </w:r>
      <w:r>
        <w:rPr>
          <w:rFonts w:ascii="Times New Roman" w:hAnsi="Times New Roman"/>
          <w:b/>
          <w:caps w:val="false"/>
          <w:smallCaps w:val="false"/>
          <w:sz w:val="20"/>
        </w:rPr>
        <w:t>Rights of Joint Owners</w:t>
      </w:r>
      <w:r>
        <w:rPr>
          <w:rFonts w:ascii="Times New Roman" w:hAnsi="Times New Roman"/>
          <w:caps w:val="false"/>
          <w:smallCaps w:val="false"/>
          <w:sz w:val="20"/>
        </w:rPr>
        <w:t>. Subject to the licenses granted hereunder and the payment obligations under Article 8, each Party shall have full rights to exploit and license Joint IP (and any Patents therein), without any obligation or requirement of an accounting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9.1.5      </w:t>
      </w:r>
      <w:r>
        <w:rPr>
          <w:rFonts w:ascii="Times New Roman" w:hAnsi="Times New Roman"/>
          <w:b/>
          <w:caps w:val="false"/>
          <w:smallCaps w:val="false"/>
          <w:sz w:val="20"/>
        </w:rPr>
        <w:t>Independent Development</w:t>
      </w:r>
      <w:r>
        <w:rPr>
          <w:rFonts w:ascii="Times New Roman" w:hAnsi="Times New Roman"/>
          <w:caps w:val="false"/>
          <w:smallCaps w:val="false"/>
          <w:sz w:val="20"/>
        </w:rPr>
        <w:t>. Subject to the licenses granted hereunder, nothing in this Agreement shall be construed as limiting either TGTX’s or Precision’s right to Develop and in-license technology related to the TGTX Background IP (in the case of TGTX) or Precision Background IP (in the case of Precision) outside the scope of this Agreement in its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9.1.6   </w:t>
      </w:r>
      <w:r>
        <w:rPr>
          <w:rFonts w:ascii="Times New Roman" w:hAnsi="Times New Roman"/>
          <w:b/>
          <w:caps w:val="false"/>
          <w:smallCaps w:val="false"/>
          <w:sz w:val="20"/>
        </w:rPr>
        <w:t>Assignment Obligation</w:t>
      </w:r>
      <w:r>
        <w:rPr>
          <w:rFonts w:ascii="Times New Roman" w:hAnsi="Times New Roman"/>
          <w:caps w:val="false"/>
          <w:smallCaps w:val="false"/>
          <w:sz w:val="20"/>
        </w:rPr>
        <w:t>. Each Party shall cause all of its Affiliates, directors, officers, employees, agents, independent contractors, Sublicensees, consultants, and others who perform activities for such Party under this Agreement (each, a “</w:t>
      </w:r>
      <w:r>
        <w:rPr>
          <w:rFonts w:ascii="Times New Roman" w:hAnsi="Times New Roman"/>
          <w:b/>
          <w:i/>
          <w:caps w:val="false"/>
          <w:smallCaps w:val="false"/>
          <w:sz w:val="20"/>
        </w:rPr>
        <w:t>Representative</w:t>
      </w:r>
      <w:r>
        <w:rPr>
          <w:rFonts w:ascii="Times New Roman" w:hAnsi="Times New Roman"/>
          <w:caps w:val="false"/>
          <w:smallCaps w:val="false"/>
          <w:sz w:val="20"/>
        </w:rPr>
        <w:t>”) to be under an appropriate obligation of confidentiality and non-use consistent with the provisions of this Agreement and an obligation to assign (or, if such Party is unable to cause such person or entity to agree to such assignment obligation despite such Party using reasonable efforts to negotiate such assignment obligation, provide a license, preferably exclusive, under) to such Party their rights in and to any Inventions and all intellectual property rights therein such that the Party is able to comply with its obligations under this Agreement as if such Invention had been discovered, created, acquired, conceived or reduced to practice by such Party, except where Applicable Law requires otherwise and except in the case of governmental, not-for-profit and public institutions that have standard policies against such an assignment (in which case a Party shall obtain a suitable license, preferably exclusive, or right to obtain such a license). Each Party shall use reasonable efforts to promptly disclose to the other Party in writing all Inventions arising under this Agreement that are owned by the other Party, including any invention disclosures, or other similar documents, submitted to it by its Representatives describing such Inventions, and all information relating to such Inventions to the extent necessary or useful for the preparation, filing and maintenance of any Patent with respect to such Invention.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b/>
          <w:caps w:val="false"/>
          <w:smallCaps w:val="false"/>
          <w:sz w:val="20"/>
        </w:rPr>
        <w:t>Patent Prosecution and Maintenance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9.2.1    </w:t>
      </w:r>
      <w:r>
        <w:rPr>
          <w:rFonts w:ascii="Times New Roman" w:hAnsi="Times New Roman"/>
          <w:b/>
          <w:caps w:val="false"/>
          <w:smallCaps w:val="false"/>
          <w:sz w:val="20"/>
        </w:rPr>
        <w:t>Rights to Prosecute and Maintain Patents</w:t>
      </w:r>
      <w:r>
        <w:rPr>
          <w:rFonts w:ascii="Times New Roman" w:hAnsi="Times New Roman"/>
          <w:caps w:val="false"/>
          <w:smallCaps w:val="false"/>
          <w:sz w:val="20"/>
        </w:rPr>
        <w:t xml:space="preserve">. As between the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TGTX has the sole right, but not the obligation, to Prosecute and Maintain any Patents constituting or claiming any TGTX Background IP or TGTX Sole IP, at TGTX’s sole cost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 xml:space="preserve">(b)    Precision (or Precision’s designee, as applicable) has the first right, but not the obligation, to Prosecute and Maintain any Patents constituting or claiming any Precision Background IP or Precision Sole IP, at Precision’s (or its designee’s, as applicable) sole cost and expense. Precision will give TGTX the opportunity to review (i) the text of any Precision Product-Specific Claim and (ii) responses to office actions related thereto, in each case, before filing of the relevant application or responding to such office action. Precision will reasonably consider any input or feedback from TGTX with respect to the foregoing, </w:t>
      </w:r>
      <w:r>
        <w:rPr>
          <w:rFonts w:ascii="Times New Roman" w:hAnsi="Times New Roman"/>
          <w:i/>
          <w:caps w:val="false"/>
          <w:smallCaps w:val="false"/>
          <w:sz w:val="20"/>
        </w:rPr>
        <w:t>provided</w:t>
      </w:r>
      <w:r>
        <w:rPr>
          <w:rFonts w:ascii="Times New Roman" w:hAnsi="Times New Roman"/>
          <w:caps w:val="false"/>
          <w:smallCaps w:val="false"/>
          <w:sz w:val="20"/>
        </w:rPr>
        <w:t>, that Precision shall have the final authority with respect to any such decisions. In the event that Precision (or Precision’s designee, as applicable) elects not to conduct a Patent Defense Matter with respect to a Precision Patent, Precision may, in Precision’s sole discretion, elect to permit TGTX to conduct such Patent Defense Matter, at TGTX’s sole cost and expense. In the event that Precision elects in writing to permit TGTX to conduct a Patent Defense Matter with respect to any Precision Patent, TGTX shall keep Precision reasonably informed of the status of such Patent Defense Matter and shall consider in good faith Precision’s comments thereon. TGTX shall provide Precision with drafts of all material papers and statements to be filed in connection with such Patent Defense Matter in sufficient time to allow Precision to review, consider and substantively comment thereon, and shall in good faith consider all reasonable comments thereto by Precision before filing such papers or statements. Precision may, at its own expense, join as a party to such Patent Defense Matter and be represented in any such action by counsel of its own choice.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TGTX has the first right, but not the obligation, to Prosecute and Maintain any Patents constituting or claiming any Joint IP, at TGTX’s sole cost and expense, and Precision shall have the secondary right, at Precision’s sole cost and expense, to Prosecute and Maintain any Patents constituting or claiming any Joint IP, subject to and in accordance with Section 9.2.2.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(d)    TGTX acknowledges and agrees that Precision has no rights or responsibility for preparing, filing, Prosecuting or Maintaining the Cellectis Patents. For clarity, TGTX shall have no rights with respect to preparing, filing Prosecuting or Maintaining the Cellectis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9.2.2   </w:t>
      </w:r>
      <w:r>
        <w:rPr>
          <w:rFonts w:ascii="Times New Roman" w:hAnsi="Times New Roman"/>
          <w:b/>
          <w:caps w:val="false"/>
          <w:smallCaps w:val="false"/>
          <w:sz w:val="20"/>
        </w:rPr>
        <w:t>Prosecution and Maintenance Procedures for Joint IP</w:t>
      </w:r>
      <w:r>
        <w:rPr>
          <w:rFonts w:ascii="Times New Roman" w:hAnsi="Times New Roman"/>
          <w:caps w:val="false"/>
          <w:smallCaps w:val="false"/>
          <w:sz w:val="20"/>
        </w:rPr>
        <w:t>. The Party handling the Prosecution and Maintenance of a Patent claiming or constituting Joint IP under Section 9.2.1(c) (the “</w:t>
      </w:r>
      <w:r>
        <w:rPr>
          <w:rFonts w:ascii="Times New Roman" w:hAnsi="Times New Roman"/>
          <w:b/>
          <w:i/>
          <w:caps w:val="false"/>
          <w:smallCaps w:val="false"/>
          <w:sz w:val="20"/>
        </w:rPr>
        <w:t>Prosecuting Party</w:t>
      </w:r>
      <w:r>
        <w:rPr>
          <w:rFonts w:ascii="Times New Roman" w:hAnsi="Times New Roman"/>
          <w:caps w:val="false"/>
          <w:smallCaps w:val="false"/>
          <w:sz w:val="20"/>
        </w:rPr>
        <w:t>”) shall keep the other Party reasonably informed of the status of the applicable Patent and shall promptly provide the other Party with all material correspondence received from any patent authority in connection therewith. In addition, the Prosecuting Party shall promptly provide the other Party with drafts of all proposed material filings and correspondence to any patent authority with respect to the applicable Patent for the other Party’s review and comment prior to the submission of such proposed filings and correspondences, and the Prosecuting Party shall consider the other Party’s reasonable comments in good faith. The Prosecuting Party shall notify the other Party of its intention to suspend or cease any Prosecution and Maintenance of any such Patent. The Prosecuting Party shall provide such notice at least [***] prior to any filing or payment due date, or any other due date that requires action, in connection with such Patent. In such event, the Prosecuting Party shall permit the other Party, at the other Party’s discretion and at its sole expense, to continue Prosecution and Maintenance of such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9.2.3    </w:t>
      </w:r>
      <w:r>
        <w:rPr>
          <w:rFonts w:ascii="Times New Roman" w:hAnsi="Times New Roman"/>
          <w:b/>
          <w:caps w:val="false"/>
          <w:smallCaps w:val="false"/>
          <w:sz w:val="20"/>
        </w:rPr>
        <w:t>Separation of Patent Claims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If a Party determines that an application for a Patent filed, or sought to be filed, by the other Party claims [***], then the Parties agree that, to the extent practicable, such application shall be divided into two (2) or more Patent applications, so that each application shall contain claims that cover only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If the division contemplated in Section 9.2.3(a) is not practicable, or a single claim covers [***], then such Patent application shall be subject to the provisions of this Agreement relating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(c)    Similarly, an attempt shall be made to divide Patent applications into those that claim Inventions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9.2.4    </w:t>
      </w:r>
      <w:r>
        <w:rPr>
          <w:rFonts w:ascii="Times New Roman" w:hAnsi="Times New Roman"/>
          <w:b/>
          <w:caps w:val="false"/>
          <w:smallCaps w:val="false"/>
          <w:sz w:val="20"/>
        </w:rPr>
        <w:t>Cooperation</w:t>
      </w:r>
      <w:r>
        <w:rPr>
          <w:rFonts w:ascii="Times New Roman" w:hAnsi="Times New Roman"/>
          <w:caps w:val="false"/>
          <w:smallCaps w:val="false"/>
          <w:sz w:val="20"/>
        </w:rPr>
        <w:t xml:space="preserve"> </w:t>
      </w:r>
      <w:r>
        <w:rPr>
          <w:rFonts w:ascii="Times New Roman" w:hAnsi="Times New Roman"/>
          <w:b/>
          <w:caps w:val="false"/>
          <w:smallCaps w:val="false"/>
          <w:sz w:val="20"/>
        </w:rPr>
        <w:t>of</w:t>
      </w:r>
      <w:r>
        <w:rPr>
          <w:rFonts w:ascii="Times New Roman" w:hAnsi="Times New Roman"/>
          <w:caps w:val="false"/>
          <w:smallCaps w:val="false"/>
          <w:sz w:val="20"/>
        </w:rPr>
        <w:t xml:space="preserve"> </w:t>
      </w:r>
      <w:r>
        <w:rPr>
          <w:rFonts w:ascii="Times New Roman" w:hAnsi="Times New Roman"/>
          <w:b/>
          <w:caps w:val="false"/>
          <w:smallCaps w:val="false"/>
          <w:sz w:val="20"/>
        </w:rPr>
        <w:t>the</w:t>
      </w:r>
      <w:r>
        <w:rPr>
          <w:rFonts w:ascii="Times New Roman" w:hAnsi="Times New Roman"/>
          <w:caps w:val="false"/>
          <w:smallCaps w:val="false"/>
          <w:sz w:val="20"/>
        </w:rPr>
        <w:t xml:space="preserve"> </w:t>
      </w:r>
      <w:r>
        <w:rPr>
          <w:rFonts w:ascii="Times New Roman" w:hAnsi="Times New Roman"/>
          <w:b/>
          <w:caps w:val="false"/>
          <w:smallCaps w:val="false"/>
          <w:sz w:val="20"/>
        </w:rPr>
        <w:t>Parties</w:t>
      </w:r>
      <w:r>
        <w:rPr>
          <w:rFonts w:ascii="Times New Roman" w:hAnsi="Times New Roman"/>
          <w:caps w:val="false"/>
          <w:smallCaps w:val="false"/>
          <w:sz w:val="20"/>
        </w:rPr>
        <w:t>. Each Party shall, at the other Party’s reasonable request, cooperate with the other Party in the Prosecution and Maintenance of Patents under this Section 9.2 at [***] cost (except as expressly set forth otherwise in this Article 9), including by: (a) executing all papers and instruments, or requiring its Representatives, to execute such papers and instruments, to enable the other Party to apply for and to Prosecute and Maintain such Patents in any country as permitted by this Section 9.2; and (b) promptly informing the other Party of any matters coming to such Party’s attention that may affect the Prosecution and Maintenance of any such Patents. [***]. Each Party will use reasonable efforts via good faith consultation with the other to avoid creating potential issues in Prosecution and Maintenance of Patents under this Section 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9.2.5    </w:t>
      </w:r>
      <w:r>
        <w:rPr>
          <w:rFonts w:ascii="Times New Roman" w:hAnsi="Times New Roman"/>
          <w:b/>
          <w:caps w:val="false"/>
          <w:smallCaps w:val="false"/>
          <w:sz w:val="20"/>
        </w:rPr>
        <w:t>Patent Working Group</w:t>
      </w:r>
      <w:r>
        <w:rPr>
          <w:rFonts w:ascii="Times New Roman" w:hAnsi="Times New Roman"/>
          <w:caps w:val="false"/>
          <w:smallCaps w:val="false"/>
          <w:sz w:val="20"/>
        </w:rPr>
        <w:t>. Each Party shall designate to the other Party in writing a patent Prosecution and Maintenance representative to liaise with the other Party’s patent Prosecution and Maintenance representative with respect to the Prosecution and Maintenance of Patents under this Section 9.2; such representatives will meet no less frequently than quarterly during the Term, by means of teleconference, Internet conference, videoconference, or other similar communication method, to discuss matters relevant to the Prosecution and Maintenance of Patents under this Section 9.2, including timing of planned filings and other upcoming Prosecution and Maintenance actions. Each Party may update its patent Prosecution and Maintenance representative at any time upon written notice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9.3         </w:t>
      </w:r>
      <w:r>
        <w:rPr>
          <w:rFonts w:ascii="Times New Roman" w:hAnsi="Times New Roman"/>
          <w:b/>
          <w:caps w:val="false"/>
          <w:smallCaps w:val="false"/>
          <w:sz w:val="20"/>
        </w:rPr>
        <w:t>Infringement or Misappropriation by Third Parties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9.3.1    </w:t>
      </w:r>
      <w:r>
        <w:rPr>
          <w:rFonts w:ascii="Times New Roman" w:hAnsi="Times New Roman"/>
          <w:b/>
          <w:caps w:val="false"/>
          <w:smallCaps w:val="false"/>
          <w:sz w:val="20"/>
        </w:rPr>
        <w:t>Notice</w:t>
      </w:r>
      <w:r>
        <w:rPr>
          <w:rFonts w:ascii="Times New Roman" w:hAnsi="Times New Roman"/>
          <w:caps w:val="false"/>
          <w:smallCaps w:val="false"/>
          <w:sz w:val="20"/>
        </w:rPr>
        <w:t>. Each Party shall notify the other within [ten (10) Business Days] of becoming aware of any alleged or threatened infringement by a Third Party of any of the Precision Patents or Joint Patents, in each case in the Licensed Field in the Territory, and any related declaratory judgment, opposition, or similar action alleging the invalidity, unenforceability or non-infringement of any of the Precision Patents or Joint Patents (collectively “</w:t>
      </w:r>
      <w:r>
        <w:rPr>
          <w:rFonts w:ascii="Times New Roman" w:hAnsi="Times New Roman"/>
          <w:b/>
          <w:i/>
          <w:caps w:val="false"/>
          <w:smallCaps w:val="false"/>
          <w:sz w:val="20"/>
        </w:rPr>
        <w:t>Infringement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9.3.2    </w:t>
      </w:r>
      <w:r>
        <w:rPr>
          <w:rFonts w:ascii="Times New Roman" w:hAnsi="Times New Roman"/>
          <w:b/>
          <w:caps w:val="false"/>
          <w:smallCaps w:val="false"/>
          <w:sz w:val="20"/>
        </w:rPr>
        <w:t>Joint IP and Precision Product Patents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(a)    As between the Parties, TGTX has the first right, but not the obligation, to bring and control any legal action, at [***] cost and expense, in connection with (i) any Infringement of any [***] or (ii) any Infringement of any Joint IP (other than any [***]) that is competitive with the Licensed Product. TGTX shall keep Precision reasonably informed of the status of such enforcement efforts for such Joint IP or [***] and shall consider in good faith Precision’s comments thereon. TGTX shall provide Precision with drafts of all material papers and statements to be filed with the court in sufficient time to allow Precision to review, consider and substantively comment thereon, and shall in good faith consider all reasonable comments thereto by Precision before filing such papers or statements. Precision may, at [***] expense, join as a party to such claim, suit, or proceeding and be represented in any such action by counsel of its own choice. If TGTX does not bring such legal action within [***] after the notice provided pursuant to Section 9.3.1 (or within such shorter period prior to the next deadline for any action that must be taken in order to bring such legal action), Precision may bring and control any legal action in connection with such Infringement, at [***] cost and expense as it reasonably determines appropriate so long as TGTX does not reasonably object to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980"/>
        <w:jc w:val="both"/>
        <w:rPr>
          <w:caps w:val="false"/>
          <w:smallCaps w:val="false"/>
        </w:rPr>
      </w:pPr>
      <w:r>
        <w:rPr>
          <w:caps w:val="false"/>
          <w:smallCaps w:val="false"/>
        </w:rPr>
        <w:t> </w:t>
      </w:r>
      <w:r>
        <w:rPr>
          <w:rFonts w:ascii="Times New Roman" w:hAnsi="Times New Roman"/>
          <w:caps w:val="false"/>
          <w:smallCaps w:val="false"/>
          <w:sz w:val="20"/>
        </w:rPr>
        <w:t>(b)    As between the Parties, Precision shall have the first right, but not the obligation, to bring and control any legal action, at [***] cost and expense, in connection with any Infringement of any Joint IP (other than any Infringement described in Section 9.3.2(a)). Precision shall keep TGTX reasonably informed of the status of such enforcement efforts for such Joint IP and shall consider in good faith TGTX’s comments thereon. Precision shall provide TGTX with drafts of all material papers and statements to be filed with the court in sufficient time to allow TGTX to review, consider and substantively comment thereon, and shall in good faith consider all reasonable comments thereto by TGTX before filing such papers or statements. TGTX may, at its own expense, join as a party to such claim, suit, or proceeding and be represented in any such action by counsel of its own choice. If Precision does not bring such legal action within [***] after the notice provided pursuant to Section 9.3.1, TGTX may bring and control any legal action in connection with such Infringement, at [***] cost and expense as it reasonably determines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9.3.3    </w:t>
      </w:r>
      <w:r>
        <w:rPr>
          <w:rFonts w:ascii="Times New Roman" w:hAnsi="Times New Roman"/>
          <w:b/>
          <w:caps w:val="false"/>
          <w:smallCaps w:val="false"/>
          <w:sz w:val="20"/>
        </w:rPr>
        <w:t>Precision Background IP and Precision Sole IP</w:t>
      </w:r>
      <w:r>
        <w:rPr>
          <w:rFonts w:ascii="Times New Roman" w:hAnsi="Times New Roman"/>
          <w:caps w:val="false"/>
          <w:smallCaps w:val="false"/>
          <w:sz w:val="20"/>
        </w:rPr>
        <w:t>. Except as set forth in Section 9.3.2(a), as between the Parties, Precision has the sole right to initiate any proceedings or take other appropriate actions against an infringement of any Precision Background IP or Precision Sole IP and to defend against any challenge of any Precision Background IP or Precision Sole IP that are brought by a Third Party in connection with such infringement. TGTX acknowledges and agrees that (a) Precision has no rights or responsibility for enforcing the Cellectis Patents, and therefore all references to Precision Background IP in this Section 9.3 shall be deemed to exclude the Cellectis Patents for all purposes, (b) prior to initiating enforcement actions against a Third Party with respect to certain Precision Patents which are subject to the non-exclusive license granted by Precision to Cellectis S.A. pursuant to the Cellectis Agreement, Precision is required by the Cellectis Agreement to confirm that Cellectis S.A. has not granted a license to such Third Party under such Precision Patents, and TGTX will cooperate with Precision in taking such actions as required by the Cellectis Agreement, and (c) Duke retains discretion as to whether to become a party plaintiff and has certain rights with respect to enforcement of Patents contained within the Duke IP in the event Precision does not enforce such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9.3.4    </w:t>
      </w:r>
      <w:r>
        <w:rPr>
          <w:rFonts w:ascii="Times New Roman" w:hAnsi="Times New Roman"/>
          <w:b/>
          <w:caps w:val="false"/>
          <w:smallCaps w:val="false"/>
          <w:sz w:val="20"/>
        </w:rPr>
        <w:t>TGTX Background IP and TGTX Sole IP</w:t>
      </w:r>
      <w:r>
        <w:rPr>
          <w:rFonts w:ascii="Times New Roman" w:hAnsi="Times New Roman"/>
          <w:caps w:val="false"/>
          <w:smallCaps w:val="false"/>
          <w:sz w:val="20"/>
        </w:rPr>
        <w:t>. TGTX has the sole right to initiate any proceedings or take other appropriate actions against an infringement of any TGTX Background IP or TGTX Sole IP and to defend against any challenge of any TGTX Background IP or TGTX Sole IP that are brought by a Third Party in connection with such infringement.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9.3.5    </w:t>
      </w:r>
      <w:r>
        <w:rPr>
          <w:rFonts w:ascii="Times New Roman" w:hAnsi="Times New Roman"/>
          <w:b/>
          <w:caps w:val="false"/>
          <w:smallCaps w:val="false"/>
          <w:sz w:val="20"/>
        </w:rPr>
        <w:t>Allocation of Recoveries</w:t>
      </w:r>
      <w:r>
        <w:rPr>
          <w:rFonts w:ascii="Times New Roman" w:hAnsi="Times New Roman"/>
          <w:caps w:val="false"/>
          <w:smallCaps w:val="false"/>
          <w:sz w:val="20"/>
        </w:rPr>
        <w:t>. Any recoveries resulting from enforcement action relating to a claim of Infringement shall be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9.3.6    </w:t>
      </w:r>
      <w:r>
        <w:rPr>
          <w:rFonts w:ascii="Times New Roman" w:hAnsi="Times New Roman"/>
          <w:b/>
          <w:caps w:val="false"/>
          <w:smallCaps w:val="false"/>
          <w:sz w:val="20"/>
        </w:rPr>
        <w:t>Cooperation</w:t>
      </w:r>
      <w:r>
        <w:rPr>
          <w:rFonts w:ascii="Times New Roman" w:hAnsi="Times New Roman"/>
          <w:caps w:val="false"/>
          <w:smallCaps w:val="false"/>
          <w:sz w:val="20"/>
        </w:rPr>
        <w:t>. At the request and expense of the Party bringing an action under this Section 9.3, the other Party shall provide reasonable assistance in connection therewith, including by executing reasonably appropriate documents, cooperating in discovery and joining as a party to the action if required by Applicable Law to pursue such action. In connection with any such enforcement action, the Party bringing the action shall not enter into any settlement admitting the invalidity or non-infringement of, or otherwise impairing the other Party’s rights in the applicable Patents without the prior written consent of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9.4       </w:t>
      </w:r>
      <w:r>
        <w:rPr>
          <w:rFonts w:ascii="Times New Roman" w:hAnsi="Times New Roman"/>
          <w:b/>
          <w:caps w:val="false"/>
          <w:smallCaps w:val="false"/>
          <w:sz w:val="20"/>
        </w:rPr>
        <w:t>Defense and Settlement of Third Party Claims</w:t>
      </w:r>
      <w:r>
        <w:rPr>
          <w:rFonts w:ascii="Times New Roman" w:hAnsi="Times New Roman"/>
          <w:caps w:val="false"/>
          <w:smallCaps w:val="false"/>
          <w:sz w:val="20"/>
        </w:rPr>
        <w:t>. Each Party shall promptly notify the other in writing of: (a) any allegation by a Third Party that the activity of either of the Parties pursuant to this Agreement infringes or may infringe the intellectual property rights of such Third Party; or (b) any declaratory judgment action that is brought naming either Party as a defendant and alleging invalidity of any of the Precision Patents, or Joint Patents. Precision has the sole right to control any defense of any such claim described in (a) involving alleged infringement of Third Party rights by Precision’s activities at [***] expense and by counsel of its own choice, and TGTX may, at [***] expense, be represented in any such action by counsel of its own choice. TGTX has the sole right to control any defense of any such claim described in (a) involving alleged infringement of Third Party rights by TGTX’s activities at [***] expense and by counsel of its own choice, and Precision may, at [***] expense, be represented in any such action by counsel of its own choice. Neither Party may settle any patent infringement litigation under this Section 9.4 in a manner that admits the invalidity or unenforceability of the other Party’s Patents or a Joint Patent or imposes on the other Party restrictions or obligations or other liabilities, without the written consent of such other Party, which consent shall not be unreasonably withheld, conditioned, or delayed. Nothing in this Section 9.4 will limit any indemnification rights or obligations of a Party under Article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9.5        </w:t>
      </w:r>
      <w:r>
        <w:rPr>
          <w:rFonts w:ascii="Times New Roman" w:hAnsi="Times New Roman"/>
          <w:b/>
          <w:caps w:val="false"/>
          <w:smallCaps w:val="false"/>
          <w:sz w:val="20"/>
        </w:rPr>
        <w:t>Patent Extension</w:t>
      </w:r>
      <w:r>
        <w:rPr>
          <w:rFonts w:ascii="Times New Roman" w:hAnsi="Times New Roman"/>
          <w:caps w:val="false"/>
          <w:smallCaps w:val="false"/>
          <w:sz w:val="20"/>
        </w:rPr>
        <w:t>. The Parties shall cooperate in determining whether a Joint Patent claiming or covering a Licensed Product should be extended, and thereafter the Parties shall cooperate in obtaining patent term restorations, supplemental protection certificates or their equivalents, and other forms of patent term extensions for a given Licensed Product with respect to any applicable Joint Patent in any country or region where applicable. Precision shall have final decision-making authority with respect to decisions regarding patent term extensions for Precision Patents. TGTX shall have final decision-making authority with respect to decisions regarding patent term extensions for TGTX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9.6         </w:t>
      </w:r>
      <w:r>
        <w:rPr>
          <w:rFonts w:ascii="Times New Roman" w:hAnsi="Times New Roman"/>
          <w:b/>
          <w:caps w:val="false"/>
          <w:smallCaps w:val="false"/>
          <w:sz w:val="20"/>
        </w:rPr>
        <w:t>CREATE Act</w:t>
      </w:r>
      <w:r>
        <w:rPr>
          <w:rFonts w:ascii="Times New Roman" w:hAnsi="Times New Roman"/>
          <w:caps w:val="false"/>
          <w:smallCaps w:val="false"/>
          <w:sz w:val="20"/>
        </w:rPr>
        <w:t>. It is the Parties’ intention that this Agreement is a “joint research agreement” as that phrase is defined in 35 U.S.C. § 102(c) as amended by the Cooperative Research and Technology Enhancement (CREATE) Act, including the provisions of 35 U.S.C. § 102(b)(2)(c). The Parties agree to cooperate and to take reasonable actions to maximize the protections available for the Licensed ARCUS Nuclease and Licensed Products under such safe harbor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9.7      </w:t>
      </w:r>
      <w:r>
        <w:rPr>
          <w:rFonts w:ascii="Times New Roman" w:hAnsi="Times New Roman"/>
          <w:b/>
          <w:caps w:val="false"/>
          <w:smallCaps w:val="false"/>
          <w:sz w:val="20"/>
        </w:rPr>
        <w:t>Licenses to Third Party Intellectual Property Rights</w:t>
      </w:r>
      <w:r>
        <w:rPr>
          <w:rFonts w:ascii="Times New Roman" w:hAnsi="Times New Roman"/>
          <w:caps w:val="false"/>
          <w:smallCaps w:val="false"/>
          <w:sz w:val="20"/>
        </w:rPr>
        <w:t>. If (a) a Party becomes aware of any Patent of a Third Party that (i) claims or embodies the Licensed ARCUS Nuclease or ARCUS Technology as a composition of matter, or a method of making or using the Licensed ARCUS Nuclease or ARCUS Technology and (ii) is not the subject of an agreement with a Party as of or prior to the Effective Date; then (b) such Party shall notify the other in writing, identifying the relevant Patent. Precision shall have the first right (but not the obligation) to negotiate and obtain a license from such Third Party under such Patent described under a notice described in the foregoing (a) for a period of [***] following the date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9.8       </w:t>
      </w:r>
      <w:r>
        <w:rPr>
          <w:rFonts w:ascii="Times New Roman" w:hAnsi="Times New Roman"/>
          <w:b/>
          <w:caps w:val="false"/>
          <w:smallCaps w:val="false"/>
          <w:sz w:val="20"/>
        </w:rPr>
        <w:t>Licensed Product Trademarks</w:t>
      </w:r>
      <w:r>
        <w:rPr>
          <w:rFonts w:ascii="Times New Roman" w:hAnsi="Times New Roman"/>
          <w:caps w:val="false"/>
          <w:smallCaps w:val="false"/>
          <w:sz w:val="20"/>
        </w:rPr>
        <w:t>. TGTX shall have the right to select, and the right to use and to register in any trademark office in the Territory, any trademark for use with the Licensed Product (the “</w:t>
      </w:r>
      <w:r>
        <w:rPr>
          <w:rFonts w:ascii="Times New Roman" w:hAnsi="Times New Roman"/>
          <w:b/>
          <w:i/>
          <w:caps w:val="false"/>
          <w:smallCaps w:val="false"/>
          <w:sz w:val="20"/>
        </w:rPr>
        <w:t>Licensed Product Trademarks</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TGTX shall not use, file applications for, or register any trademarks owned by Precision (or its Affiliates or licensees), or that are confusingly similar thereto, whether stand-alone or in combination with a design element, for the benefit of branding (including co-branding) without the prior written consent of Precision. As between the Parties, TGTX shall own all right, title and interest in and to any such Licensed Product Trademarks adopted by TGTX for use with a Licensed Product, and is responsible for the registration, filing, maintenance and enforcement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10</w:t>
      </w:r>
      <w:r>
        <w:rPr>
          <w:rFonts w:ascii="Times New Roman" w:hAnsi="Times New Roman"/>
          <w:caps w:val="false"/>
          <w:smallCaps w:val="false"/>
          <w:sz w:val="20"/>
        </w:rPr>
        <w:br/>
        <w:br/>
      </w:r>
      <w:r>
        <w:rPr>
          <w:rFonts w:ascii="Times New Roman" w:hAnsi="Times New Roman"/>
          <w:b/>
          <w:caps w:val="false"/>
          <w:smallCaps w:val="false"/>
          <w:sz w:val="20"/>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b/>
          <w:caps w:val="false"/>
          <w:smallCaps w:val="false"/>
          <w:sz w:val="20"/>
        </w:rPr>
        <w:t>Mutual Representations and Warranties</w:t>
      </w:r>
      <w:r>
        <w:rPr>
          <w:rFonts w:ascii="Times New Roman" w:hAnsi="Times New Roman"/>
          <w:caps w:val="false"/>
          <w:smallCaps w:val="false"/>
          <w:sz w:val="20"/>
        </w:rPr>
        <w:t>. Each of TGTX and Precision represent and warrant that,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10.1.1    it is duly organized and validly existing under in the Applicable Laws of the jurisdiction of its incorporation or formation, as applicable, has full corporate, limited liability company or other power and authority, as applicable, to enter into this Agreement and to carry out the provisions hereof, and has sufficient facilities, experienced personnel or other capabilities (including via Affiliates and/or Third Parties) to enable it to perform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10.1.2    it is duly authorized to execute and deliver this Agreement and to perform its obligations hereunder, and the individual executing this Agreement on its behalf has been duly authorized to do so by all requisite corporate, limited liability company or other action, as applicable;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10.1.3    this Agreement is legally binding upon it and enforceable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 the execution, delivery and performance of this Agreement by it have been duly authorized by all necessary corporate action and do not and will not: (a) conflict with, or constitute a default or result in a breach under, any agreement, instrument or understanding, oral or written, to which it is a party or by which it may be bound, or violate any Applicable Law; or (b) require any consent or approval of its stockholders or similar.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b/>
          <w:caps w:val="false"/>
          <w:smallCaps w:val="false"/>
          <w:sz w:val="20"/>
        </w:rPr>
        <w:t>Precision Representations and Warranties</w:t>
      </w:r>
      <w:r>
        <w:rPr>
          <w:rFonts w:ascii="Times New Roman" w:hAnsi="Times New Roman"/>
          <w:caps w:val="false"/>
          <w:smallCaps w:val="false"/>
          <w:sz w:val="20"/>
        </w:rPr>
        <w:t>. Precision represents and warrants to TGTX that,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10.2.1    </w:t>
      </w:r>
      <w:r>
        <w:rPr>
          <w:rFonts w:ascii="Times New Roman" w:hAnsi="Times New Roman"/>
          <w:b/>
          <w:caps w:val="false"/>
          <w:smallCaps w:val="false"/>
          <w:sz w:val="20"/>
        </w:rPr>
        <w:t>No Grants that Conflict with this Agreement</w:t>
      </w:r>
      <w:r>
        <w:rPr>
          <w:rFonts w:ascii="Times New Roman" w:hAnsi="Times New Roman"/>
          <w:caps w:val="false"/>
          <w:smallCaps w:val="false"/>
          <w:sz w:val="20"/>
        </w:rPr>
        <w:t>. Precision and its Affiliates have not granted any rights (or other encumbrances) to any Third Party under Precision Technology that conflict with the rights granted to TGTX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10.2.2    </w:t>
      </w:r>
      <w:r>
        <w:rPr>
          <w:rFonts w:ascii="Times New Roman" w:hAnsi="Times New Roman"/>
          <w:b/>
          <w:caps w:val="false"/>
          <w:smallCaps w:val="false"/>
          <w:sz w:val="20"/>
        </w:rPr>
        <w:t>Existing Patents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All Precision Patents Covering the Licensed Product or the Licensed ARCUS Nuclease that exist as of the Effective Date, other than the Cellectis Patents, that are issued or subject to a pending application for issuance are listed on </w:t>
      </w:r>
      <w:r>
        <w:rPr>
          <w:rFonts w:ascii="Times New Roman" w:hAnsi="Times New Roman"/>
          <w:caps w:val="false"/>
          <w:smallCaps w:val="false"/>
          <w:sz w:val="20"/>
          <w:u w:val="single"/>
        </w:rPr>
        <w:t>Exhibit 10.2.2</w:t>
      </w:r>
      <w:r>
        <w:rPr>
          <w:rFonts w:ascii="Times New Roman" w:hAnsi="Times New Roman"/>
          <w:caps w:val="false"/>
          <w:smallCaps w:val="false"/>
          <w:sz w:val="20"/>
        </w:rPr>
        <w:t xml:space="preserve"> (the “</w:t>
      </w:r>
      <w:r>
        <w:rPr>
          <w:rFonts w:ascii="Times New Roman" w:hAnsi="Times New Roman"/>
          <w:b/>
          <w:i/>
          <w:caps w:val="false"/>
          <w:smallCaps w:val="false"/>
          <w:sz w:val="20"/>
        </w:rPr>
        <w:t>Existing Patents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Existing Patents and the Cellectis Patents represent all Patents Controlled by Precision that Cover the Licensed Product, the Licensed ARCUS Nuclease, or the Exploitation of any of the foregoing in the Licensed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(c)     All Existing Patents are: (i) to the extent issued (unless otherwise indicated on </w:t>
      </w:r>
      <w:r>
        <w:rPr>
          <w:rFonts w:ascii="Times New Roman" w:hAnsi="Times New Roman"/>
          <w:caps w:val="false"/>
          <w:smallCaps w:val="false"/>
          <w:sz w:val="20"/>
          <w:u w:val="single"/>
        </w:rPr>
        <w:t>Exhibit 10.2.2</w:t>
      </w:r>
      <w:r>
        <w:rPr>
          <w:rFonts w:ascii="Times New Roman" w:hAnsi="Times New Roman"/>
          <w:caps w:val="false"/>
          <w:smallCaps w:val="false"/>
          <w:sz w:val="20"/>
        </w:rPr>
        <w:t>), subsisting and, to Precision’s Knowledge, not invalid or unenforceable, in whole or in part, or to Precision’s Knowledge, confer a valid right to claim priority thereto; (ii) solely and exclusively owned or exclusively licensed to Precision, free of any encumbrance, lien or claim of ownership by any Third Party; (iii) in respect of Existing Patents owned by Precision, to the extent subject to a pending application for issuance, being prosecuted in good faith in the respective patent offices in which such applications have been filed in accordance with Applicable Law and, to Precision’s Knowledge, all material references, documents and information have been presented to the relevant patent office in respect of such Existing Patents to the extent required by such patent office; (iv) in respect of Existing Patents owned by Precision, filed and maintained in accordance with applicable Patent office rules, and all applicable fees applicable thereto have been paid on or before any final due date for payment; and (v) in respect of Existing Patents owned by Precision, all Representatives of Precision who have performed any activities on its behalf in connection with the inventions claimed in the Existing Patents have assigned to Precision the whole of their rights in any intellectual property rights thereto conceived or reduced to practice by them, and no such Representative has any rights to any such Existing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10.2.3    </w:t>
      </w:r>
      <w:r>
        <w:rPr>
          <w:rFonts w:ascii="Times New Roman" w:hAnsi="Times New Roman"/>
          <w:b/>
          <w:caps w:val="false"/>
          <w:smallCaps w:val="false"/>
          <w:sz w:val="20"/>
        </w:rPr>
        <w: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10.2.4    </w:t>
      </w:r>
      <w:r>
        <w:rPr>
          <w:rFonts w:ascii="Times New Roman" w:hAnsi="Times New Roman"/>
          <w:b/>
          <w:caps w:val="false"/>
          <w:smallCaps w:val="false"/>
          <w:sz w:val="20"/>
        </w:rPr>
        <w: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10.2.5    </w:t>
      </w:r>
      <w:r>
        <w:rPr>
          <w:rFonts w:ascii="Times New Roman" w:hAnsi="Times New Roman"/>
          <w:b/>
          <w:caps w:val="false"/>
          <w:smallCaps w:val="false"/>
          <w:sz w:val="20"/>
        </w:rPr>
        <w:t>Other Material Claims and Actions</w:t>
      </w:r>
      <w:r>
        <w:rPr>
          <w:rFonts w:ascii="Times New Roman" w:hAnsi="Times New Roman"/>
          <w:caps w:val="false"/>
          <w:smallCaps w:val="false"/>
          <w:sz w:val="20"/>
        </w:rPr>
        <w:t>. There are no claims, actions, or proceedings pending or, to Precision’s Knowledge, threatened by any Third Party against Precision or its properties, assets or business, which if adversely decided, would, individually or in the aggregate, have a material adverse effect on, or prevent Precision’s ability to grant the licenses or rights granted to TGTX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10.2.6    </w:t>
      </w:r>
      <w:r>
        <w:rPr>
          <w:rFonts w:ascii="Times New Roman" w:hAnsi="Times New Roman"/>
          <w:b/>
          <w:caps w:val="false"/>
          <w:smallCaps w:val="false"/>
          <w:sz w:val="20"/>
        </w:rPr>
        <w:t>No Government Funding</w:t>
      </w:r>
      <w:r>
        <w:rPr>
          <w:rFonts w:ascii="Times New Roman" w:hAnsi="Times New Roman"/>
          <w:caps w:val="false"/>
          <w:smallCaps w:val="false"/>
          <w:sz w:val="20"/>
        </w:rPr>
        <w:t>. Except with respect to the Duke IP, the Inventions claimed or covered by the Precision Patents: (a) were not conceived, discovered, developed or otherwise made in connection with any research activities funded, in whole or in part, by the federal government of the United States of America or any agency thereof; (b) are not a “subject invention” as that term is described in 35 U.S.C. Section 201(e) and (c) are not otherwise subject to the provisions of the Patent and Trademark Law Amendments Act of 1980, as amended, codified at 35 U.S.C. §§ 200-212, as amended, as well as any regulations promulgated pursuant thereto, including in 37 C.F.R. Part 401 (the “</w:t>
      </w:r>
      <w:r>
        <w:rPr>
          <w:rFonts w:ascii="Times New Roman" w:hAnsi="Times New Roman"/>
          <w:b/>
          <w:i/>
          <w:caps w:val="false"/>
          <w:smallCaps w:val="false"/>
          <w:sz w:val="20"/>
        </w:rPr>
        <w:t>Bayh-Dole Act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10.2.7    </w:t>
      </w:r>
      <w:r>
        <w:rPr>
          <w:rFonts w:ascii="Times New Roman" w:hAnsi="Times New Roman"/>
          <w:b/>
          <w:caps w:val="false"/>
          <w:smallCaps w:val="false"/>
          <w:sz w:val="20"/>
        </w:rPr>
        <w:t>Regulatory Compliance of the Batch</w:t>
      </w:r>
      <w:r>
        <w:rPr>
          <w:rFonts w:ascii="Times New Roman" w:hAnsi="Times New Roman"/>
          <w:caps w:val="false"/>
          <w:smallCaps w:val="false"/>
          <w:sz w:val="20"/>
        </w:rPr>
        <w:t>. The batch of released Clinical Trial material to be delivered pursuant to Section 6.2.1 at the time of delivery to TGTX by Precision: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10.2.8    </w:t>
      </w:r>
      <w:r>
        <w:rPr>
          <w:rFonts w:ascii="Times New Roman" w:hAnsi="Times New Roman"/>
          <w:b/>
          <w:caps w:val="false"/>
          <w:smallCaps w:val="false"/>
          <w:sz w:val="20"/>
        </w:rPr>
        <w:t>Manufacturing Facilities</w:t>
      </w:r>
      <w:r>
        <w:rPr>
          <w:rFonts w:ascii="Times New Roman" w:hAnsi="Times New Roman"/>
          <w:caps w:val="false"/>
          <w:smallCaps w:val="false"/>
          <w:sz w:val="20"/>
        </w:rPr>
        <w:t>. To Precision’s Knowledge, all facilities used by Precision in connection with the Manufacture of the Licensed Product, including batch number PBCAR0191-2023-0006, are in good operating condition and repair, were designed to be capable to and were utilized by Precision to Manufacture the Licensed Product [***]. To Precision’s Knowledge, no inspection of such facilities has resulted in any warning letter, notice of violation letter or other notice, response or commitment made to or with the FDA or any other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10.3       </w:t>
      </w:r>
      <w:r>
        <w:rPr>
          <w:rFonts w:ascii="Times New Roman" w:hAnsi="Times New Roman"/>
          <w:b/>
          <w:caps w:val="false"/>
          <w:smallCaps w:val="false"/>
          <w:sz w:val="20"/>
        </w:rPr>
        <w:t>TGTX Representations and Warranties</w:t>
      </w:r>
      <w:r>
        <w:rPr>
          <w:rFonts w:ascii="Times New Roman" w:hAnsi="Times New Roman"/>
          <w:caps w:val="false"/>
          <w:smallCaps w:val="false"/>
          <w:sz w:val="20"/>
        </w:rPr>
        <w:t>. TGTX represents and warrants to Precision that, as of the Effective Date, TGTX and its Affiliates have not granted any rights (or other encumbrances) to any Third Party under TGTX Arising IP or TGTX Background IP that conflict with the rights granted to Precision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10.4       </w:t>
      </w:r>
      <w:r>
        <w:rPr>
          <w:rFonts w:ascii="Times New Roman" w:hAnsi="Times New Roman"/>
          <w:b/>
          <w:caps w:val="false"/>
          <w:smallCaps w:val="false"/>
          <w:sz w:val="20"/>
        </w:rPr>
        <w:t>Mutual 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10.4.1    </w:t>
      </w:r>
      <w:r>
        <w:rPr>
          <w:rFonts w:ascii="Times New Roman" w:hAnsi="Times New Roman"/>
          <w:b/>
          <w:caps w:val="false"/>
          <w:smallCaps w:val="false"/>
          <w:sz w:val="20"/>
        </w:rPr>
        <w:t>Debarment</w:t>
      </w:r>
      <w:r>
        <w:rPr>
          <w:rFonts w:ascii="Times New Roman" w:hAnsi="Times New Roman"/>
          <w:caps w:val="false"/>
          <w:smallCaps w:val="false"/>
          <w:sz w:val="20"/>
        </w:rPr>
        <w:t>. Each Party represents and warrants to the other Party that such Party has not, and its Representatives have not been: (a) debarred or disqualified under the U.S. Federal Food, Drug and Cosmetic Act; (b) listed by any government or regulatory agencies as ineligible to participate in any government healthcare programs or government procurement or non-procurement programs (as that term is defined in 42 U.S.C. § 1320a-7b(f)), or excluded, debarred, suspended or otherwise made ineligible to participate in any such program; or (c) convicted of a criminal offense related to the provision of healthcare items or services, or is subject to any such pending action. Each Party will not during the Term knowingly, employ or use, directly or indirectly, including through Affiliates the services of any such person. In the event that either Party becomes aware of the debarment or disqualification or threatened debarment or disqualification of any person providing services to such Party, directly or indirectly, including through Affiliates or Sublicensees, which directly or indirectly relate to activities contemplated by this Agreement, such Party shall promptly notify the other Party in writing and such Party shall cease employing, contracting with, or retaining any such person to perform any such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10.4.2    </w:t>
      </w:r>
      <w:r>
        <w:rPr>
          <w:rFonts w:ascii="Times New Roman" w:hAnsi="Times New Roman"/>
          <w:b/>
          <w:caps w:val="false"/>
          <w:smallCaps w:val="false"/>
          <w:sz w:val="20"/>
        </w:rPr>
        <w:t>Protection of Information</w:t>
      </w:r>
      <w:r>
        <w:rPr>
          <w:rFonts w:ascii="Times New Roman" w:hAnsi="Times New Roman"/>
          <w:caps w:val="false"/>
          <w:smallCaps w:val="false"/>
          <w:sz w:val="20"/>
        </w:rPr>
        <w:t>. Each Party agrees that during the Term of this Agreement, and without limiting its obligations hereunder, such Party shall implement technical and organizational measures to protect all information under the Agreement that are appropriate and that provide no less protection than both (a) good industry practice (i.e., in accordance with ISO 27001 and/or similar industry standards) and (b) such Party’s measures to protect its own information of a similar nature or importance.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10.5     </w:t>
      </w:r>
      <w:r>
        <w:rPr>
          <w:rFonts w:ascii="Times New Roman" w:hAnsi="Times New Roman"/>
          <w:b/>
          <w:caps w:val="false"/>
          <w:smallCaps w:val="false"/>
          <w:sz w:val="20"/>
        </w:rPr>
        <w:t>Precision Covenant</w:t>
      </w:r>
      <w:r>
        <w:rPr>
          <w:rFonts w:ascii="Times New Roman" w:hAnsi="Times New Roman"/>
          <w:caps w:val="false"/>
          <w:smallCaps w:val="false"/>
          <w:sz w:val="20"/>
        </w:rPr>
        <w:t>. Precision covenants and agrees that during the Term: (1) it shall satisfy all of its obligations under (including making all payments), and take all steps to maintain in full force and effect, the Existing In-License Agreements; (2) it will not assign (except an assignment to a party to which this Agreement has been assigned as permitted under Section 15.7), amend, restate, amend and restate, terminate in whole or in part, or otherwise modify an Existing In-License Agreement in any manner that limits TGTX’s exercise of the rights granted in this Agreement without the prior written consent of TGTX; and (3) it will provide TGTX with prompt notice of any claim of a breach under an Existing In-License Agreement made by either Precision or Duke or Cellectis S.A., as applicable. Notwithstanding anything herein to the contrary, Precision may, at any time, create a security interest in, pledge or assign, all or any portion of its rights under and interest in the Existing In-License Agreements in favor of any senior secured creditor of Precision, and such senior secured creditor may enforce such pledge or security interest in any manner permitted under applicable law; provided, however, that any such security interest, pledge, or assignment by Precision of all or any portion of its rights under and interest in the Existing In-License Agreements shall not diminish or impair the rights of TGTX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10.6       </w:t>
      </w:r>
      <w:r>
        <w:rPr>
          <w:rFonts w:ascii="Times New Roman" w:hAnsi="Times New Roman"/>
          <w:b/>
          <w:caps w:val="false"/>
          <w:smallCaps w:val="false"/>
          <w:sz w:val="20"/>
        </w:rPr>
        <w:t>Compliance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10.6.1    </w:t>
      </w:r>
      <w:r>
        <w:rPr>
          <w:rFonts w:ascii="Times New Roman" w:hAnsi="Times New Roman"/>
          <w:b/>
          <w:caps w:val="false"/>
          <w:smallCaps w:val="false"/>
          <w:sz w:val="20"/>
        </w:rPr>
        <w:t>Compliance with Applicable Laws</w:t>
      </w:r>
      <w:r>
        <w:rPr>
          <w:rFonts w:ascii="Times New Roman" w:hAnsi="Times New Roman"/>
          <w:caps w:val="false"/>
          <w:smallCaps w:val="false"/>
          <w:sz w:val="20"/>
        </w:rPr>
        <w:t>. Each Party covenants to the other that in the performance of its obligations under this Agreement, such Party shall comply with, and shall cause its Affiliates and its and its Affiliates’ employees and contractors to comply with, all Applicable Laws. No Party shall, or shall be required to, undertake any activity under or in connection with this Agreement which violates, or which it believes, in good faith, may violate, any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10.6.2    </w:t>
      </w:r>
      <w:r>
        <w:rPr>
          <w:rFonts w:ascii="Times New Roman" w:hAnsi="Times New Roman"/>
          <w:b/>
          <w:caps w:val="false"/>
          <w:smallCaps w:val="false"/>
          <w:sz w:val="20"/>
        </w:rPr>
        <w:t>Compliance with Internal Compliance Codes</w:t>
      </w:r>
      <w:r>
        <w:rPr>
          <w:rFonts w:ascii="Times New Roman" w:hAnsi="Times New Roman"/>
          <w:caps w:val="false"/>
          <w:smallCaps w:val="false"/>
          <w:sz w:val="20"/>
        </w:rPr>
        <w:t>. All Internal Compliance Codes shall apply only to the Party to which they relate. The Parties agree to cooperate with each other to help ensure that each Party is able to comply with the substance of its respective Internal Compliance Codes and, to the extent practicable, each Party shall operate in a manner consistent with its Internal Compliance Codes applicable to its performance under this Agreement. “</w:t>
      </w:r>
      <w:r>
        <w:rPr>
          <w:rFonts w:ascii="Times New Roman" w:hAnsi="Times New Roman"/>
          <w:b/>
          <w:i/>
          <w:caps w:val="false"/>
          <w:smallCaps w:val="false"/>
          <w:sz w:val="20"/>
        </w:rPr>
        <w:t>Internal Compliance Codes</w:t>
      </w:r>
      <w:r>
        <w:rPr>
          <w:rFonts w:ascii="Times New Roman" w:hAnsi="Times New Roman"/>
          <w:caps w:val="false"/>
          <w:smallCaps w:val="false"/>
          <w:sz w:val="20"/>
        </w:rPr>
        <w:t>,” as used in this Section 10.6.2, means a Party’s internal policies and procedures intended to ensure that a Party complies with Applicable Laws and such Party’s internal ethical, medical and similar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10.6.3    </w:t>
      </w:r>
      <w:r>
        <w:rPr>
          <w:rFonts w:ascii="Times New Roman" w:hAnsi="Times New Roman"/>
          <w:b/>
          <w:caps w:val="false"/>
          <w:smallCaps w:val="false"/>
          <w:sz w:val="20"/>
        </w:rPr>
        <w:t>Compliance with Anti-Corruption Laws</w:t>
      </w:r>
      <w:r>
        <w:rPr>
          <w:rFonts w:ascii="Times New Roman" w:hAnsi="Times New Roman"/>
          <w:caps w:val="false"/>
          <w:smallCaps w:val="false"/>
          <w:sz w:val="20"/>
        </w:rPr>
        <w:t>. In connection with this Agreement, the Parties shall comply with all applicable local, national, and international laws, regulations, and industry codes dealing with government procurement, conflicts of interest, corruption or bribery, including, if applicable, the U.S. Foreign Corrupt Practices Act of 1977, as amended, and any laws enacted to implement the Organization of Economic Cooperation and Development Convention on Combating Bribery of Foreign Officials in International Business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10.6.4    </w:t>
      </w:r>
      <w:r>
        <w:rPr>
          <w:rFonts w:ascii="Times New Roman" w:hAnsi="Times New Roman"/>
          <w:b/>
          <w:caps w:val="false"/>
          <w:smallCaps w:val="false"/>
          <w:sz w:val="20"/>
        </w:rPr>
        <w:t>Prohibited Conduct</w:t>
      </w:r>
      <w:r>
        <w:rPr>
          <w:rFonts w:ascii="Times New Roman" w:hAnsi="Times New Roman"/>
          <w:caps w:val="false"/>
          <w:smallCaps w:val="false"/>
          <w:sz w:val="20"/>
        </w:rPr>
        <w:t>. Without limiting the other obligations of the Parties set forth in this Section 10.6, each Party covenants to the other that, as of the Effective Date and in the performance of its obligations under this Agreement through the expiration and termination of this Agreement, such Party and, to its knowledge, its Affiliates and its and its Affiliates’ Representatives, in connection with the performance of their respective obligations under this Agreement, have not made, offered, given, promised to give, or authorized, and will not make, offer, give, promise to give, or authorize, any bribe, kickback, payment or transfer of anything of value, directly or indirectly through Third Parties, to any Government Official for the purpose of: (a) improperly influencing any act or decision of the Person or Government Official; (b) inducing the Person or Government Official to do or omit to do an act in violation of a lawful or otherwise required duty; (c) securing any improper advantage; or (d) inducing the Person or Government Official to improperly influence the act or decision of any organization, including any government or government instrumentality, to assist any Party in obtaining or retaining business. For the purpose of this Section 10.6.4, “</w:t>
      </w:r>
      <w:r>
        <w:rPr>
          <w:rFonts w:ascii="Times New Roman" w:hAnsi="Times New Roman"/>
          <w:b/>
          <w:i/>
          <w:caps w:val="false"/>
          <w:smallCaps w:val="false"/>
          <w:sz w:val="20"/>
        </w:rPr>
        <w:t>Government Official</w:t>
      </w:r>
      <w:r>
        <w:rPr>
          <w:rFonts w:ascii="Times New Roman" w:hAnsi="Times New Roman"/>
          <w:caps w:val="false"/>
          <w:smallCaps w:val="false"/>
          <w:sz w:val="20"/>
        </w:rPr>
        <w:t>” means: (x) any officer, employee (including physicians, hospital administrators, or 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(y) any candidate for political office, any political party or any official of a political party, in each case for the purpose of obtaining or retaining business for or with, or directing business to, any Person, including either Party; or (z) any Person acting in an official capacity on behalf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10.7      </w:t>
      </w:r>
      <w:r>
        <w:rPr>
          <w:rFonts w:ascii="Times New Roman" w:hAnsi="Times New Roman"/>
          <w:b/>
          <w:caps w:val="false"/>
          <w:smallCaps w:val="false"/>
          <w:sz w:val="20"/>
        </w:rPr>
        <w:t>Disclaimer</w:t>
      </w:r>
      <w:r>
        <w:rPr>
          <w:rFonts w:ascii="Times New Roman" w:hAnsi="Times New Roman"/>
          <w:caps w:val="false"/>
          <w:smallCaps w:val="false"/>
          <w:sz w:val="20"/>
        </w:rPr>
        <w:t>. EXCEPT AS OTHERWISE EXPRESSLY SET FORTH IN THIS ARTICLE 10 AND IN SECTIONS 8.2.2, 8.2.3, AND 8.14, NEITHER PARTY MAKES ANY REPRESENTATIONS OR EXTENDS ANY WARRANTIES OF ANY KIND, EITHER EXPRESS OR IMPLIED, INCLUDING WARRANTIES OF MERCHANTABILITY, QUALITY, FITNESS FOR A PARTICULAR PURPOSE, NONINFRINGEMENT, OR VALIDITY OF PATENT CLAIMS OR THE AVAILABILITY OF ANY LICENSES WITH RESPECT TO INTELLECTUAL PROPERTY RIGHTS OF THIRD PARTIES. NOTHING IN THIS AGREEMENT SHALL BE CONSTRUED AS A REPRESENTATION MADE OR WARRANTY GIVEN BY EITHER PARTY THAT EITHER PARTY WILL BE SUCCESSFUL IN OBTAINING ANY PATENTS OR THAT ANY PATENTS WILL ISSUE BASED ON A PENDING APPLICATION. WITHOUT LIMITING THE RESPECTIVE RIGHTS AND OBLIGATIONS OF THE PARTIES EXPRESSLY SET FORTH HEREIN, EACH PARTY SPECIFICALLY DISCLAIMS ANY GUARANTEE THAT ANY LICENSED PRODUCTS, INCLUDING THE RESEARCH, MANUFACTURE, DEVELOPMENT OR COMMERCIALIZATION THEREOF, WILL BE SUCCESSFUL,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11</w:t>
      </w:r>
      <w:r>
        <w:rPr>
          <w:rFonts w:ascii="Times New Roman" w:hAnsi="Times New Roman"/>
          <w:caps w:val="false"/>
          <w:smallCaps w:val="false"/>
          <w:sz w:val="20"/>
        </w:rPr>
        <w:br/>
        <w:br/>
      </w:r>
      <w:r>
        <w:rPr>
          <w:rFonts w:ascii="Times New Roman" w:hAnsi="Times New Roman"/>
          <w:b/>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11.1        </w:t>
      </w:r>
      <w:r>
        <w:rPr>
          <w:rFonts w:ascii="Times New Roman" w:hAnsi="Times New Roman"/>
          <w:b/>
          <w:caps w:val="false"/>
          <w:smallCaps w:val="false"/>
          <w:sz w:val="20"/>
        </w:rPr>
        <w:t>Indemnity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11.1.1    </w:t>
      </w:r>
      <w:r>
        <w:rPr>
          <w:rFonts w:ascii="Times New Roman" w:hAnsi="Times New Roman"/>
          <w:b/>
          <w:caps w:val="false"/>
          <w:smallCaps w:val="false"/>
          <w:sz w:val="20"/>
        </w:rPr>
        <w:t>By Precision</w:t>
      </w:r>
      <w:r>
        <w:rPr>
          <w:rFonts w:ascii="Times New Roman" w:hAnsi="Times New Roman"/>
          <w:caps w:val="false"/>
          <w:smallCaps w:val="false"/>
          <w:sz w:val="20"/>
        </w:rPr>
        <w:t>. Precision shall defend, indemnify and hold harmless TGTX and its Affiliates, and their respective Representatives (each, a “</w:t>
      </w:r>
      <w:r>
        <w:rPr>
          <w:rFonts w:ascii="Times New Roman" w:hAnsi="Times New Roman"/>
          <w:b/>
          <w:i/>
          <w:caps w:val="false"/>
          <w:smallCaps w:val="false"/>
          <w:sz w:val="20"/>
        </w:rPr>
        <w:t>TGTX Indemnitee</w:t>
      </w:r>
      <w:r>
        <w:rPr>
          <w:rFonts w:ascii="Times New Roman" w:hAnsi="Times New Roman"/>
          <w:caps w:val="false"/>
          <w:smallCaps w:val="false"/>
          <w:sz w:val="20"/>
        </w:rPr>
        <w:t>”) from and against any and all costs, fees, expenses, losses, liabilities, and damages, including reasonable legal expenses and attorneys’ fees (collectively, “</w:t>
      </w:r>
      <w:r>
        <w:rPr>
          <w:rFonts w:ascii="Times New Roman" w:hAnsi="Times New Roman"/>
          <w:b/>
          <w:i/>
          <w:caps w:val="false"/>
          <w:smallCaps w:val="false"/>
          <w:sz w:val="20"/>
        </w:rPr>
        <w:t>Losses</w:t>
      </w:r>
      <w:r>
        <w:rPr>
          <w:rFonts w:ascii="Times New Roman" w:hAnsi="Times New Roman"/>
          <w:caps w:val="false"/>
          <w:smallCaps w:val="false"/>
          <w:sz w:val="20"/>
        </w:rPr>
        <w:t>”) to which any TGTX Indemnitee may become subject as a result of any claim, demand, action or other proceeding by any Third Party (a “</w:t>
      </w:r>
      <w:r>
        <w:rPr>
          <w:rFonts w:ascii="Times New Roman" w:hAnsi="Times New Roman"/>
          <w:b/>
          <w:i/>
          <w:caps w:val="false"/>
          <w:smallCaps w:val="false"/>
          <w:sz w:val="20"/>
        </w:rPr>
        <w:t>Claim</w:t>
      </w:r>
      <w:r>
        <w:rPr>
          <w:rFonts w:ascii="Times New Roman" w:hAnsi="Times New Roman"/>
          <w:caps w:val="false"/>
          <w:smallCaps w:val="false"/>
          <w:sz w:val="20"/>
        </w:rPr>
        <w:t>”) to the extent such Losses arise out of: (a) the gross negligence or willful misconduct of Precision or its Affiliates in connection with its activities under this Agreement; (b) the breach of this Agreement or the representations, warranties, and covenants made hereunder by Precision; except, in each case, to the extent such Losses result from matters subject to clause (a), (b) or (c) of Section 11.1.2.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11.1.2    </w:t>
      </w:r>
      <w:r>
        <w:rPr>
          <w:rFonts w:ascii="Times New Roman" w:hAnsi="Times New Roman"/>
          <w:b/>
          <w:caps w:val="false"/>
          <w:smallCaps w:val="false"/>
          <w:sz w:val="20"/>
        </w:rPr>
        <w:t>By TGTX</w:t>
      </w:r>
      <w:r>
        <w:rPr>
          <w:rFonts w:ascii="Times New Roman" w:hAnsi="Times New Roman"/>
          <w:caps w:val="false"/>
          <w:smallCaps w:val="false"/>
          <w:sz w:val="20"/>
        </w:rPr>
        <w:t>. TGTX shall defend, indemnify and hold harmless Precision, its Affiliates, Duke, and its and their respective Representatives (each, a “</w:t>
      </w:r>
      <w:r>
        <w:rPr>
          <w:rFonts w:ascii="Times New Roman" w:hAnsi="Times New Roman"/>
          <w:b/>
          <w:i/>
          <w:caps w:val="false"/>
          <w:smallCaps w:val="false"/>
          <w:sz w:val="20"/>
        </w:rPr>
        <w:t>Precision Indemnitee</w:t>
      </w:r>
      <w:r>
        <w:rPr>
          <w:rFonts w:ascii="Times New Roman" w:hAnsi="Times New Roman"/>
          <w:caps w:val="false"/>
          <w:smallCaps w:val="false"/>
          <w:sz w:val="20"/>
        </w:rPr>
        <w:t>”) from and against any and all Losses to which any Precision Indemnitee may become subject as a result of any Claim to the extent such Losses arise out of: (a) the gross negligence or willful misconduct of TGTX, its Affiliates, or its or their respective Sublicensees in connection with its activities under this Agreement; (b) the breach of this Agreement or the representations, warranties and covenants made hereunder by TGTX; or (c) [***]; except, in each case, to the extent such Losses result from matters subject to clause (a) or (b) of Section 11.1.1.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11.1.3    </w:t>
      </w:r>
      <w:r>
        <w:rPr>
          <w:rFonts w:ascii="Times New Roman" w:hAnsi="Times New Roman"/>
          <w:b/>
          <w:caps w:val="false"/>
          <w:smallCaps w:val="false"/>
          <w:sz w:val="20"/>
        </w:rPr>
        <w:t>Procedure</w:t>
      </w:r>
      <w:r>
        <w:rPr>
          <w:rFonts w:ascii="Times New Roman" w:hAnsi="Times New Roman"/>
          <w:caps w:val="false"/>
          <w:smallCaps w:val="false"/>
          <w:sz w:val="20"/>
        </w:rPr>
        <w:t>. A Party that intends to claim indemnification under this Article 11 (the “</w:t>
      </w:r>
      <w:r>
        <w:rPr>
          <w:rFonts w:ascii="Times New Roman" w:hAnsi="Times New Roman"/>
          <w:b/>
          <w:i/>
          <w:caps w:val="false"/>
          <w:smallCaps w:val="false"/>
          <w:sz w:val="20"/>
        </w:rPr>
        <w:t>Indemnitee</w:t>
      </w:r>
      <w:r>
        <w:rPr>
          <w:rFonts w:ascii="Times New Roman" w:hAnsi="Times New Roman"/>
          <w:caps w:val="false"/>
          <w:smallCaps w:val="false"/>
          <w:sz w:val="20"/>
        </w:rPr>
        <w:t>”) shall promptly notify the Indemnitor (the “</w:t>
      </w:r>
      <w:r>
        <w:rPr>
          <w:rFonts w:ascii="Times New Roman" w:hAnsi="Times New Roman"/>
          <w:b/>
          <w:i/>
          <w:caps w:val="false"/>
          <w:smallCaps w:val="false"/>
          <w:sz w:val="20"/>
        </w:rPr>
        <w:t>Indemnitor</w:t>
      </w:r>
      <w:r>
        <w:rPr>
          <w:rFonts w:ascii="Times New Roman" w:hAnsi="Times New Roman"/>
          <w:caps w:val="false"/>
          <w:smallCaps w:val="false"/>
          <w:sz w:val="20"/>
        </w:rPr>
        <w:t>”) in writing of any Claim in respect of which the Indemnitee intends to claim such indemnification. The failure to deliver written notice to the Indemnitor within a reasonable time after the commencement of any action with respect to a Claim shall only relieve the Indemnitor of its indemnification obligations under this Article 11 if and to the extent the Indemnitor is actually and materially prejudiced thereby. The Indemnitor has sole control of the defense or settlement thereof. The Indemnitee shall cooperate fully with the Indemnitor and its legal representatives in the investigation of any action with respect to a Claim covered by this indemnification. The Indemnitee may participate at its expense in the Indemnitor’s defense of and settlement negotiations for any Claim with counsel of the Indemnitee’s own selection. The Indemnitor shall not settle any Claim in a manner that admits liability of Indemnitee or requires Indemnitee to perform any material obligations (other than payment of money which will be fully satisfied by Indemnitor) without the prior written consent of the Indemnitee, not to be unreasonably withheld, conditioned or delayed. So long as the Indemnitor is actively engaged in activities relating to defending or settling the Claim in good faith, the Indemnitee shall not settle or compromise any such Claim without the prior written consent of the Indemnitor. If the Indemnitor does assume activities in furtherance of the defense and settlement of a Claim as provided above within [***] after written notice from Indemnitee stating intent of the Indemnitor to undertake such activities if Indemnitor does not: (a) the Indemnitee may defend against, consent to the entry of any judgment, or enter into any settlement with respect to such Claim in any manner the Indemnitee may deem reasonably appropriate (and the Indemnitee need not consult with, or obtain any consent from, the Indemnitor in connection therewith); and (b) the Indemnitor shall remain responsible to indemnify the Indemnitee as provided in this Article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11.2       </w:t>
      </w:r>
      <w:r>
        <w:rPr>
          <w:rFonts w:ascii="Times New Roman" w:hAnsi="Times New Roman"/>
          <w:b/>
          <w:caps w:val="false"/>
          <w:smallCaps w:val="false"/>
          <w:sz w:val="20"/>
        </w:rPr>
        <w:t>Insurance</w:t>
      </w:r>
      <w:r>
        <w:rPr>
          <w:rFonts w:ascii="Times New Roman" w:hAnsi="Times New Roman"/>
          <w:caps w:val="false"/>
          <w:smallCaps w:val="false"/>
          <w:sz w:val="20"/>
        </w:rPr>
        <w:t>. Each Party, at its own expense, shall maintain product liability and other appropriate insurance (or self-insure) in an amount consistent with sound business practice and reasonable in light of its obligations under this Agreement during the Term and for a period of [***] thereafter or for otherwise longer as may be required by Applicable Law; but in any event, and without limiting the foregoing, no later than Initiation of the first Clinical Trial for a Licensed Product, TGTX shall procure and maintain product liability insurance in an amount not less than [***] per occurrence and in the annual aggregate. Each Party shall provide a certificate of insurance (or evidence of self-insurance) evidencing such coverage to the other Party upon request. The Parties agree that such insurance shall not be construed to create a limit of either Party’s liability with respect to its indemnification obligations under this Article 11 or other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12</w:t>
      </w:r>
      <w:r>
        <w:rPr>
          <w:rFonts w:ascii="Times New Roman" w:hAnsi="Times New Roman"/>
          <w:caps w:val="false"/>
          <w:smallCaps w:val="false"/>
          <w:sz w:val="20"/>
        </w:rPr>
        <w:br/>
        <w:br/>
      </w:r>
      <w:r>
        <w:rPr>
          <w:rFonts w:ascii="Times New Roman" w:hAnsi="Times New Roman"/>
          <w:b/>
          <w:caps w:val="false"/>
          <w:smallCaps w:val="false"/>
          <w:sz w:val="20"/>
        </w:rPr>
        <w:t>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12.1        </w:t>
      </w:r>
      <w:r>
        <w:rPr>
          <w:rFonts w:ascii="Times New Roman" w:hAnsi="Times New Roman"/>
          <w:b/>
          <w:caps w:val="false"/>
          <w:smallCaps w:val="false"/>
          <w:sz w:val="20"/>
        </w:rPr>
        <w:t>Confidential Proprietary Information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12.1.1    </w:t>
      </w:r>
      <w:r>
        <w:rPr>
          <w:rFonts w:ascii="Times New Roman" w:hAnsi="Times New Roman"/>
          <w:b/>
          <w:caps w:val="false"/>
          <w:smallCaps w:val="false"/>
          <w:sz w:val="20"/>
        </w:rPr>
        <w:t>Confidential Proprietary Information</w:t>
      </w:r>
      <w:r>
        <w:rPr>
          <w:rFonts w:ascii="Times New Roman" w:hAnsi="Times New Roman"/>
          <w:caps w:val="false"/>
          <w:smallCaps w:val="false"/>
          <w:sz w:val="20"/>
        </w:rPr>
        <w:t>. In connection with this Agreement, each Party may disclose technical, business or other confidential information in connection with this Agreement, whether prior to, on, or after the Effective Date, including (a) any unpublished Patents, and (b) any information regarding the scientific, regulatory or business affairs or other activities of either Party; in each case ((a) and (b)) that is marked or identified at the time of disclosure as confidential or proprietary or is of such a nature that would be understood by a reasonable person to be confidential or proprietary (such confidential information, “</w:t>
      </w:r>
      <w:r>
        <w:rPr>
          <w:rFonts w:ascii="Times New Roman" w:hAnsi="Times New Roman"/>
          <w:b/>
          <w:i/>
          <w:caps w:val="false"/>
          <w:smallCaps w:val="false"/>
          <w:sz w:val="20"/>
        </w:rPr>
        <w:t>Confidential Proprietary Information</w:t>
      </w:r>
      <w:r>
        <w:rPr>
          <w:rFonts w:ascii="Times New Roman" w:hAnsi="Times New Roman"/>
          <w:caps w:val="false"/>
          <w:smallCaps w:val="false"/>
          <w:sz w:val="20"/>
        </w:rPr>
        <w:t>”). Without limiting the foregoing, the terms of this Agreement and all Joint IP are the Confidential Proprietary Information of both Parties and shall be treated confidentially by each of the Parties, subject to the exceptions set forth in this Section 12.1. [***]. Information exchanged by the Parties pursuant to the Confidentiality Agreement shall be treated as Confidential Proprietary Information under this Agreement and governed by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12.1.2    </w:t>
      </w:r>
      <w:r>
        <w:rPr>
          <w:rFonts w:ascii="Times New Roman" w:hAnsi="Times New Roman"/>
          <w:b/>
          <w:caps w:val="false"/>
          <w:smallCaps w:val="false"/>
          <w:sz w:val="20"/>
        </w:rPr>
        <w:t>Restrictions</w:t>
      </w:r>
      <w:r>
        <w:rPr>
          <w:rFonts w:ascii="Times New Roman" w:hAnsi="Times New Roman"/>
          <w:caps w:val="false"/>
          <w:smallCaps w:val="false"/>
          <w:sz w:val="20"/>
        </w:rPr>
        <w:t>. A Party (the “</w:t>
      </w:r>
      <w:r>
        <w:rPr>
          <w:rFonts w:ascii="Times New Roman" w:hAnsi="Times New Roman"/>
          <w:b/>
          <w:i/>
          <w:caps w:val="false"/>
          <w:smallCaps w:val="false"/>
          <w:sz w:val="20"/>
        </w:rPr>
        <w:t>Receiving Party</w:t>
      </w:r>
      <w:r>
        <w:rPr>
          <w:rFonts w:ascii="Times New Roman" w:hAnsi="Times New Roman"/>
          <w:caps w:val="false"/>
          <w:smallCaps w:val="false"/>
          <w:sz w:val="20"/>
        </w:rPr>
        <w:t>”) that receives Confidential Proprietary Information from the other Party (the “</w:t>
      </w:r>
      <w:r>
        <w:rPr>
          <w:rFonts w:ascii="Times New Roman" w:hAnsi="Times New Roman"/>
          <w:b/>
          <w:i/>
          <w:caps w:val="false"/>
          <w:smallCaps w:val="false"/>
          <w:sz w:val="20"/>
        </w:rPr>
        <w:t>Disclosing Party</w:t>
      </w:r>
      <w:r>
        <w:rPr>
          <w:rFonts w:ascii="Times New Roman" w:hAnsi="Times New Roman"/>
          <w:caps w:val="false"/>
          <w:smallCaps w:val="false"/>
          <w:sz w:val="20"/>
        </w:rPr>
        <w:t>”) shall keep all the Disclosing Party’s Confidential Proprietary Information in confidence with the same degree of care with which the Receiving Party holds its own confidential information (but in no event less than a commercially reasonable degree of care), and will not disclose such Confidential Proprietary Information to any Person except as permitted under Section 12.1.4. A Receiving Party shall not use the Disclosing Party’s Confidential Proprietary Information except in connection with the performance of its obligations and exercise of its rights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12.1.3    </w:t>
      </w:r>
      <w:r>
        <w:rPr>
          <w:rFonts w:ascii="Times New Roman" w:hAnsi="Times New Roman"/>
          <w:b/>
          <w:caps w:val="false"/>
          <w:smallCaps w:val="false"/>
          <w:sz w:val="20"/>
        </w:rPr>
        <w:t>Exceptions</w:t>
      </w:r>
      <w:r>
        <w:rPr>
          <w:rFonts w:ascii="Times New Roman" w:hAnsi="Times New Roman"/>
          <w:caps w:val="false"/>
          <w:smallCaps w:val="false"/>
          <w:sz w:val="20"/>
        </w:rPr>
        <w:t>. The obligations of confidentiality and restriction on use of Confidential Proprietary Information under Section 12.1.2 do not apply to any information that the Receiving Party can prove by competent written evidence: (a) is now, or hereafter becomes, through no act or failure to act on the part of the Receiving Party, generally known or available to the public; (b) is known by the Receiving Party at the time of receiving such information, other than by previous disclosure of the Disclosing Party or its Affiliates or Representatives; (c) is hereafter furnished to the Receiving Party without restriction by a Third Party who has no obligation of confidentiality or limitations on use with respect thereto, as a matter of right; or (d) is independently discovered or developed by the Receiving Party without the use of or reference to Confidential Proprietary Information belonging to the Disclosing Party. Specific information shall not be deemed to be within any of the foregoing exclusions merely because it is embraced by more general information falling within those exclusions. Further, any combination of Confidential Proprietary Information shall not be deemed to be generally known, available to the public or known by the Receiving Party merely because individual elements of such Confidential Proprietary Information are subject to such exclusions unless the combination and its principles are subject to such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12.1.4    </w:t>
      </w:r>
      <w:r>
        <w:rPr>
          <w:rFonts w:ascii="Times New Roman" w:hAnsi="Times New Roman"/>
          <w:b/>
          <w:caps w:val="false"/>
          <w:smallCaps w:val="false"/>
          <w:sz w:val="20"/>
        </w:rPr>
        <w:t>Permitted Disclosures</w:t>
      </w:r>
      <w:r>
        <w:rPr>
          <w:rFonts w:ascii="Times New Roman" w:hAnsi="Times New Roman"/>
          <w:caps w:val="false"/>
          <w:smallCaps w:val="false"/>
          <w:sz w:val="20"/>
        </w:rPr>
        <w:t>. The Receiving Party may disclose Confidential Proprietary Information belonging to the Disclosing Party as expressly permitted by this Agreement or if and to the extent such disclosure is reasonably necessary in the following instances: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 w:hAnsi="Times New Roman"/>
          <w:caps w:val="false"/>
          <w:smallCaps w:val="false"/>
          <w:sz w:val="20"/>
        </w:rPr>
        <w:t xml:space="preserve">(a)    made by or on behalf of the Receiving Party to a Patent authority as may be reasonably necessary or useful for purposes of Prosecution and Maintenance of Patents as permitted by this Agreement; </w:t>
      </w:r>
      <w:r>
        <w:rPr>
          <w:rFonts w:ascii="Times New Roman" w:hAnsi="Times New Roman"/>
          <w:i/>
          <w:caps w:val="false"/>
          <w:smallCaps w:val="false"/>
          <w:sz w:val="20"/>
        </w:rPr>
        <w:t>provided</w:t>
      </w:r>
      <w:r>
        <w:rPr>
          <w:rFonts w:ascii="Times New Roman" w:hAnsi="Times New Roman"/>
          <w:caps w:val="false"/>
          <w:smallCaps w:val="false"/>
          <w:sz w:val="20"/>
        </w:rPr>
        <w:t>, that neither Party shall file a patent application that discloses TGTX Technology (for disclosures by Precision) or Precision Technology (for disclosures by TGTX) without the prior written consent of the other Party (such consent not to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(b)    made by or on behalf of the Receiving Party to Regulatory Authorities as necessary or reasonably useful in connection with any Regulatory Filings for a product that such Party has a license or right to develop in a given country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(c)    made by or on behalf of the Receiving Party as may be necessary or reasonably useful for prosecuting or defending litigation as permitted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(d)    made by or on behalf of the Receiving Party for the purpose of complying with a valid order of a court of competent jurisdiction or other Governmental Authority of competent jurisdiction or, if in the opinion of the Receiving Party’s legal counsel, such disclosure is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 xml:space="preserve">(e)    made by or on behalf of the Receiving Party where such disclosure is required by a Regulatory Authority (including in filings with the Securities and Exchange Commission or other agency) of certain material developments or material information generated under this Agreement;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to the extent permitted, the Party seeking such disclosure first provides the other Party a copy of the proposed disclosure; and </w:t>
      </w:r>
      <w:r>
        <w:rPr>
          <w:rFonts w:ascii="Times New Roman" w:hAnsi="Times New Roman"/>
          <w:i/>
          <w:caps w:val="false"/>
          <w:smallCaps w:val="false"/>
          <w:sz w:val="20"/>
        </w:rPr>
        <w:t>provided</w:t>
      </w:r>
      <w:r>
        <w:rPr>
          <w:rFonts w:ascii="Times New Roman" w:hAnsi="Times New Roman"/>
          <w:caps w:val="false"/>
          <w:smallCaps w:val="false"/>
          <w:sz w:val="20"/>
        </w:rPr>
        <w:t>, further</w:t>
      </w:r>
      <w:r>
        <w:rPr>
          <w:rFonts w:ascii="Times New Roman" w:hAnsi="Times New Roman"/>
          <w:i/>
          <w:caps w:val="false"/>
          <w:smallCaps w:val="false"/>
          <w:sz w:val="20"/>
        </w:rPr>
        <w:t>,</w:t>
      </w:r>
      <w:r>
        <w:rPr>
          <w:rFonts w:ascii="Times New Roman" w:hAnsi="Times New Roman"/>
          <w:caps w:val="false"/>
          <w:smallCaps w:val="false"/>
          <w:sz w:val="20"/>
        </w:rPr>
        <w:t xml:space="preserve"> that the receiving Party shall afford to the other Party an opportunity to review and comment, which period shall be no less than [***]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applicable disclosure is required to be made within fewer than [***], then the receiving Party shall afford to the other Party a reasonable opportunity to review and comment consistent with such disclosure requirement), and the Receiving Party shall accept any reasonable comments so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(f)    made by or on behalf of Precision to Duke solely as and to the extent necessary to fulfill Precision’s reporting obligations under the Duke Agreement as of the Effective Date so long as such information is disclosed subject to the confidentiality provisions of the Duke Agreement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(g)    made by or on behalf of the Receiving Party in response to a valid request by a U.S., state, foreign, provincial, or local tax authority, in which case either Party may disclose, a copy of this Agreement (including any Exhibits, Appendices, ancillary agreements, and amendments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(h)    made by the Receiving Party to its and its Affiliates’ Representatives, subcontractors, and to Sublicensees (in the case of TGTX) or licensees (in the case of Precision), in each case on a need-to-know basis (as reasonably determined by the Receiving Party) in connection with the Exploitation of the Licensed Product in the Territory, in each case under written obligations of confidentiality and non-use substantially consistent with those herein;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 xml:space="preserve">(i)    made by the Receiving Party to potential and actual investors, acquirers, licensees and other financial or commercial partners solely for the purpose of evaluating or carrying out an actual or potential investment, acquisition, or collaboration, in each case so long as such recipients are bound by confidentiality and non-use obligations at least as stringent as those herein; </w:t>
      </w:r>
      <w:r>
        <w:rPr>
          <w:rFonts w:ascii="Times New Roman" w:hAnsi="Times New Roman"/>
          <w:i/>
          <w:caps w:val="false"/>
          <w:smallCaps w:val="false"/>
          <w:sz w:val="20"/>
        </w:rPr>
        <w:t>provided</w:t>
      </w:r>
      <w:r>
        <w:rPr>
          <w:rFonts w:ascii="Times New Roman" w:hAnsi="Times New Roman"/>
          <w:caps w:val="false"/>
          <w:smallCaps w:val="false"/>
          <w:sz w:val="20"/>
        </w:rPr>
        <w:t>, however, that with respect to disclosure to actual or bona fide potential investors, such disclosure is under an obligation of confidentiality that is consistent with market terms, including a shorter period of time during which such information must be held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12.1.5       </w:t>
      </w:r>
      <w:r>
        <w:rPr>
          <w:rFonts w:ascii="Times New Roman" w:hAnsi="Times New Roman"/>
          <w:b/>
          <w:caps w:val="false"/>
          <w:smallCaps w:val="false"/>
          <w:sz w:val="20"/>
        </w:rPr>
        <w:t>Disclosure of Agreement</w:t>
      </w:r>
      <w:r>
        <w:rPr>
          <w:rFonts w:ascii="Times New Roman" w:hAnsi="Times New Roman"/>
          <w:caps w:val="false"/>
          <w:smallCaps w:val="false"/>
          <w:sz w:val="20"/>
        </w:rPr>
        <w:t xml:space="preserve">. Notwithstanding the foregoing in this Article 12, either Party or its Affiliates may disclose the relevant terms of this Agreement: (a) to the extent required or advisable to comply with the rules and regulations promulgated by the U.S. Securities and Exchange Commission or any equivalent governmental agency in any country in the Territory,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Party shall (i) file a redacted form of this Agreement, if permitted, (ii) before filing, provide the redacted form of the agreement, if any, to the other Party for review and comment, and (iii) consider any comments by the other Party to the redacted form of the Agreement in good faith before filing; (b) upon request from a Governmental Authority (such as a tax authority), </w:t>
      </w:r>
      <w:r>
        <w:rPr>
          <w:rFonts w:ascii="Times New Roman" w:hAnsi="Times New Roman"/>
          <w:i/>
          <w:caps w:val="false"/>
          <w:smallCaps w:val="false"/>
          <w:sz w:val="20"/>
        </w:rPr>
        <w:t>provided</w:t>
      </w:r>
      <w:r>
        <w:rPr>
          <w:rFonts w:ascii="Times New Roman" w:hAnsi="Times New Roman"/>
          <w:caps w:val="false"/>
          <w:smallCaps w:val="false"/>
          <w:sz w:val="20"/>
        </w:rPr>
        <w:t xml:space="preserve"> that the disclosing Party uses reasonable efforts to ensure the Governmental Authority maintains such terms as confidential; (c) to applicable licensors, to the extent necessary to comply with the terms of any Third Party license agreement, the rights under which are sublicensed to the other Party under this Agreement; and (d) to the extent necessary to perform obligations or exercise rights under this Agreement, to any sublicensee, collaborator or potential sublicensee or potential collaborator of such Party, </w:t>
      </w:r>
      <w:r>
        <w:rPr>
          <w:rFonts w:ascii="Times New Roman" w:hAnsi="Times New Roman"/>
          <w:i/>
          <w:caps w:val="false"/>
          <w:smallCaps w:val="false"/>
          <w:sz w:val="20"/>
        </w:rPr>
        <w:t>provided</w:t>
      </w:r>
      <w:r>
        <w:rPr>
          <w:rFonts w:ascii="Times New Roman" w:hAnsi="Times New Roman"/>
          <w:caps w:val="false"/>
          <w:smallCaps w:val="false"/>
          <w:sz w:val="20"/>
        </w:rPr>
        <w:t xml:space="preserve"> that any sublicensee, collaborator or potential sublicensee or collaborator agree in writing to be bound by obligations of confidentiality and non-use no less protective of the Disclosing Party than those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12.1.6      </w:t>
      </w:r>
      <w:r>
        <w:rPr>
          <w:rFonts w:ascii="Times New Roman" w:hAnsi="Times New Roman"/>
          <w:b/>
          <w:caps w:val="false"/>
          <w:smallCaps w:val="false"/>
          <w:sz w:val="20"/>
        </w:rPr>
        <w:t>Survival</w:t>
      </w:r>
      <w:r>
        <w:rPr>
          <w:rFonts w:ascii="Times New Roman" w:hAnsi="Times New Roman"/>
          <w:caps w:val="false"/>
          <w:smallCaps w:val="false"/>
          <w:sz w:val="20"/>
        </w:rPr>
        <w:t>. Each Party’s obligations under this Section 12.1 shall apply during the Term and continue for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12.2     </w:t>
      </w:r>
      <w:r>
        <w:rPr>
          <w:rFonts w:ascii="Times New Roman" w:hAnsi="Times New Roman"/>
          <w:b/>
          <w:caps w:val="false"/>
          <w:smallCaps w:val="false"/>
          <w:sz w:val="20"/>
        </w:rPr>
        <w:t>Publicity</w:t>
      </w:r>
      <w:r>
        <w:rPr>
          <w:rFonts w:ascii="Times New Roman" w:hAnsi="Times New Roman"/>
          <w:caps w:val="false"/>
          <w:smallCaps w:val="false"/>
          <w:sz w:val="20"/>
        </w:rPr>
        <w:t xml:space="preserve">. Neither Party shall issue any press release or public statement disclosing information relating to this Agreement or the transactions contemplated hereby or the terms hereof without the prior written consent of the other Party, not to be unreasonably withheld, conditioned, or delayed;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that (a) neither Party will be prevented from complying with any duty of disclosure it may have pursuant to Applicable Laws or pursuant to the rules or regulations of any applicable Governmental Authority, national securities exchange or quotation system, subject to the restrictions set forth in Sections 12.1.4 and 12.1.5; and (b) Precision will not be prevented from disclosing publicly the achievement of any Milestone Event and the receipt (and the amount) of any corresponding payment,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(i) TGTX shall have at least [***] to review and provide edits and comments to any public disclosure proposed by Precision under this Section 12.2(b) and (ii) Precision shall reasonably incorporate any edits and address any comments provided by TGTX in such proposed public disclosure. If either Party desires to issue a press release or other public statement disclosing information relating to this Agreement or the transactions contemplated hereby or the terms hereof, the issuing Party will provide the other Party with a copy of the proposed press release or public statement. The issuing Party shall specify with each such proposed press release or public statement, taking into account the urgency of the matter being disclosed, a reasonable period of time within which the Receiving Party may provide any comments on such proposed press release or public statement. If the reviewing Party provides any comments, the Parties shall consult with one another on such proposed press release or public statement and work in good faith to prepare a mutually acceptable press release or public statement. Each Party may repeat any information relating to this Agreement that has already been publicly disclosed in accordance with this Section 12.2,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information continues as of such time to be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12.3     </w:t>
      </w:r>
      <w:r>
        <w:rPr>
          <w:rFonts w:ascii="Times New Roman" w:hAnsi="Times New Roman"/>
          <w:b/>
          <w:caps w:val="false"/>
          <w:smallCaps w:val="false"/>
          <w:sz w:val="20"/>
        </w:rPr>
        <w:t>Publication</w:t>
      </w:r>
      <w:r>
        <w:rPr>
          <w:rFonts w:ascii="Times New Roman" w:hAnsi="Times New Roman"/>
          <w:caps w:val="false"/>
          <w:smallCaps w:val="false"/>
          <w:sz w:val="20"/>
        </w:rPr>
        <w:t>. At least [***] before TGTX or its Affiliate makes any public disclosure (whether by oral presentation, poster, manuscript or abstract) or submits for publication of a proposed publication (such applicable period, the “</w:t>
      </w:r>
      <w:r>
        <w:rPr>
          <w:rFonts w:ascii="Times New Roman" w:hAnsi="Times New Roman"/>
          <w:b/>
          <w:i/>
          <w:caps w:val="false"/>
          <w:smallCaps w:val="false"/>
          <w:sz w:val="20"/>
        </w:rPr>
        <w:t>Review Period</w:t>
      </w:r>
      <w:r>
        <w:rPr>
          <w:rFonts w:ascii="Times New Roman" w:hAnsi="Times New Roman"/>
          <w:caps w:val="false"/>
          <w:smallCaps w:val="false"/>
          <w:sz w:val="20"/>
        </w:rPr>
        <w:t>”) relating to any Clinical Trial data, non-clinical or preclinical data, or any associated results or conclusions specific to the Licensed Product or the Licensed ARCUS Nuclease that have not been previously publicly disclosed (collectively, a “</w:t>
      </w:r>
      <w:r>
        <w:rPr>
          <w:rFonts w:ascii="Times New Roman" w:hAnsi="Times New Roman"/>
          <w:b/>
          <w:i/>
          <w:caps w:val="false"/>
          <w:smallCaps w:val="false"/>
          <w:sz w:val="20"/>
        </w:rPr>
        <w:t>Publication</w:t>
      </w:r>
      <w:r>
        <w:rPr>
          <w:rFonts w:ascii="Times New Roman" w:hAnsi="Times New Roman"/>
          <w:caps w:val="false"/>
          <w:smallCaps w:val="false"/>
          <w:sz w:val="20"/>
        </w:rPr>
        <w:t>”), TGTX shall deliver a complete copy of the applicable proposed Publication to Precision. TGTX will provide Precision with a copy of such proposed Publication at least [***] prior to the earlier of its presentation or intended submission for publication. TGTX agrees that it will not submit or present any Publication until (a) Precision has provided written comments during such Review Period on the material in such Publication, or (b) the applicable Review Period has elapsed without written comments from Precision, in which case TGTX may proceed and the Publication will be considered approved in its entirety. If TGTX receives written comments from Precision on any Publication during the applicable Review Period, then it will consider Precision’s comments in good faith and incorporate such comments where appropriate. Notwithstanding any provision to the contrary set forth in this Agreement, TGTX will (y) delete any Confidential Proprietary Information of Precision that Precision identifies for deletion, and (z) delay such Publication for a period of up to an additional [***] after the end of the applicable Review Period to enable Precision to draft and file one or more patent applications with respect to any subject matter to be made public in such Publication. TGTX will provide Precision a copy of the Publication at the time of the submission or presentation thereof. TGTX agrees to acknowledge the contributions of Precision and the employees of Precision, in each case, in all Publications as scientifically appropriate. TGTX will require its Affiliates and Sublicensees to comply with the obligations of this Section 12.3 as if they were TGTX, and TGTX will be liable for any non-compliance of such Persons. For the avoidance of doubt, neither Party will be prevented by this Section 12.3 from complying with any duty of disclosure it may have pursuant to Applicable Laws or pursuant to the rules or regulations of any applicable Governmental Authority, national securities exchange or quotation system, subject to the restrictions set forth in Sections 12.1.4 and 12.1.5.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13</w:t>
      </w:r>
      <w:r>
        <w:rPr>
          <w:rFonts w:ascii="Times New Roman" w:hAnsi="Times New Roman"/>
          <w:caps w:val="false"/>
          <w:smallCaps w:val="false"/>
          <w:sz w:val="20"/>
        </w:rPr>
        <w:br/>
        <w:br/>
      </w:r>
      <w:r>
        <w:rPr>
          <w:rFonts w:ascii="Times New Roman" w:hAnsi="Times New Roman"/>
          <w:b/>
          <w:caps w:val="false"/>
          <w:smallCaps w:val="false"/>
          <w:sz w:val="20"/>
        </w:rPr>
        <w:t>TERM &amp;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13.1      </w:t>
      </w:r>
      <w:r>
        <w:rPr>
          <w:rFonts w:ascii="Times New Roman" w:hAnsi="Times New Roman"/>
          <w:b/>
          <w:caps w:val="false"/>
          <w:smallCaps w:val="false"/>
          <w:sz w:val="20"/>
        </w:rPr>
        <w:t>Term</w:t>
      </w:r>
      <w:r>
        <w:rPr>
          <w:rFonts w:ascii="Times New Roman" w:hAnsi="Times New Roman"/>
          <w:caps w:val="false"/>
          <w:smallCaps w:val="false"/>
          <w:sz w:val="20"/>
        </w:rPr>
        <w:t>. This Agreement shall commence on the Effective Date and, unless terminated earlier as provided in this Article 13 or by mutual written agreement of the Parties, shall continue until the expiration of the last Royalty Term (the “</w:t>
      </w:r>
      <w:r>
        <w:rPr>
          <w:rFonts w:ascii="Times New Roman" w:hAnsi="Times New Roman"/>
          <w:b/>
          <w:i/>
          <w:caps w:val="false"/>
          <w:smallCaps w:val="false"/>
          <w:sz w:val="20"/>
        </w:rPr>
        <w:t>Term</w:t>
      </w:r>
      <w:r>
        <w:rPr>
          <w:rFonts w:ascii="Times New Roman" w:hAnsi="Times New Roman"/>
          <w:caps w:val="false"/>
          <w:smallCaps w:val="false"/>
          <w:sz w:val="20"/>
        </w:rPr>
        <w:t>”). Upon expiration (but not termination of this Agreement) of the Royalty Term with respect to the Licensed Product in any country within the Territory, the licenses under Section 7.1.1 and Section 7.1.2 with respect to such Licensed Product in such country will become perpetual, fully paid-up and royalty-free.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13.2        </w:t>
      </w:r>
      <w:r>
        <w:rPr>
          <w:rFonts w:ascii="Times New Roman" w:hAnsi="Times New Roman"/>
          <w:b/>
          <w:caps w:val="false"/>
          <w:smallCaps w:val="false"/>
          <w:sz w:val="20"/>
        </w:rPr>
        <w:t>Termination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13.2.1    </w:t>
      </w:r>
      <w:r>
        <w:rPr>
          <w:rFonts w:ascii="Times New Roman" w:hAnsi="Times New Roman"/>
          <w:b/>
          <w:caps w:val="false"/>
          <w:smallCaps w:val="false"/>
          <w:sz w:val="20"/>
        </w:rPr>
        <w:t>Termination for Material Breach of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Either Party may terminate this Agreement upon written notice to the other Party if such other Party materially breaches its obligations under this Agreement and, after receiving written notice from the non-breaching Party identifying such material breach in reasonable detail, fails to cure such material breach within [***] from the date of such notice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If an allegedly-breaching Party disputes in good faith the existence or materiality of a breach specified in a notice provided pursuant to Section 13.2.1(a), and such Party provides notice to the non-breaching Party of such Dispute within the applicable cure period, such Party may refer the Dispute for resolution in accordance with Section 14.3 and 14.4. It is understood and acknowledged that during the pendency of such a Dispute, all of the terms and conditions of this Agreement shall remain in effect, the Parties shall continue to perform all of their respective obligations hereunder in good faith with continued diligence, and the non-breaching Party shall not have the right to terminate this Agreement pursuant to Section 13.2.1(a) on the basis of such disputed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13.2.2    </w:t>
      </w:r>
      <w:r>
        <w:rPr>
          <w:rFonts w:ascii="Times New Roman" w:hAnsi="Times New Roman"/>
          <w:b/>
          <w:caps w:val="false"/>
          <w:smallCaps w:val="false"/>
          <w:sz w:val="20"/>
        </w:rPr>
        <w:t>Termination by Precision</w:t>
      </w:r>
      <w:r>
        <w:rPr>
          <w:rFonts w:ascii="Times New Roman" w:hAnsi="Times New Roman"/>
          <w:caps w:val="false"/>
          <w:smallCaps w:val="false"/>
          <w:sz w:val="20"/>
        </w:rPr>
        <w:t>. Without limiting Section 13.2.1, Precision may terminate this Agreement upon written notice to TGTX if (a) TGTX fails to Initiate a Phase I Clinical Trial of the Licensed Product in the Licensed Field by the Initiation Deadline, or (b) [***] TGTX and its Affiliates and Sublicensees have suspended or do not have an active and ongoing Development program with respect to the Licensed Product for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13.2.3    </w:t>
      </w:r>
      <w:r>
        <w:rPr>
          <w:rFonts w:ascii="Times New Roman" w:hAnsi="Times New Roman"/>
          <w:b/>
          <w:caps w:val="false"/>
          <w:smallCaps w:val="false"/>
          <w:sz w:val="20"/>
        </w:rPr>
        <w:t>Termination for Insolvency</w:t>
      </w:r>
      <w:r>
        <w:rPr>
          <w:rFonts w:ascii="Times New Roman" w:hAnsi="Times New Roman"/>
          <w:caps w:val="false"/>
          <w:smallCaps w:val="false"/>
          <w:sz w:val="20"/>
        </w:rPr>
        <w:t>. In the event that either Party (a) makes an assignment for the benefit of creditors, (b) appoints or suffers appointment of a receiver or trustee over any or substantially all of its property, where the receiver or trustee appointment is not discharged within [***] after such filing, (c) proposes a written agreement of composition with its creditors, (d) resolves to enter into, or enters into, a scheme of arrangement or a deed of company arrangement, (e) proposes or is a party to any dissolution or liquidation, (f) appoints or suffers the appointment of an administrator, (g) files a petition under any bankruptcy or insolvency act or has any such petition filed against it that is not discharged within [***] of the filing thereof, or (h) admits in writing its inability generally to meet its obligations as they fall due in the general course or is otherwise insolvent within the meaning given in Applicable Laws, then such Party will promptly notify the other Party of the occurrence of such Insolvency Event, and Precision (if TGTX becomes subject to a relevant Insolvency Event) or TGTX (if Precision becomes subject to a relevant Insolvency Event) may terminate this Agreement in its entirety effective immediately upon written notice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13.2.4    </w:t>
      </w:r>
      <w:r>
        <w:rPr>
          <w:rFonts w:ascii="Times New Roman" w:hAnsi="Times New Roman"/>
          <w:b/>
          <w:caps w:val="false"/>
          <w:smallCaps w:val="false"/>
          <w:sz w:val="20"/>
        </w:rPr>
        <w:t>Termination for Patent Challenges</w:t>
      </w:r>
      <w:r>
        <w:rPr>
          <w:rFonts w:ascii="Times New Roman" w:hAnsi="Times New Roman"/>
          <w:caps w:val="false"/>
          <w:smallCaps w:val="false"/>
          <w:sz w:val="20"/>
        </w:rPr>
        <w:t>. To the extent permitted under Applicable Law, Precision shall have the right to terminate this Agreement upon written notice to TGTX if TGTX or any of its Affiliates or Sublicensees, directly, or indirectly through any Third Party challenges the validity of any Patents Controlled by Precision, including commencing any pre-grant or post-grant action, interference or opposition proceeding with respect to, challenging the patentability, validity or enforceability of, or opposing any extension of or the grant of a Patent Term Adjustment or Extension or supplementary protection certificate with respect to, the Licensed Product in the Territory. Notwithstanding the forgoing, (a) Precision will not have any right to terminate this Agreement pursuant to this Section 13.2.4 on the basis of that act if, within [***] after TGTX’s receipt of written notice from Precision, (i) the challenging party permanently withdraws its challenge with respect to any challenge made by a Sublicensee or (ii) TGTX terminates the applicable sublicense agreement; and (b) this Section 13.2.4 shall not apply to any challenge that (i) is required under a court order or subpoena or (ii) is asserted as a defense against a claim, action or proceeding asserted directly or indirectly by Precision or its Affiliates against TGTX, its Affiliates, or any Sublicensee with respect to Exploitation of the Licensed Product in the Licensed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13.3     </w:t>
      </w:r>
      <w:r>
        <w:rPr>
          <w:rFonts w:ascii="Times New Roman" w:hAnsi="Times New Roman"/>
          <w:b/>
          <w:caps w:val="false"/>
          <w:smallCaps w:val="false"/>
          <w:sz w:val="20"/>
        </w:rPr>
        <w:t>Effects of Termination</w:t>
      </w:r>
      <w:r>
        <w:rPr>
          <w:rFonts w:ascii="Times New Roman" w:hAnsi="Times New Roman"/>
          <w:caps w:val="false"/>
          <w:smallCaps w:val="false"/>
          <w:sz w:val="20"/>
        </w:rPr>
        <w:t>. Upon any termination of this Agreement, the following provisions will apply, and all Licensed Products will be deemed “</w:t>
      </w:r>
      <w:r>
        <w:rPr>
          <w:rFonts w:ascii="Times New Roman" w:hAnsi="Times New Roman"/>
          <w:b/>
          <w:i/>
          <w:caps w:val="false"/>
          <w:smallCaps w:val="false"/>
          <w:sz w:val="20"/>
        </w:rPr>
        <w:t>Terminated Products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13.3.1    </w:t>
      </w:r>
      <w:r>
        <w:rPr>
          <w:rFonts w:ascii="Times New Roman" w:hAnsi="Times New Roman"/>
          <w:b/>
          <w:caps w:val="false"/>
          <w:smallCaps w:val="false"/>
          <w:sz w:val="20"/>
        </w:rPr>
        <w:t>Termination of Licenses from Precision</w:t>
      </w:r>
      <w:r>
        <w:rPr>
          <w:rFonts w:ascii="Times New Roman" w:hAnsi="Times New Roman"/>
          <w:caps w:val="false"/>
          <w:smallCaps w:val="false"/>
          <w:sz w:val="20"/>
        </w:rPr>
        <w:t xml:space="preserve">. All licenses for Terminated Products granted by Precision under Article 7 terminate automatically as of the termination effective date and all such rights shall revert to Precision;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TGTX (or its Affiliates or Sublicensees) has inventory of usable Terminated Product(s) as of the effective date of termination, then TGTX (and its Affiliates and Sublicensees) may continue to sell off such inventory of Terminated Products in the Licensed Field in the Territory (and fulfill customer orders therefor) until the earlier to occur of [***] after the effective date of termination and the date on which TGTX (or its Affiliates or Sublicensees) no longer has such inventory of Terminated Product(s) and shall pay Precision any applicable Royalties due (and Commercial Milestone Payments for Commercial Milestone Events achieved, as applicable) based on such sales. Any permitted sublicense granted by TGTX or its Affiliate to a Sublicensee under the licenses granted to TGTX under this Agreement shall survive the termination of this Agreement upon written request by the applicable Sublicensee and TGTX shall assign such sublicense to Precision such that such sublicense becomes a direct license between Precision and the Sublicensee on the same terms and conditions as those set forth in this Agreement to the extent applicable to the rights granted by TGTX to such Sublicensee, </w:t>
      </w:r>
      <w:r>
        <w:rPr>
          <w:rFonts w:ascii="Times New Roman" w:hAnsi="Times New Roman"/>
          <w:i/>
          <w:caps w:val="false"/>
          <w:smallCaps w:val="false"/>
          <w:sz w:val="20"/>
        </w:rPr>
        <w:t>provided</w:t>
      </w:r>
      <w:r>
        <w:rPr>
          <w:rFonts w:ascii="Times New Roman" w:hAnsi="Times New Roman"/>
          <w:caps w:val="false"/>
          <w:smallCaps w:val="false"/>
          <w:sz w:val="20"/>
        </w:rPr>
        <w:t xml:space="preserve"> that, such sublicense was granted in accordance with the terms of Section 7.3 and in the case where termination of this Agreement was for TGTX’s uncured material breach pursuant to Section 13.2.1, such Sublicensee did not cause such uncured material breach and such Sublicensee is, at the time of such termination, otherwise in compliance with the sublicense granted by TGTX to such Sublicensee and the applicable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13.3.2    </w:t>
      </w:r>
      <w:r>
        <w:rPr>
          <w:rFonts w:ascii="Times New Roman" w:hAnsi="Times New Roman"/>
          <w:b/>
          <w:caps w:val="false"/>
          <w:smallCaps w:val="false"/>
          <w:sz w:val="20"/>
        </w:rPr>
        <w:t>Destruction of Confidential Proprietary Information</w:t>
      </w:r>
      <w:r>
        <w:rPr>
          <w:rFonts w:ascii="Times New Roman" w:hAnsi="Times New Roman"/>
          <w:caps w:val="false"/>
          <w:smallCaps w:val="false"/>
          <w:sz w:val="20"/>
        </w:rPr>
        <w:t>. Subject to the potential transfer of any data and information covered below in Section 13.4, each Receiving Party shall destroy (at the Disclosing Party’s written request) all such Confidential Proprietary Information of the Receiving Party in its possession as of the effective date of expiration or termination (with the exception of one (1) copy of such Confidential Proprietary Information, which may be retained by the legal department of the Receiving Party to confirm compliance with the non</w:t>
        <w:noBreakHyphen/>
        <w:t>use and non</w:t>
        <w:noBreakHyphen/>
        <w:t xml:space="preserve">disclosure provisions of this Agreement), and any Confidential Proprietary Information of the Disclosing Party contained in its laboratory notebooks or databases, </w:t>
      </w:r>
      <w:r>
        <w:rPr>
          <w:rFonts w:ascii="Times New Roman" w:hAnsi="Times New Roman"/>
          <w:i/>
          <w:caps w:val="false"/>
          <w:smallCaps w:val="false"/>
          <w:sz w:val="20"/>
        </w:rPr>
        <w:t xml:space="preserve">provided </w:t>
      </w:r>
      <w:r>
        <w:rPr>
          <w:rFonts w:ascii="Times New Roman" w:hAnsi="Times New Roman"/>
          <w:caps w:val="false"/>
          <w:smallCaps w:val="false"/>
          <w:sz w:val="20"/>
        </w:rPr>
        <w:t>that each Receiving Party may retain and continue to use such Confidential Proprietary Information of the Disclosing Party only to the extent necessary to exercise any surviving rights, licenses or obligations under this Agreement. Notwithstanding the foregoing, a Receiving Party shall not be required to destroy any computer files created during automatic system back up that are subsequently stored securely by it and not readily accessible to its Representatives who received the Disclosing Party’s Confidential Proprietary Information under this Agreement, and neither Party shall be required to destroy any Joint 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13.4       </w:t>
      </w:r>
      <w:r>
        <w:rPr>
          <w:rFonts w:ascii="Times New Roman" w:hAnsi="Times New Roman"/>
          <w:b/>
          <w:caps w:val="false"/>
          <w:smallCaps w:val="false"/>
          <w:sz w:val="20"/>
        </w:rPr>
        <w:t xml:space="preserve">Terminated Product Reversion.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13.4.1    In the event of any termination of this Agreement, upon Precision’s request, TGTX shall perform the following obligations, and Precision shall reimburse TGTX for the actual, reasonable costs associated with the performance of such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to the extent permitted by Applicable Laws or the terms of any applicable Third Party agreements (including Third Party agreements under which TGTX or any of its Affiliates are granted a license related to the Exploitation of any Terminated Product), (i) assign to Precision (A) TGTX’s and its Affiliates’ entire right, title and interest in and to all materials, preclinical and clinical data, safety data and all other supporting data, in each case, relating to such Terminated Product that is in TGTX’s or its Affiliates’ Control, and (B) TGTX’s and its Affiliates’ entire right, title and interest in and to all such Third Party agreements that are freely assignable and relate to the Exploitation of any applicable Terminated Product and for which such Third Party agrees to release TGTX for obligations and liabilities arising from and after such assignment, </w:t>
      </w:r>
      <w:r>
        <w:rPr>
          <w:rFonts w:ascii="Times New Roman" w:hAnsi="Times New Roman"/>
          <w:i/>
          <w:caps w:val="false"/>
          <w:smallCaps w:val="false"/>
          <w:sz w:val="20"/>
        </w:rPr>
        <w:t>provided</w:t>
      </w:r>
      <w:r>
        <w:rPr>
          <w:rFonts w:ascii="Times New Roman" w:hAnsi="Times New Roman"/>
          <w:caps w:val="false"/>
          <w:smallCaps w:val="false"/>
          <w:sz w:val="20"/>
        </w:rPr>
        <w:t>, that TGTX will retain the right to use any of the assigned materials or data as necessary for legal or compliance purposes, (ii) with respect to any Third Party agreements that are not assigned under (i) and under which TGTX or any of its Affiliates are granted a license related to Exploitation of any Terminated Product and pursuant to which TGTX or its Affiliates have a right or ability to grant sublicenses to Precision, grant a sublicense to Precision of all license rights granted to TGTX thereunder, on and subject to the same terms and conditions (including financial terms) set forth in the applicable Third Party agreement solely to Exploit such Terminated Product in all fields in the Territory, and (iii) deliver to Precision a copy of all relevant Know-How, in each case that relates to, and to the extent necessary or reasonably useful for, Precision to continue the Exploitation of such Terminated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to the extent permitted by Applicable Laws and the terms of any applicable Third Party agreements, transfer to Precision ongoing Clinical Trials or other studies being conducted by or under authority of TGTX related to such Terminated Product as of the date of the applicable termination notice and furnish Precision with reasonable cooperation to transition to Precision the management and continued performance of such Clinical Trials or other studies or, if requested by Precision, terminate such Clinical Trials or other studies, in each case in a manner in compliance with Applicable Laws and ethical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to the extent permitted by Applicable Laws and the terms of any applicable Third Party agreements, transfer to Precision any and all Regulatory Filings and related regulatory data (including pharmacovigilance databases, adverse drug experience reports and associated documents) and nonclinical, clinical and other data contained or referenced in or supporting any Regulatory Filings and related Know-How, manufacturing records, Regulatory Approvals, Marketing Authorizations and all other correspondence (including minutes and official contact reports relating to any communications with any Regulatory Authority), filings and submissions with and to Regulatory Authorities with respect to such Terminated Product; and, to this end, TGTX shall file for transfer with the relevant Regulatory Authorities and to give all other notifications and approvals necessary under Applicable Laws for the transfer of such Regulatory Filings and related regulatory data and Know-How, Regulatory Approvals, Marketing Authorizations and such other filings and submissions;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(d)    after fulfillment of TGTX’s existing commitments to its customers (including its Distributors) (which fulfillment period shall not in any event exceed [***] following termination of this Agreement as set forth in Section 13.3.1), sell to Precision TGTX’s then-existing inventory of such Terminated Product, at TGTX’s cost of goods sold for such Terminated Product as calculated in accordance with U.S. GAAP without mark-up; </w:t>
      </w:r>
      <w:r>
        <w:rPr>
          <w:rFonts w:ascii="Times New Roman" w:hAnsi="Times New Roman"/>
          <w:i/>
          <w:caps w:val="false"/>
          <w:smallCaps w:val="false"/>
          <w:sz w:val="20"/>
        </w:rPr>
        <w:t>provided</w:t>
      </w:r>
      <w:r>
        <w:rPr>
          <w:rFonts w:ascii="Times New Roman" w:hAnsi="Times New Roman"/>
          <w:caps w:val="false"/>
          <w:smallCaps w:val="false"/>
          <w:sz w:val="20"/>
        </w:rPr>
        <w:t xml:space="preserve"> that Precision shall not be obligated to purchase such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if an application seeking Marketing Authorization for a given Terminated Product has been filed as of the effective date of termination of this Agreement, assign to Precision all right, title and interest in and to the Licensed Product Trademarks that have been used in commerce solely with such Terminated Product, together with all goodwill relevant thereto, throughout the Territory; </w:t>
      </w:r>
      <w:r>
        <w:rPr>
          <w:rFonts w:ascii="Times New Roman" w:hAnsi="Times New Roman"/>
          <w:i/>
          <w:caps w:val="false"/>
          <w:smallCaps w:val="false"/>
          <w:sz w:val="20"/>
        </w:rPr>
        <w:t>provided</w:t>
      </w:r>
      <w:r>
        <w:rPr>
          <w:rFonts w:ascii="Times New Roman" w:hAnsi="Times New Roman"/>
          <w:caps w:val="false"/>
          <w:smallCaps w:val="false"/>
          <w:sz w:val="20"/>
        </w:rPr>
        <w:t>, however, that such obligation to assign will not extend to (i) any corporate name or logo of TGTX or any of its Affiliates, or (ii) any trademarks used by TGTX or any of its Affiliates on products that are not a Terminated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TGTX shall not withdraw or cancel any such Terminated Product’s Regulatory Approval or Marketing Authorization or application for either, unless expressly instructed so by Precision in writing or required by Applicable Laws or any Regulatory Authority; </w:t>
      </w:r>
      <w:r>
        <w:rPr>
          <w:rFonts w:ascii="Times New Roman" w:hAnsi="Times New Roman"/>
          <w:i/>
          <w:caps w:val="false"/>
          <w:smallCaps w:val="false"/>
          <w:sz w:val="20"/>
        </w:rPr>
        <w:t>provided</w:t>
      </w:r>
      <w:r>
        <w:rPr>
          <w:rFonts w:ascii="Times New Roman" w:hAnsi="Times New Roman"/>
          <w:caps w:val="false"/>
          <w:smallCaps w:val="false"/>
          <w:sz w:val="20"/>
        </w:rPr>
        <w:t xml:space="preserve"> that Precision shall be responsible for all costs and expenses for the maintenance of all Regulatory Approvals and Marketing Authorizations following receipt of notice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(g)    TGTX shall thereafter refrain from making any statement, public or otherwise, regarding any Terminated Product unless TGTX is required to make such statement pursuant to Applicable Law or requirements of any Regulatory Authority and such statement is limited to the fact that TGTX is no longer Developing or Commercializing such Terminated Product or Precision shall have approved any such statement in writing;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following written request by Precision, TGTX shall take such other actions and execute such other instruments, assignments and documents that are reasonably necessary to effect the transfers and grants of rights under this Section 13.4.1 to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foregoing assignments and transfer, all information and Know-How so assigned or transferred that was previously Confidential Proprietary Information of TGTX shall thereafter be deemed the Confidential Proprietary Information of Precision under Article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13.4.2    </w:t>
      </w:r>
      <w:r>
        <w:rPr>
          <w:rFonts w:ascii="Times New Roman" w:hAnsi="Times New Roman"/>
          <w:b/>
          <w:caps w:val="false"/>
          <w:smallCaps w:val="false"/>
          <w:sz w:val="20"/>
        </w:rPr>
        <w:t>Other Rights and Obligations</w:t>
      </w:r>
      <w:r>
        <w:rPr>
          <w:rFonts w:ascii="Times New Roman" w:hAnsi="Times New Roman"/>
          <w:caps w:val="false"/>
          <w:smallCaps w:val="false"/>
          <w:sz w:val="20"/>
        </w:rPr>
        <w:t>. Upon any termination of this Agreement, all other rights granted under this Agreement and all obligations of the Parties will automatically terminate except as expressly set forth in Section 13.3, this Section 13.4 or Section 13.5.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13.5     </w:t>
      </w:r>
      <w:r>
        <w:rPr>
          <w:rFonts w:ascii="Times New Roman" w:hAnsi="Times New Roman"/>
          <w:b/>
          <w:caps w:val="false"/>
          <w:smallCaps w:val="false"/>
          <w:sz w:val="20"/>
        </w:rPr>
        <w:t>Survival</w:t>
      </w:r>
      <w:r>
        <w:rPr>
          <w:rFonts w:ascii="Times New Roman" w:hAnsi="Times New Roman"/>
          <w:caps w:val="false"/>
          <w:smallCaps w:val="false"/>
          <w:sz w:val="20"/>
        </w:rPr>
        <w:t>. Expiration or termination of this Agreement shall not relieve the Parties of any obligation or right accruing prior to such expiration or termination. Except as set forth below or elsewhere in this Agreement, the obligations and rights of the Parties under the following provisions of this Agreement shall survive (including, with respect to any covenants or other obligations, until such covenants have been fully performed and discharged) expiration or termination of this Agreement: Articles 1 (to the extent such definitions are used in surviving provisions) and 14 and Sections 3.2.2, 4.1.1 (only upon expiration, and not termination, of this Agreement), 4.3 (first sentence only, and only upon expiration, and not termination, of this Agreement), 4.4.1 (other than the second and third sentences, and only upon expiration, and not termination, of this Agreement), 4.4.2 (only upon expiration, and not termination, of this Agreement), 4.5 (only upon expiration, and not termination, of this Agreement), 4.6 (only upon expiration, and not termination, of this Agreement), 5.1.4 (only upon expiration, and not termination, of this Agreement), 5.3, 7.2, 7.4 (first sentence only), 8.1, 8.2.1(a), 8.2.1(b), 8.2.1(c) (in the event that Milestone Event 1 has been achieved prior to the effective date of such termination or expiration), 8.2.1(d) (in the event that Milestone Event 2 has been achieved prior to the effective date of such termination or expiration), 8.2.2, 8.2.3, 8.2.4, 8.2.5, 8.2.6, 8.2.7, 8.2.8, 8.3 (with respect to Milestone Events achieved prior to the effective date of such termination or expiration), 8.4 (with respect to Milestone Events achieved prior to the effective date of such termination or expiration), 8.6 (with respect to sales of Licensed Products made before the effective date of such termination or expiration or pursuant to Section 13.3.1), 8.7, 8.8, 8.9, 8.10, 8.11, 8.12, 8.13, 8.14 (with respect to any TGTX Parent Consideration Shares issued or issuable as consideration for any Milestone Events achieved prior to the effective date of such termination or expiration), 9.1.1, 9.1.2, 9.1.3, 9.2.1, 9.2.2, 9.3.2 (with respect to any and all Infringements of Joint IP), 9.3.5 (with respect to actions brought before the effective date of such termination or expiration, or brought with respect to Joint IP after the effective date of such termination or expiration), 9.3.6 (with respect to actions brought with respect to Joint IP), 9.4 (with respect to Joint IP), 9.6, 9.8 (final sentence only), 10.7, 11.1 (with respect to claims for which the cause of action arose prior to the effective date of termination or expiration), 12.1 (to the extent and as described in Section 12.1.6), 13.1 (only upon expiration, and not termination, of this Agreement), 13.3, 13.4, 13.5, 13.6, 15.1, 15.2, 15.4, 15.5, 15.6, 15.8, 15.10, 15.14, 15.15, 15.16, and 15.18.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13.6      </w:t>
      </w:r>
      <w:r>
        <w:rPr>
          <w:rFonts w:ascii="Times New Roman" w:hAnsi="Times New Roman"/>
          <w:b/>
          <w:caps w:val="false"/>
          <w:smallCaps w:val="false"/>
          <w:sz w:val="20"/>
        </w:rPr>
        <w:t>Exercise of Rights to Terminate; Damages; Relief</w:t>
      </w:r>
      <w:r>
        <w:rPr>
          <w:rFonts w:ascii="Times New Roman" w:hAnsi="Times New Roman"/>
          <w:caps w:val="false"/>
          <w:smallCaps w:val="false"/>
          <w:sz w:val="20"/>
        </w:rPr>
        <w:t xml:space="preserve">. The valid use by either Party of a termination right provided for under this Agreement shall not give rise to the payment of damages or any other form of compensation or relief to the other Party with respect thereto; </w:t>
      </w:r>
      <w:r>
        <w:rPr>
          <w:rFonts w:ascii="Times New Roman" w:hAnsi="Times New Roman"/>
          <w:i/>
          <w:caps w:val="false"/>
          <w:smallCaps w:val="false"/>
          <w:sz w:val="20"/>
        </w:rPr>
        <w:t>provided</w:t>
      </w:r>
      <w:r>
        <w:rPr>
          <w:rFonts w:ascii="Times New Roman" w:hAnsi="Times New Roman"/>
          <w:caps w:val="false"/>
          <w:smallCaps w:val="false"/>
          <w:sz w:val="20"/>
        </w:rPr>
        <w:t>, however, that termination of this Agreement shall not preclude either Party from claiming any other damages, compensation or relief that it may be entitled to upon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13.7       </w:t>
      </w:r>
      <w:r>
        <w:rPr>
          <w:rFonts w:ascii="Times New Roman" w:hAnsi="Times New Roman"/>
          <w:b/>
          <w:caps w:val="false"/>
          <w:smallCaps w:val="false"/>
          <w:sz w:val="20"/>
        </w:rPr>
        <w:t>Bankruptcy Code</w:t>
      </w:r>
      <w:r>
        <w:rPr>
          <w:rFonts w:ascii="Times New Roman" w:hAnsi="Times New Roman"/>
          <w:caps w:val="false"/>
          <w:smallCaps w:val="false"/>
          <w:sz w:val="20"/>
        </w:rPr>
        <w:t>. If this Agreement is rejected by a Party as a debtor under Section 365 of the United States Bankruptcy Code or similar provision in the bankruptcy laws of another jurisdiction (the “</w:t>
      </w:r>
      <w:r>
        <w:rPr>
          <w:rFonts w:ascii="Times New Roman" w:hAnsi="Times New Roman"/>
          <w:b/>
          <w:i/>
          <w:caps w:val="false"/>
          <w:smallCaps w:val="false"/>
          <w:sz w:val="20"/>
        </w:rPr>
        <w:t>Code</w:t>
      </w:r>
      <w:r>
        <w:rPr>
          <w:rFonts w:ascii="Times New Roman" w:hAnsi="Times New Roman"/>
          <w:caps w:val="false"/>
          <w:smallCaps w:val="false"/>
          <w:sz w:val="20"/>
        </w:rPr>
        <w:t>”), then, notwithstanding anything else in this Agreement to the contrary, all licenses and rights to licenses granted under or pursuant to this Agreement by the Party in bankruptcy to the other Party are, and shall otherwise be deemed to be, for purposes of Section 365(n) of the Code (or similar provision in the bankruptcy laws of the jurisdiction), licenses of rights to “intellectual property” as defined under Section 101(35A) of the Code (or similar provision in the bankruptcy laws of another applicable jurisdiction). The Parties agree that a Party that is a licensee of rights under this Agreement shall retain and may fully exercise all of its rights and elections under the Code, and that upon commencement of a bankruptcy proceeding by or against a Party under the Code, the other Party shall be entitled to a complete duplicate of, or complete access to (as such other Party deems appropriate), any such intellectual property to which such other Party is otherwise entitled to have access under this Agreement and all embodiments of such intellectual property, if not already in such other Party’s possession, shall be promptly delivered to such other Party: (a) upon any such commencement of a bankruptcy proceeding upon written request therefor by such other Party, unless the bankrupt Party elects to continue to perform all of its obligations under this Agreement; or (b) if not delivered under the foregoing subclause (a), upon the rejection of this Agreement by or on behalf of the bankrupt Party upon written request therefor by the other Party. [***]. The foregoing provisions of this Section 13.7 are without prejudice to any rights a Party may have arising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14</w:t>
      </w:r>
      <w:r>
        <w:rPr>
          <w:rFonts w:ascii="Times New Roman" w:hAnsi="Times New Roman"/>
          <w:caps w:val="false"/>
          <w:smallCaps w:val="false"/>
          <w:sz w:val="20"/>
        </w:rPr>
        <w:br/>
        <w:br/>
      </w:r>
      <w:r>
        <w:rPr>
          <w:rFonts w:ascii="Times New Roman" w:hAnsi="Times New Roman"/>
          <w:b/>
          <w:caps w:val="false"/>
          <w:smallCaps w:val="false"/>
          <w:sz w:val="20"/>
        </w:rPr>
        <w:t>GOVERNING LAW;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14.1      </w:t>
      </w:r>
      <w:r>
        <w:rPr>
          <w:rFonts w:ascii="Times New Roman" w:hAnsi="Times New Roman"/>
          <w:b/>
          <w:caps w:val="false"/>
          <w:smallCaps w:val="false"/>
          <w:sz w:val="20"/>
        </w:rPr>
        <w:t>Governing Law</w:t>
      </w:r>
      <w:r>
        <w:rPr>
          <w:rFonts w:ascii="Times New Roman" w:hAnsi="Times New Roman"/>
          <w:caps w:val="false"/>
          <w:smallCaps w:val="false"/>
          <w:sz w:val="20"/>
        </w:rPr>
        <w:t>. This Agreement shall be interpreted and construed in accordance with the laws of the State of New York. Any and all claims, controversies, and causes of action arising out of or relating to this Agreement, whether sounding in contract, tort, or statute, shall be governed by the laws of the State of New York, including its statutes of limitations, without giving effect to any conflict-of-laws or other rule that would result in the application of the laws of a different jurisdiction. Notwithstanding the foregoing, any issue relating to the interpretation, construction, validity, enforceability or infringement of Patents shall be determined according to the patent laws of the country (or countries) in which the relevant Patent (or Patents) issued. The United Nations Convention of International Contracts on the Sale of Goods (the Vienna Convention) does not apply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14.2      </w:t>
      </w:r>
      <w:r>
        <w:rPr>
          <w:rFonts w:ascii="Times New Roman" w:hAnsi="Times New Roman"/>
          <w:b/>
          <w:caps w:val="false"/>
          <w:smallCaps w:val="false"/>
          <w:sz w:val="20"/>
        </w:rPr>
        <w:t>Disputes</w:t>
      </w:r>
      <w:r>
        <w:rPr>
          <w:rFonts w:ascii="Times New Roman" w:hAnsi="Times New Roman"/>
          <w:caps w:val="false"/>
          <w:smallCaps w:val="false"/>
          <w:sz w:val="20"/>
        </w:rPr>
        <w:t>. The Parties recognize that controversies or claims arising out of, relating to, or in connection with this Agreement may arise from time to time. It is the objective of the Parties to establish procedures to facilitate the resolution of disputes in an expedient manner by mutual cooperation prior to resort to litigation. To accomplish this objective, the Parties shall follow the procedures set forth in this Article 14 to resolve any dispute, claim or controversy of any nature arising out of or relating to this Agreement, including any action or claim based on tort, contract or statute, or concerning the interpretation, effect, termination, validity, performance or breach of this Agreement (each, a “</w:t>
      </w:r>
      <w:r>
        <w:rPr>
          <w:rFonts w:ascii="Times New Roman" w:hAnsi="Times New Roman"/>
          <w:b/>
          <w:i/>
          <w:caps w:val="false"/>
          <w:smallCaps w:val="false"/>
          <w:sz w:val="20"/>
        </w:rPr>
        <w:t>Dispute</w:t>
      </w:r>
      <w:r>
        <w:rPr>
          <w:rFonts w:ascii="Times New Roman" w:hAnsi="Times New Roman"/>
          <w:caps w:val="false"/>
          <w:smallCaps w:val="false"/>
          <w:sz w:val="20"/>
        </w:rPr>
        <w:t xml:space="preserve">”). For the avoidance of doubt, Disputes within the purview of the JSC shall be resolved pursuant to Section 2.6, including through the exercise by a Party of its final decision-making authority in accordance therewith and including the escalation procedures set forth therein; </w:t>
      </w:r>
      <w:r>
        <w:rPr>
          <w:rFonts w:ascii="Times New Roman" w:hAnsi="Times New Roman"/>
          <w:i/>
          <w:caps w:val="false"/>
          <w:smallCaps w:val="false"/>
          <w:sz w:val="20"/>
        </w:rPr>
        <w:t>provided</w:t>
      </w:r>
      <w:r>
        <w:rPr>
          <w:rFonts w:ascii="Times New Roman" w:hAnsi="Times New Roman"/>
          <w:caps w:val="false"/>
          <w:smallCaps w:val="false"/>
          <w:sz w:val="20"/>
        </w:rPr>
        <w:t xml:space="preserve"> that Disputes regarding whether a decision is subject to Precision’s JSC representatives having final decision-making authority or to TGTX’s JSC representatives having final decision-making authority pursuant to Section 2.6 shall be resolved pursuant to the procedures set forth in this Article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14.3       </w:t>
      </w:r>
      <w:r>
        <w:rPr>
          <w:rFonts w:ascii="Times New Roman" w:hAnsi="Times New Roman"/>
          <w:b/>
          <w:caps w:val="false"/>
          <w:smallCaps w:val="false"/>
          <w:sz w:val="20"/>
        </w:rPr>
        <w:t>Executive Officers</w:t>
      </w:r>
      <w:r>
        <w:rPr>
          <w:rFonts w:ascii="Times New Roman" w:hAnsi="Times New Roman"/>
          <w:caps w:val="false"/>
          <w:smallCaps w:val="false"/>
          <w:sz w:val="20"/>
        </w:rPr>
        <w:t>. If a Dispute arises between the Parties, either Party may refer the Dispute to Executive Officers of each Party for resolution within [***] of a written request by either Party to the other Party. Each Party, within [***] after a Party has received such written request from the other Party to so refer such Dispute, shall notify the other Party in writing of the Executive Officer to whom such Dispute is referred. If, after an additional [***] after the notice of Dispute, such Executive Officers have not succeeded in negotiating a resolution of the Dispute, and a Party wishes to pursue the matter, the Parties may seek to resolve the Dispute in accordance with Section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14.4      </w:t>
      </w:r>
      <w:r>
        <w:rPr>
          <w:rFonts w:ascii="Times New Roman" w:hAnsi="Times New Roman"/>
          <w:b/>
          <w:caps w:val="false"/>
          <w:smallCaps w:val="false"/>
          <w:sz w:val="20"/>
        </w:rPr>
        <w:t>Submission to Jurisdiction</w:t>
      </w:r>
      <w:r>
        <w:rPr>
          <w:rFonts w:ascii="Times New Roman" w:hAnsi="Times New Roman"/>
          <w:caps w:val="false"/>
          <w:smallCaps w:val="false"/>
          <w:sz w:val="20"/>
        </w:rPr>
        <w:t>. Each Party hereby (a) submits to the exclusive jurisdiction of the United States District Court for the Southern District of New York or, if such court does not have jurisdiction, any state court sitting in the City of New York, New York in any action or proceeding arising out of or relating to this Agreement, (b) agrees that all claims in respect of such action or proceeding may be heard and determined only in any such court, and (c) agrees not to bring any action or proceeding arising out of or relating to this Agreement in any other court. Each Party waives any defense of inconvenient forum to the maintenance of any action or proceeding so brought and waives any bond, surety or other security that might be required of the other Party with respect thereto. Either Party may make service on the other Party by sending or delivering a copy of the process to the Party to be served at the address and in the manner provided for the giving of notices in Section 15.4. Nothing in this Section 14.4, however, shall affect the right of either Party to serve legal process in any other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14.5     </w:t>
      </w:r>
      <w:r>
        <w:rPr>
          <w:rFonts w:ascii="Times New Roman" w:hAnsi="Times New Roman"/>
          <w:b/>
          <w:caps w:val="false"/>
          <w:smallCaps w:val="false"/>
          <w:sz w:val="20"/>
        </w:rPr>
        <w:t>Waiver of Jury Trial</w:t>
      </w:r>
      <w:r>
        <w:rPr>
          <w:rFonts w:ascii="Times New Roman" w:hAnsi="Times New Roman"/>
          <w:caps w:val="false"/>
          <w:smallCaps w:val="false"/>
          <w:sz w:val="20"/>
        </w:rPr>
        <w:t>. TO THE EXTENT PERMITTED BY APPLICABLE LAW, EACH PARTY HEREBY IRREVOCABLY WAIVES ALL RIGHTS TO TRIAL BY JURY IN ANY ACTION, PROCEEDING OR COUNTERCLAIM (WHETHER BASED ON CONTRACT, TORT OR OTHERWISE) ARISING OUT OF OR RELATING TO THIS AGREEMENT OR THE TRANSACTIONS OR THE ACTIONS OF EITHER PARTY IN THE NEGOTIATION, ADMINISTRATION, PERFORMANCE AND ENFORCEMENT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14.6      </w:t>
      </w:r>
      <w:r>
        <w:rPr>
          <w:rFonts w:ascii="Times New Roman" w:hAnsi="Times New Roman"/>
          <w:b/>
          <w:caps w:val="false"/>
          <w:smallCaps w:val="false"/>
          <w:sz w:val="20"/>
        </w:rPr>
        <w:t>Equitable Relief</w:t>
      </w:r>
      <w:r>
        <w:rPr>
          <w:rFonts w:ascii="Times New Roman" w:hAnsi="Times New Roman"/>
          <w:caps w:val="false"/>
          <w:smallCaps w:val="false"/>
          <w:sz w:val="20"/>
        </w:rPr>
        <w:t>. Either Party may, at any time and without waiving any remedy under this Agreement, seek from any court having jurisdiction any temporary injunctive or provisional relief necessary to protect the rights or property of that Party. Any final judgment resolving a Dispute may be enforced by either Party in any court having appropriate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15</w:t>
      </w:r>
      <w:r>
        <w:rPr>
          <w:rFonts w:ascii="Times New Roman" w:hAnsi="Times New Roman"/>
          <w:caps w:val="false"/>
          <w:smallCaps w:val="false"/>
          <w:sz w:val="20"/>
        </w:rPr>
        <w:br/>
        <w:br/>
      </w:r>
      <w:r>
        <w:rPr>
          <w:rFonts w:ascii="Times New Roman" w:hAnsi="Times New Roman"/>
          <w:b/>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15.1      </w:t>
      </w:r>
      <w:r>
        <w:rPr>
          <w:rFonts w:ascii="Times New Roman" w:hAnsi="Times New Roman"/>
          <w:b/>
          <w:caps w:val="false"/>
          <w:smallCaps w:val="false"/>
          <w:sz w:val="20"/>
        </w:rPr>
        <w:t>Entire Agreement; Amendment</w:t>
      </w:r>
      <w:r>
        <w:rPr>
          <w:rFonts w:ascii="Times New Roman" w:hAnsi="Times New Roman"/>
          <w:caps w:val="false"/>
          <w:smallCaps w:val="false"/>
          <w:sz w:val="20"/>
        </w:rPr>
        <w:t>. This Agreement, including the Exhibits and Schedules hereto, sets forth the complete, final and 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including the Confidentiality Agreement. The foregoing may not be interpreted as a waiver of any remedies available to either Party as a result of any breach, prior to the Effective Date, by the other Party of its obligations under the Confidentiality Agreement. No subsequent alteration, amendment, change or addition to this Agreement shall be binding upon the Parties unless reduced to writing and signed by an authorized officer of each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15.2   </w:t>
      </w:r>
      <w:r>
        <w:rPr>
          <w:rFonts w:ascii="Times New Roman" w:hAnsi="Times New Roman"/>
          <w:b/>
          <w:caps w:val="false"/>
          <w:smallCaps w:val="false"/>
          <w:sz w:val="20"/>
        </w:rPr>
        <w:t>Limitation</w:t>
      </w:r>
      <w:r>
        <w:rPr>
          <w:rFonts w:ascii="Times New Roman" w:hAnsi="Times New Roman"/>
          <w:caps w:val="false"/>
          <w:smallCaps w:val="false"/>
          <w:sz w:val="20"/>
        </w:rPr>
        <w:t xml:space="preserve"> </w:t>
      </w:r>
      <w:r>
        <w:rPr>
          <w:rFonts w:ascii="Times New Roman" w:hAnsi="Times New Roman"/>
          <w:b/>
          <w:caps w:val="false"/>
          <w:smallCaps w:val="false"/>
          <w:sz w:val="20"/>
        </w:rPr>
        <w:t>of</w:t>
      </w:r>
      <w:r>
        <w:rPr>
          <w:rFonts w:ascii="Times New Roman" w:hAnsi="Times New Roman"/>
          <w:caps w:val="false"/>
          <w:smallCaps w:val="false"/>
          <w:sz w:val="20"/>
        </w:rPr>
        <w:t xml:space="preserve"> </w:t>
      </w:r>
      <w:r>
        <w:rPr>
          <w:rFonts w:ascii="Times New Roman" w:hAnsi="Times New Roman"/>
          <w:b/>
          <w:caps w:val="false"/>
          <w:smallCaps w:val="false"/>
          <w:sz w:val="20"/>
        </w:rPr>
        <w:t>Liability</w:t>
      </w:r>
      <w:r>
        <w:rPr>
          <w:rFonts w:ascii="Times New Roman" w:hAnsi="Times New Roman"/>
          <w:caps w:val="false"/>
          <w:smallCaps w:val="false"/>
          <w:sz w:val="20"/>
        </w:rPr>
        <w:t xml:space="preserve">. NEITHER PARTY MAY RECOVER FROM THE OTHER PARTY ANY SPECIAL, INCIDENTAL, INDIRECT, CONSEQUENTIAL OR PUNITIVE DAMAGES IN CONNECTION WITH THIS AGREEMENT, REGARDLESS OF ANY NOTICE OF THE POSSIBILITY OF SUCH DAMAGES; </w:t>
      </w:r>
      <w:r>
        <w:rPr>
          <w:rFonts w:ascii="Times New Roman" w:hAnsi="Times New Roman"/>
          <w:i/>
          <w:caps w:val="false"/>
          <w:smallCaps w:val="false"/>
          <w:sz w:val="20"/>
        </w:rPr>
        <w:t>PROVIDED</w:t>
      </w:r>
      <w:r>
        <w:rPr>
          <w:rFonts w:ascii="Times New Roman" w:hAnsi="Times New Roman"/>
          <w:caps w:val="false"/>
          <w:smallCaps w:val="false"/>
          <w:sz w:val="20"/>
        </w:rPr>
        <w:t>, HOWEVER, THAT THIS SECTION 15.2 SHALL NOT BE CONSTRUED TO LIMIT EITHER PARTY’S INDEMNIFICATION OBLIGATIONS UNDER ARTICLE 11, EITHER PARTY’S LIABILITY FOR BREACH OF ITS CONFIDENTIALITY OBLIGATIONS UNDER ARTICLE 12 OR LIABILITY OF A PARTY FOR ITS INFRINGEMENT OR MISAPPROPRIATION OF ANY INTELLECTUAL PROPERTY RIGHTS OR FOR A PARTY’S GROSS NEGLIGENCE, WILLFUL MISCONDUCT OR FRAUD. IN ADDITION, IN NO EVENT SHALL PRECISION’S AGGREGATE LIABILITY ARISING OUT OF OR RELATED TO SUPPLY OF LICENSED PRODUCT UNDER SECTION 6.2.1 OF THIS AGREEMENT, WHETHER ARISING OUT OF OR RELATED TO BREACH OF CONTRACT, TORT (INCLUDING NEGLIGENCE) OR OTHERWISE, EXCEED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15.3     </w:t>
      </w:r>
      <w:r>
        <w:rPr>
          <w:rFonts w:ascii="Times New Roman" w:hAnsi="Times New Roman"/>
          <w:b/>
          <w:caps w:val="false"/>
          <w:smallCaps w:val="false"/>
          <w:sz w:val="20"/>
        </w:rPr>
        <w:t>Independent Contractors</w:t>
      </w:r>
      <w:r>
        <w:rPr>
          <w:rFonts w:ascii="Times New Roman" w:hAnsi="Times New Roman"/>
          <w:caps w:val="false"/>
          <w:smallCaps w:val="false"/>
          <w:sz w:val="20"/>
        </w:rPr>
        <w:t>. The relationship between TGTX and Precision created by this Agreement is solely that of independent 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15.4      </w:t>
      </w:r>
      <w:r>
        <w:rPr>
          <w:rFonts w:ascii="Times New Roman" w:hAnsi="Times New Roman"/>
          <w:b/>
          <w:caps w:val="false"/>
          <w:smallCaps w:val="false"/>
          <w:sz w:val="20"/>
        </w:rPr>
        <w:t>Notice</w:t>
      </w:r>
      <w:r>
        <w:rPr>
          <w:rFonts w:ascii="Times New Roman" w:hAnsi="Times New Roman"/>
          <w:caps w:val="false"/>
          <w:smallCaps w:val="false"/>
          <w:sz w:val="20"/>
        </w:rPr>
        <w:t>. Any notice required or permitted to be given by this Agreement must be in writing, in English. Any and all notices or other communications or deliveries required or permitted to be provided hereunder must be in writing and will be deemed given and effective if: (a) delivered by hand or by overnight courier with tracking capabilities; (b) mailed postage prepaid by first class, registered, or certified mail; or (c) delivered by facsimile or electronic mail followed by delivery via either of the methods set forth in clauses (a) and (b) of this Section 15.4, in each case, addressed as set forth below unless changed by notice so given:</w:t>
      </w:r>
    </w:p>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535"/>
        <w:gridCol w:w="6380"/>
      </w:tblGrid>
      <w:tr>
        <w:trPr/>
        <w:tc>
          <w:tcPr>
            <w:tcW w:w="1535" w:type="dxa"/>
            <w:tcBorders/>
            <w:vAlign w:val="center"/>
          </w:tcPr>
          <w:p>
            <w:pPr>
              <w:pStyle w:val="TableContents"/>
              <w:bidi w:val="0"/>
              <w:spacing w:before="0" w:after="283"/>
              <w:jc w:val="both"/>
              <w:rPr>
                <w:sz w:val="20"/>
              </w:rPr>
            </w:pPr>
            <w:r>
              <w:rPr>
                <w:sz w:val="20"/>
              </w:rPr>
              <w:t>If to Precision:</w:t>
            </w:r>
          </w:p>
        </w:tc>
        <w:tc>
          <w:tcPr>
            <w:tcW w:w="6380" w:type="dxa"/>
            <w:tcBorders/>
            <w:vAlign w:val="center"/>
          </w:tcPr>
          <w:p>
            <w:pPr>
              <w:pStyle w:val="TableContents"/>
              <w:bidi w:val="0"/>
              <w:spacing w:before="0" w:after="283"/>
              <w:jc w:val="both"/>
              <w:rPr>
                <w:sz w:val="20"/>
              </w:rPr>
            </w:pPr>
            <w:r>
              <w:rPr>
                <w:sz w:val="20"/>
              </w:rPr>
              <w:t>Precision BioSciences, Inc.</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302 East Pettigrew Street, Suite A-100</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Durham, NC 27701, U.S.A.</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Attn: Cindy Atwell, Chief Business Officer</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E-mail: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with a copy (which shall not constitute notice) to:</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Smith, Anderson, Blount, Dorsett,</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Mitchell &amp; Jernigan, LLP</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150 Fayetteville Street, Suite 2300</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Raleigh, NC 27601, U.S.A.</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Attention: John Therien</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sz w:val="20"/>
              </w:rPr>
            </w:pPr>
            <w:r>
              <w:rPr>
                <w:sz w:val="20"/>
              </w:rPr>
              <w:t>If to TGTX:</w:t>
            </w:r>
          </w:p>
        </w:tc>
        <w:tc>
          <w:tcPr>
            <w:tcW w:w="6380" w:type="dxa"/>
            <w:tcBorders/>
            <w:vAlign w:val="center"/>
          </w:tcPr>
          <w:p>
            <w:pPr>
              <w:pStyle w:val="TableContents"/>
              <w:bidi w:val="0"/>
              <w:spacing w:before="0" w:after="283"/>
              <w:jc w:val="both"/>
              <w:rPr>
                <w:sz w:val="20"/>
              </w:rPr>
            </w:pPr>
            <w:r>
              <w:rPr>
                <w:sz w:val="20"/>
              </w:rPr>
              <w:t>TG Cell Therapy, Inc.</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3020 Carrington Mill Blvd, Suite 475</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Morrisville, North Carolina 27560</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Attention: Michael S. Weiss, Executive Chairman and Chief Executive Officer</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with a copy (which shall not constitute notice) to:</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DLA Piper LLP</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650 South Exeter Street, Suite 1100</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Baltimore, MD 21202</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Attention: Howard S. Schwartz, Esq.</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Email: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sz w:val="20"/>
              </w:rPr>
            </w:pPr>
            <w:r>
              <w:rPr>
                <w:sz w:val="20"/>
              </w:rPr>
              <w:t>If to TGTX Parent:</w:t>
            </w:r>
          </w:p>
        </w:tc>
        <w:tc>
          <w:tcPr>
            <w:tcW w:w="6380" w:type="dxa"/>
            <w:tcBorders/>
            <w:vAlign w:val="center"/>
          </w:tcPr>
          <w:p>
            <w:pPr>
              <w:pStyle w:val="TableContents"/>
              <w:bidi w:val="0"/>
              <w:spacing w:before="0" w:after="283"/>
              <w:jc w:val="both"/>
              <w:rPr>
                <w:sz w:val="20"/>
              </w:rPr>
            </w:pPr>
            <w:r>
              <w:rPr>
                <w:sz w:val="20"/>
              </w:rPr>
              <w:t>TG Therapeutics, Inc.</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3020 Carrington Mill Blvd, Suite 475</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Morrisville, North Carolina 27560</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Attention: Michael S. Weiss, Executive Chairman and Chief Executive Officer</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with a copy (which shall not constitute notice) to:</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DLA Piper LLP</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650 South Exeter Street, Suite 1100</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Baltimore, MD 21202</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Attention: Howard S. Schwartz, Esq.</w:t>
            </w:r>
          </w:p>
        </w:tc>
      </w:tr>
      <w:tr>
        <w:trPr/>
        <w:tc>
          <w:tcPr>
            <w:tcW w:w="1535" w:type="dxa"/>
            <w:tcBorders/>
            <w:vAlign w:val="center"/>
          </w:tcPr>
          <w:p>
            <w:pPr>
              <w:pStyle w:val="TableContents"/>
              <w:bidi w:val="0"/>
              <w:spacing w:before="0" w:after="283"/>
              <w:jc w:val="both"/>
              <w:rPr/>
            </w:pPr>
            <w:r>
              <w:rPr/>
              <w:t> </w:t>
            </w:r>
          </w:p>
        </w:tc>
        <w:tc>
          <w:tcPr>
            <w:tcW w:w="6380" w:type="dxa"/>
            <w:tcBorders/>
            <w:vAlign w:val="center"/>
          </w:tcPr>
          <w:p>
            <w:pPr>
              <w:pStyle w:val="TableContents"/>
              <w:bidi w:val="0"/>
              <w:spacing w:before="0" w:after="283"/>
              <w:jc w:val="both"/>
              <w:rPr>
                <w:sz w:val="20"/>
              </w:rPr>
            </w:pPr>
            <w:r>
              <w:rPr>
                <w:sz w:val="20"/>
              </w:rPr>
              <w:t>Email: [***]</w:t>
            </w:r>
          </w:p>
        </w:tc>
      </w:tr>
    </w:tbl>
    <w:p>
      <w:pPr>
        <w:pStyle w:val="TextBody"/>
        <w:bidi w:val="0"/>
        <w:spacing w:before="0" w:after="0"/>
        <w:ind w:left="2880" w:right="0" w:hanging="28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15.5       </w:t>
      </w:r>
      <w:r>
        <w:rPr>
          <w:rFonts w:ascii="Times New Roman" w:hAnsi="Times New Roman"/>
          <w:b/>
          <w:caps w:val="false"/>
          <w:smallCaps w:val="false"/>
          <w:sz w:val="20"/>
        </w:rPr>
        <w:t>Severability</w:t>
      </w:r>
      <w:r>
        <w:rPr>
          <w:rFonts w:ascii="Times New Roman" w:hAnsi="Times New Roman"/>
          <w:caps w:val="false"/>
          <w:smallCaps w:val="false"/>
          <w:sz w:val="20"/>
        </w:rPr>
        <w:t>. If, for any reason, any part of this Agreement is adjudicated invalid, unenforceable, or illegal by a court of competent jurisdiction, (a) such adjudication shall not, to the extent feasible, affect or impair, in whole or in part, the validity, enforceability, or legality of any remaining portions of this Agreement, (b) this Agreement shall be construed and enforced as if such invalid, unenforceable or illegal provision had never comprised a part hereof, (c) all remaining portions will remain in full force and effect and shall not be affected by the invalid, unenforceable or illegal provision or by its severance herefrom, and (d) in lieu of such invalid, unenforceable or illegal provision, the Parties shall use reasonable efforts to seek and agree on an alternative valid and enforceable provision that preserves the original purpose and intent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15.6       </w:t>
      </w:r>
      <w:r>
        <w:rPr>
          <w:rFonts w:ascii="Times New Roman" w:hAnsi="Times New Roman"/>
          <w:b/>
          <w:caps w:val="false"/>
          <w:smallCaps w:val="false"/>
          <w:sz w:val="20"/>
        </w:rPr>
        <w:t>Non-Use of Names</w:t>
      </w:r>
      <w:r>
        <w:rPr>
          <w:rFonts w:ascii="Times New Roman" w:hAnsi="Times New Roman"/>
          <w:caps w:val="false"/>
          <w:smallCaps w:val="false"/>
          <w:sz w:val="20"/>
        </w:rPr>
        <w:t xml:space="preserve">. Except as permitted pursuant to Section 12.2, Precision shall not use the name, trademark, logo, or physical likeness of TGTX or its respective officers, directors or employees, or any adaptation of any of them, in any advertising, promotional or sales literature, without TGTX’s prior written consent;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Precision shall have the right to use the name and logo of TGTX on its website solely for the purpose of referring to TGTX as a partner of Precision. Precision shall require its Affiliates to comply with the foregoing. Except as permitted pursuant to Section 12.2, TGTX shall not use the name, trademark, logo, or physical likeness of Precision or its officers, directors or employees, or any adaptation of any of them, in any advertising, promotional or sales literature, without Precision’s prior written consent; </w:t>
      </w:r>
      <w:r>
        <w:rPr>
          <w:rFonts w:ascii="Times New Roman" w:hAnsi="Times New Roman"/>
          <w:i/>
          <w:caps w:val="false"/>
          <w:smallCaps w:val="false"/>
          <w:sz w:val="20"/>
        </w:rPr>
        <w:t>provided</w:t>
      </w:r>
      <w:r>
        <w:rPr>
          <w:rFonts w:ascii="Times New Roman" w:hAnsi="Times New Roman"/>
          <w:caps w:val="false"/>
          <w:smallCaps w:val="false"/>
          <w:sz w:val="20"/>
        </w:rPr>
        <w:t xml:space="preserve"> that TGTX shall have the right to use the name and logo of Precision on its website and in presentation materials solely for the purpose of referring to Precision as licensor of technology used by TGTX. TGTX shall require its Affiliates and Sublicensees to comply with the obligations set forth in this Section 15.6.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15.7        </w:t>
      </w:r>
      <w:r>
        <w:rPr>
          <w:rFonts w:ascii="Times New Roman" w:hAnsi="Times New Roman"/>
          <w:b/>
          <w:caps w:val="false"/>
          <w:smallCaps w:val="false"/>
          <w:sz w:val="20"/>
        </w:rPr>
        <w:t>Assignment</w:t>
      </w:r>
      <w:r>
        <w:rPr>
          <w:rFonts w:ascii="Times New Roman" w:hAnsi="Times New Roman"/>
          <w:caps w:val="false"/>
          <w:smallCaps w:val="false"/>
          <w:sz w:val="20"/>
        </w:rPr>
        <w:t xml:space="preserve">. Neither Party may assign or transfer this Agreement or any rights or obligations hereunder without the prior written consent of the other, except that a Party may make such an assignment or transfer, without the other Party’s consent to: (a) its Affiliate </w:t>
      </w:r>
      <w:r>
        <w:rPr>
          <w:rFonts w:ascii="Times New Roman" w:hAnsi="Times New Roman"/>
          <w:i/>
          <w:caps w:val="false"/>
          <w:smallCaps w:val="false"/>
          <w:sz w:val="20"/>
        </w:rPr>
        <w:t>provided</w:t>
      </w:r>
      <w:r>
        <w:rPr>
          <w:rFonts w:ascii="Times New Roman" w:hAnsi="Times New Roman"/>
          <w:caps w:val="false"/>
          <w:smallCaps w:val="false"/>
          <w:sz w:val="20"/>
        </w:rPr>
        <w:t xml:space="preserve"> that (i) such Affiliate has sufficient resources to perform under this Agreement and (ii) such Party shall remain primarily liable for any acts or omissions of such Affiliate; or (b) to an Acquirer in connection with a Change of Control of such Party. For the avoidance of doubt, (y) nothing in this Agreement shall be construed as consent by Precision to assignment of this Agreement by TGTX in the context of a bankruptcy proceeding, and (z) nothing in this Agreement shall be construed as consent by TGTX to assignment of this Agreement, prior to [***], by Precision in the context of a bankruptcy proceeding. Any permitted assignee shall, in writing reasonably satisfactory to the non-assigning party and as a condition to the effectiveness of such assignment, expressly assume performance of such assigning Party’s rights and obligations hereunder and unconditionally agree to the terms hereof. Any permitted assignment or transfer is binding on the successors of the assigning or transferring Party and shall inure to their benefit. Any assignment or transfer or attempted or purported assignment or transfer by either Party in violation of the terms of this Section 15.7 is null, void and of no legal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15.8      </w:t>
      </w:r>
      <w:r>
        <w:rPr>
          <w:rFonts w:ascii="Times New Roman" w:hAnsi="Times New Roman"/>
          <w:b/>
          <w:caps w:val="false"/>
          <w:smallCaps w:val="false"/>
          <w:sz w:val="20"/>
        </w:rPr>
        <w:t>Waivers</w:t>
      </w:r>
      <w:r>
        <w:rPr>
          <w:rFonts w:ascii="Times New Roman" w:hAnsi="Times New Roman"/>
          <w:caps w:val="false"/>
          <w:smallCaps w:val="false"/>
          <w:sz w:val="20"/>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15.9      </w:t>
      </w:r>
      <w:r>
        <w:rPr>
          <w:rFonts w:ascii="Times New Roman" w:hAnsi="Times New Roman"/>
          <w:b/>
          <w:caps w:val="false"/>
          <w:smallCaps w:val="false"/>
          <w:sz w:val="20"/>
        </w:rPr>
        <w:t>Force</w:t>
      </w:r>
      <w:r>
        <w:rPr>
          <w:rFonts w:ascii="Times New Roman" w:hAnsi="Times New Roman"/>
          <w:caps w:val="false"/>
          <w:smallCaps w:val="false"/>
          <w:sz w:val="20"/>
        </w:rPr>
        <w:t xml:space="preserve"> </w:t>
      </w:r>
      <w:r>
        <w:rPr>
          <w:rFonts w:ascii="Times New Roman" w:hAnsi="Times New Roman"/>
          <w:b/>
          <w:caps w:val="false"/>
          <w:smallCaps w:val="false"/>
          <w:sz w:val="20"/>
        </w:rPr>
        <w:t>Majeure</w:t>
      </w:r>
      <w:r>
        <w:rPr>
          <w:rFonts w:ascii="Times New Roman" w:hAnsi="Times New Roman"/>
          <w:caps w:val="false"/>
          <w:smallCaps w:val="false"/>
          <w:sz w:val="20"/>
        </w:rPr>
        <w:t>. Neither Party shall be responsible to the other for any failure or delay in performing any of its obligations under this Agreement or for other nonperformance hereunder (excluding, in each case, the obligation to make payments when due) if such delay or nonperformance is caused by strike, fire, flood, earthquake, accident, war, act of terrorism, epidemics, pandemics, the spread of infectious diseases, quarantines, act of God or of the government of any country or of any local government, or by any other cause unavoidable or beyond the control of any Party hereto. In such event, such affected Party shall use Commercially Reasonable Efforts to resume performance of its obligations and will keep the other Party informed of actions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15.10    </w:t>
      </w:r>
      <w:r>
        <w:rPr>
          <w:rFonts w:ascii="Times New Roman" w:hAnsi="Times New Roman"/>
          <w:b/>
          <w:caps w:val="false"/>
          <w:smallCaps w:val="false"/>
          <w:sz w:val="20"/>
        </w:rPr>
        <w:t>Interpretation</w:t>
      </w:r>
      <w:r>
        <w:rPr>
          <w:rFonts w:ascii="Times New Roman" w:hAnsi="Times New Roman"/>
          <w:caps w:val="false"/>
          <w:smallCaps w:val="false"/>
          <w:sz w:val="20"/>
        </w:rPr>
        <w:t>. The captions and headings to this Agreement are for convenience only, and are to be of no force or effect in construing or interpreting any of the provisions of this Agreement. Unless specified to the contrary, references to Articles, Sections, Schedules or Exhibits mean the particular Articles, Sections, Schedules or Exhibits to this Agreement and references to this Agreement include all Exhibits and Schedules hereto. In the event of any conflict between the main body of this Agreement and any Exhibit or Schedule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Calendar Year unless otherwise specified; (c) the word “notice” means notice in writing (whether or not specifically stated) and shall include notices, consents, approvals and other written communications contemplated under this Agreement; (d) the words “hereof,” “herein,” “hereby” and derivative or similar words refer to this Agreement as a whole and not merely to the particular provision in which such words appear; (e) the words “shall” and “will” have interchangeable meanings for purposes of this Agreement; (f) provisions that require that a Party, the Parties or a committee hereunder “agree,” “consent” or “approve” or the like shall require that such agreement, consent or approval be specific and in writing, whether by written agreement, letter, approved minutes or otherwise; (g) words of any gender include the other gender; (h) words using the singular or plural number also include the plural or singular number, respectively; (i) references to any specific law, rule or regulation, or article, section or other division thereof, shall be deemed to include the then-current amendments thereto or any replacement law, rule or regulation thereof; (j) the phrase “non-refundable” shall not prohibit, limit or restrict either Party’s right to obtain damages in connection with a breach of this Agreement; (k) neither Party shall be deemed to be acting on behalf of the other Party; and (l) the words “gene editing” and “genome editing” have interchangeable meanings for purposes of this Agreement and do not include gene therapy activities (other than gene editing).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15.11    </w:t>
      </w:r>
      <w:r>
        <w:rPr>
          <w:rFonts w:ascii="Times New Roman" w:hAnsi="Times New Roman"/>
          <w:b/>
          <w:caps w:val="false"/>
          <w:smallCaps w:val="false"/>
          <w:sz w:val="20"/>
        </w:rPr>
        <w:t>Counterparts;</w:t>
      </w:r>
      <w:r>
        <w:rPr>
          <w:rFonts w:ascii="Times New Roman" w:hAnsi="Times New Roman"/>
          <w:caps w:val="false"/>
          <w:smallCaps w:val="false"/>
          <w:sz w:val="20"/>
        </w:rPr>
        <w:t xml:space="preserve"> </w:t>
      </w:r>
      <w:r>
        <w:rPr>
          <w:rFonts w:ascii="Times New Roman" w:hAnsi="Times New Roman"/>
          <w:b/>
          <w:caps w:val="false"/>
          <w:smallCaps w:val="false"/>
          <w:sz w:val="20"/>
        </w:rPr>
        <w:t>Electronic</w:t>
      </w:r>
      <w:r>
        <w:rPr>
          <w:rFonts w:ascii="Times New Roman" w:hAnsi="Times New Roman"/>
          <w:caps w:val="false"/>
          <w:smallCaps w:val="false"/>
          <w:sz w:val="20"/>
        </w:rPr>
        <w:t xml:space="preserve"> </w:t>
      </w:r>
      <w:r>
        <w:rPr>
          <w:rFonts w:ascii="Times New Roman" w:hAnsi="Times New Roman"/>
          <w:b/>
          <w:caps w:val="false"/>
          <w:smallCaps w:val="false"/>
          <w:sz w:val="20"/>
        </w:rPr>
        <w:t>Signatures</w:t>
      </w:r>
      <w:r>
        <w:rPr>
          <w:rFonts w:ascii="Times New Roman" w:hAnsi="Times New Roman"/>
          <w:caps w:val="false"/>
          <w:smallCaps w:val="false"/>
          <w:sz w:val="20"/>
        </w:rPr>
        <w:t>. This Agreement may be executed in any number of counterparts, each of which is deemed an original, but all of which together constitute one instrument. This Agreement may be executed and delivered electronically and upon such delivery such electronic signature will be deemed to have the same effect as if the original signature had been delivered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15.12    </w:t>
      </w:r>
      <w:r>
        <w:rPr>
          <w:rFonts w:ascii="Times New Roman" w:hAnsi="Times New Roman"/>
          <w:b/>
          <w:caps w:val="false"/>
          <w:smallCaps w:val="false"/>
          <w:sz w:val="20"/>
        </w:rPr>
        <w:t>Expenses</w:t>
      </w:r>
      <w:r>
        <w:rPr>
          <w:rFonts w:ascii="Times New Roman" w:hAnsi="Times New Roman"/>
          <w:caps w:val="false"/>
          <w:smallCaps w:val="false"/>
          <w:sz w:val="20"/>
        </w:rPr>
        <w:t>. Each Party shall pay its own costs, charges and expenses incurred in connection with the negotiation, preparation and execution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15.13    </w:t>
      </w:r>
      <w:r>
        <w:rPr>
          <w:rFonts w:ascii="Times New Roman" w:hAnsi="Times New Roman"/>
          <w:b/>
          <w:caps w:val="false"/>
          <w:smallCaps w:val="false"/>
          <w:sz w:val="20"/>
        </w:rPr>
        <w:t>Further Assurances</w:t>
      </w:r>
      <w:r>
        <w:rPr>
          <w:rFonts w:ascii="Times New Roman" w:hAnsi="Times New Roman"/>
          <w:caps w:val="false"/>
          <w:smallCaps w:val="false"/>
          <w:sz w:val="20"/>
        </w:rPr>
        <w:t>. TGTX and Precision hereby covenant and agree without the necessity of any further consideration, to execute, acknowledge and deliver any and all documents and take any action as may be reasonably necessary to carry out the intent and purposes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15.14    </w:t>
      </w:r>
      <w:r>
        <w:rPr>
          <w:rFonts w:ascii="Times New Roman" w:hAnsi="Times New Roman"/>
          <w:b/>
          <w:caps w:val="false"/>
          <w:smallCaps w:val="false"/>
          <w:sz w:val="20"/>
        </w:rPr>
        <w:t>No Third Party Beneficiary Rights</w:t>
      </w:r>
      <w:r>
        <w:rPr>
          <w:rFonts w:ascii="Times New Roman" w:hAnsi="Times New Roman"/>
          <w:caps w:val="false"/>
          <w:smallCaps w:val="false"/>
          <w:sz w:val="20"/>
        </w:rPr>
        <w:t>. This Agreement is not intended to and shall not be construed to give any Third Party any interest or rights (including any Third Party beneficiary rights) with respect to or in connection with any agreement or provision contained herein or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15.15     </w:t>
      </w:r>
      <w:r>
        <w:rPr>
          <w:rFonts w:ascii="Times New Roman" w:hAnsi="Times New Roman"/>
          <w:b/>
          <w:caps w:val="false"/>
          <w:smallCaps w:val="false"/>
          <w:sz w:val="20"/>
        </w:rPr>
        <w:t>Construction</w:t>
      </w:r>
      <w:r>
        <w:rPr>
          <w:rFonts w:ascii="Times New Roman" w:hAnsi="Times New Roman"/>
          <w:caps w:val="false"/>
          <w:smallCaps w:val="false"/>
          <w:sz w:val="20"/>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15.16    </w:t>
      </w:r>
      <w:r>
        <w:rPr>
          <w:rFonts w:ascii="Times New Roman" w:hAnsi="Times New Roman"/>
          <w:b/>
          <w:caps w:val="false"/>
          <w:smallCaps w:val="false"/>
          <w:sz w:val="20"/>
        </w:rPr>
        <w:t>Cumulative Remedies</w:t>
      </w:r>
      <w:r>
        <w:rPr>
          <w:rFonts w:ascii="Times New Roman" w:hAnsi="Times New Roman"/>
          <w:caps w:val="false"/>
          <w:smallCaps w:val="false"/>
          <w:sz w:val="20"/>
        </w:rPr>
        <w:t>. No remedy referred to in this Agreement is intended to be exclusive unless explicitly stated to be so, but each shall be cumulative and in addition to any other remedy referred to in this Agreement or otherwise available under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15.17    </w:t>
      </w:r>
      <w:r>
        <w:rPr>
          <w:rFonts w:ascii="Times New Roman" w:hAnsi="Times New Roman"/>
          <w:b/>
          <w:caps w:val="false"/>
          <w:smallCaps w:val="false"/>
          <w:sz w:val="20"/>
        </w:rPr>
        <w:t>Extension to Affiliates</w:t>
      </w:r>
      <w:r>
        <w:rPr>
          <w:rFonts w:ascii="Times New Roman" w:hAnsi="Times New Roman"/>
          <w:caps w:val="false"/>
          <w:smallCaps w:val="false"/>
          <w:sz w:val="20"/>
        </w:rPr>
        <w:t>. Except as expressly set forth otherwise in this Agreement, each Party shall have the right, subject to compliance with the applicable terms of this Agreement, to extend the rights and immunities granted in this Agreement to one or more of its Affiliates. All applicable terms and provisions of this Agreement, except this right to extend, shall apply to any such Affiliate to which this Agreement has been extended to the same extent as such terms and provisions apply to the Party extending such rights and immunities. For clarity, the Party extending the rights and immunities granted hereunder shall remain primarily liable for any acts or omissions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15.18     </w:t>
      </w:r>
      <w:r>
        <w:rPr>
          <w:rFonts w:ascii="Times New Roman" w:hAnsi="Times New Roman"/>
          <w:b/>
          <w:caps w:val="false"/>
          <w:smallCaps w:val="false"/>
          <w:sz w:val="20"/>
        </w:rPr>
        <w:t>TGTX Parent Guarantee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15.18.1    TGTX Parent hereby absolutely, unconditionally and irrevocably guarantees, jointly and severally, as a primary obligor and not merely as a surety, the due and timely payment and performance of all obligations (including payment obligations and other covenants) of TGTX and each of its Affiliates under this Agreement (the “</w:t>
      </w:r>
      <w:r>
        <w:rPr>
          <w:rFonts w:ascii="Times New Roman" w:hAnsi="Times New Roman"/>
          <w:b/>
          <w:i/>
          <w:caps w:val="false"/>
          <w:smallCaps w:val="false"/>
          <w:sz w:val="20"/>
        </w:rPr>
        <w:t>Parent Obligations</w:t>
      </w:r>
      <w:r>
        <w:rPr>
          <w:rFonts w:ascii="Times New Roman" w:hAnsi="Times New Roman"/>
          <w:caps w:val="false"/>
          <w:smallCaps w:val="false"/>
          <w:sz w:val="20"/>
        </w:rPr>
        <w:t>”). TGTX Parent agrees that (a) the Parent Obligations and this Agreement may be extended, modified or renewed, in whole or in part, without notice or further assent from TGTX Parent, and that TGTX Parent will remain bound upon its guarantee notwithstanding any extension, modification or renewal of any Parent Obligation or of this Agreement, any assumption of any such guaranteed Parent Obligation by any other party or any other act or event that might otherwise operate as a legal or equitable discharge of TGTX Parent under this Section 15.18, (b) TGTX Parent shall be bound by all of the terms and conditions of Article 12, Sections 14.1 and 14.4 – 14.6, and this Article 15 (and all of the definitions and capitalized terms contained therein) as if such Sections and Articles applied to TGTX Parent, and (c) so long as the Parent Obligations remain outstanding, TGTX Parent will operate in the ordinary course of business and not dispose of (by dividend, distribution, sale, transfer, or otherwise) all or substantially all of its assets other than to Affiliates that shall also agree in writing to become a guarantor of the Parent Obligations under the terms and conditions of this Section 15.18. TGTX Parent further agrees that its guarantee constitutes an absolute, unconditional and irrevocable guarantee of payment and performance when due (and not just of collection) and waives (y) any right to require that any resort be had by Precision to any other guarantee for any security held for payment or performance of the Parent Obligations and (z) any other circumstance which might otherwise constitute a defense to this guarantee. This guarantee is in no way conditioned upon any requirement that Precision first attempt to collect or enforce any guaranteed obligation from or against TGTX. NOTWITHSTANDING THE FOREGOING, NEITHER PARTY MAKES ANY REPRESENTATION OR EXTENDS ANY WARRANTY OF ANY KIND, ORAL, WRITTEN, EXPRESS, IMPLIED, OR OTHERWISE, IN CONNECTION WITH THIS GUARANTEE, AND EACH PARTY HEREBY DISCLAIMS, AND TGTX PARENT ACKNOWLEDGES AND AGREES TO THE DISCLAIMER BY THE PARTIES OF, ALL REPRESENTATIONS AND WARRANTIES IN CONNECTION WITH THIS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15.18.2    TGTX Parent represents and warrants that,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(a)    it is duly organized and validly existing under in the Applicable Laws of the jurisdiction of its incorporation or formation, as applicable, has full corporate, limited liability company or other power and authority, as applicable, to enter into this Agreement and to carry out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(b)    it is duly authorized to execute and deliver this Agreement and to perform its obligations hereunder, and the individual executing this Agreement on its behalf has been duly authorized to do so by all requisite corporate, limited liability company or other action, as applicable;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xml:space="preserve">  </w:t>
      </w:r>
      <w:r>
        <w:rPr>
          <w:rFonts w:ascii="Times New Roman" w:hAnsi="Times New Roman"/>
          <w:caps w:val="false"/>
          <w:smallCaps w:val="false"/>
          <w:sz w:val="20"/>
        </w:rPr>
        <w:t>(c)    this Agreement is legally binding upon it and enforceable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 the execution, delivery and performance of this Agreement by it have been duly authorized by all necessary corporate action and do not and will not: (i) conflict with, or constitute a default or result in a breach under, any agreement, instrument or understanding, oral or written, to which it is a party or by which it may be bound, or violate any Applicable Law; or (ii) require any consent or approval of its stockholders or similar.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b/>
          <w:smallCaps/>
          <w:sz w:val="20"/>
        </w:rPr>
        <w:t>In Witness Whereof</w:t>
      </w:r>
      <w:r>
        <w:rPr>
          <w:rFonts w:ascii="Times New Roman" w:hAnsi="Times New Roman"/>
          <w:sz w:val="20"/>
        </w:rPr>
        <w:t>, the Parties have caused this Agreement to be executed as of the Effective Date by their duly authorized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smallCaps/>
          <w:sz w:val="20"/>
        </w:rPr>
      </w:pPr>
      <w:r>
        <w:rPr>
          <w:rFonts w:ascii="Times New Roman" w:hAnsi="Times New Roman"/>
          <w:b/>
          <w:smallCaps/>
          <w:sz w:val="20"/>
        </w:rPr>
        <w:t>Precision BioSciences,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2037"/>
        <w:gridCol w:w="398"/>
        <w:gridCol w:w="404"/>
      </w:tblGrid>
      <w:tr>
        <w:trPr/>
        <w:tc>
          <w:tcPr>
            <w:tcW w:w="2037" w:type="dxa"/>
            <w:tcBorders/>
            <w:vAlign w:val="center"/>
          </w:tcPr>
          <w:p>
            <w:pPr>
              <w:pStyle w:val="TableContents"/>
              <w:bidi w:val="0"/>
              <w:spacing w:before="0" w:after="283"/>
              <w:jc w:val="both"/>
              <w:rPr/>
            </w:pPr>
            <w:r>
              <w:rPr/>
              <w:t>By:</w:t>
            </w:r>
          </w:p>
        </w:tc>
        <w:tc>
          <w:tcPr>
            <w:tcW w:w="398" w:type="dxa"/>
            <w:tcBorders>
              <w:bottom w:val="single" w:sz="2" w:space="0" w:color="000000"/>
            </w:tcBorders>
            <w:tcMar>
              <w:bottom w:w="28" w:type="dxa"/>
            </w:tcMar>
            <w:vAlign w:val="center"/>
          </w:tcPr>
          <w:p>
            <w:pPr>
              <w:pStyle w:val="TableContents"/>
              <w:bidi w:val="0"/>
              <w:spacing w:before="0" w:after="283"/>
              <w:jc w:val="both"/>
              <w:rPr/>
            </w:pPr>
            <w:r>
              <w:rPr/>
              <w:t> </w:t>
            </w:r>
          </w:p>
        </w:tc>
        <w:tc>
          <w:tcPr>
            <w:tcW w:w="404" w:type="dxa"/>
            <w:tcBorders/>
            <w:vAlign w:val="center"/>
          </w:tcPr>
          <w:p>
            <w:pPr>
              <w:pStyle w:val="TableContents"/>
              <w:bidi w:val="0"/>
              <w:spacing w:before="0" w:after="283"/>
              <w:jc w:val="both"/>
              <w:rPr/>
            </w:pPr>
            <w:r>
              <w:rPr/>
              <w:t> </w:t>
            </w:r>
          </w:p>
        </w:tc>
      </w:tr>
      <w:tr>
        <w:trPr/>
        <w:tc>
          <w:tcPr>
            <w:tcW w:w="2839" w:type="dxa"/>
            <w:gridSpan w:val="3"/>
            <w:tcBorders/>
            <w:vAlign w:val="center"/>
          </w:tcPr>
          <w:p>
            <w:pPr>
              <w:pStyle w:val="TableContents"/>
              <w:bidi w:val="0"/>
              <w:spacing w:before="0" w:after="283"/>
              <w:jc w:val="both"/>
              <w:rPr/>
            </w:pPr>
            <w:r>
              <w:rPr/>
              <w:t>Name: Michael Amoroso</w:t>
            </w:r>
          </w:p>
        </w:tc>
      </w:tr>
      <w:tr>
        <w:trPr/>
        <w:tc>
          <w:tcPr>
            <w:tcW w:w="2839" w:type="dxa"/>
            <w:gridSpan w:val="3"/>
            <w:tcBorders/>
            <w:vAlign w:val="center"/>
          </w:tcPr>
          <w:p>
            <w:pPr>
              <w:pStyle w:val="TableContents"/>
              <w:bidi w:val="0"/>
              <w:spacing w:before="0" w:after="283"/>
              <w:jc w:val="both"/>
              <w:rPr/>
            </w:pPr>
            <w:r>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TG Cell Therapy, Inc.</w:t>
      </w:r>
      <w:r>
        <w:rPr>
          <w:rFonts w:ascii="Times New Roman" w:hAnsi="Times New Roman"/>
          <w:smallCaps/>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09" w:type="dxa"/>
        <w:jc w:val="left"/>
        <w:tblInd w:w="0" w:type="dxa"/>
        <w:tblLayout w:type="fixed"/>
        <w:tblCellMar>
          <w:top w:w="0" w:type="dxa"/>
          <w:left w:w="0" w:type="dxa"/>
          <w:bottom w:w="0" w:type="dxa"/>
          <w:right w:w="0" w:type="dxa"/>
        </w:tblCellMar>
      </w:tblPr>
      <w:tblGrid>
        <w:gridCol w:w="509"/>
        <w:gridCol w:w="99"/>
        <w:gridCol w:w="101"/>
      </w:tblGrid>
      <w:tr>
        <w:trPr/>
        <w:tc>
          <w:tcPr>
            <w:tcW w:w="509" w:type="dxa"/>
            <w:tcBorders/>
            <w:vAlign w:val="center"/>
          </w:tcPr>
          <w:p>
            <w:pPr>
              <w:pStyle w:val="TableContents"/>
              <w:bidi w:val="0"/>
              <w:spacing w:before="0" w:after="283"/>
              <w:jc w:val="both"/>
              <w:rPr/>
            </w:pPr>
            <w:r>
              <w:rPr/>
              <w:t>By:</w:t>
            </w:r>
          </w:p>
        </w:tc>
        <w:tc>
          <w:tcPr>
            <w:tcW w:w="99" w:type="dxa"/>
            <w:tcBorders>
              <w:bottom w:val="single" w:sz="2" w:space="0" w:color="000000"/>
            </w:tcBorders>
            <w:tcMar>
              <w:bottom w:w="28" w:type="dxa"/>
            </w:tcMar>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both"/>
              <w:rPr/>
            </w:pPr>
            <w:r>
              <w:rPr/>
              <w:t> </w:t>
            </w:r>
          </w:p>
        </w:tc>
      </w:tr>
      <w:tr>
        <w:trPr/>
        <w:tc>
          <w:tcPr>
            <w:tcW w:w="709" w:type="dxa"/>
            <w:gridSpan w:val="3"/>
            <w:tcBorders/>
            <w:vAlign w:val="center"/>
          </w:tcPr>
          <w:p>
            <w:pPr>
              <w:pStyle w:val="TableContents"/>
              <w:bidi w:val="0"/>
              <w:spacing w:before="0" w:after="283"/>
              <w:jc w:val="both"/>
              <w:rPr/>
            </w:pPr>
            <w:r>
              <w:rPr/>
              <w:t>Name: </w:t>
            </w:r>
          </w:p>
        </w:tc>
      </w:tr>
      <w:tr>
        <w:trPr/>
        <w:tc>
          <w:tcPr>
            <w:tcW w:w="709" w:type="dxa"/>
            <w:gridSpan w:val="3"/>
            <w:tcBorders/>
            <w:vAlign w:val="center"/>
          </w:tcPr>
          <w:p>
            <w:pPr>
              <w:pStyle w:val="TableContents"/>
              <w:bidi w:val="0"/>
              <w:spacing w:before="0" w:after="283"/>
              <w:jc w:val="both"/>
              <w:rPr/>
            </w:pPr>
            <w:r>
              <w:rPr/>
              <w:t>Title: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b/>
          <w:smallCaps/>
          <w:sz w:val="20"/>
        </w:rPr>
        <w:t>In Witness Whereof</w:t>
      </w:r>
      <w:r>
        <w:rPr>
          <w:rFonts w:ascii="Times New Roman" w:hAnsi="Times New Roman"/>
          <w:sz w:val="20"/>
        </w:rPr>
        <w:t>, TGTX Parent has caused this Agreement to be executed, with respect to Sections 8.14 and 15.18, as of the Effective Date by its duly authorized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TG Therapeutics, Inc.</w:t>
      </w:r>
      <w:r>
        <w:rPr>
          <w:rFonts w:ascii="Times New Roman" w:hAnsi="Times New Roman"/>
          <w:smallCaps/>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09" w:type="dxa"/>
        <w:jc w:val="left"/>
        <w:tblInd w:w="0" w:type="dxa"/>
        <w:tblLayout w:type="fixed"/>
        <w:tblCellMar>
          <w:top w:w="0" w:type="dxa"/>
          <w:left w:w="0" w:type="dxa"/>
          <w:bottom w:w="0" w:type="dxa"/>
          <w:right w:w="0" w:type="dxa"/>
        </w:tblCellMar>
      </w:tblPr>
      <w:tblGrid>
        <w:gridCol w:w="509"/>
        <w:gridCol w:w="99"/>
        <w:gridCol w:w="101"/>
      </w:tblGrid>
      <w:tr>
        <w:trPr/>
        <w:tc>
          <w:tcPr>
            <w:tcW w:w="509" w:type="dxa"/>
            <w:tcBorders/>
            <w:vAlign w:val="center"/>
          </w:tcPr>
          <w:p>
            <w:pPr>
              <w:pStyle w:val="TableContents"/>
              <w:bidi w:val="0"/>
              <w:spacing w:before="0" w:after="283"/>
              <w:jc w:val="both"/>
              <w:rPr/>
            </w:pPr>
            <w:r>
              <w:rPr/>
              <w:t>By:</w:t>
            </w:r>
          </w:p>
        </w:tc>
        <w:tc>
          <w:tcPr>
            <w:tcW w:w="99" w:type="dxa"/>
            <w:tcBorders>
              <w:bottom w:val="single" w:sz="2" w:space="0" w:color="000000"/>
            </w:tcBorders>
            <w:tcMar>
              <w:bottom w:w="28" w:type="dxa"/>
            </w:tcMar>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both"/>
              <w:rPr/>
            </w:pPr>
            <w:r>
              <w:rPr/>
              <w:t> </w:t>
            </w:r>
          </w:p>
        </w:tc>
      </w:tr>
      <w:tr>
        <w:trPr/>
        <w:tc>
          <w:tcPr>
            <w:tcW w:w="709" w:type="dxa"/>
            <w:gridSpan w:val="3"/>
            <w:tcBorders/>
            <w:vAlign w:val="center"/>
          </w:tcPr>
          <w:p>
            <w:pPr>
              <w:pStyle w:val="TableContents"/>
              <w:bidi w:val="0"/>
              <w:spacing w:before="0" w:after="283"/>
              <w:jc w:val="both"/>
              <w:rPr/>
            </w:pPr>
            <w:r>
              <w:rPr/>
              <w:t>Name: </w:t>
            </w:r>
          </w:p>
        </w:tc>
      </w:tr>
      <w:tr>
        <w:trPr/>
        <w:tc>
          <w:tcPr>
            <w:tcW w:w="709" w:type="dxa"/>
            <w:gridSpan w:val="3"/>
            <w:tcBorders/>
            <w:vAlign w:val="center"/>
          </w:tcPr>
          <w:p>
            <w:pPr>
              <w:pStyle w:val="TableContents"/>
              <w:bidi w:val="0"/>
              <w:spacing w:before="0" w:after="283"/>
              <w:jc w:val="both"/>
              <w:rPr/>
            </w:pPr>
            <w:r>
              <w:rPr/>
              <w:t>Title: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1.85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Licensed ARCUS Nuclease</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Exhibit 10.2.2</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Existing Patents</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1.45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Patents within Duke IP as of the Effective Date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jc w:val="both"/>
        <w:rPr/>
      </w:pPr>
      <w:r>
        <w:rPr/>
        <w:t> </w:t>
      </w:r>
    </w:p>
    <w:p>
      <w:pPr>
        <w:pStyle w:val="TextBody"/>
        <w:bidi w:val="0"/>
        <w:jc w:val="left"/>
        <w:rPr/>
      </w:pPr>
      <w:bookmarkStart w:id="39" w:name="ex_632901.htm"/>
      <w:bookmarkStart w:id="40" w:name="ksex_632901"/>
      <w:bookmarkEnd w:id="39"/>
      <w:bookmarkEnd w:id="40"/>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19.1</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057525"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0"/>
                    <a:stretch>
                      <a:fillRect/>
                    </a:stretch>
                  </pic:blipFill>
                  <pic:spPr bwMode="auto">
                    <a:xfrm>
                      <a:off x="0" y="0"/>
                      <a:ext cx="3057525" cy="809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36"/>
        </w:rPr>
      </w:pPr>
      <w:r>
        <w:rPr>
          <w:rFonts w:ascii="Times New Roman" w:hAnsi="Times New Roman"/>
          <w:b/>
          <w:caps w:val="false"/>
          <w:smallCaps w:val="false"/>
          <w:sz w:val="36"/>
        </w:rPr>
        <w:t>Insider Trading Policy</w:t>
      </w:r>
    </w:p>
    <w:p>
      <w:pPr>
        <w:pStyle w:val="TextBody"/>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140"/>
        <w:gridCol w:w="920"/>
      </w:tblGrid>
      <w:tr>
        <w:trPr/>
        <w:tc>
          <w:tcPr>
            <w:tcW w:w="14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92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TG Therapeutics, Inc. (the “Company”) has adopted this Insider Trading Policy (this “Policy”) to help its Employees, Consultants, Officers, and Directors, comply with insider trading laws and to prevent the appearance of improper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Insider trading laws prohibit a person from:</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using material nonpublic information to make decisions to purchase, sell, give away or otherwise trade the Company’s securities,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providing material nonpublic information to others outside the Company or recommending the purchase or sale of Company securities on the basis of such information (often referred to as “tipping”), or</w:t>
            </w:r>
          </w:p>
        </w:tc>
      </w:tr>
    </w:tbl>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assisting someone who is engaged in any of the above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prohibition against insider trading applies to purchases, sales, tips and recommendations by anyone associated with the Company if the information involved is “material” and “nonpublic” (“Material Nonpublic Information”) as defined below. The prohibition on insider trading applies irrespective of the volume of securities at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is administered by the Chief Financial Officer, the Company’s Insider Trading</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Officer (“Compliance Officer”). See Section V. for more details.</w:t>
      </w:r>
    </w:p>
    <w:p>
      <w:pPr>
        <w:pStyle w:val="TextBody"/>
        <w:bidi w:val="0"/>
        <w:spacing w:before="0" w:after="0"/>
        <w:ind w:left="0" w:right="0" w:hanging="0"/>
        <w:jc w:val="both"/>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215"/>
        <w:gridCol w:w="665"/>
      </w:tblGrid>
      <w:tr>
        <w:trPr/>
        <w:tc>
          <w:tcPr>
            <w:tcW w:w="2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66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SCOPE</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200"/>
        <w:gridCol w:w="48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4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Insiders</w:t>
            </w:r>
            <w:r>
              <w:rPr>
                <w:rFonts w:ascii="Times New Roman;Times;serif" w:hAnsi="Times New Roman;Times;serif"/>
                <w:caps w:val="false"/>
                <w:smallCaps w:val="false"/>
                <w:sz w:val="20"/>
                <w:u w:val="single"/>
              </w:rPr>
              <w:t>.</w:t>
            </w:r>
            <w:r>
              <w:rPr>
                <w:rFonts w:ascii="Times New Roman;Times;serif" w:hAnsi="Times New Roman;Times;serif"/>
                <w:caps w:val="false"/>
                <w:smallCaps w:val="false"/>
                <w:sz w:val="20"/>
              </w:rPr>
              <w:t> This Policy applies to all Insiders, which includes: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Employees, Officers, and members of the Board of Directors (Directors) of the Company (collectively, “Company Personnel”);</w:t>
            </w:r>
          </w:p>
        </w:tc>
      </w:tr>
    </w:tbl>
    <w:tbl>
      <w:tblPr>
        <w:tblW w:w="6775" w:type="dxa"/>
        <w:jc w:val="left"/>
        <w:tblInd w:w="0" w:type="dxa"/>
        <w:tblLayout w:type="fixed"/>
        <w:tblCellMar>
          <w:top w:w="0" w:type="dxa"/>
          <w:left w:w="0" w:type="dxa"/>
          <w:bottom w:w="0" w:type="dxa"/>
          <w:right w:w="0" w:type="dxa"/>
        </w:tblCellMar>
      </w:tblPr>
      <w:tblGrid>
        <w:gridCol w:w="60"/>
        <w:gridCol w:w="170"/>
        <w:gridCol w:w="6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family members and others living in the same household as Company Personnel;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family members of Company Personnel whose transactions in Company securities are subject to the influence or control of Company Personnel;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corporations, partnerships, or other entities owned or controlled by the foregoing persons or any corporation in which such persons hold more than 20% of the equity or voting rights;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trust or estate over which Company Personnel have control or influence with respect to a transaction in securities (e.g., a trustee or an executor);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Consultants and other third parties who have or may gain access to material nonpublic information concerning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Transaction Types</w:t>
            </w:r>
            <w:r>
              <w:rPr>
                <w:rFonts w:ascii="Times New Roman;Times;serif" w:hAnsi="Times New Roman;Times;serif"/>
                <w:caps w:val="false"/>
                <w:smallCaps w:val="false"/>
                <w:sz w:val="20"/>
                <w:u w:val="single"/>
              </w:rPr>
              <w:t>.</w:t>
            </w:r>
            <w:r>
              <w:rPr>
                <w:rFonts w:ascii="Times New Roman;Times;serif" w:hAnsi="Times New Roman;Times;serif"/>
                <w:caps w:val="false"/>
                <w:smallCaps w:val="false"/>
                <w:sz w:val="20"/>
              </w:rPr>
              <w:t> This Policy applies to any and all transactions in the Company’s securities, including (unless specifically excluded herein) its common stock and options to purchase common stock. In addition, this Policy applies to any other type of securities that the Company may issue, including but not limited to preferred stock, convertible debentures, warrants and exchange-traded options or other derivative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Transactions subject to this Policy include, but are not limited to:</w:t>
      </w:r>
    </w:p>
    <w:tbl>
      <w:tblPr>
        <w:tblW w:w="1090" w:type="dxa"/>
        <w:jc w:val="left"/>
        <w:tblInd w:w="0" w:type="dxa"/>
        <w:tblLayout w:type="fixed"/>
        <w:tblCellMar>
          <w:top w:w="0" w:type="dxa"/>
          <w:left w:w="0" w:type="dxa"/>
          <w:bottom w:w="0" w:type="dxa"/>
          <w:right w:w="0" w:type="dxa"/>
        </w:tblCellMar>
      </w:tblPr>
      <w:tblGrid>
        <w:gridCol w:w="60"/>
        <w:gridCol w:w="170"/>
        <w:gridCol w:w="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w:t>
            </w:r>
          </w:p>
        </w:tc>
      </w:tr>
    </w:tbl>
    <w:tbl>
      <w:tblPr>
        <w:tblW w:w="6760" w:type="dxa"/>
        <w:jc w:val="left"/>
        <w:tblInd w:w="0" w:type="dxa"/>
        <w:tblLayout w:type="fixed"/>
        <w:tblCellMar>
          <w:top w:w="0" w:type="dxa"/>
          <w:left w:w="0" w:type="dxa"/>
          <w:bottom w:w="0" w:type="dxa"/>
          <w:right w:w="0" w:type="dxa"/>
        </w:tblCellMar>
      </w:tblPr>
      <w:tblGrid>
        <w:gridCol w:w="60"/>
        <w:gridCol w:w="170"/>
        <w:gridCol w:w="6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(including short-selling), whether in the open market or with the Company,</w:t>
            </w:r>
          </w:p>
        </w:tc>
      </w:tr>
    </w:tbl>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transfers to anyone or any entity, with or without consideration,</w:t>
            </w:r>
          </w:p>
        </w:tc>
      </w:tr>
    </w:tbl>
    <w:tbl>
      <w:tblPr>
        <w:tblW w:w="655" w:type="dxa"/>
        <w:jc w:val="left"/>
        <w:tblInd w:w="0" w:type="dxa"/>
        <w:tblLayout w:type="fixed"/>
        <w:tblCellMar>
          <w:top w:w="0" w:type="dxa"/>
          <w:left w:w="0" w:type="dxa"/>
          <w:bottom w:w="0" w:type="dxa"/>
          <w:right w:w="0" w:type="dxa"/>
        </w:tblCellMar>
      </w:tblPr>
      <w:tblGrid>
        <w:gridCol w:w="60"/>
        <w:gridCol w:w="170"/>
        <w:gridCol w:w="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gifts,</w:t>
            </w:r>
          </w:p>
        </w:tc>
      </w:tr>
    </w:tbl>
    <w:tbl>
      <w:tblPr>
        <w:tblW w:w="2650" w:type="dxa"/>
        <w:jc w:val="left"/>
        <w:tblInd w:w="0" w:type="dxa"/>
        <w:tblLayout w:type="fixed"/>
        <w:tblCellMar>
          <w:top w:w="0" w:type="dxa"/>
          <w:left w:w="0" w:type="dxa"/>
          <w:bottom w:w="0" w:type="dxa"/>
          <w:right w:w="0" w:type="dxa"/>
        </w:tblCellMar>
      </w:tblPr>
      <w:tblGrid>
        <w:gridCol w:w="60"/>
        <w:gridCol w:w="170"/>
        <w:gridCol w:w="2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pledging of shares of options,</w:t>
            </w:r>
          </w:p>
        </w:tc>
      </w:tr>
    </w:tbl>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granting of an option to acquire an Insider’s interest in Company securities, and</w:t>
            </w:r>
          </w:p>
        </w:tc>
      </w:tr>
    </w:tbl>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certain elections made under the Company’s 401K plan, if applicable.</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755" w:type="dxa"/>
        <w:jc w:val="left"/>
        <w:tblInd w:w="0" w:type="dxa"/>
        <w:tblLayout w:type="fixed"/>
        <w:tblCellMar>
          <w:top w:w="0" w:type="dxa"/>
          <w:left w:w="0" w:type="dxa"/>
          <w:bottom w:w="0" w:type="dxa"/>
          <w:right w:w="0" w:type="dxa"/>
        </w:tblCellMar>
      </w:tblPr>
      <w:tblGrid>
        <w:gridCol w:w="290"/>
        <w:gridCol w:w="5465"/>
      </w:tblGrid>
      <w:tr>
        <w:trPr/>
        <w:tc>
          <w:tcPr>
            <w:tcW w:w="2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5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DEFINITION OF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MATERIAL NONPUBLIC INFORMATION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45" w:type="dxa"/>
            <w:tcBorders/>
            <w:vAlign w:val="center"/>
          </w:tcPr>
          <w:p>
            <w:pPr>
              <w:pStyle w:val="TableContents"/>
              <w:bidi w:val="0"/>
              <w:spacing w:before="0" w:after="0"/>
              <w:ind w:left="0" w:right="0" w:hanging="0"/>
              <w:jc w:val="both"/>
              <w:rPr>
                <w:caps w:val="false"/>
                <w:smallCaps w:val="false"/>
              </w:rPr>
            </w:pPr>
            <w:r>
              <w:rPr>
                <w:caps w:val="false"/>
                <w:smallCaps w:val="false"/>
                <w:u w:val="single"/>
              </w:rPr>
              <w:t>“</w:t>
            </w:r>
            <w:r>
              <w:rPr>
                <w:rFonts w:ascii="Times New Roman;Times;serif" w:hAnsi="Times New Roman;Times;serif"/>
                <w:b/>
                <w:caps w:val="false"/>
                <w:smallCaps w:val="false"/>
                <w:sz w:val="20"/>
                <w:u w:val="single"/>
              </w:rPr>
              <w:t>Material</w:t>
            </w:r>
            <w:r>
              <w:rPr>
                <w:rFonts w:ascii="Times New Roman;Times;serif" w:hAnsi="Times New Roman;Times;serif"/>
                <w:caps w:val="false"/>
                <w:smallCaps w:val="false"/>
                <w:sz w:val="20"/>
                <w:u w:val="single"/>
              </w:rPr>
              <w:t>” </w:t>
            </w:r>
            <w:r>
              <w:rPr>
                <w:rFonts w:ascii="Times New Roman;Times;serif" w:hAnsi="Times New Roman;Times;serif"/>
                <w:b/>
                <w:caps w:val="false"/>
                <w:smallCaps w:val="false"/>
                <w:sz w:val="20"/>
                <w:u w:val="single"/>
              </w:rPr>
              <w:t>Information</w:t>
            </w:r>
            <w:r>
              <w:rPr>
                <w:rFonts w:ascii="Times New Roman;Times;serif" w:hAnsi="Times New Roman;Times;serif"/>
                <w:caps w:val="false"/>
                <w:smallCaps w:val="false"/>
                <w:sz w:val="20"/>
                <w:u w:val="single"/>
              </w:rPr>
              <w:t>.</w:t>
            </w:r>
            <w:r>
              <w:rPr>
                <w:rFonts w:ascii="Times New Roman;Times;serif" w:hAnsi="Times New Roman;Times;serif"/>
                <w:caps w:val="false"/>
                <w:smallCaps w:val="false"/>
                <w:sz w:val="20"/>
              </w:rPr>
              <w:t> Material information is any type of information that could reasonably be expected to affect the price of Company securities, beyond normal daily fluctuations. There is no bright-line rule as to what constitutes “Material” information. Generally speaking, information about the Company is Material if there is a substantial likelihood that a reasonable stockholder would consider the information important in making a decision whether or not to buy or sell the Company’s securities, or, stated another way, if the disclosure of the information would be expected to significantly alter the total mix of the information about the Company in the marketplace, the information would be considered Material.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While it is not possible to identify all information that would be deemed Material, the following types of information ordinarily would be considered Material:</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performance, including quarterly and year-end earnings, and significant changes in financial performance or liquidity;</w:t>
            </w:r>
          </w:p>
        </w:tc>
      </w:tr>
    </w:tbl>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Company projections and strategic plans;</w:t>
            </w:r>
          </w:p>
        </w:tc>
      </w:tr>
    </w:tbl>
    <w:tbl>
      <w:tblPr>
        <w:tblW w:w="5695" w:type="dxa"/>
        <w:jc w:val="left"/>
        <w:tblInd w:w="0" w:type="dxa"/>
        <w:tblLayout w:type="fixed"/>
        <w:tblCellMar>
          <w:top w:w="0" w:type="dxa"/>
          <w:left w:w="0" w:type="dxa"/>
          <w:bottom w:w="0" w:type="dxa"/>
          <w:right w:w="0" w:type="dxa"/>
        </w:tblCellMar>
      </w:tblPr>
      <w:tblGrid>
        <w:gridCol w:w="60"/>
        <w:gridCol w:w="170"/>
        <w:gridCol w:w="5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results or presentations of the Company’s drug candidates;</w:t>
            </w:r>
          </w:p>
        </w:tc>
      </w:tr>
    </w:tbl>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mergers and acquisitions or the sale of Company assets or subsidiaries;</w:t>
            </w:r>
          </w:p>
        </w:tc>
      </w:tr>
    </w:tbl>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Partnership agreements for the Company’s clinical-stage drug candidates;</w:t>
            </w:r>
          </w:p>
        </w:tc>
      </w:tr>
    </w:tbl>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New major contracts, order, suppliers, customer, or finance sources, or the loss thereof;</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Major discoveries or significant changes or developments in products or product lines, clinical trial results, research or technologies;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changes or developments in supplies or inventory, including significant product defects, recalls or product returns;</w:t>
            </w:r>
          </w:p>
        </w:tc>
      </w:tr>
    </w:tbl>
    <w:tbl>
      <w:tblPr>
        <w:tblW w:w="2545" w:type="dxa"/>
        <w:jc w:val="left"/>
        <w:tblInd w:w="0" w:type="dxa"/>
        <w:tblLayout w:type="fixed"/>
        <w:tblCellMar>
          <w:top w:w="0" w:type="dxa"/>
          <w:left w:w="0" w:type="dxa"/>
          <w:bottom w:w="0" w:type="dxa"/>
          <w:right w:w="0" w:type="dxa"/>
        </w:tblCellMar>
      </w:tblPr>
      <w:tblGrid>
        <w:gridCol w:w="60"/>
        <w:gridCol w:w="170"/>
        <w:gridCol w:w="2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pricing changes;</w:t>
            </w:r>
          </w:p>
        </w:tc>
      </w:tr>
    </w:tbl>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 splits, public or private securities/debt offerings, or changes in Company dividend policies or amounts;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Transactions in the Company’s securities by the Company’s Section 16 Officers and Directors, until such time as the transactions are publicly filed with the Securities and Exchange Commission (SEC);</w:t>
            </w:r>
          </w:p>
        </w:tc>
      </w:tr>
    </w:tbl>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changes in senior management;</w:t>
            </w:r>
          </w:p>
        </w:tc>
      </w:tr>
    </w:tbl>
    <w:tbl>
      <w:tblPr>
        <w:tblW w:w="3670" w:type="dxa"/>
        <w:jc w:val="left"/>
        <w:tblInd w:w="0" w:type="dxa"/>
        <w:tblLayout w:type="fixed"/>
        <w:tblCellMar>
          <w:top w:w="0" w:type="dxa"/>
          <w:left w:w="0" w:type="dxa"/>
          <w:bottom w:w="0" w:type="dxa"/>
          <w:right w:w="0" w:type="dxa"/>
        </w:tblCellMar>
      </w:tblPr>
      <w:tblGrid>
        <w:gridCol w:w="60"/>
        <w:gridCol w:w="170"/>
        <w:gridCol w:w="3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labor disputes or negotiations;</w:t>
            </w:r>
          </w:p>
        </w:tc>
      </w:tr>
    </w:tbl>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threatened major litigation or the resolution of such litigation; and</w:t>
            </w:r>
          </w:p>
        </w:tc>
      </w:tr>
    </w:tbl>
    <w:tbl>
      <w:tblPr>
        <w:tblW w:w="7150" w:type="dxa"/>
        <w:jc w:val="left"/>
        <w:tblInd w:w="0" w:type="dxa"/>
        <w:tblLayout w:type="fixed"/>
        <w:tblCellMar>
          <w:top w:w="0" w:type="dxa"/>
          <w:left w:w="0" w:type="dxa"/>
          <w:bottom w:w="0" w:type="dxa"/>
          <w:right w:w="0" w:type="dxa"/>
        </w:tblCellMar>
      </w:tblPr>
      <w:tblGrid>
        <w:gridCol w:w="60"/>
        <w:gridCol w:w="170"/>
        <w:gridCol w:w="6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Content of material formal Food and Drug Administration responses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It is important to remember that whether information is Material will be viewed by enforcement authorities with the benefit of hindsight.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45" w:type="dxa"/>
            <w:tcBorders/>
            <w:vAlign w:val="center"/>
          </w:tcPr>
          <w:p>
            <w:pPr>
              <w:pStyle w:val="TableContents"/>
              <w:bidi w:val="0"/>
              <w:spacing w:before="0" w:after="0"/>
              <w:ind w:left="0" w:right="0" w:hanging="0"/>
              <w:jc w:val="both"/>
              <w:rPr>
                <w:caps w:val="false"/>
                <w:smallCaps w:val="false"/>
              </w:rPr>
            </w:pPr>
            <w:r>
              <w:rPr>
                <w:caps w:val="false"/>
                <w:smallCaps w:val="false"/>
                <w:u w:val="single"/>
              </w:rPr>
              <w:t>“</w:t>
            </w:r>
            <w:r>
              <w:rPr>
                <w:rFonts w:ascii="Times New Roman;Times;serif" w:hAnsi="Times New Roman;Times;serif"/>
                <w:b/>
                <w:caps w:val="false"/>
                <w:smallCaps w:val="false"/>
                <w:sz w:val="20"/>
                <w:u w:val="single"/>
              </w:rPr>
              <w:t>Nonpublic</w:t>
            </w:r>
            <w:r>
              <w:rPr>
                <w:rFonts w:ascii="Times New Roman;Times;serif" w:hAnsi="Times New Roman;Times;serif"/>
                <w:caps w:val="false"/>
                <w:smallCaps w:val="false"/>
                <w:sz w:val="20"/>
                <w:u w:val="single"/>
              </w:rPr>
              <w:t>” </w:t>
            </w:r>
            <w:r>
              <w:rPr>
                <w:rFonts w:ascii="Times New Roman;Times;serif" w:hAnsi="Times New Roman;Times;serif"/>
                <w:b/>
                <w:caps w:val="false"/>
                <w:smallCaps w:val="false"/>
                <w:sz w:val="20"/>
                <w:u w:val="single"/>
              </w:rPr>
              <w:t>Information</w:t>
            </w:r>
            <w:r>
              <w:rPr>
                <w:rFonts w:ascii="Times New Roman;Times;serif" w:hAnsi="Times New Roman;Times;serif"/>
                <w:caps w:val="false"/>
                <w:smallCaps w:val="false"/>
                <w:sz w:val="20"/>
                <w:u w:val="single"/>
              </w:rPr>
              <w:t>.</w:t>
            </w:r>
            <w:r>
              <w:rPr>
                <w:rFonts w:ascii="Times New Roman;Times;serif" w:hAnsi="Times New Roman;Times;serif"/>
                <w:caps w:val="false"/>
                <w:smallCaps w:val="false"/>
                <w:sz w:val="20"/>
              </w:rPr>
              <w:t> Material information is “Nonpublic” if it has not been widely disseminated to the public in a manner that makes it generally available to investors, including, without limitation, through major newswire services, national news services and financial news services or the filing of public documents as required with the SEC. For the purposes of this Policy, information will be considered public, i.e., no longer Nonpublic, after the close of trading on the second full trading day following the Company’s widespread public release of the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Consult with the Compliance Officer for Guidance.</w:t>
            </w:r>
            <w:r>
              <w:rPr>
                <w:rFonts w:ascii="Times New Roman;Times;serif" w:hAnsi="Times New Roman;Times;serif"/>
                <w:caps w:val="false"/>
                <w:smallCaps w:val="false"/>
                <w:sz w:val="20"/>
              </w:rPr>
              <w:t> Any Insider who is unsure whether the information that he or she possesses is Material Nonpublic Information should consult the Compliance Officer for guidance before seeking pre-clearance to trade in Company securities.</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275"/>
        <w:gridCol w:w="521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IV.</w:t>
            </w:r>
          </w:p>
        </w:tc>
        <w:tc>
          <w:tcPr>
            <w:tcW w:w="52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COMPANY POLICY AND PROCEDURES</w:t>
            </w:r>
          </w:p>
        </w:tc>
      </w:tr>
    </w:tbl>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200"/>
        <w:gridCol w:w="320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3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Prohibited Activities For All Insiders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Trading in Company Securities</w:t>
            </w:r>
            <w:r>
              <w:rPr>
                <w:rFonts w:ascii="Times New Roman;Times;serif" w:hAnsi="Times New Roman;Times;serif"/>
                <w:b/>
                <w:i/>
                <w:caps w:val="false"/>
                <w:smallCaps w:val="false"/>
                <w:sz w:val="20"/>
                <w:u w:val="single"/>
              </w:rPr>
              <w:t>.</w:t>
            </w:r>
            <w:r>
              <w:rPr>
                <w:rFonts w:ascii="Times New Roman;Times;serif" w:hAnsi="Times New Roman;Times;serif"/>
                <w:caps w:val="false"/>
                <w:smallCaps w:val="false"/>
                <w:sz w:val="20"/>
              </w:rPr>
              <w:t> No Insider may buy, sell, or otherwise trade in Company securities while possessing Material Nonpublic Information concerning the Company. In addition, no Insider may buy, sell, or otherwise trade in Company securities unless the trade(s) have been pre-approved in accordance with the procedures set forth in Section IV.B.,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Tipping</w:t>
            </w:r>
            <w:r>
              <w:rPr>
                <w:rFonts w:ascii="Times New Roman;Times;serif" w:hAnsi="Times New Roman;Times;serif"/>
                <w:b/>
                <w:i/>
                <w:caps w:val="false"/>
                <w:smallCaps w:val="false"/>
                <w:sz w:val="20"/>
                <w:u w:val="single"/>
              </w:rPr>
              <w:t>.</w:t>
            </w:r>
            <w:r>
              <w:rPr>
                <w:rFonts w:ascii="Times New Roman;Times;serif" w:hAnsi="Times New Roman;Times;serif"/>
                <w:caps w:val="false"/>
                <w:smallCaps w:val="false"/>
                <w:sz w:val="20"/>
              </w:rPr>
              <w:t> No Insider may “tip” or disclose Material Nonpublic Information concerning the Company to any person unless required as part of that Insider’s regular duties for the Company. In any instance in which such information is disclosed to outsiders, the Company shall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Investor Relations.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9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Giving Trading Advice.</w:t>
            </w:r>
            <w:r>
              <w:rPr>
                <w:rFonts w:ascii="Times New Roman;Times;serif" w:hAnsi="Times New Roman;Times;serif"/>
                <w:caps w:val="false"/>
                <w:smallCaps w:val="false"/>
                <w:sz w:val="20"/>
              </w:rPr>
              <w:t> No Insider may give trading advice of any kind about the Company to anyone while possessing Material Nonpublic Information about the Company, except that Insiders should advise others not to trade if they have knowledge that doing so might violate the law or this Policy. The Company strongly discourages all Insiders from giving trading advice concerning the Company to third parties even when the Insiders do not possess Material Nonpublic Information about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9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Engaging in Short Sales</w:t>
            </w:r>
            <w:r>
              <w:rPr>
                <w:rFonts w:ascii="Times New Roman;Times;serif" w:hAnsi="Times New Roman;Times;serif"/>
                <w:b/>
                <w:i/>
                <w:caps w:val="false"/>
                <w:smallCaps w:val="false"/>
                <w:sz w:val="20"/>
                <w:u w:val="single"/>
              </w:rPr>
              <w:t>.</w:t>
            </w:r>
            <w:r>
              <w:rPr>
                <w:rFonts w:ascii="Times New Roman;Times;serif" w:hAnsi="Times New Roman;Times;serif"/>
                <w:caps w:val="false"/>
                <w:smallCaps w:val="false"/>
                <w:sz w:val="20"/>
              </w:rPr>
              <w:t> No Insider may trade in any interest or position relating to the future price of Company securities, such as a put, call or short sale.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Trading in Securities of Other Companies</w:t>
            </w:r>
            <w:r>
              <w:rPr>
                <w:rFonts w:ascii="Times New Roman;Times;serif" w:hAnsi="Times New Roman;Times;serif"/>
                <w:b/>
                <w:i/>
                <w:caps w:val="false"/>
                <w:smallCaps w:val="false"/>
                <w:sz w:val="20"/>
                <w:u w:val="single"/>
              </w:rPr>
              <w:t>.</w:t>
            </w:r>
            <w:r>
              <w:rPr>
                <w:rFonts w:ascii="Times New Roman;Times;serif" w:hAnsi="Times New Roman;Times;serif"/>
                <w:caps w:val="false"/>
                <w:smallCaps w:val="false"/>
                <w:sz w:val="20"/>
              </w:rPr>
              <w:t> No Insider, while in the possession of Material Nonpublic Information about any other public company gained during the course of employment with the Company, may (a) trade in securities of the other Company, (b) “tip” or disclose such Material Nonpublic Information concerning that company to anyone, or (c) give trading advice of any kind to anyone concerning the other public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Procedures for Approving Insider Trades.</w:t>
            </w:r>
            <w:r>
              <w:rPr>
                <w:rFonts w:ascii="Times New Roman;Times;serif" w:hAnsi="Times New Roman;Times;serif"/>
                <w:caps w:val="false"/>
                <w:smallCaps w:val="false"/>
                <w:sz w:val="20"/>
              </w:rPr>
              <w:t> Regardless of the proposed timing or type of trade, no Insider may trade in Company securities until: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trading has notified the Compliance Officer in writing of the amount and nature of the proposed trade(s) by submitting a Notification of Proposed Trade form (see Appendix 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trading has certified to the Compliance Officer in writing at the time of such proposed trade(s) that (i) he or she is not in possession of Material Nonpublic Information concerning the Company and (ii) the proposed trade(s) do not violate the trading restrictions of Section 16 of the Exchange Act or Rule 144 of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60"/>
        <w:gridCol w:w="170"/>
        <w:gridCol w:w="9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Compliance Officer has approved the trade and has certified such approval in writing (including by email);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trading has provided the Compliance Officer any other documentation reasonably requested by the Compliance Officer in furtherance of the foregoing procedures. Any failure to provide such requested information may be grounds for denial of a Notification of Proposed Trade by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Period to Trade Upon Receipt of Approval.</w:t>
            </w:r>
            <w:r>
              <w:rPr>
                <w:rFonts w:ascii="Times New Roman;Times;serif" w:hAnsi="Times New Roman;Times;serif"/>
                <w:caps w:val="false"/>
                <w:smallCaps w:val="false"/>
                <w:sz w:val="20"/>
              </w:rPr>
              <w:t> After receiving written or electronic approval to engage in a trade from the Compliance Officer, the person trading must complete the proposed trade within five (5) business days of receipt of approval (“Authorization Period”), unless an exception is granted. Transactions not effected within the time limit will be subject to Compliance Officer approval again. If the person trading becomes aware of Material Nonpublic Information after Compliance Officer approval but before the trade is executed, the approval is void and the trade must not be completed.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Blackout Period.</w:t>
            </w:r>
            <w:r>
              <w:rPr>
                <w:rFonts w:ascii="Times New Roman;Times;serif" w:hAnsi="Times New Roman;Times;serif"/>
                <w:caps w:val="false"/>
                <w:smallCaps w:val="false"/>
                <w:sz w:val="20"/>
              </w:rPr>
              <w:t> The period beginning with the 15th day of the last calendar month of each quarter and ending two (2) Trading Days following the date of public disclosure of the financial results for that quarter (the "Blackout Period") is a particularly sensitive period of time for Company stock transactions from the perspective of compliance with applicable securities laws. This sensitivity is due to the fact that Officers, Directors and certain other Employees and Consultants will, during that period, often possess Material Nonpublic Information about the expected financial results for the quarter.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Except as set forth in Section IV.F. (Trades Made Pursuant to Rule 10b5-1 Plans), the following Company Personnel may not trade in Company Securities during a Blackout Period, and this restriction will not be waived:</w:t>
      </w:r>
    </w:p>
    <w:tbl>
      <w:tblPr>
        <w:tblW w:w="1045" w:type="dxa"/>
        <w:jc w:val="left"/>
        <w:tblInd w:w="0" w:type="dxa"/>
        <w:tblLayout w:type="fixed"/>
        <w:tblCellMar>
          <w:top w:w="0" w:type="dxa"/>
          <w:left w:w="0" w:type="dxa"/>
          <w:bottom w:w="0" w:type="dxa"/>
          <w:right w:w="0" w:type="dxa"/>
        </w:tblCellMar>
      </w:tblPr>
      <w:tblGrid>
        <w:gridCol w:w="60"/>
        <w:gridCol w:w="170"/>
        <w:gridCol w:w="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Directors;</w:t>
            </w:r>
          </w:p>
        </w:tc>
      </w:tr>
    </w:tbl>
    <w:tbl>
      <w:tblPr>
        <w:tblW w:w="940" w:type="dxa"/>
        <w:jc w:val="left"/>
        <w:tblInd w:w="0" w:type="dxa"/>
        <w:tblLayout w:type="fixed"/>
        <w:tblCellMar>
          <w:top w:w="0" w:type="dxa"/>
          <w:left w:w="0" w:type="dxa"/>
          <w:bottom w:w="0" w:type="dxa"/>
          <w:right w:w="0" w:type="dxa"/>
        </w:tblCellMar>
      </w:tblPr>
      <w:tblGrid>
        <w:gridCol w:w="60"/>
        <w:gridCol w:w="170"/>
        <w:gridCol w:w="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Officers;</w:t>
            </w:r>
          </w:p>
        </w:tc>
      </w:tr>
    </w:tbl>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Vice Presidents and above (all functions); and</w:t>
            </w:r>
          </w:p>
        </w:tc>
      </w:tr>
    </w:tbl>
    <w:tbl>
      <w:tblPr>
        <w:tblW w:w="3490" w:type="dxa"/>
        <w:jc w:val="left"/>
        <w:tblInd w:w="0" w:type="dxa"/>
        <w:tblLayout w:type="fixed"/>
        <w:tblCellMar>
          <w:top w:w="0" w:type="dxa"/>
          <w:left w:w="0" w:type="dxa"/>
          <w:bottom w:w="0" w:type="dxa"/>
          <w:right w:w="0" w:type="dxa"/>
        </w:tblCellMar>
      </w:tblPr>
      <w:tblGrid>
        <w:gridCol w:w="60"/>
        <w:gridCol w:w="170"/>
        <w:gridCol w:w="3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members of the following functions:</w:t>
            </w:r>
          </w:p>
        </w:tc>
      </w:tr>
    </w:tbl>
    <w:tbl>
      <w:tblPr>
        <w:tblW w:w="805" w:type="dxa"/>
        <w:jc w:val="left"/>
        <w:tblInd w:w="0" w:type="dxa"/>
        <w:tblLayout w:type="fixed"/>
        <w:tblCellMar>
          <w:top w:w="0" w:type="dxa"/>
          <w:left w:w="0" w:type="dxa"/>
          <w:bottom w:w="0" w:type="dxa"/>
          <w:right w:w="0" w:type="dxa"/>
        </w:tblCellMar>
      </w:tblPr>
      <w:tblGrid>
        <w:gridCol w:w="60"/>
        <w:gridCol w:w="80"/>
        <w:gridCol w:w="6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r>
    </w:tbl>
    <w:tbl>
      <w:tblPr>
        <w:tblW w:w="2080" w:type="dxa"/>
        <w:jc w:val="left"/>
        <w:tblInd w:w="0" w:type="dxa"/>
        <w:tblLayout w:type="fixed"/>
        <w:tblCellMar>
          <w:top w:w="0" w:type="dxa"/>
          <w:left w:w="0" w:type="dxa"/>
          <w:bottom w:w="0" w:type="dxa"/>
          <w:right w:w="0" w:type="dxa"/>
        </w:tblCellMar>
      </w:tblPr>
      <w:tblGrid>
        <w:gridCol w:w="60"/>
        <w:gridCol w:w="80"/>
        <w:gridCol w:w="194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Operations</w:t>
            </w:r>
          </w:p>
        </w:tc>
      </w:tr>
    </w:tbl>
    <w:tbl>
      <w:tblPr>
        <w:tblW w:w="2890" w:type="dxa"/>
        <w:jc w:val="left"/>
        <w:tblInd w:w="0" w:type="dxa"/>
        <w:tblLayout w:type="fixed"/>
        <w:tblCellMar>
          <w:top w:w="0" w:type="dxa"/>
          <w:left w:w="0" w:type="dxa"/>
          <w:bottom w:w="0" w:type="dxa"/>
          <w:right w:w="0" w:type="dxa"/>
        </w:tblCellMar>
      </w:tblPr>
      <w:tblGrid>
        <w:gridCol w:w="60"/>
        <w:gridCol w:w="80"/>
        <w:gridCol w:w="275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for Approved Products</w:t>
            </w:r>
          </w:p>
        </w:tc>
      </w:tr>
    </w:tbl>
    <w:tbl>
      <w:tblPr>
        <w:tblW w:w="1345" w:type="dxa"/>
        <w:jc w:val="left"/>
        <w:tblInd w:w="0" w:type="dxa"/>
        <w:tblLayout w:type="fixed"/>
        <w:tblCellMar>
          <w:top w:w="0" w:type="dxa"/>
          <w:left w:w="0" w:type="dxa"/>
          <w:bottom w:w="0" w:type="dxa"/>
          <w:right w:w="0" w:type="dxa"/>
        </w:tblCellMar>
      </w:tblPr>
      <w:tblGrid>
        <w:gridCol w:w="60"/>
        <w:gridCol w:w="80"/>
        <w:gridCol w:w="120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2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Market Access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Blackout Periods are as follows: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From March 15 until the end of the second full trading day following public announcement of first quarter financial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From June 15 until the end of the second trading full day following public announcement of second quarter financial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From September 15 until the end of the second full trading day following public announcement of third quarter financial results;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From December 15 until the end of the second full trading day following public announcement of fourth quarter and year-end financial results.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Special Blackout Periods.</w:t>
            </w:r>
            <w:r>
              <w:rPr>
                <w:rFonts w:ascii="Times New Roman;Times;serif" w:hAnsi="Times New Roman;Times;serif"/>
                <w:caps w:val="false"/>
                <w:smallCaps w:val="false"/>
                <w:sz w:val="20"/>
              </w:rPr>
              <w:t> Company business may necessitate a blackout period at points in time other than the above (such as for negotiation of mergers, acquisitions or licensing agreements, clinical trial results, manufacturing and supply, which may not be publicly disclosed). While such Material Nonpublic Information is pending disclosure, the Compliance Officer, in consultation with Company Management, may designate special blackout periods ("Special Blackout Periods") during which trading in Company securities by certain Insiders (who the Compliance Officer may designate as subject to a Special Blackout Period because of their position, responsibilities, or their actual or potential access to Material Nonpublic Information) is prohibited. If the Company imposes a Special Blackout Period, the Compliance Officer will notify the Insiders affected in writing. No Notification of Proposed Trade Forms will be approved during the Special Blackout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An Insider may not disclose to any outside third party that a Special Blackout Period has been designated.</w:t>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85"/>
        <w:gridCol w:w="378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w:t>
            </w:r>
          </w:p>
        </w:tc>
        <w:tc>
          <w:tcPr>
            <w:tcW w:w="37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Trades Made Pursuant to Rule 10b5-1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General Information</w:t>
            </w:r>
            <w:r>
              <w:rPr>
                <w:rFonts w:ascii="Times New Roman;Times;serif" w:hAnsi="Times New Roman;Times;serif"/>
                <w:caps w:val="false"/>
                <w:smallCaps w:val="false"/>
                <w:sz w:val="20"/>
              </w:rPr>
              <w:t>: Under Rule 10b5-1 of the Securities Exchange Act, an individual has an affirmative defense against an allegation of insider trading if he or she demonstrates that the purchase, sale or trade in question took place pursuant to a binding contract, specific instruction or written plan that was put into place before he or she became aware of Material Nonpublic Information. Such plans are commonly referred to as Rule 10b5-1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Rule 10b5-1 Plans require advance commitments that may impact the amounts, prices, or timing of purchases or sales of Company securities. Accordingly, while Rule 10b5-1 Plans have the advantage of protecting against insider trading liability, they limit flexibility and discretion and may not be suitable for all Insiders.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availability of a Rule 10b5-1 Plan does not in any way obligate the Compliance Officer to approve any Rule 10b5-1 Plans proposed by Insiders. The Compliance Officer may reject any proposed 10b5-1 Plans at his or her sole reasonable discretion.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Specific Requirements</w:t>
            </w:r>
            <w:r>
              <w:rPr>
                <w:rFonts w:ascii="Times New Roman;Times;serif" w:hAnsi="Times New Roman;Times;serif"/>
                <w:caps w:val="false"/>
                <w:smallCaps w:val="false"/>
                <w:sz w:val="20"/>
              </w:rPr>
              <w:t>: For a Rule 10b5-1 Plan to serve as an affirmative defense to insider trading liability, it must meet the following specific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Preapproval - </w:t>
            </w:r>
            <w:r>
              <w:rPr>
                <w:rFonts w:ascii="Times New Roman;Times;serif" w:hAnsi="Times New Roman;Times;serif"/>
                <w:caps w:val="false"/>
                <w:smallCaps w:val="false"/>
                <w:sz w:val="20"/>
              </w:rPr>
              <w:t>The Compliance Officer must pre-approve any Rule 10b5-1 Plan prior to its effectiveness. Preapproval is also required for any modifications to an existing Rule 10b5-1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Material Nonpublic Information and Blackouts -</w:t>
            </w:r>
            <w:r>
              <w:rPr>
                <w:rFonts w:ascii="Times New Roman;Times;serif" w:hAnsi="Times New Roman;Times;serif"/>
                <w:caps w:val="false"/>
                <w:smallCaps w:val="false"/>
                <w:sz w:val="20"/>
              </w:rPr>
              <w:t>The individual desiring to enter into a Rule 10b5-1 Plan must do so at a time when he or she is not aware of any Material Nonpublic Information or is otherwise subject to a Blackout Period or Special Blackout Period. Further, no modifications to an existing Rule 10b5-1 Plan may be made while the individual is aware of any Material Nonpublic Information or is otherwise subject to a Blackout Period or Special Blackout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30-day Waiting Period </w:t>
            </w:r>
            <w:r>
              <w:rPr>
                <w:rFonts w:ascii="Times New Roman;Times;serif" w:hAnsi="Times New Roman;Times;serif"/>
                <w:caps w:val="false"/>
                <w:smallCaps w:val="false"/>
                <w:sz w:val="20"/>
              </w:rPr>
              <w:t>– The date of the first possible transaction under an approved Rule 10b5-1 Plan may not happen until 30 days after the date the Rule 10b5-1 Plan is approved and becomes effective. A 30-day waiting period is also required following the date of approval of any modifications to an existing 10b5-1 Plan;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Filing of SEC Forms </w:t>
            </w:r>
            <w:r>
              <w:rPr>
                <w:rFonts w:ascii="Times New Roman;Times;serif" w:hAnsi="Times New Roman;Times;serif"/>
                <w:caps w:val="false"/>
                <w:smallCaps w:val="false"/>
                <w:sz w:val="20"/>
              </w:rPr>
              <w:t>– The Compliance Officer must ensure that a procedure is in place for guaranteeing prompt filings of Forms 4, 5, and 144 with the SEC for Rule 10b5-1 Plans established by Officers or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G.</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 xml:space="preserve">Exceptions to Trading Prohibitions. </w:t>
            </w:r>
            <w:r>
              <w:rPr>
                <w:rFonts w:ascii="Times New Roman;Times;serif" w:hAnsi="Times New Roman;Times;serif"/>
                <w:caps w:val="false"/>
                <w:smallCaps w:val="false"/>
                <w:sz w:val="20"/>
              </w:rPr>
              <w:t>The prohibition on trading in Company securities during Blackout Periods, during SpecialBlackout Periods, or while otherwise in possession of Material Nonpublic Information does not apply 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made under an Employee stock purchase plan operated by the Company; provided, however, that the securities so acquired may not be sold during a Blackout Period or any Special Blackout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exercises of stock options or the surrender of shares to the Company in payment of the exercise price or in satisfaction of any tax withholding obligation, in each case in a manner permitted by the applicable stock option; provided, however, that the securities so acquired may not be sold (either outright or in connection with a “cashless” exercise transaction through a broker) during a Blackout Period or Special Blackout Period or, if outside a Blackout Period or Special Blackout Period, without receiving the approval of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automatic sales of shares of the Company’s common stock through a Company- contracted service provider or broker to cover any taxes due as a result of the vesting of restricted stock or restricted stock units, where the amount of shares sold is based on the Insider’s taxable income, the market price of the common stock on the date that the restricted stock or restricted stock units vest (the “Vesting Date”) and the market price on the date of the sale, which date shall be as soon as possible after the Vesting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or dispositions of Company common stock under the Company’s 401(k) plan, which are made pursuant to standing instructions not entered into or modified during a Blackout Period or Special Blackout Period or while otherwise in possession of Material Nonpublic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60"/>
        <w:gridCol w:w="170"/>
        <w:gridCol w:w="45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5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or sales made pursuant to a Rule 10b5-1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H.</w:t>
            </w:r>
          </w:p>
        </w:tc>
        <w:tc>
          <w:tcPr>
            <w:tcW w:w="9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Priority of Statutory or Regulatory Trading Restrictions.</w:t>
            </w:r>
            <w:r>
              <w:rPr>
                <w:rFonts w:ascii="Times New Roman;Times;serif" w:hAnsi="Times New Roman;Times;serif"/>
                <w:caps w:val="false"/>
                <w:smallCaps w:val="false"/>
                <w:sz w:val="20"/>
              </w:rPr>
              <w:t> The trading prohibitions and restrictions set forth in this Policy will be superseded by any greater prohibitions or restrictions prescribed by federal or state securities laws and regulations. Any Insider who is uncertain whether other prohibitions or restrictions apply should ask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00"/>
        <w:gridCol w:w="4055"/>
      </w:tblGrid>
      <w:tr>
        <w:trPr/>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V.</w:t>
            </w:r>
          </w:p>
        </w:tc>
        <w:tc>
          <w:tcPr>
            <w:tcW w:w="405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INSIDER TRADING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Responsibilities.</w:t>
            </w:r>
            <w:r>
              <w:rPr>
                <w:rFonts w:ascii="Times New Roman;Times;serif" w:hAnsi="Times New Roman;Times;serif"/>
                <w:caps w:val="false"/>
                <w:smallCaps w:val="false"/>
                <w:sz w:val="20"/>
              </w:rPr>
              <w:t> The Company has designated the Chief Financial Officer, as its Insider Trading Compliance Officer (the “Compliance Officer”) responsible for ensuring compliance with this Policy. In addition to the trading approval duties described in Section IV.B., the duties of the Compliance Officer will also include:</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70"/>
        <w:gridCol w:w="8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administering this Policy and monitoring and enforcing compliance with all Policy provisions and procedures;</w:t>
            </w:r>
          </w:p>
        </w:tc>
      </w:tr>
    </w:tbl>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60"/>
        <w:gridCol w:w="170"/>
        <w:gridCol w:w="5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5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responding to all inquiries relating to this Policy and its procedures;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designating Special Blackout Periods, in consultation with the General Counsel and Chief Executive Officer and announcing such periods, as defined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providing copies of this Policy and other appropriate materials to all current and new directors, officers and employees, and such Outsiders who the Compliance Officer determines have or may gain access to Material Nonpublic Information concerning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administering, monitoring and enforcing compliance with all federal and state insider trading laws and regulations, including without limitation Sections 10(b), 15, 20A and 21A of the Securities Exchange Act of 1934, as amended (the “Exchange Act”) and the rules and regulations promulgated thereunder, and Rule 144 under the Securities Act of 1933 (the “Securities Act”) and related regulations of the Financial Industry Regulatory Authority, Inc. (”FINRA”) or The Nasdaq Stock Market Inc. (“Nasdaq”); and assisting in the preparation and filing of all reports required to be filed by the Company under the Exchange Act relating to insider trading in the Company’s securities, including without limitation Forms 3, 4, 5 and 144 and Schedules 13D and 13G (“SEC Reports”);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revising the Policy as necessary to reflect changes in federal or state insider trading laws and regulations or the regulations of FINRA or Nasdaq;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as Company records originals or copies of all documents required by the provisions of this Policy or the procedures set forth herein, and copies of all SEC Reports.</w:t>
            </w:r>
          </w:p>
        </w:tc>
      </w:tr>
    </w:tbl>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Compliance Officer may designate one or more individuals who may perform the Compliance Officer’s duties in the event that the Compliance Officer is unable or unavailable to perform such duties.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Compliance Officer Trades.</w:t>
            </w:r>
            <w:r>
              <w:rPr>
                <w:rFonts w:ascii="Times New Roman;Times;serif" w:hAnsi="Times New Roman;Times;serif"/>
                <w:caps w:val="false"/>
                <w:smallCaps w:val="false"/>
                <w:sz w:val="20"/>
              </w:rPr>
              <w:t> If the Compliance Officer desires to complete any trades involving Company securities, he or she must first obtain the approval of the Chief Executive Officer of the Company in accordance with the requirements outlined in this Policy.</w:t>
            </w:r>
          </w:p>
        </w:tc>
      </w:tr>
    </w:tbl>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275"/>
        <w:gridCol w:w="591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VI.</w:t>
            </w:r>
          </w:p>
        </w:tc>
        <w:tc>
          <w:tcPr>
            <w:tcW w:w="591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POTENTIAL CIVIL, CRIMINAL AND DISCIPLINARY SANCTIONS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Civil and Criminal Penalties.</w:t>
            </w:r>
            <w:r>
              <w:rPr>
                <w:rFonts w:ascii="Times New Roman;Times;serif" w:hAnsi="Times New Roman;Times;serif"/>
                <w:caps w:val="false"/>
                <w:smallCaps w:val="false"/>
                <w:sz w:val="20"/>
              </w:rPr>
              <w:t> The consequences of prohibited insider trading or tipping can be severe and can include significant fines and imprisonment. The Company and/or the supervisors of the person violating the rules may also face major civil and/or criminal penalties.</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Company Discipline.</w:t>
            </w:r>
            <w:r>
              <w:rPr>
                <w:rFonts w:ascii="Times New Roman;Times;serif" w:hAnsi="Times New Roman;Times;serif"/>
                <w:caps w:val="false"/>
                <w:smallCaps w:val="false"/>
                <w:sz w:val="20"/>
              </w:rPr>
              <w:t> Violation of this Policy or federal or state insider trading or tipping laws by any director, officer or employee, or other Insider, may subject the director to dismissal proceedings and the officer or employee to disciplinary action by the Company up to and including termination for cause.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9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Reporting of Violations.</w:t>
            </w:r>
            <w:r>
              <w:rPr>
                <w:rFonts w:ascii="Times New Roman;Times;serif" w:hAnsi="Times New Roman;Times;serif"/>
                <w:caps w:val="false"/>
                <w:smallCaps w:val="false"/>
                <w:sz w:val="20"/>
              </w:rPr>
              <w:t> Any Insider who violates this Policy or any federal or state laws governing insider trading or tipping, or knows of such violation by any other Insiders, must report the violation immediately to the Compliance Officer. Upon learning of any such violation, the Compliance Officer, in consultation with the Company’s legal counsel, will determine whether the Company should release any Material Nonpublic Information, or whether the Company should report the violation to the SEC, Nasdaq, or other appropriate governmental authority.</w:t>
            </w:r>
          </w:p>
        </w:tc>
      </w:tr>
    </w:tbl>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350"/>
        <w:gridCol w:w="824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VII.</w:t>
            </w:r>
          </w:p>
        </w:tc>
        <w:tc>
          <w:tcPr>
            <w:tcW w:w="824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INFORMATION APPLICABLE TO SECTION 16 OFFICERS AND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Officers and Directors of the Company must also comply with the reporting obligations and limitations on short-swing transactions set forth in Section 16 of the Exchange Act (“Section 16”). Section 16 Officers and Directors must notify the Compliance Officer, by email and/or facsimile transmission, promptly upon the execution of such trade, but in no event later than next business day after the execution of such trade. Such notice shall include all relevant details of such trade,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170"/>
        <w:gridCol w:w="4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of the entity in whose name the trade was made;</w:t>
            </w:r>
          </w:p>
        </w:tc>
      </w:tr>
    </w:tbl>
    <w:tbl>
      <w:tblPr>
        <w:tblW w:w="4585" w:type="dxa"/>
        <w:jc w:val="left"/>
        <w:tblInd w:w="0" w:type="dxa"/>
        <w:tblLayout w:type="fixed"/>
        <w:tblCellMar>
          <w:top w:w="0" w:type="dxa"/>
          <w:left w:w="0" w:type="dxa"/>
          <w:bottom w:w="0" w:type="dxa"/>
          <w:right w:w="0" w:type="dxa"/>
        </w:tblCellMar>
      </w:tblPr>
      <w:tblGrid>
        <w:gridCol w:w="60"/>
        <w:gridCol w:w="170"/>
        <w:gridCol w:w="4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type and amount of securities subject to the trade;</w:t>
            </w:r>
          </w:p>
        </w:tc>
      </w:tr>
    </w:tbl>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at which the securities were traded; and</w:t>
            </w:r>
          </w:p>
        </w:tc>
      </w:tr>
    </w:tbl>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new number of securities owned, directly or indirectly, by the Insider subsequent to the execution of the trade.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Company has provided, or will provide, separate materials to its Section 16 officers and directors regarding compliance with Section 16 and its related rules.</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425"/>
        <w:gridCol w:w="1085"/>
      </w:tblGrid>
      <w:tr>
        <w:trPr/>
        <w:tc>
          <w:tcPr>
            <w:tcW w:w="42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VIII.</w:t>
            </w:r>
          </w:p>
        </w:tc>
        <w:tc>
          <w:tcPr>
            <w:tcW w:w="10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INQUIRIES.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Please direct all inquiries regarding this policy to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2960" w:type="dxa"/>
        <w:jc w:val="right"/>
        <w:tblInd w:w="0" w:type="dxa"/>
        <w:tblLayout w:type="fixed"/>
        <w:tblCellMar>
          <w:top w:w="0" w:type="dxa"/>
          <w:left w:w="0" w:type="dxa"/>
          <w:bottom w:w="0" w:type="dxa"/>
          <w:right w:w="0" w:type="dxa"/>
        </w:tblCellMar>
      </w:tblPr>
      <w:tblGrid>
        <w:gridCol w:w="2960"/>
      </w:tblGrid>
      <w:tr>
        <w:trPr/>
        <w:tc>
          <w:tcPr>
            <w:tcW w:w="2960" w:type="dxa"/>
            <w:tcBorders/>
            <w:vAlign w:val="center"/>
          </w:tcPr>
          <w:p>
            <w:pPr>
              <w:pStyle w:val="TableContents"/>
              <w:bidi w:val="0"/>
              <w:spacing w:before="0" w:after="283"/>
              <w:jc w:val="center"/>
              <w:rPr/>
            </w:pPr>
            <w:r>
              <w:rPr/>
              <w:t>Notification of Proposed Trade</w:t>
            </w:r>
          </w:p>
        </w:tc>
      </w:tr>
    </w:tbl>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7" w:type="dxa"/>
        <w:tblLayout w:type="fixed"/>
        <w:tblCellMar>
          <w:top w:w="28" w:type="dxa"/>
          <w:left w:w="28" w:type="dxa"/>
          <w:bottom w:w="28" w:type="dxa"/>
          <w:right w:w="28" w:type="dxa"/>
        </w:tblCellMar>
      </w:tblPr>
      <w:tblGrid>
        <w:gridCol w:w="1430"/>
        <w:gridCol w:w="60"/>
        <w:gridCol w:w="455"/>
        <w:gridCol w:w="75"/>
      </w:tblGrid>
      <w:tr>
        <w:trPr/>
        <w:tc>
          <w:tcPr>
            <w:tcW w:w="2020" w:type="dxa"/>
            <w:gridSpan w:val="4"/>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Section 1: Notification</w:t>
            </w:r>
          </w:p>
        </w:tc>
      </w:tr>
      <w:tr>
        <w:trPr/>
        <w:tc>
          <w:tcPr>
            <w:tcW w:w="14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From:</w:t>
            </w:r>
          </w:p>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 of Insider)</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both"/>
              <w:rPr/>
            </w:pPr>
            <w:r>
              <w:rPr/>
              <w:t> </w:t>
            </w:r>
          </w:p>
        </w:tc>
        <w:tc>
          <w:tcPr>
            <w:tcW w:w="4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28" w:type="dxa"/>
          <w:bottom w:w="28" w:type="dxa"/>
          <w:right w:w="28" w:type="dxa"/>
        </w:tblCellMar>
      </w:tblPr>
      <w:tblGrid>
        <w:gridCol w:w="9803"/>
        <w:gridCol w:w="402"/>
      </w:tblGrid>
      <w:tr>
        <w:trPr/>
        <w:tc>
          <w:tcPr>
            <w:tcW w:w="10205" w:type="dxa"/>
            <w:gridSpan w:val="2"/>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(Please fill out that which is applicable)</w:t>
            </w:r>
          </w:p>
        </w:tc>
      </w:tr>
      <w:tr>
        <w:trPr/>
        <w:tc>
          <w:tcPr>
            <w:tcW w:w="10205" w:type="dxa"/>
            <w:gridSpan w:val="2"/>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 hereby notify you of my intent to trade in securities of TG Therapeutics, Inc. (the “Company”). The amount and nature of the proposed trade is as follows:</w:t>
            </w:r>
          </w:p>
          <w:p>
            <w:pPr>
              <w:pStyle w:val="TableContents"/>
              <w:bidi w:val="0"/>
              <w:spacing w:before="0" w:after="0"/>
              <w:ind w:left="180" w:right="0" w:hanging="0"/>
              <w:jc w:val="both"/>
              <w:rPr>
                <w:caps w:val="false"/>
                <w:smallCaps w:val="false"/>
              </w:rPr>
            </w:pPr>
            <w:r>
              <w:rPr>
                <w:caps w:val="false"/>
                <w:smallCaps w:val="false"/>
              </w:rPr>
              <w:t> </w:t>
            </w:r>
          </w:p>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 xml:space="preserve">Sell in the open market </w:t>
            </w:r>
            <w:r>
              <w:rPr>
                <w:rFonts w:ascii="Times New Roman" w:hAnsi="Times New Roman"/>
                <w:caps w:val="false"/>
                <w:smallCaps w:val="false"/>
                <w:sz w:val="20"/>
                <w:u w:val="single"/>
              </w:rPr>
              <w:t>         </w:t>
            </w:r>
            <w:r>
              <w:rPr>
                <w:rFonts w:ascii="Times New Roman" w:hAnsi="Times New Roman"/>
                <w:caps w:val="false"/>
                <w:smallCaps w:val="false"/>
                <w:sz w:val="20"/>
              </w:rPr>
              <w:t xml:space="preserve"> shares of Company Common Stock currently held at </w:t>
            </w:r>
            <w:r>
              <w:rPr>
                <w:rFonts w:ascii="Times New Roman" w:hAnsi="Times New Roman"/>
                <w:caps w:val="false"/>
                <w:smallCaps w:val="false"/>
                <w:sz w:val="20"/>
                <w:u w:val="single"/>
              </w:rPr>
              <w:t>         </w:t>
            </w:r>
            <w:r>
              <w:rPr>
                <w:rFonts w:ascii="Times New Roman" w:hAnsi="Times New Roman"/>
                <w:caps w:val="false"/>
                <w:smallCaps w:val="false"/>
                <w:sz w:val="20"/>
              </w:rPr>
              <w:t> (e.g., Fidelity).</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 xml:space="preserve">Exercise </w:t>
            </w:r>
            <w:r>
              <w:rPr>
                <w:rFonts w:ascii="Times New Roman" w:hAnsi="Times New Roman"/>
                <w:caps w:val="false"/>
                <w:smallCaps w:val="false"/>
                <w:sz w:val="20"/>
                <w:u w:val="single"/>
              </w:rPr>
              <w:t>         </w:t>
            </w:r>
            <w:r>
              <w:rPr>
                <w:rFonts w:ascii="Times New Roman" w:hAnsi="Times New Roman"/>
                <w:caps w:val="false"/>
                <w:smallCaps w:val="false"/>
                <w:sz w:val="20"/>
              </w:rPr>
              <w:t xml:space="preserve"> non-qualified stock options granted by the Company on </w:t>
            </w:r>
            <w:r>
              <w:rPr>
                <w:rFonts w:ascii="Times New Roman" w:hAnsi="Times New Roman"/>
                <w:caps w:val="false"/>
                <w:smallCaps w:val="false"/>
                <w:sz w:val="20"/>
                <w:u w:val="single"/>
              </w:rPr>
              <w:t>         </w:t>
            </w:r>
            <w:r>
              <w:rPr>
                <w:rFonts w:ascii="Times New Roman" w:hAnsi="Times New Roman"/>
                <w:caps w:val="false"/>
                <w:smallCaps w:val="false"/>
                <w:sz w:val="20"/>
              </w:rPr>
              <w:t>.</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 xml:space="preserve">Purchase in the open market </w:t>
            </w:r>
            <w:r>
              <w:rPr>
                <w:rFonts w:ascii="Times New Roman" w:hAnsi="Times New Roman"/>
                <w:caps w:val="false"/>
                <w:smallCaps w:val="false"/>
                <w:sz w:val="20"/>
                <w:u w:val="single"/>
              </w:rPr>
              <w:t>         </w:t>
            </w:r>
            <w:r>
              <w:rPr>
                <w:rFonts w:ascii="Times New Roman" w:hAnsi="Times New Roman"/>
                <w:caps w:val="false"/>
                <w:smallCaps w:val="false"/>
                <w:sz w:val="20"/>
              </w:rPr>
              <w:t> shares of Company Common Stock.</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Gift           shares of Company Common Stock to           ; or </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360" w:right="0" w:hanging="0"/>
              <w:jc w:val="both"/>
              <w:rPr>
                <w:caps w:val="false"/>
                <w:smallCaps w:val="false"/>
              </w:rPr>
            </w:pPr>
            <w:r>
              <w:rPr>
                <w:caps w:val="false"/>
                <w:smallCaps w:val="false"/>
              </w:rPr>
              <w:t>●         </w:t>
            </w:r>
            <w:r>
              <w:rPr>
                <w:rFonts w:ascii="Times New Roman" w:hAnsi="Times New Roman"/>
                <w:caps w:val="false"/>
                <w:smallCaps w:val="false"/>
                <w:sz w:val="20"/>
              </w:rPr>
              <w:t>Adopt a Rule 10b5-1 Plan as set forth in the Company’s Insider Trading Policy (please submit the proposed Plan with this request).</w:t>
            </w:r>
          </w:p>
          <w:p>
            <w:pPr>
              <w:pStyle w:val="TableContents"/>
              <w:bidi w:val="0"/>
              <w:spacing w:before="0" w:after="0"/>
              <w:ind w:left="360" w:right="0" w:hanging="0"/>
              <w:jc w:val="both"/>
              <w:rPr>
                <w:caps w:val="false"/>
                <w:smallCaps w:val="false"/>
              </w:rPr>
            </w:pPr>
            <w:r>
              <w:rPr>
                <w:caps w:val="false"/>
                <w:smallCaps w:val="false"/>
              </w:rPr>
              <w:t> </w:t>
            </w:r>
          </w:p>
        </w:tc>
      </w:tr>
      <w:tr>
        <w:trPr/>
        <w:tc>
          <w:tcPr>
            <w:tcW w:w="10205" w:type="dxa"/>
            <w:gridSpan w:val="2"/>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Section 2: Certification</w:t>
            </w:r>
          </w:p>
        </w:tc>
      </w:tr>
      <w:tr>
        <w:trPr/>
        <w:tc>
          <w:tcPr>
            <w:tcW w:w="10205" w:type="dxa"/>
            <w:gridSpan w:val="2"/>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proposed trade, I hereby certify that:</w:t>
            </w:r>
          </w:p>
          <w:p>
            <w:pPr>
              <w:pStyle w:val="TableContents"/>
              <w:bidi w:val="0"/>
              <w:spacing w:before="0" w:after="0"/>
              <w:ind w:left="18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1.         I am not in possession of any Material Nonpublic Information concerning the Company, as defined in the Company’s Insider Trading Policy (the "Policy").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2.         To the best of my knowledge, the proposed trade does not violate the trading restrictions of Section 16 of the Securities Exchange Act of 1934, as amended, or Rule 144 of the Securities Act of 1933, as amended.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I understand that if I trade while possessing Material Nonpublic Information or in violation of the above trading restrictions, including during the Authorization Period (as defined below and in the Policy), I may be subject to severe civil and/or criminal penalties, and may be subject to sanctions by the Company as set forth in the Policy. Furthermore, I understand that I am not authorized to trade in Company securities or adopt a Rule 10b5-1 Plan in reliance upon this Notice until the Compliance Officer has approved it. Following approval by the Compliance Officer, authorization to trade pursuant to the Notice will continue for five (5) business days following the date of the Compliance Officer’s approval (“Authorization Period”). I understand that if I have not completed by proposed trade or adopted by Rule 10b5-1 Plan by the last date of the Authorization Period, I must submit a new Notice of Proposed Trade in order to trade in Company securities or adopt a Rule 10b5-1 Plan.</w:t>
            </w:r>
          </w:p>
          <w:p>
            <w:pPr>
              <w:pStyle w:val="TableContents"/>
              <w:bidi w:val="0"/>
              <w:spacing w:before="0" w:after="0"/>
              <w:ind w:left="180" w:right="0" w:hanging="0"/>
              <w:jc w:val="both"/>
              <w:rPr>
                <w:caps w:val="false"/>
                <w:smallCaps w:val="false"/>
              </w:rPr>
            </w:pPr>
            <w:r>
              <w:rPr>
                <w:caps w:val="false"/>
                <w:smallCaps w:val="false"/>
              </w:rPr>
              <w:t> </w:t>
            </w:r>
          </w:p>
        </w:tc>
      </w:tr>
      <w:tr>
        <w:trPr/>
        <w:tc>
          <w:tcPr>
            <w:tcW w:w="9803" w:type="dxa"/>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Signature of Insider:</w:t>
            </w:r>
          </w:p>
          <w:p>
            <w:pPr>
              <w:pStyle w:val="TableContents"/>
              <w:bidi w:val="0"/>
              <w:spacing w:before="0" w:after="0"/>
              <w:ind w:left="180" w:right="0" w:hanging="0"/>
              <w:jc w:val="both"/>
              <w:rPr>
                <w:caps w:val="false"/>
                <w:smallCaps w:val="false"/>
              </w:rPr>
            </w:pPr>
            <w:r>
              <w:rPr>
                <w:caps w:val="false"/>
                <w:smallCaps w:val="false"/>
              </w:rPr>
              <w:t> </w:t>
            </w:r>
          </w:p>
          <w:p>
            <w:pPr>
              <w:pStyle w:val="TableContents"/>
              <w:bidi w:val="0"/>
              <w:spacing w:before="0" w:after="0"/>
              <w:ind w:left="180" w:right="0" w:hanging="0"/>
              <w:jc w:val="both"/>
              <w:rPr>
                <w:caps w:val="false"/>
                <w:smallCaps w:val="false"/>
                <w:u w:val="single"/>
              </w:rPr>
            </w:pPr>
            <w:r>
              <w:rPr>
                <w:caps w:val="false"/>
                <w:smallCaps w:val="false"/>
                <w:u w:val="single"/>
              </w:rPr>
              <w:t>                                                                              </w:t>
            </w:r>
          </w:p>
          <w:p>
            <w:pPr>
              <w:pStyle w:val="TableContents"/>
              <w:bidi w:val="0"/>
              <w:spacing w:before="0" w:after="0"/>
              <w:ind w:left="180" w:right="0" w:hanging="0"/>
              <w:jc w:val="both"/>
              <w:rPr>
                <w:caps w:val="false"/>
                <w:smallCaps w:val="false"/>
              </w:rPr>
            </w:pPr>
            <w:r>
              <w:rPr>
                <w:caps w:val="false"/>
                <w:smallCaps w:val="false"/>
              </w:rPr>
              <w:t> </w:t>
            </w:r>
          </w:p>
        </w:tc>
        <w:tc>
          <w:tcPr>
            <w:tcW w:w="402"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r>
      <w:tr>
        <w:trPr/>
        <w:tc>
          <w:tcPr>
            <w:tcW w:w="10205" w:type="dxa"/>
            <w:gridSpan w:val="2"/>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b/>
                <w:caps w:val="false"/>
                <w:smallCaps w:val="false"/>
                <w:sz w:val="20"/>
              </w:rPr>
            </w:pPr>
            <w:r>
              <w:rPr>
                <w:rFonts w:ascii="Times New Roman" w:hAnsi="Times New Roman"/>
                <w:b/>
                <w:caps w:val="false"/>
                <w:smallCaps w:val="false"/>
                <w:sz w:val="20"/>
              </w:rPr>
              <w:t>Section 2: Insider Trading Compliance Officer (or Designee) Approval</w:t>
            </w:r>
          </w:p>
        </w:tc>
      </w:tr>
    </w:tbl>
    <w:tbl>
      <w:tblPr>
        <w:tblW w:w="545" w:type="dxa"/>
        <w:jc w:val="left"/>
        <w:tblInd w:w="0" w:type="dxa"/>
        <w:tblLayout w:type="fixed"/>
        <w:tblCellMar>
          <w:top w:w="0" w:type="dxa"/>
          <w:left w:w="28" w:type="dxa"/>
          <w:bottom w:w="28" w:type="dxa"/>
          <w:right w:w="28" w:type="dxa"/>
        </w:tblCellMar>
      </w:tblPr>
      <w:tblGrid>
        <w:gridCol w:w="485"/>
        <w:gridCol w:w="60"/>
      </w:tblGrid>
      <w:tr>
        <w:trPr/>
        <w:tc>
          <w:tcPr>
            <w:tcW w:w="485" w:type="dxa"/>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60" w:type="dxa"/>
            <w:tcBorders>
              <w:bottom w:val="single" w:sz="2" w:space="0" w:color="000000"/>
              <w:right w:val="single" w:sz="2" w:space="0" w:color="000000"/>
            </w:tcBorders>
            <w:tcMar>
              <w:left w:w="0" w:type="dxa"/>
            </w:tcMar>
            <w:vAlign w:val="center"/>
          </w:tcPr>
          <w:p>
            <w:pPr>
              <w:pStyle w:val="TableContents"/>
              <w:bidi w:val="0"/>
              <w:spacing w:before="0" w:after="283"/>
              <w:jc w:val="both"/>
              <w:rPr/>
            </w:pPr>
            <w:r>
              <w:rPr/>
              <w:t> </w:t>
            </w:r>
          </w:p>
        </w:tc>
      </w:tr>
      <w:tr>
        <w:trPr/>
        <w:tc>
          <w:tcPr>
            <w:tcW w:w="485" w:type="dxa"/>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60" w:type="dxa"/>
            <w:tcBorders>
              <w:bottom w:val="single" w:sz="2" w:space="0" w:color="000000"/>
              <w:right w:val="single" w:sz="2" w:space="0" w:color="000000"/>
            </w:tcBorders>
            <w:tcMar>
              <w:left w:w="0" w:type="dxa"/>
            </w:tcMar>
            <w:vAlign w:val="center"/>
          </w:tcPr>
          <w:p>
            <w:pPr>
              <w:pStyle w:val="TableContents"/>
              <w:bidi w:val="0"/>
              <w:spacing w:before="0" w:after="283"/>
              <w:jc w:val="both"/>
              <w:rPr/>
            </w:pPr>
            <w:r>
              <w:rPr/>
              <w:t> </w:t>
            </w:r>
          </w:p>
        </w:tc>
      </w:tr>
    </w:tbl>
    <w:tbl>
      <w:tblPr>
        <w:tblW w:w="5575" w:type="dxa"/>
        <w:jc w:val="left"/>
        <w:tblInd w:w="0" w:type="dxa"/>
        <w:tblLayout w:type="fixed"/>
        <w:tblCellMar>
          <w:top w:w="0" w:type="dxa"/>
          <w:left w:w="28" w:type="dxa"/>
          <w:bottom w:w="28" w:type="dxa"/>
          <w:right w:w="28" w:type="dxa"/>
        </w:tblCellMar>
      </w:tblPr>
      <w:tblGrid>
        <w:gridCol w:w="5120"/>
        <w:gridCol w:w="455"/>
      </w:tblGrid>
      <w:tr>
        <w:trPr/>
        <w:tc>
          <w:tcPr>
            <w:tcW w:w="5120" w:type="dxa"/>
            <w:tcBorders>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Signature of Insider Trading Compliance Officer (or Designee):</w:t>
            </w:r>
          </w:p>
          <w:p>
            <w:pPr>
              <w:pStyle w:val="TableContents"/>
              <w:bidi w:val="0"/>
              <w:spacing w:before="0" w:after="0"/>
              <w:ind w:left="180" w:right="0" w:hanging="0"/>
              <w:jc w:val="both"/>
              <w:rPr>
                <w:caps w:val="false"/>
                <w:smallCaps w:val="false"/>
              </w:rPr>
            </w:pPr>
            <w:r>
              <w:rPr>
                <w:caps w:val="false"/>
                <w:smallCaps w:val="false"/>
              </w:rPr>
              <w:t> </w:t>
            </w:r>
          </w:p>
          <w:p>
            <w:pPr>
              <w:pStyle w:val="TableContents"/>
              <w:bidi w:val="0"/>
              <w:spacing w:before="0" w:after="0"/>
              <w:ind w:left="180" w:right="0" w:hanging="0"/>
              <w:jc w:val="both"/>
              <w:rPr>
                <w:caps w:val="false"/>
                <w:smallCaps w:val="false"/>
                <w:u w:val="single"/>
              </w:rPr>
            </w:pPr>
            <w:r>
              <w:rPr>
                <w:caps w:val="false"/>
                <w:smallCaps w:val="false"/>
                <w:u w:val="single"/>
              </w:rPr>
              <w:t>                                                                              </w:t>
            </w:r>
          </w:p>
          <w:p>
            <w:pPr>
              <w:pStyle w:val="TableContents"/>
              <w:bidi w:val="0"/>
              <w:spacing w:before="0" w:after="0"/>
              <w:ind w:left="180" w:right="0" w:hanging="0"/>
              <w:jc w:val="both"/>
              <w:rPr>
                <w:caps w:val="false"/>
                <w:smallCaps w:val="false"/>
              </w:rPr>
            </w:pPr>
            <w:r>
              <w:rPr>
                <w:caps w:val="false"/>
                <w:smallCaps w:val="false"/>
              </w:rPr>
              <w:t> </w:t>
            </w:r>
          </w:p>
        </w:tc>
        <w:tc>
          <w:tcPr>
            <w:tcW w:w="455" w:type="dxa"/>
            <w:tcBorders>
              <w:bottom w:val="single" w:sz="2" w:space="0" w:color="000000"/>
              <w:right w:val="single" w:sz="2" w:space="0" w:color="000000"/>
            </w:tcBorders>
            <w:tcMar>
              <w:lef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1" w:name="ex_579420.htm"/>
      <w:bookmarkStart w:id="42" w:name="ksex_579420"/>
      <w:bookmarkEnd w:id="41"/>
      <w:bookmarkEnd w:id="42"/>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Subsidiaries of TG Therapeutics, Inc.</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2435"/>
        <w:gridCol w:w="60"/>
      </w:tblGrid>
      <w:tr>
        <w:trPr/>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Ariston Pharmaceuticals, Inc.</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 Biologics, Inc.</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 Therapeutics AUS Pty Ltd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TG Cell Therapy, Inc.</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43" w:name="ex_579421.htm"/>
      <w:bookmarkStart w:id="44" w:name="ksex_579421"/>
      <w:bookmarkEnd w:id="43"/>
      <w:bookmarkEnd w:id="44"/>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consent to the incorporation by reference in the registration statement (No. 333-265838) on Form S-8 and registration statement (No. 333-267262) on Form S-3ASR of our reports dated </w:t>
      </w:r>
      <w:bookmarkStart w:id="45" w:name="led492022F2024041704328075389"/>
      <w:bookmarkEnd w:id="45"/>
      <w:r>
        <w:rPr>
          <w:rFonts w:ascii="Times New Roman" w:hAnsi="Times New Roman"/>
          <w:caps w:val="false"/>
          <w:smallCaps w:val="false"/>
          <w:sz w:val="20"/>
        </w:rPr>
        <w:t>February 29, 2024, with respect to the consolidated financial statements of TG Therapeutics, Inc. and the effectiveness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w:t>
        <w:br/>
      </w:r>
      <w:bookmarkStart w:id="46" w:name="led492022F2024041704328069041"/>
      <w:bookmarkEnd w:id="46"/>
      <w:r>
        <w:rPr>
          <w:rFonts w:ascii="Times New Roman" w:hAnsi="Times New Roman"/>
          <w:caps w:val="false"/>
          <w:smallCaps w:val="false"/>
          <w:sz w:val="20"/>
        </w:rPr>
        <w:t>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7" w:name="ex_579423.htm"/>
      <w:bookmarkStart w:id="48" w:name="ksex_579423"/>
      <w:bookmarkEnd w:id="47"/>
      <w:bookmarkEnd w:id="48"/>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S. Weiss, certify that:</w:t>
      </w:r>
    </w:p>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70"/>
        <w:gridCol w:w="59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TG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985"/>
        <w:gridCol w:w="396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49" w:name="led492022F2024041704328178047"/>
            <w:bookmarkEnd w:id="49"/>
            <w:r>
              <w:rPr>
                <w:rFonts w:ascii="Times New Roman" w:hAnsi="Times New Roman"/>
                <w:caps w:val="false"/>
                <w:smallCaps w:val="false"/>
                <w:sz w:val="20"/>
              </w:rPr>
              <w:t>February 29, 2024</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0" w:name="ex_579424.htm"/>
      <w:bookmarkStart w:id="51" w:name="ksex_579424"/>
      <w:bookmarkEnd w:id="50"/>
      <w:bookmarkEnd w:id="51"/>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Sean A. Power, certify that:</w:t>
      </w:r>
    </w:p>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70"/>
        <w:gridCol w:w="59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TG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985"/>
        <w:gridCol w:w="351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52" w:name="led492022F2024041704328220646"/>
            <w:bookmarkEnd w:id="52"/>
            <w:r>
              <w:rPr>
                <w:rFonts w:ascii="Times New Roman" w:hAnsi="Times New Roman"/>
                <w:caps w:val="false"/>
                <w:smallCaps w:val="false"/>
                <w:sz w:val="20"/>
              </w:rPr>
              <w:t>February 29, 2024</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3" w:name="ex_579425.htm"/>
      <w:bookmarkStart w:id="54" w:name="ksex_579425"/>
      <w:bookmarkEnd w:id="53"/>
      <w:bookmarkEnd w:id="54"/>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EXECUTIVE OFFICER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of TG Therapeutics, Inc. (the “Company”) on Form 10-K for the year ended </w:t>
      </w:r>
      <w:bookmarkStart w:id="55" w:name="led492022F2024041704328262033"/>
      <w:bookmarkEnd w:id="55"/>
      <w:r>
        <w:rPr>
          <w:rFonts w:ascii="Times New Roman" w:hAnsi="Times New Roman"/>
          <w:caps w:val="false"/>
          <w:smallCaps w:val="false"/>
          <w:sz w:val="20"/>
        </w:rPr>
        <w:t>December 31, 2023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985"/>
        <w:gridCol w:w="396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56" w:name="led492022F2024041704328251945"/>
            <w:bookmarkEnd w:id="56"/>
            <w:r>
              <w:rPr>
                <w:rFonts w:ascii="Times New Roman" w:hAnsi="Times New Roman"/>
                <w:caps w:val="false"/>
                <w:smallCaps w:val="false"/>
                <w:sz w:val="20"/>
              </w:rPr>
              <w:t>February 29, 2024</w:t>
            </w:r>
          </w:p>
        </w:tc>
        <w:tc>
          <w:tcPr>
            <w:tcW w:w="39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S. Weiss</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S. Weiss</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7" w:name="ex_579426.htm"/>
      <w:bookmarkStart w:id="58" w:name="ksex_579426"/>
      <w:bookmarkEnd w:id="57"/>
      <w:bookmarkEnd w:id="58"/>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 OF CHIEF FINANCIAL OFFICER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of TG Therapeutics, Inc. (the “Company”) on Form 10-K for the year ended </w:t>
      </w:r>
      <w:bookmarkStart w:id="59" w:name="led492022F2024041704328320644"/>
      <w:bookmarkEnd w:id="59"/>
      <w:r>
        <w:rPr>
          <w:rFonts w:ascii="Times New Roman" w:hAnsi="Times New Roman"/>
          <w:caps w:val="false"/>
          <w:smallCaps w:val="false"/>
          <w:sz w:val="20"/>
        </w:rPr>
        <w:t>December 31, 2023 as filed with the Securities and Exchange Commission (the “Report”), I, Sean A. Power, Chief Financial Officer of the Company, certify, pursuant to 18 U.S.C. §1350, as adopted pursuant to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0"/>
        <w:gridCol w:w="9965"/>
      </w:tblGrid>
      <w:tr>
        <w:trPr/>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985"/>
        <w:gridCol w:w="3515"/>
      </w:tblGrid>
      <w:tr>
        <w:trPr/>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60" w:name="led492022F2024041704328298309"/>
            <w:bookmarkEnd w:id="60"/>
            <w:r>
              <w:rPr>
                <w:rFonts w:ascii="Times New Roman" w:hAnsi="Times New Roman"/>
                <w:caps w:val="false"/>
                <w:smallCaps w:val="false"/>
                <w:sz w:val="20"/>
              </w:rPr>
              <w:t>February 29, 2024</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61" w:name="ex_632982.htm"/>
      <w:bookmarkStart w:id="62" w:name="ksex_632982"/>
      <w:bookmarkEnd w:id="61"/>
      <w:bookmarkEnd w:id="62"/>
      <w:r>
        <w:rPr>
          <w:rFonts w:ascii="Times New Roman;Times;serif" w:hAnsi="Times New Roman;Times;serif"/>
          <w:b/>
          <w:sz w:val="20"/>
        </w:rPr>
        <w:t>Exhibit 97.1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TG Therapeutics, Inc.</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Incentive Compensation Recovery Policy</w:t>
      </w:r>
    </w:p>
    <w:p>
      <w:pPr>
        <w:pStyle w:val="TextBody"/>
        <w:bidi w:val="0"/>
        <w:spacing w:before="0" w:after="0"/>
        <w:ind w:left="0" w:right="0" w:hanging="0"/>
        <w:jc w:val="center"/>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75"/>
        <w:gridCol w:w="80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80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General.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1.1</w:t>
            </w:r>
          </w:p>
        </w:tc>
        <w:tc>
          <w:tcPr>
            <w:tcW w:w="98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TG Therapeutics, Inc. (the “</w:t>
            </w:r>
            <w:r>
              <w:rPr>
                <w:rFonts w:ascii="Times New Roman;Times;serif" w:hAnsi="Times New Roman;Times;serif"/>
                <w:sz w:val="20"/>
                <w:u w:val="single"/>
              </w:rPr>
              <w:t>Company</w:t>
            </w:r>
            <w:r>
              <w:rPr>
                <w:rFonts w:ascii="Times New Roman;Times;serif" w:hAnsi="Times New Roman;Times;serif"/>
                <w:sz w:val="20"/>
              </w:rPr>
              <w:t>”) has adopted this Policy in accordance with the applicable listing standards of Nasdaq and Rule 10D-1 under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which require listed companies to adopt and comply with a compensation recovery policy. To the extent this Policy is in any manner deemed inconsistent with such listing standards, this Policy shall be treated as retroactively amended to be compliant with such listing standard.</w:t>
            </w:r>
          </w:p>
        </w:tc>
      </w:tr>
    </w:tbl>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60"/>
        <w:gridCol w:w="275"/>
        <w:gridCol w:w="597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1.2</w:t>
            </w:r>
          </w:p>
        </w:tc>
        <w:tc>
          <w:tcPr>
            <w:tcW w:w="5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 date of this Policy is October 2, 2023 (the “</w:t>
            </w:r>
            <w:r>
              <w:rPr>
                <w:rFonts w:ascii="Times New Roman;Times;serif" w:hAnsi="Times New Roman;Times;serif"/>
                <w:sz w:val="20"/>
                <w:u w:val="single"/>
              </w:rPr>
              <w:t>Effective Date</w:t>
            </w:r>
            <w:r>
              <w:rPr>
                <w:rFonts w:ascii="Times New Roman;Times;serif" w:hAnsi="Times New Roman;Times;serif"/>
                <w:sz w:val="20"/>
              </w:rPr>
              <w:t>”).</w:t>
            </w:r>
          </w:p>
        </w:tc>
      </w:tr>
    </w:tbl>
    <w:p>
      <w:pPr>
        <w:pStyle w:val="TextBody"/>
        <w:bidi w:val="0"/>
        <w:spacing w:before="0" w:after="0"/>
        <w:ind w:left="1080" w:right="0" w:hanging="72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275"/>
        <w:gridCol w:w="8750"/>
      </w:tblGrid>
      <w:tr>
        <w:trPr/>
        <w:tc>
          <w:tcPr>
            <w:tcW w:w="275"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2.0</w:t>
            </w:r>
          </w:p>
        </w:tc>
        <w:tc>
          <w:tcPr>
            <w:tcW w:w="8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Definitions. </w:t>
            </w:r>
            <w:r>
              <w:rPr>
                <w:rFonts w:ascii="Times New Roman;Times;serif" w:hAnsi="Times New Roman;Times;serif"/>
                <w:caps w:val="false"/>
                <w:smallCaps w:val="false"/>
                <w:sz w:val="20"/>
              </w:rPr>
              <w:t>The following words and phrases shall have the following meanings for purposes of this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Accounting Restatement</w:t>
            </w:r>
            <w:r>
              <w:rPr>
                <w:rFonts w:ascii="Times New Roman;Times;serif" w:hAnsi="Times New Roman;Times;serif"/>
                <w:caps w:val="false"/>
                <w:smallCaps w:val="false"/>
                <w:sz w:val="20"/>
              </w:rPr>
              <w:t>. An “Accounting Restatement”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tc>
      </w:tr>
    </w:tbl>
    <w:p>
      <w:pPr>
        <w:pStyle w:val="TextBody"/>
        <w:bidi w:val="0"/>
        <w:spacing w:before="0" w:after="0"/>
        <w:ind w:left="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0"/>
        <w:gridCol w:w="275"/>
        <w:gridCol w:w="54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5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Board</w:t>
            </w:r>
            <w:r>
              <w:rPr>
                <w:rFonts w:ascii="Times New Roman;Times;serif" w:hAnsi="Times New Roman;Times;serif"/>
                <w:caps w:val="false"/>
                <w:smallCaps w:val="false"/>
                <w:sz w:val="20"/>
              </w:rPr>
              <w:t>. The “Board” means the Board of Directors of the Company.</w:t>
            </w:r>
            <w:r>
              <w:rPr>
                <w:rFonts w:ascii="Times New Roman;Times;serif" w:hAnsi="Times New Roman;Times;serif"/>
                <w:caps w:val="false"/>
                <w:smallCaps w:val="false"/>
                <w:sz w:val="20"/>
                <w:u w:val="single"/>
              </w:rPr>
              <w:t> </w:t>
            </w:r>
          </w:p>
        </w:tc>
      </w:tr>
    </w:tbl>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275"/>
        <w:gridCol w:w="90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Compensation Committee</w:t>
            </w:r>
            <w:r>
              <w:rPr>
                <w:rFonts w:ascii="Times New Roman;Times;serif" w:hAnsi="Times New Roman;Times;serif"/>
                <w:caps w:val="false"/>
                <w:smallCaps w:val="false"/>
                <w:sz w:val="20"/>
              </w:rPr>
              <w:t>. The “Compensation Committee” means the Compensation Committee of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Erroneously Awarded Compensation</w:t>
            </w:r>
            <w:r>
              <w:rPr>
                <w:rFonts w:ascii="Times New Roman;Times;serif" w:hAnsi="Times New Roman;Times;serif"/>
                <w:caps w:val="false"/>
                <w:smallCaps w:val="false"/>
                <w:sz w:val="20"/>
              </w:rPr>
              <w:t>. “Erroneously Awarded Compensation” is the amount of Incentive-Based Compensation Received that exceeds the amount of Incentive-Based Compensation that otherwise would have been Received had it been determined based on the restated amounts, computed without regard to any taxes paid. For Incentive-Based Compensation based on stock price or TSR, where the amount of Erroneously Awarded Compensation is not subject to mathematical recalculation directly from the information in an Accounting Restatement: (i) the amount shall be based on a reasonable estimate of the effect of the Accounting Restatement on the stock price or TSR upon which the Incentive-Based Compensation was Received, and (ii) the Company shall maintain documentation of the determination of that reasonable estimate and provide such documentation to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Executive Officer</w:t>
            </w:r>
            <w:r>
              <w:rPr>
                <w:rFonts w:ascii="Times New Roman;Times;serif" w:hAnsi="Times New Roman;Times;serif"/>
                <w:caps w:val="false"/>
                <w:smallCaps w:val="false"/>
                <w:sz w:val="20"/>
              </w:rPr>
              <w:t>. The term “Executive Officer” means the executive officers identified by the Company in the Company’s filings with the SEC pursuant to Item 401(b) of Regulation S-K and the officers required to file reports under Section 16 of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Financial Reporting Measure</w:t>
            </w:r>
            <w:r>
              <w:rPr>
                <w:rFonts w:ascii="Times New Roman;Times;serif" w:hAnsi="Times New Roman;Times;serif"/>
                <w:caps w:val="false"/>
                <w:smallCaps w:val="false"/>
                <w:sz w:val="20"/>
              </w:rPr>
              <w:t>. A “Financial Reporting Measure” is any measure that is determined and presented in accordance with the accounting principles used in preparing the Company’s financial statements, and any measure that is derived wholly or in part from such measure. Stock price and TSR (and any measures that are derived wholly or in part from stock price and TSR) are also Financial Reporting Measures. A Financial Reporting Measure need not be presented within the Company’s financial statements or included in a filing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Incentive-Based Compensation</w:t>
            </w:r>
            <w:r>
              <w:rPr>
                <w:rFonts w:ascii="Times New Roman;Times;serif" w:hAnsi="Times New Roman;Times;serif"/>
                <w:caps w:val="false"/>
                <w:smallCaps w:val="false"/>
                <w:sz w:val="20"/>
              </w:rPr>
              <w:t xml:space="preserve">. The term “Incentive-Based Compensation” means any compensation (whether cash-based or equity-based) that is granted, earned, or vested based wholly or in part upon the attainment of a Financial Reporting Measure. Please refer to </w:t>
            </w:r>
            <w:r>
              <w:rPr>
                <w:rFonts w:ascii="Times New Roman;Times;serif" w:hAnsi="Times New Roman;Times;serif"/>
                <w:caps w:val="false"/>
                <w:smallCaps w:val="false"/>
                <w:sz w:val="20"/>
                <w:u w:val="single"/>
              </w:rPr>
              <w:t>Appendix A</w:t>
            </w:r>
            <w:r>
              <w:rPr>
                <w:rFonts w:ascii="Times New Roman;Times;serif" w:hAnsi="Times New Roman;Times;serif"/>
                <w:caps w:val="false"/>
                <w:smallCaps w:val="false"/>
                <w:sz w:val="20"/>
              </w:rPr>
              <w:t> to this Policy for a list of examples of Incentive-Based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Nasdaq.</w:t>
            </w:r>
            <w:r>
              <w:rPr>
                <w:rFonts w:ascii="Times New Roman;Times;serif" w:hAnsi="Times New Roman;Times;serif"/>
                <w:caps w:val="false"/>
                <w:smallCaps w:val="false"/>
                <w:sz w:val="20"/>
              </w:rPr>
              <w:t> “Nasdaq” means the Nasdaq Capital Market. In the event the Company’s securities become listed on a different national securities exchange or national securities association in the future, then following such new listing, references to Nasdaq shall be deemed to refer to such other national securities exchange or national securities association.</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60"/>
        <w:gridCol w:w="275"/>
        <w:gridCol w:w="57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5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Policy</w:t>
            </w:r>
            <w:r>
              <w:rPr>
                <w:rFonts w:ascii="Times New Roman;Times;serif" w:hAnsi="Times New Roman;Times;serif"/>
                <w:caps w:val="false"/>
                <w:smallCaps w:val="false"/>
                <w:sz w:val="20"/>
              </w:rPr>
              <w:t>. “Policy” means this Incentive Compensation Recovery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2.10</w:t>
            </w:r>
          </w:p>
        </w:tc>
        <w:tc>
          <w:tcPr>
            <w:tcW w:w="9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Received</w:t>
            </w:r>
            <w:r>
              <w:rPr>
                <w:rFonts w:ascii="Times New Roman;Times;serif" w:hAnsi="Times New Roman;Times;serif"/>
                <w:caps w:val="false"/>
                <w:smallCaps w:val="false"/>
                <w:sz w:val="20"/>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both to one or more Financial Reporting Measures and to a service-based vesting condition shall be considered to be “Received” when the relevant Financial Reporting Measures are achieved, even if the Incentive-Based Compensation continues to be subject to the service-based vesting condition.</w:t>
            </w:r>
          </w:p>
        </w:tc>
      </w:tr>
    </w:tbl>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380"/>
        <w:gridCol w:w="614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6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SEC</w:t>
            </w:r>
            <w:r>
              <w:rPr>
                <w:rFonts w:ascii="Times New Roman;Times;serif" w:hAnsi="Times New Roman;Times;serif"/>
                <w:caps w:val="false"/>
                <w:smallCaps w:val="false"/>
                <w:sz w:val="20"/>
              </w:rPr>
              <w:t>. “SEC” means the United States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380"/>
        <w:gridCol w:w="35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2.12</w:t>
            </w:r>
          </w:p>
        </w:tc>
        <w:tc>
          <w:tcPr>
            <w:tcW w:w="3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TSR</w:t>
            </w:r>
            <w:r>
              <w:rPr>
                <w:rFonts w:ascii="Times New Roman;Times;serif" w:hAnsi="Times New Roman;Times;serif"/>
                <w:caps w:val="false"/>
                <w:smallCaps w:val="false"/>
                <w:sz w:val="20"/>
              </w:rPr>
              <w:t>. “TSR” means total stockholder return.</w:t>
            </w:r>
          </w:p>
        </w:tc>
      </w:tr>
    </w:tbl>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75"/>
        <w:gridCol w:w="1745"/>
      </w:tblGrid>
      <w:tr>
        <w:trPr/>
        <w:tc>
          <w:tcPr>
            <w:tcW w:w="275"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3.0</w:t>
            </w:r>
          </w:p>
        </w:tc>
        <w:tc>
          <w:tcPr>
            <w:tcW w:w="174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Statement of Policy.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event that the Company is required to prepare an Accounting Restatement, the Company will recover reasonably promptly the amount of all Erroneously Awarded Compensation Received by a person:</w:t>
            </w:r>
          </w:p>
        </w:tc>
      </w:tr>
    </w:tbl>
    <w:p>
      <w:pPr>
        <w:pStyle w:val="TextBody"/>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60"/>
        <w:gridCol w:w="125"/>
        <w:gridCol w:w="39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After beginning service as an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60"/>
        <w:gridCol w:w="185"/>
        <w:gridCol w:w="963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Who served as an Executive Officer at any time during the performance period for that Incentive-Based Compensation;</w:t>
            </w:r>
          </w:p>
        </w:tc>
      </w:tr>
    </w:tbl>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245"/>
        <w:gridCol w:w="53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5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While the Company has a class of securities listed on Nasdaq;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9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three completed fiscal years immediately preceding the date that the Company is required to prepare the Accounting Restatement and any transition period (that results from a change in the Company’s fiscal year) within or immediately following those three completed fiscal years. For purposes of this Policy, a transition period between the last day of the Company’s previous fiscal year and the first day of its new fiscal year that comprises a period of nine to twelve months would be deemed a completed fiscal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this Policy shall only apply to Incentive-Based Compensation Received on or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obligation to recover Erroneously Awarded Compensation pursuant to this Policy is not dependent on when the restated financial statements are filed.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purposes of determining the relevant recovery period under this Policy, the date that the Company is required to prepare an Accounting Restatement is the earliest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 must recover Erroneously Awarded Compensation in compliance with this Policy except to the extent that the conditions of paragraphs (i), (ii) or (iii) in this Section 3.4 are met, </w:t>
            </w:r>
            <w:r>
              <w:rPr>
                <w:rFonts w:ascii="Times New Roman;Times;serif" w:hAnsi="Times New Roman;Times;serif"/>
                <w:caps w:val="false"/>
                <w:smallCaps w:val="false"/>
                <w:sz w:val="20"/>
                <w:u w:val="single"/>
              </w:rPr>
              <w:t>and</w:t>
            </w:r>
            <w:r>
              <w:rPr>
                <w:rFonts w:ascii="Times New Roman;Times;serif" w:hAnsi="Times New Roman;Times;serif"/>
                <w:caps w:val="false"/>
                <w:smallCaps w:val="false"/>
                <w:sz w:val="20"/>
              </w:rPr>
              <w:t> the Compensation Committee, or in the absence of such a committee, a majority of the independent directors serving on the Board, has determined that recovery would be impracticable.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would violate home country law where that law was adopted prior to November 28, 2022. Before concluding that it would be impractical to recover any amount of Erroneously Awarded Compensation based on violation of home country law, the Company shall obtain an opinion of home country counsel, acceptable to Nasdaq, that recovery would result in such a violation, and provide such opinion to Nasdaq.</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9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would likely cause an otherwise tax-qualified retirement plan, under which benefits are broadly available to employees of the Company, to fail to meet the requirements of 26 U.S.C. 401(a)(13) or 26 U.S.C. 411(a) and regulations thereunder</w:t>
            </w:r>
            <w:r>
              <w:rPr>
                <w:rFonts w:ascii="Times New Roman;Times;serif" w:hAnsi="Times New Roman;Times;serif"/>
                <w:i/>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not indemnify any Executive Officer or former Executive Officer against (i) the loss of Erroneously Awarded Compensation pursuant to this Policy, or (ii) any claims relating to the Company’s enforcement of its rights under this Policy. Similarly, the Company shall not adopt or enter into any plan or agreement that exempts any Incentive-Based Compensation that is granted, paid or awarded to an Executive Officer or former Executive Officer from the application of this Policy. This Policy shall supersede any such plan or agreement, whether entered into before, on or after the Effective Date of this Policy. In addition, the Company shall not reimburse any Executive Officer or former Executive Officer for premiums on, or otherwise subsidize or pay for, an insurance policy that would cover such person’s potential clawback obligations under this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Compensation Committee shall determine, in its sole discretion, the appropriate means to seek recovery of any Erroneously Awarded Compensation, which may include, without limitation: (i) requiring cash reimbursement; (ii) seeking recovery or forfeiture of any gain realized on the vesting, exercise, settlement, sale, transfer or other disposition of equity-based awards; (iii) offsetting the amount to be recouped from any compensation otherwise owed by the Company to the Executive Officer or former Executive Officer; (iv) cancelling outstanding vested or unvested equity awards; or (v) taking any other remedial and recovery action permitted by law, as determined by the Compensation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3.7</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Compensation Committee shall determine the repayment schedule for any Erroneously Awarded Compensation in a manner that complies with the “reasonably prompt” requirement set forth in Subsection 3.1. The determination with respect to “reasonably prompt” recovery may vary from case to case, and the Compensation Committee may amend or supplement this Policy to further describe what repayment schedule satisfies this requirement.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shall file all disclosures with respect to this Policy in accordance with the requirements of the U.S. Federal securities laws, including the disclosure required by the applicable SEC filings.</w:t>
            </w:r>
          </w:p>
        </w:tc>
      </w:tr>
    </w:tbl>
    <w:p>
      <w:pPr>
        <w:pStyle w:val="TextBody"/>
        <w:bidi w:val="0"/>
        <w:spacing w:before="0" w:after="0"/>
        <w:ind w:left="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275"/>
        <w:gridCol w:w="2960"/>
      </w:tblGrid>
      <w:tr>
        <w:trPr/>
        <w:tc>
          <w:tcPr>
            <w:tcW w:w="275"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4.0</w:t>
            </w:r>
          </w:p>
        </w:tc>
        <w:tc>
          <w:tcPr>
            <w:tcW w:w="296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Application to Additional Persons.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to the Executive Officers and former Executive Officers, this Policy shall apply to any other employee of the Company or its parent or subsidiaries designated by the Compensation Committee as a person covered by this Policy (each, an “</w:t>
            </w:r>
            <w:r>
              <w:rPr>
                <w:rFonts w:ascii="Times New Roman;Times;serif" w:hAnsi="Times New Roman;Times;serif"/>
                <w:caps w:val="false"/>
                <w:smallCaps w:val="false"/>
                <w:sz w:val="20"/>
                <w:u w:val="single"/>
              </w:rPr>
              <w:t>Other Covered Person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otherwise determined by the Compensation Committee, this Policy shall apply to an Other Covered Person as if such individual was an Executive Officer during the relevant periods described in Section 3.0.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Notwithstanding the foregoing, the Compensation Committee may, in its discretion, limit recovery of Erroneously Awarded Compensation from an Other Covered Person to situations in which an Accounting Restatement was caused or contributed to by the Other Covered Person’s fraud, willful misconduct or gross negligence.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the Compensation Committee shall have discretion as to (i) whether to seek to recover Erroneously Awarded Compensation from an Other Covered Person, (ii) the amount of the Erroneously Awarded Compensation to be recovered from an Other Covered Person, and (iii) the method of recovering any such Erroneously Awarded Compensation from an Other Covered Person. In exercising such discretion, the Compensation Committee may take into account such considerations as it deems appropriate, including whether the assertion of a claim may violate applicable law or prejudice the interests of the Company in any related proceeding or investigation.</w:t>
            </w:r>
          </w:p>
        </w:tc>
      </w:tr>
    </w:tbl>
    <w:p>
      <w:pPr>
        <w:pStyle w:val="TextBody"/>
        <w:bidi w:val="0"/>
        <w:spacing w:before="0" w:after="0"/>
        <w:ind w:left="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5.0</w:t>
            </w:r>
          </w:p>
        </w:tc>
        <w:tc>
          <w:tcPr>
            <w:tcW w:w="242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Interpretation; Enforcement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Compensation Committee shall have full authority to interpret and enforce this Policy to the fullest extent permitted by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determination by the Compensation Committee with respect to this Policy shall be final, conclusive, and binding on all interested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the extent an Executive Officer, former Executive Officer or Other Covered Person refuses to pay to the Company any Erroneously Awarded Compensation, the Company shall have the right to sue for repayment or, to the extent legally permitted, to enforce such person’s obligation to make payment by withholding unpaid or future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660" w:type="dxa"/>
        <w:jc w:val="left"/>
        <w:tblInd w:w="0" w:type="dxa"/>
        <w:tblLayout w:type="fixed"/>
        <w:tblCellMar>
          <w:top w:w="0" w:type="dxa"/>
          <w:left w:w="0" w:type="dxa"/>
          <w:bottom w:w="0" w:type="dxa"/>
          <w:right w:w="0" w:type="dxa"/>
        </w:tblCellMar>
      </w:tblPr>
      <w:tblGrid>
        <w:gridCol w:w="275"/>
        <w:gridCol w:w="1385"/>
      </w:tblGrid>
      <w:tr>
        <w:trPr/>
        <w:tc>
          <w:tcPr>
            <w:tcW w:w="275"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6.0</w:t>
            </w:r>
          </w:p>
        </w:tc>
        <w:tc>
          <w:tcPr>
            <w:tcW w:w="13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Non-Exclusivity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rights to recoupment under this Policy are in addition to other rights the Company may have against any Executive Officer, former Executive Officer or Other Covered Person, including any remedies at law or in equity. Application of this Policy does not preclude the Company from taking other actions to enforce the obligations of an Executive Officer, former Executive Officer or Other Covered Person to the Company, including termination of employment or institution of legal proceedings. Nothing in this Policy shall be viewed as limiting the right of the Company or the Compensation Committee to pursue recoupment under or as provided by the Company’s plans, awards, policies or agreements or the applicable provisions of any law, rule or regulation (including, without limitation, Section 304 of the Sarbanes-Oxley Act of 2002).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requirement to recover Erroneously Awarded Compensation is triggered under this Policy, then, in the event of any actual or alleged conflict between the provisions of this Policy and a similar clause or provision in any of the Company’s plans, awards, policies or agreements, this Policy shall be controlling and determinative; provided that, if such other plan, award, policy or agreement provides that a greater amount of compensation shall be subject to clawback, the provisions of such other plan, award, policy or agreement shall apply to the amount in excess of the amount subject to clawback under this Policy.</w:t>
            </w:r>
          </w:p>
        </w:tc>
      </w:tr>
    </w:tbl>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75"/>
        <w:gridCol w:w="1085"/>
      </w:tblGrid>
      <w:tr>
        <w:trPr/>
        <w:tc>
          <w:tcPr>
            <w:tcW w:w="275"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7.0</w:t>
            </w:r>
          </w:p>
        </w:tc>
        <w:tc>
          <w:tcPr>
            <w:tcW w:w="10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Amendment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9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Compensation Committee may amend this Policy, provided that any such amendment does not cause this Policy to violate applicable listing standards of Nasdaq or Rule 10D-1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Examples of Incentive-Based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Examples of compensation that constitutes Incentive-Based Compensation for purposes of this Policy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Non-equity incentive plan awards earned based wholly or in part on satisfying a Financial Reporting Measure performance goal;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Bonuses paid from a “bonus pool,” the size of which is determined based wholly or in part on satisfying a Financial Reporting Measure performance goal;</w:t>
            </w:r>
          </w:p>
        </w:tc>
      </w:tr>
    </w:tbl>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60"/>
        <w:gridCol w:w="170"/>
        <w:gridCol w:w="8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cash awards based wholly or in part on satisfying a Financial Reporting Measure performance goal;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Equity-based awards (e.g., restricted stock, restricted stock units, performance share units, stock options, and stock appreciation rights) that are granted or become vested based wholly or in part on satisfying a Financial Reporting Measure performance goal;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received upon the sale of shares acquired through an incentive plan that were granted or vested based wholly or in part on satisfying a Financial Reporting Measure performance goal.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Examples of compensation that does not constitute Incentive-Based Compensation for purposes of this Policy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or salary increases for which the increase is not contingent upon the attainment of a Financial Reporting Measure performance goal;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Bonuses paid solely at the discretion of the Compensation Committee or Board that are not paid from a bonus pool, the size of which is determined based wholly or in part on satisfying a Financial Reporting Measure performance goal;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Bonuses paid solely upon satisfying one or more subjective standards (e.g., demonstrated leadership) and/or completion of a specified employment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Non-equity incentive plan awards earned solely upon satisfying one or more strategic measures (e.g., consummating a merger or divestiture) or operational measures (e.g., opening a specified number of business locations, completion of a project, or increase in market share);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Equity awards for which the grant is not contingent upon achieving any Financial Reporting Measure performance goal and vesting is contingent solely upon completion of a specified employment period and/or attaining one or more non-Financial Reporting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01316/000114420412044111/v320662_ex3-1.htm" TargetMode="External"/><Relationship Id="rId4" Type="http://schemas.openxmlformats.org/officeDocument/2006/relationships/hyperlink" Target="http://www.sec.gov/Archives/edgar/data/1001316/000114420414044721/v383699_ex3-2.htm" TargetMode="External"/><Relationship Id="rId5" Type="http://schemas.openxmlformats.org/officeDocument/2006/relationships/hyperlink" Target="http://www.sec.gov/Archives/edgar/data/1001316/000155837021008482/tgtx-20210616xex3d1.htm" TargetMode="External"/><Relationship Id="rId6" Type="http://schemas.openxmlformats.org/officeDocument/2006/relationships/hyperlink" Target="http://www.sec.gov/Archives/edgar/data/1001316/000155837021008482/tgtx-20210616xex3d1.htm" TargetMode="External"/><Relationship Id="rId7" Type="http://schemas.openxmlformats.org/officeDocument/2006/relationships/hyperlink" Target="http://www.sec.gov/Archives/edgar/data/1001316/000114420414043936/v384259_ex3-1.htm" TargetMode="External"/><Relationship Id="rId8" Type="http://schemas.openxmlformats.org/officeDocument/2006/relationships/hyperlink" Target="http://www.sec.gov/Archives/edgar/data/1001316/000114420414043936/v384259_ex3-1.htm" TargetMode="External"/><Relationship Id="rId9" Type="http://schemas.openxmlformats.org/officeDocument/2006/relationships/hyperlink" Target="http://www.sec.gov/Archives/edgar/data/1001316/000114420412014947/v305275_ex4-1.htm" TargetMode="External"/><Relationship Id="rId10" Type="http://schemas.openxmlformats.org/officeDocument/2006/relationships/hyperlink" Target="http://www.sec.gov/Archives/edgar/data/1001316/000114420414043960/v384258_ex4-1.htm" TargetMode="External"/><Relationship Id="rId11" Type="http://schemas.openxmlformats.org/officeDocument/2006/relationships/hyperlink" Target="http://www.sec.gov/Archives/edgar/data/1001316/000155837021002149/tgtx-20201231xex4d5.htm" TargetMode="External"/><Relationship Id="rId12" Type="http://schemas.openxmlformats.org/officeDocument/2006/relationships/hyperlink" Target="http://www.sec.gov/Archives/edgar/data/1001316/000114420412014947/v305275_ex10-30.htm" TargetMode="External"/><Relationship Id="rId13" Type="http://schemas.openxmlformats.org/officeDocument/2006/relationships/hyperlink" Target="http://www.sec.gov/Archives/edgar/data/1001316/000114420412014947/v305275_ex10-31.htm" TargetMode="External"/><Relationship Id="rId14" Type="http://schemas.openxmlformats.org/officeDocument/2006/relationships/hyperlink" Target="http://www.sec.gov/Archives/edgar/data/1001316/000114420413039748/v350136_ex10-1.htm" TargetMode="External"/><Relationship Id="rId15" Type="http://schemas.openxmlformats.org/officeDocument/2006/relationships/hyperlink" Target="http://www.sec.gov/Archives/edgar/data/1001316/000114420415001128/v398294_ex10-1.htm" TargetMode="External"/><Relationship Id="rId16" Type="http://schemas.openxmlformats.org/officeDocument/2006/relationships/hyperlink" Target="http://www.sec.gov/Archives/edgar/data/1001316/000114420412014947/v305275_ex10-32.htm" TargetMode="External"/><Relationship Id="rId17" Type="http://schemas.openxmlformats.org/officeDocument/2006/relationships/hyperlink" Target="http://www.sec.gov/Archives/edgar/data/1001316/000114420412014947/v305275_ex10-33.htm" TargetMode="External"/><Relationship Id="rId18" Type="http://schemas.openxmlformats.org/officeDocument/2006/relationships/hyperlink" Target="http://www.sec.gov/Archives/edgar/data/1001316/000114420413039748/v350136_ex10-2.htm" TargetMode="External"/><Relationship Id="rId19" Type="http://schemas.openxmlformats.org/officeDocument/2006/relationships/hyperlink" Target="http://www.sec.gov/Archives/edgar/data/1001316/000114420415001128/v398294_ex10-2.htm" TargetMode="External"/><Relationship Id="rId20" Type="http://schemas.openxmlformats.org/officeDocument/2006/relationships/hyperlink" Target="http://www.sec.gov/Archives/edgar/data/1001316/000114420412014947/v305275_ex10-35.htm" TargetMode="External"/><Relationship Id="rId21" Type="http://schemas.openxmlformats.org/officeDocument/2006/relationships/hyperlink" Target="http://www.sec.gov/Archives/edgar/data/1001316/000114420413016691/v335518_ex10-37.htm" TargetMode="External"/><Relationship Id="rId22" Type="http://schemas.openxmlformats.org/officeDocument/2006/relationships/hyperlink" Target="http://www.sec.gov/Archives/edgar/data/1001316/000114420414044721/v383699_ex10-1.htm" TargetMode="External"/><Relationship Id="rId23" Type="http://schemas.openxmlformats.org/officeDocument/2006/relationships/hyperlink" Target="http://www.sec.gov/Archives/edgar/data/1001316/000114420415002790/v399000_ex10-1.htm" TargetMode="External"/><Relationship Id="rId24" Type="http://schemas.openxmlformats.org/officeDocument/2006/relationships/hyperlink" Target="http://www.sec.gov/Archives/edgar/data/1001316/000114420415029311/v408312_ex10-1.htm" TargetMode="External"/><Relationship Id="rId25" Type="http://schemas.openxmlformats.org/officeDocument/2006/relationships/hyperlink" Target="http://www.sec.gov/Archives/edgar/data/1001316/000165495416001302/Exhibit10-1_Sublicense.htm" TargetMode="External"/><Relationship Id="rId26" Type="http://schemas.openxmlformats.org/officeDocument/2006/relationships/hyperlink" Target="http://www.sec.gov/Archives/edgar/data/1001316/000165495417002229/v032117_EX1018.htm" TargetMode="External"/><Relationship Id="rId27" Type="http://schemas.openxmlformats.org/officeDocument/2006/relationships/hyperlink" Target="http://www.sec.gov/Archives/edgar/data/1001316/000165495418002638/tgtx_ex1020.htm" TargetMode="External"/><Relationship Id="rId28" Type="http://schemas.openxmlformats.org/officeDocument/2006/relationships/hyperlink" Target="http://www.sec.gov/Archives/edgar/data/1001316/000165495418008750/exhibit10-20.htm" TargetMode="External"/><Relationship Id="rId29" Type="http://schemas.openxmlformats.org/officeDocument/2006/relationships/hyperlink" Target="http://www.sec.gov/Archives/edgar/data/1001316/000165495419009176/tgtx_ex102.htm" TargetMode="External"/><Relationship Id="rId30" Type="http://schemas.openxmlformats.org/officeDocument/2006/relationships/hyperlink" Target="http://www.sec.gov/Archives/edgar/data/1001316/000165495419002276/v030519_ex102.htm" TargetMode="External"/><Relationship Id="rId31" Type="http://schemas.openxmlformats.org/officeDocument/2006/relationships/hyperlink" Target="http://www.sec.gov/Archives/edgar/data/1001316/000165495419002276/v030519_ex103.htm" TargetMode="External"/><Relationship Id="rId32" Type="http://schemas.openxmlformats.org/officeDocument/2006/relationships/hyperlink" Target="http://www.sec.gov/Archives/edgar/data/1001316/000165495419002276/v030519_ex104.htm" TargetMode="External"/><Relationship Id="rId33" Type="http://schemas.openxmlformats.org/officeDocument/2006/relationships/hyperlink" Target="http://www.sec.gov/Archives/edgar/data/1001316/000165495419009176/tgtx_ex101.htm" TargetMode="External"/><Relationship Id="rId34" Type="http://schemas.openxmlformats.org/officeDocument/2006/relationships/hyperlink" Target="http://www.sec.gov/Archives/edgar/data/1001316/000155837021010837/tgtx-20210630xex10d1.htm" TargetMode="External"/><Relationship Id="rId35" Type="http://schemas.openxmlformats.org/officeDocument/2006/relationships/hyperlink" Target="http://www.sec.gov/Archives/edgar/data/1001316/000155837022002617/tgtx-20211231xex10d28.htm" TargetMode="External"/><Relationship Id="rId36" Type="http://schemas.openxmlformats.org/officeDocument/2006/relationships/hyperlink" Target="http://www.sec.gov/Archives/edgar/data/1001316/000155837022002617/tgtx-20211231xex10d29.htm" TargetMode="External"/><Relationship Id="rId37" Type="http://schemas.openxmlformats.org/officeDocument/2006/relationships/hyperlink" Target="http://www.sec.gov/Archives/edgar/data/1001316/000155837022002617/tgtx-20211231xex10d30.htm" TargetMode="External"/><Relationship Id="rId38" Type="http://schemas.openxmlformats.org/officeDocument/2006/relationships/hyperlink" Target="http://www.sec.gov/Archives/edgar/data/1001316/000155837022002617/tgtx-20211231xex10d31.htm" TargetMode="External"/><Relationship Id="rId39" Type="http://schemas.openxmlformats.org/officeDocument/2006/relationships/hyperlink" Target="http://www.sec.gov/Archives/edgar/data/1001316/000155837022002617/tgtx-20211231xex10d31.htm" TargetMode="External"/><Relationship Id="rId40" Type="http://schemas.openxmlformats.org/officeDocument/2006/relationships/hyperlink" Target="http://www.sec.gov/Archives/edgar/data/1001316/000155837022010227/tgtx-20220616xex10d1.htm" TargetMode="External"/><Relationship Id="rId41" Type="http://schemas.openxmlformats.org/officeDocument/2006/relationships/hyperlink" Target="http://www.sec.gov/Archives/edgar/data/0001001316/000155837023008385/tgtx-20230331xex10d1.htm" TargetMode="External"/><Relationship Id="rId42" Type="http://schemas.openxmlformats.org/officeDocument/2006/relationships/hyperlink" Target="http://www.sec.gov/Archives/edgar/data/0001001316/000155837023008385/tgtx-20230331xex10d2.htm" TargetMode="External"/><Relationship Id="rId43" Type="http://schemas.openxmlformats.org/officeDocument/2006/relationships/hyperlink" Target="http://www.sec.gov/Archives/edgar/data/0001001316/000155837023008385/tgtx-20230331xex10d3.htm" TargetMode="External"/><Relationship Id="rId44" Type="http://schemas.openxmlformats.org/officeDocument/2006/relationships/hyperlink" Target="http://www.sec.gov/Archives/edgar/data/0001001316/000155837023008385/tgtx-20230331xex10d4.htm" TargetMode="External"/><Relationship Id="rId45" Type="http://schemas.openxmlformats.org/officeDocument/2006/relationships/hyperlink" Target="http://www.sec.gov/Archives/edgar/data/0001001316/000155837023008385/tgtx-20230331xex10d5.htm" TargetMode="External"/><Relationship Id="rId46" Type="http://schemas.openxmlformats.org/officeDocument/2006/relationships/hyperlink" Target="http://www.sec.gov/Archives/edgar/data/0001001316/000155837023008385/tgtx-20230331xex10d6.htm" TargetMode="External"/><Relationship Id="rId47" Type="http://schemas.openxmlformats.org/officeDocument/2006/relationships/hyperlink" Target="http://www.sec.gov/Archives/edgar/data/0001001316/000155837023008385/tgtx-20230331xex10d7.htm" TargetMode="External"/><Relationship Id="rId48" Type="http://schemas.openxmlformats.org/officeDocument/2006/relationships/hyperlink" Target="http://www.sec.gov/Archives/edgar/data/0001001316/000155837023008385/tgtx-20230331xex10d7.htm" TargetMode="External"/><Relationship Id="rId49" Type="http://schemas.openxmlformats.org/officeDocument/2006/relationships/hyperlink" Target="http://www.sec.gov/Archives/edgar/data/1001316/000155837023013429/tgtx-20230630xex10d1.htm" TargetMode="External"/><Relationship Id="rId50" Type="http://schemas.openxmlformats.org/officeDocument/2006/relationships/image" Target="media/image2.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123417</Words>
  <Characters>683748</Characters>
  <CharactersWithSpaces>812253</CharactersWithSpaces>
  <Paragraphs>10897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