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6" w:lineRule="exact"/>
        <w:rPr>
          <w:sz w:val="24"/>
          <w:szCs w:val="24"/>
          <w:color w:val="auto"/>
        </w:rPr>
      </w:pPr>
    </w:p>
    <w:p>
      <w:pPr>
        <w:ind w:left="4060" w:right="2680" w:hanging="1374"/>
        <w:spacing w:after="0" w:line="286" w:lineRule="auto"/>
        <w:tabs>
          <w:tab w:leader="none" w:pos="293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060" w:right="2680" w:hanging="1380"/>
        <w:spacing w:after="0" w:line="286" w:lineRule="auto"/>
        <w:tabs>
          <w:tab w:leader="none" w:pos="292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4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35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000-30929</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443" w:right="239" w:bottom="1440" w:gutter="0" w:footer="0" w:header="0"/>
        </w:sectPr>
      </w:pPr>
    </w:p>
    <w:p>
      <w:pPr>
        <w:spacing w:after="0" w:line="20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38" w:lineRule="exact"/>
        <w:rPr>
          <w:sz w:val="24"/>
          <w:szCs w:val="24"/>
          <w:color w:val="auto"/>
        </w:rPr>
      </w:pPr>
    </w:p>
    <w:p>
      <w:pPr>
        <w:sectPr>
          <w:pgSz w:w="11900" w:h="16838" w:orient="portrait"/>
          <w:cols w:equalWidth="0" w:num="2">
            <w:col w:w="6540" w:space="720"/>
            <w:col w:w="4160"/>
          </w:cols>
          <w:pgMar w:left="240" w:top="443"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 Columbus Circle,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8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smaller reporting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3"/>
        </w:trPr>
        <w:tc>
          <w:tcPr>
            <w:tcW w:w="8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There were 52,547,286 shares of the registrant’s common stock, $0.001 par value, outstanding as of August 4, 2015.</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5"/>
        </w:trPr>
        <w:tc>
          <w:tcPr>
            <w:tcW w:w="8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3"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40" w:type="dxa"/>
            <w:vAlign w:val="bottom"/>
            <w:gridSpan w:val="9"/>
          </w:tcPr>
          <w:p>
            <w:pPr>
              <w:ind w:left="1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SPECIAL CAUTIONARY NOTICE REGARDING FORWARD-LOOKING STATEMENTS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June 30, 2015 (unaudited) and December 31, 2014</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and six months ended June 30, 2015 and 2014 (unaudited)</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Equity for the six months ended June 30, 2015 (unaudited)</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June 30, 2015 and 2014 (unaudited)</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OTHER INFORMATION</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Exhibits</w:t>
              </w:r>
            </w:hyperlink>
          </w:p>
        </w:tc>
        <w:tc>
          <w:tcPr>
            <w:tcW w:w="780" w:type="dxa"/>
            <w:vAlign w:val="bottom"/>
            <w:gridSpan w:val="2"/>
            <w:shd w:val="clear" w:color="auto" w:fill="CCEEFF"/>
          </w:tcPr>
          <w:p>
            <w:pPr>
              <w:jc w:val="center"/>
              <w:ind w:left="310"/>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9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increases or decreases in expenses;</w:t>
      </w:r>
    </w:p>
    <w:p>
      <w:pPr>
        <w:spacing w:after="0" w:line="27" w:lineRule="exact"/>
        <w:rPr>
          <w:rFonts w:ascii="Times New Roman" w:cs="Times New Roman" w:eastAsia="Times New Roman" w:hAnsi="Times New Roman"/>
          <w:sz w:val="18"/>
          <w:szCs w:val="18"/>
          <w:color w:val="auto"/>
        </w:rPr>
      </w:pPr>
    </w:p>
    <w:p>
      <w:pPr>
        <w:ind w:left="660" w:right="17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clinical research centers and other 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incurring capital expenditures to expand our research and development and manufacturing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generating revenue or becoming profitable on a sustained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enter into marketing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enter into product acquisition and in-licensing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build our own commercial infrastructure to manufacture, market and sell our drug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the acceptance of our products by doctors, patients or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against other companies and research institutions;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secure adequate protection for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reimbursement for our products;</w:t>
      </w:r>
    </w:p>
    <w:p>
      <w:pPr>
        <w:spacing w:after="0" w:line="9" w:lineRule="exact"/>
        <w:rPr>
          <w:rFonts w:ascii="Times New Roman" w:cs="Times New Roman" w:eastAsia="Times New Roman" w:hAnsi="Times New Roman"/>
          <w:sz w:val="18"/>
          <w:szCs w:val="18"/>
          <w:color w:val="auto"/>
        </w:rPr>
      </w:pPr>
    </w:p>
    <w:p>
      <w:pPr>
        <w:ind w:left="660" w:right="10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losses;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future capital requirements.</w:t>
      </w:r>
    </w:p>
    <w:p>
      <w:pPr>
        <w:spacing w:after="0" w:line="20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60,300,086</w:t>
            </w:r>
          </w:p>
        </w:tc>
        <w:tc>
          <w:tcPr>
            <w:tcW w:w="3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55,713,784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31,765,910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23,062,034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190,313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10,921,958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6,179,743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548,776</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103,727,043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85,215,029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577,110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18,311,340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34,833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799,391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155,564</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137,101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123,605,281</w:t>
            </w:r>
          </w:p>
        </w:tc>
        <w:tc>
          <w:tcPr>
            <w:tcW w:w="3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86,746,890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8,254,189</w:t>
            </w:r>
          </w:p>
        </w:tc>
        <w:tc>
          <w:tcPr>
            <w:tcW w:w="360" w:type="dxa"/>
            <w:vAlign w:val="bottom"/>
          </w:tcPr>
          <w:p>
            <w:pPr>
              <w:spacing w:after="0"/>
              <w:rPr>
                <w:sz w:val="18"/>
                <w:szCs w:val="18"/>
                <w:color w:val="auto"/>
              </w:rPr>
            </w:pPr>
          </w:p>
        </w:tc>
        <w:tc>
          <w:tcPr>
            <w:tcW w:w="38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3,991,625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506,000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152,381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295,360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9,207,930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1,447,619</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1,523,810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10,655,549</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(10,000,000 shares authorized, none issued and outstanding</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 of June 30, 2015 and December 31, 2014)</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(150,000,000 shares authorized, 51,697,864 and 44,974,248</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51,656,555 and 44,932,939 shares outstanding at June 30, 2015 and December 31,</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2014, respectively)</w:t>
            </w:r>
          </w:p>
        </w:tc>
        <w:tc>
          <w:tcPr>
            <w:tcW w:w="180" w:type="dxa"/>
            <w:vAlign w:val="bottom"/>
          </w:tcPr>
          <w:p>
            <w:pPr>
              <w:spacing w:after="0"/>
              <w:rPr>
                <w:sz w:val="20"/>
                <w:szCs w:val="20"/>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51,698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239,998,563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175,476,521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(234,337)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(126,866,198)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(95,185,280)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112,949,732</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80,101,884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123,605,281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86,746,890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38,095</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38,095</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76,190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stock expense associated with in-licensing agreement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1,211,250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compensation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3,300,111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2,697,354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5,201,721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9,902,214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2,336,771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18,181,645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11,261,660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6,848,132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20,878,999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11,258,000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compensation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4,883,540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4,438,735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8,902,660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706,725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2,008,962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1,610,249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5,888,015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5,145,460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10,911,622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8,378,812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17,149,675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11,993,592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31,790,621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19,636,812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(17,111,580)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(11,955,497)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(31,714,431)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(19,560,622)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246,526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234,787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(223,372)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(191,127)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(17,103,183)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(11,986,430)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(31,680,918)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(19,533,679)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common share</w:t>
            </w:r>
          </w:p>
        </w:tc>
        <w:tc>
          <w:tcPr>
            <w:tcW w:w="2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45,320,637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32,985,130</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43,216,385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31,546,060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Contingently</w:t>
            </w:r>
          </w:p>
        </w:tc>
        <w:tc>
          <w:tcPr>
            <w:tcW w:w="80" w:type="dxa"/>
            <w:vAlign w:val="bottom"/>
          </w:tcPr>
          <w:p>
            <w:pPr>
              <w:spacing w:after="0"/>
              <w:rPr>
                <w:sz w:val="12"/>
                <w:szCs w:val="12"/>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5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issuable</w:t>
            </w:r>
          </w:p>
        </w:tc>
        <w:tc>
          <w:tcPr>
            <w:tcW w:w="8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700" w:type="dxa"/>
            <w:vAlign w:val="bottom"/>
            <w:gridSpan w:val="6"/>
          </w:tcPr>
          <w:p>
            <w:pPr>
              <w:jc w:val="right"/>
              <w:ind w:right="51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4"/>
                <w:szCs w:val="14"/>
                <w:color w:val="auto"/>
              </w:rPr>
            </w:pPr>
          </w:p>
        </w:tc>
        <w:tc>
          <w:tcPr>
            <w:tcW w:w="100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820" w:type="dxa"/>
            <w:vAlign w:val="bottom"/>
            <w:tcBorders>
              <w:top w:val="single" w:sz="8" w:color="auto"/>
            </w:tcBorders>
            <w:gridSpan w:val="2"/>
          </w:tcPr>
          <w:p>
            <w:pPr>
              <w:ind w:left="16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6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7"/>
              <w:spacing w:after="0" w:line="143"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78"/>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360"/>
              <w:spacing w:after="0" w:line="143"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17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at January 1, 2015</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44,974,248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44,974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175,476,521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w w:val="86"/>
              </w:rPr>
              <w:t>(234,337)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(95,185,280)</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80,101,884</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connection with exercise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of warrants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2,914,703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989,729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992,644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connection with cashless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exercise of warrants</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2,915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471,592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(1,166)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affiliate for cash (See Note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114,855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749,888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750,003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At the Market offering (net</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of offering costs of</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$965,188)</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3,220,717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51,182,884</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51,186,105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Compensation in respect of</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restricted stock granted to</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employees, directors and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consultants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11,600,014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11,600,014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(31,680,918)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(31,680,918)</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June 30, 2015</w:t>
            </w: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89"/>
        </w:trPr>
        <w:tc>
          <w:tcPr>
            <w:tcW w:w="1740" w:type="dxa"/>
            <w:vAlign w:val="bottom"/>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51,697,864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51,698</w:t>
            </w:r>
          </w:p>
        </w:tc>
        <w:tc>
          <w:tcPr>
            <w:tcW w:w="140" w:type="dxa"/>
            <w:vAlign w:val="bottom"/>
          </w:tcPr>
          <w:p>
            <w:pPr>
              <w:spacing w:after="0"/>
              <w:rPr>
                <w:sz w:val="16"/>
                <w:szCs w:val="16"/>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239,998,563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41,309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4"/>
              </w:rPr>
              <w:t>(234,337</w:t>
            </w:r>
          </w:p>
        </w:tc>
        <w:tc>
          <w:tcPr>
            <w:tcW w:w="120" w:type="dxa"/>
            <w:vAlign w:val="bottom"/>
            <w:vMerge w:val="continue"/>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(126,866,198</w:t>
            </w:r>
          </w:p>
        </w:tc>
        <w:tc>
          <w:tcPr>
            <w:tcW w:w="200" w:type="dxa"/>
            <w:vAlign w:val="bottom"/>
            <w:vMerge w:val="continue"/>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(112,949,732</w:t>
            </w:r>
          </w:p>
        </w:tc>
        <w:tc>
          <w:tcPr>
            <w:tcW w:w="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(31,680,918)</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(19,533,679)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loss to net cash used in operating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notes payable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11,600,014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 expense associated with in-licensing agreement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205,409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(5,117,040)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accrued interest receivable</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(104,797)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other assets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4,018,767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interest payable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(76,191)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(21,130,879</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(11,902,006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equipment</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(20,280)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held-to-maturity long-term securities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(18,324,355)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(6,127,539)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held-to-maturity short-term securities</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(16,746,270)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(27,240,905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(9,221,173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992,644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notes payable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51,984,879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16,791,408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(19,437)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52,958,086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17,715,690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4,586,302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(3,407,489)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55,713,784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40,485,466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60,300,086</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37,077,977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financing costs</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47,797</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deferred financing costs to additional paid-in capital</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(48,771)</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“TG” “Company,” “we,” “us” and “our” refer to TG Therapeutics, Inc. (formerly known as Manhattan Pharmaceuticals, Inc., or Manhattan) and our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2014. The accompanying December 31, 2014 balance sheet has been derived from these statements. The results of operations for the three and six months ended June 30, 2015 are not necessarily indicative of the results that may be expected for the entire fiscal year or any other interim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since our inception and expect to continue to incur operating losses for the foreseeable future and, may never become profitable. As of June 30, 2015, we have an accumulated deficit of $126,866,198.</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2015, we had approximately $110.6 million in cash, cash equivalents, investment securities, and interest receivable. We anticipate that our cash and cash equivalents and investments will be sufficient to fund our anticipated operating cash requirements for more than 24 months from June 30, 2015.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and trades under the symbol “TGTX.”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an Accounting Standards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2018. We are currently evaluating the impact of this update on our consolidated financial statements.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treat liquid investments with original maturities of three months or less when purchased as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record cash pledged or held in trust as restricted cash. As of June 30, 2015, we have approximately $0.6 million of restricted cash pledged to secure a line of credit as a security deposit for a Desk Space Agreement (see Note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Investment securities at June 30, 2015 and December 31, 2014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short-term investments. The Company maintains its cash and cash equivalents with high-credit quality financial institutions. At times, such amounts may exceed federally-insured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5,668,134 and 9,702,633 at June 30, 2015 and 2014, respectively. During the three and six months ended June 30, 2015 and 2014, we incurred a net loss; therefore, all of the dilutive securities are excluded from the computation of diluted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Goodwill</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cash and cash equivalents at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10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December 31, 2014</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5,267,687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12,364,537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Checking and bank deposits</w:t>
            </w:r>
          </w:p>
        </w:tc>
        <w:tc>
          <w:tcPr>
            <w:tcW w:w="2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55,032,399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43,349,247</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60,300,086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55,713,784</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 our investments as either held-to-maturity or available-for-sale. Held-to-maturity investments are recorded at amortized cost.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at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Amortized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6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2015 and June 2016) (held-to-maturity)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31,765,910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31,771,365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2016 and June 2017) (held-to-maturity)</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18,311,340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17,165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18,328,035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short-term and long-term investment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50,077,250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50,099,400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Amortized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6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2015 and December 2015) (held-to-maturity)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23,062,034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5,806</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23,057,150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short-term investment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23,062,034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23,057,150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quoted prices that are directly or indirectly observable;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June 30, 2015 and December 31, 2014, the fair values of cash and cash equivalents, restricted cash, and notes and interest payable, current portion approximate their carrying value.</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cumulative liability including accrued and unpaid interest of the 5% Notes was approximately $19.5 million at December 31, 2014 and $20.0 million at June 30, 2015. No payments have been made on the 5% Notes as of June 30, 2015.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June 30, 2015 and December 31, 2014.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liabilities as of June 30, 2015 and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as of June 30,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295,360</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295,360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275,190</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Level 3 amounts above represent the fair value of the 5% Notes and related accrued interest.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Level 3 instruments during the six months ended June 30, 2015: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December 31, 2014</w:t>
            </w:r>
          </w:p>
        </w:tc>
        <w:tc>
          <w:tcPr>
            <w:tcW w:w="40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accrued on face value of 5% Notes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Level 3 liabilities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(464,013)</w:t>
            </w:r>
          </w:p>
        </w:tc>
        <w:tc>
          <w:tcPr>
            <w:tcW w:w="0" w:type="dxa"/>
            <w:vAlign w:val="bottom"/>
          </w:tcPr>
          <w:p>
            <w:pPr>
              <w:spacing w:after="0"/>
              <w:rPr>
                <w:sz w:val="1"/>
                <w:szCs w:val="1"/>
                <w:color w:val="auto"/>
              </w:rPr>
            </w:pPr>
          </w:p>
        </w:tc>
      </w:tr>
      <w:tr>
        <w:trPr>
          <w:trHeight w:val="223"/>
        </w:trPr>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 value at June 30, 2015</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liabilities is reported in other (income) expense in the accompanying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150,000,000 shares of $0.001 par value common stock.</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$75.0 million, from time to time through MLV &amp; Co. LLC (“MLV”), acting as the sales agent. Under the 2015 ATM we pay MLV a commission rate of up to 3.0% of the gross proceeds from the sale of any shares of common stock sold through MLV.</w:t>
      </w:r>
    </w:p>
    <w:p>
      <w:pPr>
        <w:spacing w:after="0" w:line="184"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we sold a total of 3,220,717 shares of common stock under the 2015 ATM for aggregate total gross proceeds of approximately $52.2 million at an average selling price of $16.19 per share, resulting in net proceeds of approximately $51.2 million after deducting commissions and other transaction costs.</w:t>
      </w:r>
    </w:p>
    <w:p>
      <w:pPr>
        <w:spacing w:after="0" w:line="17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From July 1, 2015 through August 6, 2015, we sold an aggregate of 873,781 shares of common stock pursuant to the 2015 ATM for total gross proceeds of approximately $16.1 million at an average selling price of $18.38 per share, resulting in net proceeds of approximately $15.8 million after deducting commissions and other transaction costs.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two shelf registration statements on Form S-3 filed and declared effective by the SEC (File No. 333-189015 and File No. 333-201339). After deducting shares already sold, approximately $248.3 million of common stock remains available for sale under these shelf registration statements. We may offer the securities under our shelf registration statements from time to time in response to market conditions or other circumstances if we believe such a plan of financing is in the best interests of our stockholders. We believe that these shelf registration statements provide us with the flexibility to raise additional capital to finance our operations as needed.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An amendment to the TG Therapeutics, Inc. Amended and Restated 2012 Incentive Plan (“2012 Incentive Plan”) was approved by stockholders in June 2015. Pursuant to this amendment, 6,000,000 shares were added to the 2012 Incentive Plan. Shares available for the issuance of stock options or other stock-based awards under our 2012 Incentive Plan were 5,655,574 shares at June 30,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June 30,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4360" w:type="dxa"/>
            <w:vAlign w:val="bottom"/>
          </w:tcPr>
          <w:p>
            <w:pPr>
              <w:spacing w:after="0"/>
              <w:rPr>
                <w:sz w:val="20"/>
                <w:szCs w:val="20"/>
                <w:color w:val="auto"/>
              </w:rPr>
            </w:pP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0"/>
        </w:trPr>
        <w:tc>
          <w:tcPr>
            <w:tcW w:w="43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971.70</w:t>
            </w:r>
          </w:p>
        </w:tc>
        <w:tc>
          <w:tcPr>
            <w:tcW w:w="1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3"/>
        </w:trPr>
        <w:tc>
          <w:tcPr>
            <w:tcW w:w="552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5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2,811.53</w:t>
            </w: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2015</w:t>
            </w:r>
          </w:p>
        </w:tc>
        <w:tc>
          <w:tcPr>
            <w:tcW w:w="11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463.32</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37"/>
        </w:trPr>
        <w:tc>
          <w:tcPr>
            <w:tcW w:w="436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June 30, 2015</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463.32</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2015, there are no unvested option awards and no unrecognized compensation cost related to option awards.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Certain employees, directors and consultants have been awarded restricted stock. The restricted stock vesting consists of milestone and time-based vesting. The following table summarizes restricted share activity for the six months ended June 30,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4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46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(813,997)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r>
      <w:tr>
        <w:trPr>
          <w:trHeight w:val="223"/>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6,056,430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Total expense associated with restricted stock grants was approximately $11.6 million during the six months ended June 30, 2015. As of June 30, 2015, there was approximately $21.0 million of total unrecognized compensation cost related to unvested time-based restricted stock, which is expected to be recognized over a weighted-average period of 2.2 years. This amount does not include, as of June 30, 2015, 1,863,167 shares of restricted stock outstanding issued to non-employees.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six months ended June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5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4,148,228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0.94</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61,792,184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7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ind w:left="1240"/>
              <w:spacing w:after="0"/>
              <w:rPr>
                <w:sz w:val="20"/>
                <w:szCs w:val="20"/>
                <w:color w:val="auto"/>
              </w:rPr>
            </w:pPr>
            <w:r>
              <w:rPr>
                <w:rFonts w:ascii="Times New Roman" w:cs="Times New Roman" w:eastAsia="Times New Roman" w:hAnsi="Times New Roman"/>
                <w:sz w:val="18"/>
                <w:szCs w:val="18"/>
                <w:color w:val="auto"/>
                <w:w w:val="82"/>
              </w:rPr>
              <w:t>--</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1,218,749</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17,327,944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We did not grant any stock options during the six months ended June 30, 2015 and 2014.</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information about stock options and restricted stock for the three and six months ended June 30,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2015</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associated with restricted stock</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6,242,986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associated with option grants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6,242,986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8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notes payable: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2015</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Non-current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portion, net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portion, net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portion, net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portion, net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5% Notes Payable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5% Notes Payable</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5% Notes and accrued and unpaid interest thereon are convertible at the option of the holder into common stock at the conversion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 per share. Ariston agreed to make quarterly payments on the 5% Notes equal to 50% of the net product cash flow received from the exploitation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of Ariston’s product candidates, AST-726 and AST-915. We have no obligation under the 5% Notes aside from a) 50% of the net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Ariston’s product candidates, if any, payable to noteholders; and b) the conversion feature, discussed above. Interest accrues monthly,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added to principal on an annual basis, every March 8, and is payable at maturity, which was March 8, 2015.</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cumulative liability including accrued and unpaid interest of these notes was approximately $20.0 million at June 30, 2015 and $19.5 million at December 31, 2014. No payments have been made on the 5% Notes as of June 30, 2015.</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Anti-PD-L1 and anti-GITR</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3, 2015, we entered into a Global Collaboration Agreement (the “Collaboration”) with Checkpoint Therapeutics, Inc. (“Checkpoint”), a subsidiary of Fortress Biotech, Inc. (“Fortress”), a related party, for the development and commercialization of Checkpoint’s anti-PD-L1 and anti-GITR antibody research programs in the field of hematological malignancies. Checkpoint retains the rights to develop and commercialize these antibodies in solid tumors.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Collaboration, we made an up-front payment of $500,000,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the Dana Farber Cancer Institute containing a valid claim to any licensed product in such country.</w:t>
      </w:r>
    </w:p>
    <w:p>
      <w:pPr>
        <w:spacing w:after="0" w:line="180" w:lineRule="exact"/>
        <w:rPr>
          <w:sz w:val="20"/>
          <w:szCs w:val="20"/>
          <w:color w:val="auto"/>
        </w:rPr>
      </w:pPr>
    </w:p>
    <w:p>
      <w:pPr>
        <w:ind w:firstLine="693"/>
        <w:spacing w:after="0" w:line="282" w:lineRule="auto"/>
        <w:rPr>
          <w:sz w:val="20"/>
          <w:szCs w:val="20"/>
          <w:color w:val="auto"/>
        </w:rPr>
      </w:pPr>
      <w:r>
        <w:rPr>
          <w:rFonts w:ascii="Times New Roman" w:cs="Times New Roman" w:eastAsia="Times New Roman" w:hAnsi="Times New Roman"/>
          <w:sz w:val="18"/>
          <w:szCs w:val="18"/>
          <w:color w:val="auto"/>
        </w:rPr>
        <w:t>Michael Weiss, our Executive Chairman, Interim CEO and President is also the Executive Vice Chairman of Fortress and the Executive Chairman of Checkpoint (See Note 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TG-1101</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 upfront payment of $2,000,000, which was received in December 2012, net of $330,000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$76,000 for each of the six months ended June 30, 2015 and 2014 and, at June 30, 2015 and December 31, 2014, have deferred revenue of approximately $1.6 million and $1.7 million, respectively, associated with this $2,000,000 payment (approximately $152,000 of which has been classified in current liabilities at June 30, 2015 and December 31, 2014).</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LFB Biotechnologies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LFB License Agreement, LFB maintained the right to purchase at least $750,000 in additional shares of common stock at a purchase price per share as defined in a November 2012 securities exchange agreement. Accordingly, in February 2015, LFB purchased 114,855 shares of our common stock at a price of $6.53 per share for net proceeds of $750,000. In May 2015, LFB exercised their warrant to purchase 2,500,000 shares of common stock at a purchase price of $0.001 per share.</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LFB License Agreement, we utilize LFB Group for certain development and manufacturing services. We incurred approximately $2.3 million and $183,000 in expenses for such services during the six months ended June 30, 2015 and 2014, respectively, which have been included in other research and development expenses in the accompanying consolidated statements of operations. As of June 30, 2015 and December 31, 2014, we had approximately $1.8 million and $52,000,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June 30, 2015 and December 31, 2014, we recorded $5,707,223 and $1,886,518, respectively, in prepaid research and development for such advance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Parties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March 2014, we entered into a shared services agreement with Opus Point Partners Management, LLC (“Opus”) in which the parties agreed to share the costs of a rented facility and certain other services. Our Executive Chairman and Interim Chief Executive Officer, is a Managing Member of Opus. During the six months ended June 30, 2015, we incurred expenses of approximately $116,000, principally for rent, related to this agreement. As of June 30, 2015, we had approximately $37,000 recorded in accounts payable related to this shared services agreement.</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7 above, with regard to the Collaboration with Checkpoint, Our Executive Chairman and Interim Chief Executive Officer is also the Executive Vice Chairman of Fortress and the Executive Chairman of Checkpoint. In addition, Mr. Weiss holds equity interests in TG, Fortress and Checkpoint. Therefore, Mr. Weiss will derive an indirect benefit from the Collaboration through Fortress and our share of the Collaboration.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October 3, 2014, we entered into a Desk Space Agreement (the “Desk Agreement”) with Fortress, to occupy approximately 40% of the New York City office space recently leased by Fortress. This Desk Agreement requires us to pay our respective share of the average annual rent and other costs of the 15 year lease. We approximate an average annual rental obligation of $1.1 million under the Desk Agreement. Fortress does not expect to take possession of the space until late 2015 or early 2016. Our Executive Chairman and Interim Chief Executive Officer, is on the board of directors and is Executive Vice Chairman, Strategic Development of Fortress.</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Desk Agreement, we paid $80,000 in advance rent payments, which is recorded in other current assets in the accompanying consolidated balance sheets as of June 30, 2015 and December 31, 2014. Also in connection with this lease, in October 2014 we pledged $0.6 million to secure a line of credit as a security deposit for the Desk Agreement, which has been recorded as Restricted Cash in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From July 1, 2015 through August 6, 2015, we sold an aggregate of 873,781 shares of common stock pursuant to the 2015 ATM for total gross proceeds of approximately $16.1 million at an average selling price of $18.38 per share, resulting in net proceeds of approximately $15.8 million after deducting commissions and other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TG-1101 (ublituximab)</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in November 2012.</w:t>
      </w:r>
    </w:p>
    <w:p>
      <w:pPr>
        <w:spacing w:after="0" w:line="180"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8"/>
          <w:szCs w:val="18"/>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the leading anti-CD20 monoclonal antibody, which had worldwide sales in 2013 of approximately $8 billion.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Overview and Recent Developments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Two single-agent, dose-escalation, Phase I studies were undertaken with TG-1101 to establish an optimal dose in patients with Non-Hodgkin’s Lymphoma (“NHL”) and Chronic Lymphocytic Leukemia (“CLL”). In both studies, single agent therapy with TG-1101 was deemed well tolerated by treating investigators and displayed promising clinical activity in relapsed and refractory patients. 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88" w:lineRule="exact"/>
        <w:rPr>
          <w:sz w:val="20"/>
          <w:szCs w:val="20"/>
          <w:color w:val="auto"/>
        </w:rPr>
      </w:pPr>
    </w:p>
    <w:p>
      <w:pPr>
        <w:ind w:left="1300" w:right="40" w:hanging="320"/>
        <w:spacing w:after="0" w:line="188" w:lineRule="auto"/>
        <w:tabs>
          <w:tab w:leader="none" w:pos="130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TG-1101 in combination with ibrutinib (trade name IMBRUVICA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 Bruton’s Tyrosine Kinase (“BTK”) inhibitor, for patients with CLL; and</w:t>
      </w: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TG-1101 in combination with TGR-1202, our development stage PI3Kδ inhibitor, for patients with CLL and NHL.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details on our priority ongoing combination trials for TG-1101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TG-1101 in Combination with TGR-1202 for Relapsed/Refractory NHL &amp; CLL</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November 2013, we initiated a multi-center, Phase I study to evaluate the safety and efficacy of the combination of TG-1101 and TGR-1202, our novel, once per day, PI3Kδ inhibitor, for patients with relapsed and/or refractory CLL and NHL. This is the first clinical trial evaluating the combination of TG-1101 and TGR-1202. In this study, dosing of TGR-1202 was commenced at 800mg once per day (QD) with dose escalation proceeding in a 3+3 design. Dose-escalation up to 1200mg micronized formulation is planned. Additional cohorts were added to this study to explore the triple therapy combination of TG-1101, TGR-1202, and ibrutinib.</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MD Anderson Cancer Center is the lead center for the trial with Nathan Fowler, MD, Assistant Professor and Co-Director of Clinical Research in the Department of Lymphoma, as the Study Chair for the NHL patient group and Susan O’Brien, MD, formerly of MD Anderson and now Professor and Medical Director for Cancer Clinical Trials and Research at UC Irvine as the Study Chair for the CLL patient group. As of July 2015, enrollment into this study is ongoing in select expansion cohorts.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Preliminary data from this study was presented at the 51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American Society of Clinical Oncology (ASCO) Annual Meeting held in Chicago, IL in</w:t>
      </w:r>
    </w:p>
    <w:p>
      <w:pPr>
        <w:ind w:right="400"/>
        <w:spacing w:after="0" w:line="218" w:lineRule="auto"/>
        <w:rPr>
          <w:sz w:val="20"/>
          <w:szCs w:val="20"/>
          <w:color w:val="auto"/>
        </w:rPr>
      </w:pPr>
      <w:r>
        <w:rPr>
          <w:rFonts w:ascii="Times New Roman" w:cs="Times New Roman" w:eastAsia="Times New Roman" w:hAnsi="Times New Roman"/>
          <w:sz w:val="17"/>
          <w:szCs w:val="17"/>
          <w:color w:val="auto"/>
        </w:rPr>
        <w:t>May/June 2015, and again in June 2015 at both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European Hematology Association (EHA) Meeting held in Vienna, Austria as well as at the 13</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International Congress on Malignant Lymphoma (ICML), held in Lugano, Switzerland.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TG-1101 in Combination with Ibrutinib for Relapsed/Refractory MCL &amp; CLL</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December 2013, we initiated a multi-center Phase 2 clinical trial to evaluate the safety and efficacy of the combination of TG-1101 and ibrutinib for patients with CLL and Mantle Cell Lymphoma (MCL). This is the first clinical trial evaluating the combination of TG-1101 and ibrutinib, an oral BTK inhibitor.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9" w:name="page20"/>
    <w:bookmarkEnd w:id="19"/>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TG Therapeutics partnered with the US Oncology Network and other select centers throughout the United States on the study, with Jeff Sharman, MD, Medical Director for Hematology Research, US Oncology Network, as the Study Chair. This trial has completed enrollment.</w:t>
      </w:r>
    </w:p>
    <w:p>
      <w:pPr>
        <w:spacing w:after="0" w:line="166"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7"/>
          <w:szCs w:val="17"/>
          <w:color w:val="auto"/>
        </w:rPr>
        <w:t>Preliminary data from this study was presented at the 56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Annual American Society of Hematology (ASH) meeting held in San Francisco, CA in December 2014, and most recently updated at the 13</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International Congress on Malignant Lymphoma (ICML), held in Lugano, Switzerland in June 2015.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TG-1101 + Ibrutinib Phase 3 Study Program – The GENUINE Trial</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reached an agreement with the U.S. Food and Drug Administration (the “FDA”) regarding a Special Protocol Assessment (“SPA”) on the design, endpoints and statistical analysis approach of a Phase 3 clinical trial for TG-1101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80"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TGR-1202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We hold exclusive worldwide rights to develop and commercialize TGR-1202 for all indications worldwide, except for India which has been retained by Rhizen Pharmaceuticals S 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Overview and Recent Developments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Our current combination clinical trials for TGR-1202 are: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TGR-1202 in combination with TG-1101 (ublituximab) in patients with relapsed or refractory NHL and CLL;</w:t>
      </w:r>
    </w:p>
    <w:p>
      <w:pPr>
        <w:spacing w:after="0" w:line="27" w:lineRule="exact"/>
        <w:rPr>
          <w:rFonts w:ascii="Times New Roman" w:cs="Times New Roman" w:eastAsia="Times New Roman" w:hAnsi="Times New Roman"/>
          <w:sz w:val="18"/>
          <w:szCs w:val="18"/>
          <w:color w:val="auto"/>
        </w:rPr>
      </w:pPr>
    </w:p>
    <w:p>
      <w:pPr>
        <w:ind w:left="660" w:hanging="328"/>
        <w:spacing w:after="0" w:line="183" w:lineRule="auto"/>
        <w:tabs>
          <w:tab w:leader="none" w:pos="660" w:val="left"/>
        </w:tabs>
        <w:numPr>
          <w:ilvl w:val="0"/>
          <w:numId w:val="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TGR-1202 in combination with the anti-CD20 antibody, obinutuzumab (GAZYVA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chlorambucil in patients with CLL;</w:t>
      </w:r>
    </w:p>
    <w:p>
      <w:pPr>
        <w:ind w:left="660" w:right="80" w:hanging="328"/>
        <w:spacing w:after="0" w:line="183" w:lineRule="auto"/>
        <w:tabs>
          <w:tab w:leader="none" w:pos="660" w:val="left"/>
        </w:tabs>
        <w:numPr>
          <w:ilvl w:val="0"/>
          <w:numId w:val="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7"/>
          <w:szCs w:val="17"/>
          <w:color w:val="auto"/>
        </w:rPr>
        <w:t>TGR-1202 in combination with the anti-CD30 antibody drug conjugate, brentuximab vedotin (ADCETRIS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in patients with relapsed or refractory Hodgkin’s lymphoma;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TGR-1202 in combination with the BTK inhibitor, ibrutinib, in patients with previously treated CLL and MCL.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Single Agent TGR-1202 in Patients with Relapsed/Refractory Hematologic Malignancies</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January 2013, we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July 2015, TGR-1202-101 is ongoing and enrolling patients in select expansion cohorts.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Preliminary data from this study was presented at the 51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American Society of Clinical Oncology (ASCO) Annual Meeting held in Chicago, IL in</w:t>
      </w:r>
    </w:p>
    <w:p>
      <w:pPr>
        <w:ind w:right="420"/>
        <w:spacing w:after="0" w:line="218" w:lineRule="auto"/>
        <w:rPr>
          <w:sz w:val="20"/>
          <w:szCs w:val="20"/>
          <w:color w:val="auto"/>
        </w:rPr>
      </w:pPr>
      <w:r>
        <w:rPr>
          <w:rFonts w:ascii="Times New Roman" w:cs="Times New Roman" w:eastAsia="Times New Roman" w:hAnsi="Times New Roman"/>
          <w:sz w:val="17"/>
          <w:szCs w:val="17"/>
          <w:color w:val="auto"/>
        </w:rPr>
        <w:t>May/June 2015, and again in June 2015 at both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European Hematology Association (EHA) Meeting held in Vienna, Austria as well as at the 13</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International Congress on Malignant Lymphoma (ICML), held in Lugano, Switzerland.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TGR-1202 Combination Trials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TGR-1202 is being evaluated in combination with the anti-CD20 antibody, obinutuzumab and chlorambucil in patients with previously untreated CLL, in combination with the anti-CD30 antibody drug conjugate, brentuximab vedotin, in patients with relapsed or refractory Hodgkin’s lymphoma, and in combination with the BTK inhibitor, ibrutinib, in patients with CLL and MCL. It is anticipated that preliminary results from these studies will be presented at future medical conferences.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IRAK4</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PD-L1 and GITR</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62"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1" w:name="page22"/>
    <w:bookmarkEnd w:id="21"/>
    <w:p>
      <w:pPr>
        <w:ind w:firstLine="648"/>
        <w:spacing w:after="0" w:line="255" w:lineRule="auto"/>
        <w:rPr>
          <w:sz w:val="20"/>
          <w:szCs w:val="20"/>
          <w:color w:val="auto"/>
        </w:rPr>
      </w:pPr>
      <w:r>
        <w:rPr>
          <w:rFonts w:ascii="Times New Roman" w:cs="Times New Roman" w:eastAsia="Times New Roman" w:hAnsi="Times New Roman"/>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certain restricted stock issued to employees vest upon the achievement of certain milestones; therefore, the total expense is uncertain until the milestone is probable.</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2015 and June 30, 2014</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was $38,095 for each of the three months ended June 30, 2015 and 2014. License revenue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2015 and 2014 was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Stock Expense Associated with In-Licensing Agreement (Research and Development). </w:t>
      </w:r>
      <w:r>
        <w:rPr>
          <w:rFonts w:ascii="Times New Roman" w:cs="Times New Roman" w:eastAsia="Times New Roman" w:hAnsi="Times New Roman"/>
          <w:sz w:val="18"/>
          <w:szCs w:val="18"/>
          <w:color w:val="auto"/>
        </w:rPr>
        <w:t>Noncash stock expense associated with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(research and development) amounted to $0 for the three months ended June 30, 2015, as compared to $1,211,250 during the comparable period in 2014. The expense during the three months ended June 30, 2014 was recorded in conjunction with the stock issued to Ligand Pharmaceuticals as an upfront payment for the license to the IRAK4 inhibitors program.</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 development) related to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grants totaled $1,359,446 for the three months ended June 30, 2015, as compared to $3,300,111 during the comparable period in 2014. The decrease in noncash compensation expense was primarily related to milestone-based vesting of restricted stock grants to personnel that occurred during the period ended June 30, 2014.</w:t>
      </w:r>
    </w:p>
    <w:p>
      <w:pPr>
        <w:spacing w:after="0" w:line="180"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Other Research and Development Expenses</w:t>
      </w:r>
      <w:r>
        <w:rPr>
          <w:rFonts w:ascii="Times New Roman" w:cs="Times New Roman" w:eastAsia="Times New Roman" w:hAnsi="Times New Roman"/>
          <w:sz w:val="18"/>
          <w:szCs w:val="18"/>
          <w:color w:val="auto"/>
        </w:rPr>
        <w:t>. Other research and development expenses increased by $7,565,443 to $9,902,214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2015, as compared to $2,336,771 for the three months ended June 30, 2014. Due to increased clinical trials, increased number of patients on study, and increased manufacturing and clinical trial expenses, research and development expenses related to TG-1101 and TGR-1202 increased by approximately $5.8 million and $1.3 million, respectively. We expect our other research and development costs to increase modestly for the remainder of 2015 due primarily to the enrollment of additional patients in our clinical trials.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(General and Administrative). </w:t>
      </w:r>
      <w:r>
        <w:rPr>
          <w:rFonts w:ascii="Times New Roman" w:cs="Times New Roman" w:eastAsia="Times New Roman" w:hAnsi="Times New Roman"/>
          <w:sz w:val="18"/>
          <w:szCs w:val="18"/>
          <w:color w:val="auto"/>
        </w:rPr>
        <w:t>Noncash compensation expense (general and administrative) related to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grants increased by $444,805 to $4,883,540 for the three months ended June 30, 2015, as compared to $4,438,735 for the three months ended June 30, 2014. The increase in noncash compensation expense was primarily related to the recording of the fair value of equity awards granted to general and administrative personnel and directors, which are expensed over the vesting periods of the individual awards.</w:t>
      </w:r>
    </w:p>
    <w:p>
      <w:pPr>
        <w:spacing w:after="0" w:line="180"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General and Administrative Expenses</w:t>
      </w:r>
      <w:r>
        <w:rPr>
          <w:rFonts w:ascii="Times New Roman" w:cs="Times New Roman" w:eastAsia="Times New Roman" w:hAnsi="Times New Roman"/>
          <w:sz w:val="18"/>
          <w:szCs w:val="18"/>
          <w:color w:val="auto"/>
        </w:rPr>
        <w:t>. Other general and administrative expenses increased by $297,750 to $1,004,475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2015, as compared to $706,725 for the three months ended June 30, 2014. We expect our other general and administrative expenses to remain at a comparable level for the remainder of 2015.</w:t>
      </w:r>
    </w:p>
    <w:p>
      <w:pPr>
        <w:spacing w:after="0" w:line="17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Other income increased by $39,330 to $8,397 of income for the three months ended June 30, 2015, as compared to $30,933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for the three months ended June 30, 2014.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2015 and June 30, 2014</w:t>
      </w:r>
    </w:p>
    <w:p>
      <w:pPr>
        <w:spacing w:after="0" w:line="22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was $76,190 for each of the six months ended June 30, 2015 and 2014. License revenue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2015 and 2014 was related to the amortization of an upfront payment of $2.0 million received in 2012 associated with our license agreement with Ildong.</w:t>
      </w:r>
    </w:p>
    <w:p>
      <w:pPr>
        <w:spacing w:after="0" w:line="17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Stock Expense Associated with In-Licensing Agreement (Research and Development). </w:t>
      </w:r>
      <w:r>
        <w:rPr>
          <w:rFonts w:ascii="Times New Roman" w:cs="Times New Roman" w:eastAsia="Times New Roman" w:hAnsi="Times New Roman"/>
          <w:sz w:val="18"/>
          <w:szCs w:val="18"/>
          <w:color w:val="auto"/>
        </w:rPr>
        <w:t>Noncash stock expense associated with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(research and development) amounted to $0 for the six months ended June 30, 2015 compared to $1,211,250 for the six months ended June 30, 2014. The expense during the six months ended June 30, 2014 was recorded in conjunction with the stock issued to Ligand Pharmaceuticals as an upfront payment for the license to the IRAK4 inhibitors program.</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 development) related to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grants totaled $2,697,354 for the six months ended June 30, 2015, as compared to $5,201,721 during the comparable period in 2014. The decrease in noncash compensation expense was primarily related to milestone-based vesting of restricted stock grants to non-executive personnel during the period ended June 30, 2014.</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Other Research and Development Expenses</w:t>
      </w:r>
      <w:r>
        <w:rPr>
          <w:rFonts w:ascii="Times New Roman" w:cs="Times New Roman" w:eastAsia="Times New Roman" w:hAnsi="Times New Roman"/>
          <w:sz w:val="18"/>
          <w:szCs w:val="18"/>
          <w:color w:val="auto"/>
        </w:rPr>
        <w:t>. Other research and development expenses increased by $13,336,616 to $18,181,645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2015, as compared to $4,845,029 for the six months ended June 30, 2014. The increase in other research and development expenses was due primarily to increases of approximately $9.8 million and $2.5 million for research and development expenses related to TG-1101 and TGR-1202, respectively. We expect our other research and development costs to increase modestly for the remainder of 2015 as enrollment of additional patients increases on our clinical trials.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(General and Administrative). </w:t>
      </w:r>
      <w:r>
        <w:rPr>
          <w:rFonts w:ascii="Times New Roman" w:cs="Times New Roman" w:eastAsia="Times New Roman" w:hAnsi="Times New Roman"/>
          <w:sz w:val="18"/>
          <w:szCs w:val="18"/>
          <w:color w:val="auto"/>
        </w:rPr>
        <w:t>Noncash compensation expense (general and administrative) related to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grants increased by $2,134,097 to $8,902,660 for the six months ended June 30, 2015, as compared to $6,768,563 for the six months ended June 30, 2014. The increase in noncash compensation expense was primarily related to the recording of the fair value of equity awards granted to general and administrative personnel and directors, which are expensed over the vesting periods of the individual awards.</w:t>
      </w:r>
    </w:p>
    <w:p>
      <w:pPr>
        <w:spacing w:after="0" w:line="18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General and Administrative Expenses</w:t>
      </w:r>
      <w:r>
        <w:rPr>
          <w:rFonts w:ascii="Times New Roman" w:cs="Times New Roman" w:eastAsia="Times New Roman" w:hAnsi="Times New Roman"/>
          <w:sz w:val="18"/>
          <w:szCs w:val="18"/>
          <w:color w:val="auto"/>
        </w:rPr>
        <w:t>. Other general and administrative expenses increased by $398,713 to $2,008,962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2015, as compared to $1,610,249 for the six months ended June 30, 2014. We expect our other general and administrative expenses to remain at a comparable level for the remainder of 2015.</w:t>
      </w:r>
    </w:p>
    <w:p>
      <w:pPr>
        <w:spacing w:after="0" w:line="174"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Other income increased by $6,570 to $33,513 for the six months ended June 30, 2015, as compared to $26,943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2014.</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88" w:lineRule="exact"/>
        <w:rPr>
          <w:sz w:val="20"/>
          <w:szCs w:val="20"/>
          <w:color w:val="auto"/>
        </w:rPr>
      </w:pPr>
    </w:p>
    <w:p>
      <w:pPr>
        <w:jc w:val="both"/>
        <w:ind w:right="340" w:firstLine="648"/>
        <w:spacing w:after="0" w:line="313" w:lineRule="auto"/>
        <w:rPr>
          <w:sz w:val="20"/>
          <w:szCs w:val="20"/>
          <w:color w:val="auto"/>
        </w:rPr>
      </w:pPr>
      <w:r>
        <w:rPr>
          <w:rFonts w:ascii="Times New Roman" w:cs="Times New Roman" w:eastAsia="Times New Roman" w:hAnsi="Times New Roman"/>
          <w:sz w:val="17"/>
          <w:szCs w:val="17"/>
          <w:color w:val="auto"/>
        </w:rPr>
        <w:t>As of June 30, 2015, we had $110,567,649 in cash and cash equivalents, investment securities, and interest receivable. Subsequent to the quarter ended June 30, 2015, we sold a total of 873,781 shares of common stock under the 2015 ATM for aggregate net proceeds of approximately $15.8 million.</w:t>
      </w:r>
    </w:p>
    <w:p>
      <w:pPr>
        <w:spacing w:after="0" w:line="13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cash and cash equivalents as of June 30, 2015 plus the amounts raised subsequent to the end of the quarter are sufficient to fund our anticipated operating cash requirements for more than 24 months from June 30, 2015.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2015 was $21,130,879 as compared to $11,902,006 for the six months ended June 30, 2014. The increase in cash used in operating activities was due primarily to increased expenditures associated with our clinical development programs for TG-1101 and TGR-1202.</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2015, net cash used in investing activities was $27,240,905 as compared to $9,221,173 for the six months ended June 30, 2014. The increase in net cash used in investing activities was primarily due to purchases of investment in held-to-maturity treasury securities.</w:t>
      </w:r>
    </w:p>
    <w:p>
      <w:pPr>
        <w:spacing w:after="0" w:line="16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2015, net cash provided by financing activities of $52,958,086 related to our ATM program, as well as proceeds from the exercise of warrants. For the six months ended June 30, 2014, net cash provided by financing activities of $17,715,690 related to net proceeds from the issuance of Common Stock as part of our underwritten public offering in March 2014, as well as proceeds from the exercise of warrants, net of payment of notes payable of $677,778.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7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license revenue in accordance with the revenue recognition guidance of the Financial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We have granted stock options and restricted stock to employees, directors and consultants, as well as warrants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Accruals for Clinical Research Organization and Clinical Site Costs. </w:t>
      </w:r>
      <w:r>
        <w:rPr>
          <w:rFonts w:ascii="Times New Roman" w:cs="Times New Roman" w:eastAsia="Times New Roman" w:hAnsi="Times New Roman"/>
          <w:sz w:val="18"/>
          <w:szCs w:val="18"/>
          <w:color w:val="auto"/>
        </w:rPr>
        <w:t>We make estimates of costs incurred in relation to external clinical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9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Related to Goodwill. </w:t>
      </w:r>
      <w:r>
        <w:rPr>
          <w:rFonts w:ascii="Times New Roman" w:cs="Times New Roman" w:eastAsia="Times New Roman" w:hAnsi="Times New Roman"/>
          <w:sz w:val="18"/>
          <w:szCs w:val="18"/>
          <w:color w:val="auto"/>
        </w:rPr>
        <w:t>As of June 30, 2015 and December 31, 2014, there was $799,391 of goodwill on our consolidated balance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5" w:name="page26"/>
    <w:bookmarkEnd w:id="25"/>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In preparing our consolidated financial statements, we are required to estimate our income taxes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89"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5% Notes Payable. </w:t>
      </w:r>
      <w:r>
        <w:rPr>
          <w:rFonts w:ascii="Times New Roman" w:cs="Times New Roman" w:eastAsia="Times New Roman" w:hAnsi="Times New Roman"/>
          <w:sz w:val="18"/>
          <w:szCs w:val="18"/>
          <w:color w:val="auto"/>
        </w:rPr>
        <w:t>We measure certain financial assets and liabilities at fair value on a recurring basis in the financial statements.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7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2018. We are currently evaluating the impact of this update on our consolidated financial statements.</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2015,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June 30, 2015,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2015, our disclosure controls and procedures were effective.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2015 that have materially affected, or are reasonably likely to materially affect, our internal control over financial reporting.</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7" w:name="page28"/>
    <w:bookmarkEnd w:id="27"/>
    <w:p>
      <w:pPr>
        <w:ind w:firstLine="648"/>
        <w:spacing w:after="0" w:line="253" w:lineRule="auto"/>
        <w:rPr>
          <w:sz w:val="20"/>
          <w:szCs w:val="20"/>
          <w:color w:val="auto"/>
        </w:rPr>
      </w:pPr>
      <w:r>
        <w:rPr>
          <w:rFonts w:ascii="Times New Roman" w:cs="Times New Roman" w:eastAsia="Times New Roman" w:hAnsi="Times New Roman"/>
          <w:sz w:val="18"/>
          <w:szCs w:val="18"/>
          <w:color w:val="auto"/>
        </w:rPr>
        <w:t>In order to submit and maintain an IND,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nor for our anti-PD-L1 and anti-GITR antibodies. Additionally, there can be no assurance given that any of the molecules under development in our IRAK4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5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develop, or receive regulatory approval for or successfully commercialize any of our product candidates, we will not be able to generate product revenues.</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8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w:t>
      </w:r>
    </w:p>
    <w:p>
      <w:pPr>
        <w:spacing w:after="0" w:line="1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September 2014, we announced a Phase 3 clinical trial for TG-1101 in previously treated patients with high-risk CLL which is to be conducted pursuant to an SPA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9"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any indication;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980" w:right="26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9" w:lineRule="exact"/>
        <w:rPr>
          <w:rFonts w:ascii="Times New Roman" w:cs="Times New Roman" w:eastAsia="Times New Roman" w:hAnsi="Times New Roman"/>
          <w:sz w:val="18"/>
          <w:szCs w:val="18"/>
          <w:color w:val="auto"/>
        </w:rPr>
      </w:pPr>
    </w:p>
    <w:p>
      <w:pPr>
        <w:ind w:left="980" w:right="66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76" w:lineRule="exact"/>
        <w:rPr>
          <w:sz w:val="20"/>
          <w:szCs w:val="20"/>
          <w:color w:val="auto"/>
        </w:rPr>
      </w:pPr>
    </w:p>
    <w:p>
      <w:pPr>
        <w:jc w:val="both"/>
        <w:ind w:right="100" w:firstLine="648"/>
        <w:spacing w:after="0" w:line="272" w:lineRule="auto"/>
        <w:rPr>
          <w:sz w:val="20"/>
          <w:szCs w:val="20"/>
          <w:color w:val="auto"/>
        </w:rPr>
      </w:pPr>
      <w:r>
        <w:rPr>
          <w:rFonts w:ascii="Times New Roman" w:cs="Times New Roman" w:eastAsia="Times New Roman" w:hAnsi="Times New Roman"/>
          <w:sz w:val="17"/>
          <w:szCs w:val="17"/>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50 patients have been dosed in the ongoing first-in-human dose-escalation Phase I single agent study, the full adverse effect profile of TGR-1202 is not known. It is unknown as the dose escalation continues and expansion cohorts are initiated and patients are exposed for longer durations to TGR-1202, whether greater frequency and/or severity of adverse events are likely to occur as a maximum tolerated dose is reached. Common toxicities of other drugs in the same class as TGR-1202 include high levels of liver toxicity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9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affected product;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more significant clinical benefit for approval to offset the risk;</w:t>
      </w:r>
    </w:p>
    <w:p>
      <w:pPr>
        <w:spacing w:after="0" w:line="9" w:lineRule="exact"/>
        <w:rPr>
          <w:rFonts w:ascii="Times New Roman" w:cs="Times New Roman" w:eastAsia="Times New Roman" w:hAnsi="Times New Roman"/>
          <w:sz w:val="18"/>
          <w:szCs w:val="18"/>
          <w:color w:val="auto"/>
        </w:rPr>
      </w:pPr>
    </w:p>
    <w:p>
      <w:pPr>
        <w:ind w:left="980" w:right="62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discontinue sale of the product;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5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1" w:name="page32"/>
    <w:bookmarkEnd w:id="31"/>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to commence a clinical trial;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training suitable clinical investigators;</w:t>
      </w:r>
    </w:p>
    <w:p>
      <w:pPr>
        <w:spacing w:after="0" w:line="9"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a product candidate for use in clinical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or ethics committee approval to conduct a clinical trial at a prospective site;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enrolling patients to participate in a clinical trial;</w:t>
      </w:r>
    </w:p>
    <w:p>
      <w:pPr>
        <w:spacing w:after="0" w:line="9"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safety findings.</w:t>
      </w:r>
    </w:p>
    <w:p>
      <w:pPr>
        <w:spacing w:after="0" w:line="20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the completion of clinical testing could result in increased costs and delay our ability to generate product revenues.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9"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any determination that the clinical trial presents unacceptable health risks;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59"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2" w:name="page33"/>
    <w:bookmarkEnd w:id="32"/>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and anticipate engaging additional manufacturing sources for TGR-1202 to meet expanded clinical trial and commercial needs. No assurance can be given that the secondary manufacturing will be successful or that material manufactured by the secondary manufacturer will perform comparably to TG-1101 or TGR-1202 as manufactured to date and used in currently available pre-clinical data and or in early clinical trials reported in this or any previous filing. If the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8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80"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If approved, we expect TG-1101 to compete directly with Roche Group’s Rituxan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(rituximab) and Gazyva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(obinutuzumab or GA-101), Spectrum Pharmaceutical’s Zevalin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30"/>
          <w:szCs w:val="30"/>
          <w:color w:val="auto"/>
          <w:vertAlign w:val="superscript"/>
        </w:rPr>
        <w:t>90</w:t>
      </w:r>
      <w:r>
        <w:rPr>
          <w:rFonts w:ascii="Times New Roman" w:cs="Times New Roman" w:eastAsia="Times New Roman" w:hAnsi="Times New Roman"/>
          <w:sz w:val="18"/>
          <w:szCs w:val="18"/>
          <w:color w:val="auto"/>
        </w:rPr>
        <w:t>-Ibritumomab Tiuxetan), and Genmab and GlaxoSmithKline’s Arzerra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19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(FDA approved for MCL, CLL, and WM and marketed by Pharmacyclics and Janssen), or the bcl-2 inhibitor ABT-199 (under clinical development by AbbVie and Roche).</w:t>
      </w:r>
    </w:p>
    <w:p>
      <w:pPr>
        <w:spacing w:after="0" w:line="184"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These developments may render our product candidates obsolete or noncompetitive. Compared to us, many of our potential competitors have substantially greater:</w:t>
      </w: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5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5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2" w:lineRule="exact"/>
        <w:rPr>
          <w:sz w:val="20"/>
          <w:szCs w:val="20"/>
          <w:color w:val="auto"/>
        </w:rPr>
      </w:pPr>
    </w:p>
    <w:p>
      <w:pPr>
        <w:ind w:left="1080" w:hanging="316"/>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as demonstrated in clinical trials;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cancer clinics and patients of the product as a safe and effective treatment;</w:t>
      </w:r>
    </w:p>
    <w:p>
      <w:pPr>
        <w:spacing w:after="0" w:line="27"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of product candidates seen in a broader patient group, including its use outside the approved indications;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and</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our business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jc w:val="both"/>
        <w:ind w:right="140" w:firstLine="648"/>
        <w:spacing w:after="0" w:line="257"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spacing w:after="0" w:line="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8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June 30, 2015, we had twenty-seven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3"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9" w:lineRule="exact"/>
        <w:rPr>
          <w:rFonts w:ascii="Times New Roman" w:cs="Times New Roman" w:eastAsia="Times New Roman" w:hAnsi="Times New Roman"/>
          <w:sz w:val="18"/>
          <w:szCs w:val="18"/>
          <w:color w:val="auto"/>
        </w:rPr>
      </w:pPr>
    </w:p>
    <w:p>
      <w:pPr>
        <w:ind w:left="980" w:right="50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licensors, contractors and other third parties;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and reporting systems and procedures;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sufficient numbers of talented employees.</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product candidate development timelines and projections in this report are based on the assumption of further financing.</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Acquisitions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5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acquired technologies, products, services, operations and personnel with the existing businesses;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in connection with both negotiating the acquisitions and integrating the businesses;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managerial and operational resources as management tries to oversee larger operations;</w:t>
      </w:r>
    </w:p>
    <w:p>
      <w:pPr>
        <w:spacing w:after="0" w:line="9"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 of acquired companies;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costly and time-consuming litigation, including stockholder lawsuits;</w:t>
      </w:r>
    </w:p>
    <w:p>
      <w:pPr>
        <w:spacing w:after="0" w:line="9" w:lineRule="exact"/>
        <w:rPr>
          <w:rFonts w:ascii="Times New Roman" w:cs="Times New Roman" w:eastAsia="Times New Roman" w:hAnsi="Times New Roman"/>
          <w:sz w:val="18"/>
          <w:szCs w:val="18"/>
          <w:color w:val="auto"/>
        </w:rPr>
      </w:pPr>
    </w:p>
    <w:p>
      <w:pPr>
        <w:ind w:left="980" w:right="50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of invested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additional debt or use cash;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record potentially significant additional future operating costs for the amortization of intangible assets.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9" w:name="page40"/>
    <w:bookmarkEnd w:id="39"/>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Currently, the composition of matter patent and several method of use patents for TG-1101 in various indications and settings have been applied for but have not yet been issued, or have not yet been issued in all jurisdictions in which such applications have been filed. Composition of matter and/or method of use patents for TGR-1202 and for our IRAK4 inhibitor program and anti-PD-L1 and anti-GITR programs have also been applied for but have not yet been issued to date.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7"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partners file may not result in any patents being issued;</w:t>
      </w:r>
    </w:p>
    <w:p>
      <w:pPr>
        <w:spacing w:after="0" w:line="9"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980" w:right="50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980" w:right="26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Times New Roman" w:cs="Times New Roman" w:eastAsia="Times New Roman" w:hAnsi="Times New Roman"/>
          <w:sz w:val="18"/>
          <w:szCs w:val="18"/>
          <w:color w:val="auto"/>
        </w:rPr>
      </w:pPr>
    </w:p>
    <w:p>
      <w:pPr>
        <w:ind w:left="980" w:right="72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If patents are not issued that protect our product candidates, it could have a material adverse effect on our financial condition and results of operations.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0" w:name="page41"/>
    <w:bookmarkEnd w:id="40"/>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8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76" w:lineRule="exact"/>
        <w:rPr>
          <w:sz w:val="20"/>
          <w:szCs w:val="20"/>
          <w:color w:val="auto"/>
        </w:rPr>
      </w:pPr>
    </w:p>
    <w:p>
      <w:pPr>
        <w:ind w:right="640" w:firstLine="648"/>
        <w:spacing w:after="0" w:line="261"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which may not be available on commercially reasonable terms, if at all;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 infringing product candidate or redesign its products or processes to avoid infringement;</w:t>
      </w:r>
    </w:p>
    <w:p>
      <w:pPr>
        <w:spacing w:after="0" w:line="9" w:lineRule="exact"/>
        <w:rPr>
          <w:rFonts w:ascii="Times New Roman" w:cs="Times New Roman" w:eastAsia="Times New Roman" w:hAnsi="Times New Roman"/>
          <w:sz w:val="18"/>
          <w:szCs w:val="18"/>
          <w:color w:val="auto"/>
        </w:rPr>
      </w:pPr>
    </w:p>
    <w:p>
      <w:pPr>
        <w:ind w:left="980" w:right="70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fees and/or grant cross licenses to our technology; and/or</w:t>
      </w:r>
    </w:p>
    <w:p>
      <w:pPr>
        <w:spacing w:after="0" w:line="9"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which may be costly whether we win or lose, and which could result in a substantial diversion of our financial and management resources.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 candidates that we may in-license or acquire could be subject to similar risks and uncertainties.</w:t>
      </w:r>
    </w:p>
    <w:p>
      <w:pPr>
        <w:spacing w:after="0" w:line="22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Finances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continue to operate our business.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June 30, 2015, we had net cash, cash equivalents, investment securities and interest receivable of approximately $110.6 million. We believe that our cash and cash equivalents and investments, inclusive of the amounts raised subsequent to the end of the quarter, will sustain our operations for more than 24 months from June 30, 2015.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8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never been profitable and, as of June 30, 2015, we had an accumulated deficit of $126,866,198.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become profitable.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3"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of our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commercial quantities of our products at acceptable cost levels if regulatory approvals are obtained;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sales, distribution and marketing of our future products, if any;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collaborative arrangements or co-promotion agreements to market and sell our products.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continuing revenues, we will not become profitable and we may be unable to continue our operations without continued funding.</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5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7" w:lineRule="exact"/>
        <w:rPr>
          <w:sz w:val="20"/>
          <w:szCs w:val="20"/>
          <w:color w:val="auto"/>
        </w:rPr>
      </w:pPr>
    </w:p>
    <w:p>
      <w:pPr>
        <w:ind w:left="980" w:right="24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3" w:name="page44"/>
    <w:bookmarkEnd w:id="43"/>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candidate;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or distribution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current officers, directors and principal stockholders.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directors, executive officers, their affiliates, and our principal stockholders beneficially own approximately 40%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 ability to sell stock at a profit.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price in response to various factors, many of which are beyond our control. These factors include:</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products under development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other crises and other external factors;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44" w:name="page45"/>
    <w:bookmarkEnd w:id="44"/>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225" w:lineRule="exact"/>
        <w:rPr>
          <w:sz w:val="20"/>
          <w:szCs w:val="20"/>
          <w:color w:val="auto"/>
        </w:rPr>
      </w:pPr>
    </w:p>
    <w:p>
      <w:pPr>
        <w:ind w:left="1260" w:right="260" w:hanging="566"/>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31.1</w:t>
        <w:tab/>
        <w:t>Certification of Chief Executive Officer pursuant to Rule 13a-14(a)/15d-14(a), as adopted pursuant to Section 302 of the Sarbanes-Oxley Act of 2002, dated August 10, 2015.</w:t>
      </w:r>
    </w:p>
    <w:p>
      <w:pPr>
        <w:spacing w:after="0" w:line="162" w:lineRule="exact"/>
        <w:rPr>
          <w:sz w:val="20"/>
          <w:szCs w:val="20"/>
          <w:color w:val="auto"/>
        </w:rPr>
      </w:pPr>
    </w:p>
    <w:p>
      <w:pPr>
        <w:ind w:left="1260" w:hanging="566"/>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31.2</w:t>
        <w:tab/>
        <w:t>Certification of Chief Financial Officer pursuant to Rule 13a-14(a)/15d-14(a), as adopted pursuant to Section 302 of the Sarbanes-Oxley Act of 2002, dated August 10, 2015.</w:t>
      </w:r>
    </w:p>
    <w:p>
      <w:pPr>
        <w:spacing w:after="0" w:line="162"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32.1</w:t>
        <w:tab/>
        <w:t>Certification of Chief Executive Officer pursuant to 18 U.S.C. §1350, as adopted pursuant to Section 906 of the Sarbanes-Oxley Act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2002, dated August 10, 2015.</w:t>
      </w:r>
    </w:p>
    <w:p>
      <w:pPr>
        <w:spacing w:after="0" w:line="207" w:lineRule="exact"/>
        <w:rPr>
          <w:sz w:val="20"/>
          <w:szCs w:val="20"/>
          <w:color w:val="auto"/>
        </w:rPr>
      </w:pPr>
    </w:p>
    <w:p>
      <w:pPr>
        <w:ind w:left="1260" w:hanging="566"/>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32.2</w:t>
        <w:tab/>
        <w:t>Certification of Chief Financial Officer pursuant to 18 U.S.C. §1350, as adopted pursuant to Section 906 of the Sarbanes-Oxley Act of 2002, dated August 10, 2015.</w:t>
      </w:r>
    </w:p>
    <w:p>
      <w:pPr>
        <w:spacing w:after="0" w:line="162" w:lineRule="exact"/>
        <w:rPr>
          <w:sz w:val="20"/>
          <w:szCs w:val="20"/>
          <w:color w:val="auto"/>
        </w:rPr>
      </w:pPr>
    </w:p>
    <w:p>
      <w:pPr>
        <w:ind w:left="1260" w:right="140" w:hanging="563"/>
        <w:spacing w:after="0" w:line="261"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June 30, 2015, formatted in Extensible Business Reporting Language (XBRL): (i) the Condensed Consolidated Balance Sheets, (ii) the Condensed Consolidated Statements of Operations, (iii) the Condensed Consolidated Statement of Equity, (iv) the Condensed Consolidated Statements of Cash Flows, and (v) Notes to the Condensed Consolidated Financial Statements (filed herewith).</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TG THERAPEUTICS,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2015</w:t>
            </w:r>
          </w:p>
        </w:tc>
        <w:tc>
          <w:tcPr>
            <w:tcW w:w="77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By: /s/ Sean A. Power</w:t>
            </w:r>
          </w:p>
        </w:tc>
      </w:tr>
      <w:tr>
        <w:trPr>
          <w:trHeight w:val="191"/>
        </w:trPr>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36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6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45</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47" w:name="page48"/>
    <w:bookmarkEnd w:id="47"/>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as part of this Quarterly Report on Form 10-Q:</w:t>
      </w:r>
    </w:p>
    <w:p>
      <w:pPr>
        <w:spacing w:after="0" w:line="225" w:lineRule="exact"/>
        <w:rPr>
          <w:sz w:val="20"/>
          <w:szCs w:val="20"/>
          <w:color w:val="auto"/>
        </w:rPr>
      </w:pPr>
    </w:p>
    <w:p>
      <w:pPr>
        <w:ind w:left="1160" w:hanging="56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31.1</w:t>
        <w:tab/>
        <w:t>Certification of Chief Executive Officer pursuant to Rule 13a-14(a)/15d-14(a), as adopted pursuant to Section 302 of the Sarbanes-Oxley Act of 2002, dated August 10, 2015.</w:t>
      </w:r>
    </w:p>
    <w:p>
      <w:pPr>
        <w:spacing w:after="0" w:line="162" w:lineRule="exact"/>
        <w:rPr>
          <w:sz w:val="20"/>
          <w:szCs w:val="20"/>
          <w:color w:val="auto"/>
        </w:rPr>
      </w:pPr>
    </w:p>
    <w:p>
      <w:pPr>
        <w:ind w:left="1160" w:right="60" w:hanging="56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31.2</w:t>
        <w:tab/>
        <w:t>Certification of Chief Financial Officer pursuant to Rule 13a-14(a)/15d-14(a), as adopted pursuant to Section 302 of the Sarbanes-Oxley Act of 2002, dated August 10, 2015.</w:t>
      </w:r>
    </w:p>
    <w:p>
      <w:pPr>
        <w:spacing w:after="0" w:line="162" w:lineRule="exact"/>
        <w:rPr>
          <w:sz w:val="20"/>
          <w:szCs w:val="20"/>
          <w:color w:val="auto"/>
        </w:rPr>
      </w:pPr>
    </w:p>
    <w:p>
      <w:pPr>
        <w:ind w:left="1160" w:hanging="56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32.1</w:t>
        <w:tab/>
        <w:t>Certification of Chief Executive Officer pursuant to 18 U.S.C. §1350, as adopted pursuant to Section 906 of the Sarbanes-Oxley Act of 2002, dated August 10, 2015.</w:t>
      </w:r>
    </w:p>
    <w:p>
      <w:pPr>
        <w:spacing w:after="0" w:line="162" w:lineRule="exact"/>
        <w:rPr>
          <w:sz w:val="20"/>
          <w:szCs w:val="20"/>
          <w:color w:val="auto"/>
        </w:rPr>
      </w:pPr>
    </w:p>
    <w:p>
      <w:pPr>
        <w:ind w:left="1160" w:right="40" w:hanging="56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32.2</w:t>
        <w:tab/>
        <w:t>Certification of Chief Financial Officer pursuant to 18 U.S.C. §1350, as adopted pursuant to Section 906 of the Sarbanes-Oxley Act of 2002, dated August 10, 2015.</w:t>
      </w:r>
    </w:p>
    <w:p>
      <w:pPr>
        <w:spacing w:after="0" w:line="162" w:lineRule="exact"/>
        <w:rPr>
          <w:sz w:val="20"/>
          <w:szCs w:val="20"/>
          <w:color w:val="auto"/>
        </w:rPr>
      </w:pPr>
    </w:p>
    <w:p>
      <w:pPr>
        <w:ind w:left="1160" w:hanging="571"/>
        <w:spacing w:after="0" w:line="261"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June 30, 2015, formatted in Extensible Business Reporting Language (XBRL): (i) the Condensed Consolidated Balance Sheets, (ii) the Condensed Consolidated Statements of Operations, (iii) the Condensed Consolidated Statement of Equity, (iv) the Condensed Consolidated Statements of Cash Flows, and (v) Notes to the Condensed Consolidated Financial Statements (filed herewith).</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1"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572"/>
        <w:spacing w:after="0" w:line="282"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360" w:hanging="572"/>
        <w:spacing w:after="0" w:line="266"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60" w:right="60" w:hanging="571"/>
        <w:spacing w:after="0" w:line="266" w:lineRule="auto"/>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60" w:right="360" w:hanging="571"/>
        <w:spacing w:after="0" w:line="266" w:lineRule="auto"/>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60" w:right="540" w:hanging="571"/>
        <w:spacing w:after="0" w:line="313" w:lineRule="auto"/>
        <w:tabs>
          <w:tab w:leader="none" w:pos="11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60" w:right="40" w:hanging="571"/>
        <w:spacing w:after="0" w:line="266" w:lineRule="auto"/>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240" w:hanging="572"/>
        <w:spacing w:after="0" w:line="282"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780" w:hanging="571"/>
        <w:spacing w:after="0" w:line="282" w:lineRule="auto"/>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460" w:hanging="571"/>
        <w:spacing w:after="0" w:line="282" w:lineRule="auto"/>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2015</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Interim Chief Executive Officer and President</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580" w:hanging="572"/>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572"/>
        <w:spacing w:after="0" w:line="282"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360" w:hanging="572"/>
        <w:spacing w:after="0" w:line="266"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60" w:right="60" w:hanging="571"/>
        <w:spacing w:after="0" w:line="266" w:lineRule="auto"/>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60" w:right="360" w:hanging="571"/>
        <w:spacing w:after="0" w:line="266" w:lineRule="auto"/>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60" w:right="540" w:hanging="571"/>
        <w:spacing w:after="0" w:line="313" w:lineRule="auto"/>
        <w:tabs>
          <w:tab w:leader="none" w:pos="11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60" w:right="40" w:hanging="571"/>
        <w:spacing w:after="0" w:line="266" w:lineRule="auto"/>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240" w:hanging="572"/>
        <w:spacing w:after="0" w:line="282"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780" w:hanging="571"/>
        <w:spacing w:after="0" w:line="282" w:lineRule="auto"/>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460" w:hanging="571"/>
        <w:spacing w:after="0" w:line="282" w:lineRule="auto"/>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2015</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100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2015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76" w:lineRule="exact"/>
        <w:rPr>
          <w:sz w:val="20"/>
          <w:szCs w:val="20"/>
          <w:color w:val="auto"/>
        </w:rPr>
      </w:pPr>
    </w:p>
    <w:p>
      <w:pPr>
        <w:ind w:left="580" w:hanging="248"/>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2015</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Interim Chief Executive Officer and President</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20" w:firstLine="100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2015 as filed with the Securities and Exchange Commission (the “Report”), I, Sean A. Power, Chief Financial Officer of the Company, certify, pursuant to 18 U.S.C. § 1350, as adopted pursuant to § 906 of the Sarbanes-Oxley Act of 2002, that, based on my knowledge:</w:t>
      </w:r>
    </w:p>
    <w:p>
      <w:pPr>
        <w:spacing w:after="0" w:line="176" w:lineRule="exact"/>
        <w:rPr>
          <w:sz w:val="20"/>
          <w:szCs w:val="20"/>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2015</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01"/>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2019-12-29T15:30:56Z</dcterms:created>
  <dcterms:modified xsi:type="dcterms:W3CDTF">2019-12-29T15:30:56Z</dcterms:modified>
</cp:coreProperties>
</file>