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gtx20250930_10q.htm"/>
      <w:bookmarkStart w:id="1" w:name="kstgtx202509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10-Q</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0" w:type="dxa"/>
          <w:right w:w="0" w:type="dxa"/>
        </w:tblCellMar>
      </w:tblPr>
      <w:tblGrid>
        <w:gridCol w:w="6215"/>
      </w:tblGrid>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18"/>
              </w:rPr>
              <w:t>QUARTERLY REPORT PURSUANT TO SECTION</w:t>
            </w:r>
            <w:r>
              <w:rPr>
                <w:rFonts w:ascii="Times New Roman" w:hAnsi="Times New Roman"/>
                <w:caps w:val="false"/>
                <w:smallCaps w:val="false"/>
                <w:sz w:val="18"/>
              </w:rPr>
              <w:t> </w:t>
            </w:r>
            <w:r>
              <w:rPr>
                <w:rFonts w:ascii="Times New Roman" w:hAnsi="Times New Roman"/>
                <w:b/>
                <w:caps w:val="false"/>
                <w:smallCaps w:val="false"/>
                <w:sz w:val="18"/>
              </w:rPr>
              <w:t>13 OR 15(d)</w:t>
            </w:r>
            <w:r>
              <w:rPr>
                <w:rFonts w:ascii="Times New Roman" w:hAnsi="Times New Roman"/>
                <w:caps w:val="false"/>
                <w:smallCaps w:val="false"/>
                <w:sz w:val="18"/>
              </w:rPr>
              <w:t> </w:t>
            </w:r>
            <w:r>
              <w:rPr>
                <w:rFonts w:ascii="Times New Roman" w:hAnsi="Times New Roman"/>
                <w:b/>
                <w:caps w:val="false"/>
                <w:smallCaps w:val="false"/>
                <w:sz w:val="18"/>
              </w:rPr>
              <w:t xml:space="preserve">OF THE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SECURITIES EXCHANGE ACT OF 1934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For the quarterly period ended September 30, 2025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OR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18"/>
              </w:rPr>
              <w:t>TRANSITION REPORT PURSUANT TO SECTION</w:t>
            </w:r>
            <w:r>
              <w:rPr>
                <w:rFonts w:ascii="Times New Roman" w:hAnsi="Times New Roman"/>
                <w:caps w:val="false"/>
                <w:smallCaps w:val="false"/>
                <w:sz w:val="18"/>
              </w:rPr>
              <w:t> </w:t>
            </w:r>
            <w:r>
              <w:rPr>
                <w:rFonts w:ascii="Times New Roman" w:hAnsi="Times New Roman"/>
                <w:b/>
                <w:caps w:val="false"/>
                <w:smallCaps w:val="false"/>
                <w:sz w:val="18"/>
              </w:rPr>
              <w:t>13 OR 15(d)</w:t>
            </w:r>
            <w:r>
              <w:rPr>
                <w:rFonts w:ascii="Times New Roman" w:hAnsi="Times New Roman"/>
                <w:caps w:val="false"/>
                <w:smallCaps w:val="false"/>
                <w:sz w:val="18"/>
              </w:rPr>
              <w:t> </w:t>
            </w:r>
            <w:r>
              <w:rPr>
                <w:rFonts w:ascii="Times New Roman" w:hAnsi="Times New Roman"/>
                <w:b/>
                <w:caps w:val="false"/>
                <w:smallCaps w:val="false"/>
                <w:sz w:val="18"/>
              </w:rPr>
              <w:t xml:space="preserve">OF THE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SECURITIES EXCHANGE ACT OF 1934 </w:t>
            </w:r>
          </w:p>
        </w:tc>
      </w:tr>
      <w:tr>
        <w:trPr/>
        <w:tc>
          <w:tcPr>
            <w:tcW w:w="621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For the transition period from to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File Number 001-32639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TG THERAPEUTICS,</w:t>
      </w:r>
      <w:r>
        <w:rPr>
          <w:rFonts w:ascii="Times New Roman" w:hAnsi="Times New Roman"/>
          <w:caps w:val="false"/>
          <w:smallCaps w:val="false"/>
          <w:sz w:val="28"/>
        </w:rPr>
        <w:t> </w:t>
      </w:r>
      <w:r>
        <w:rPr>
          <w:rFonts w:ascii="Times New Roman" w:hAnsi="Times New Roman"/>
          <w:b/>
          <w:caps w:val="false"/>
          <w:smallCaps w:val="false"/>
          <w:sz w:val="28"/>
        </w:rPr>
        <w:t>INC.</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4220"/>
        <w:gridCol w:w="2585"/>
      </w:tblGrid>
      <w:tr>
        <w:trPr/>
        <w:tc>
          <w:tcPr>
            <w:tcW w:w="422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Delaware </w:t>
            </w:r>
          </w:p>
        </w:tc>
        <w:tc>
          <w:tcPr>
            <w:tcW w:w="25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36-3898269 </w:t>
            </w:r>
          </w:p>
        </w:tc>
      </w:tr>
      <w:tr>
        <w:trPr/>
        <w:tc>
          <w:tcPr>
            <w:tcW w:w="422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(State or other jurisdiction of incorporation or organization)</w:t>
            </w:r>
          </w:p>
        </w:tc>
        <w:tc>
          <w:tcPr>
            <w:tcW w:w="2585"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3020 Carrington Mill Blvd, Suite 475</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Morrisville, North Carolina 27560</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(877) 575-8489</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28" w:type="dxa"/>
          <w:left w:w="28" w:type="dxa"/>
          <w:bottom w:w="28" w:type="dxa"/>
          <w:right w:w="0" w:type="dxa"/>
        </w:tblCellMar>
      </w:tblPr>
      <w:tblGrid>
        <w:gridCol w:w="2405"/>
        <w:gridCol w:w="1520"/>
        <w:gridCol w:w="1655"/>
      </w:tblGrid>
      <w:tr>
        <w:trPr/>
        <w:tc>
          <w:tcPr>
            <w:tcW w:w="24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Class</w:t>
            </w:r>
          </w:p>
        </w:tc>
        <w:tc>
          <w:tcPr>
            <w:tcW w:w="152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Trading Symbol(s)</w:t>
            </w:r>
            <w:r>
              <w:rPr>
                <w:rFonts w:ascii="Times New Roman" w:hAnsi="Times New Roman"/>
                <w:caps w:val="false"/>
                <w:smallCaps w:val="false"/>
                <w:sz w:val="18"/>
              </w:rPr>
              <w:t> </w:t>
            </w:r>
          </w:p>
        </w:tc>
        <w:tc>
          <w:tcPr>
            <w:tcW w:w="165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Exchange Name </w:t>
            </w:r>
          </w:p>
        </w:tc>
      </w:tr>
      <w:tr>
        <w:trPr/>
        <w:tc>
          <w:tcPr>
            <w:tcW w:w="24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$0.001</w:t>
            </w:r>
          </w:p>
        </w:tc>
        <w:tc>
          <w:tcPr>
            <w:tcW w:w="15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TGTX</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18"/>
        </w:rPr>
        <w:t>Yes ☐ No</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775"/>
        <w:gridCol w:w="2165"/>
      </w:tblGrid>
      <w:tr>
        <w:trPr/>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 ☒</w:t>
            </w:r>
          </w:p>
        </w:tc>
        <w:tc>
          <w:tcPr>
            <w:tcW w:w="2165" w:type="dxa"/>
            <w:tcBorders/>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Accelerated filer ☐</w:t>
            </w:r>
          </w:p>
        </w:tc>
      </w:tr>
      <w:tr>
        <w:trPr/>
        <w:tc>
          <w:tcPr>
            <w:tcW w:w="17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 ☐ </w:t>
            </w:r>
          </w:p>
        </w:tc>
        <w:tc>
          <w:tcPr>
            <w:tcW w:w="2165" w:type="dxa"/>
            <w:tcBorders/>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Smaller reporting company ☐</w:t>
            </w:r>
          </w:p>
        </w:tc>
      </w:tr>
      <w:tr>
        <w:trPr/>
        <w:tc>
          <w:tcPr>
            <w:tcW w:w="17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checkmark whether the registrant is a shell company (as defined in Rule 12b-2 of the Exchange Act).</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There were 158,759,451 shares of the registrant’s common stock, $0.001 par value, outstanding as of October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680"/>
        <w:gridCol w:w="7280"/>
        <w:gridCol w:w="230"/>
      </w:tblGrid>
      <w:tr>
        <w:trPr/>
        <w:tc>
          <w:tcPr>
            <w:tcW w:w="7960" w:type="dxa"/>
            <w:gridSpan w:val="2"/>
            <w:tcBorders/>
            <w:vAlign w:val="center"/>
          </w:tcPr>
          <w:p>
            <w:pPr>
              <w:pStyle w:val="TableContents"/>
              <w:bidi w:val="0"/>
              <w:spacing w:before="0" w:after="0"/>
              <w:ind w:left="0" w:right="0" w:hanging="0"/>
              <w:jc w:val="left"/>
              <w:rPr/>
            </w:pPr>
            <w:hyperlink w:anchor="specialnotice">
              <w:r>
                <w:rPr>
                  <w:rStyle w:val="InternetLink"/>
                  <w:rFonts w:ascii="Times New Roman" w:hAnsi="Times New Roman"/>
                  <w:caps w:val="false"/>
                  <w:smallCaps w:val="false"/>
                  <w:sz w:val="20"/>
                </w:rPr>
                <w:t>SPECIAL CAUTIONARY NOTICE REGARDING FORWARD-LOOKING STATEMENTS</w:t>
              </w:r>
            </w:hyperlink>
          </w:p>
        </w:tc>
        <w:tc>
          <w:tcPr>
            <w:tcW w:w="230" w:type="dxa"/>
            <w:tcBorders/>
            <w:vAlign w:val="center"/>
          </w:tcPr>
          <w:p>
            <w:pPr>
              <w:pStyle w:val="TableContents"/>
              <w:bidi w:val="0"/>
              <w:spacing w:before="0" w:after="0"/>
              <w:ind w:left="0" w:right="0" w:hanging="0"/>
              <w:jc w:val="right"/>
              <w:rPr/>
            </w:pPr>
            <w:hyperlink w:anchor="specialnotice">
              <w:r>
                <w:rPr>
                  <w:rStyle w:val="InternetLink"/>
                  <w:rFonts w:ascii="Times New Roman" w:hAnsi="Times New Roman"/>
                  <w:caps w:val="false"/>
                  <w:smallCaps w:val="false"/>
                  <w:sz w:val="20"/>
                </w:rPr>
                <w:t>3</w:t>
              </w:r>
            </w:hyperlink>
          </w:p>
        </w:tc>
      </w:tr>
      <w:tr>
        <w:trPr/>
        <w:tc>
          <w:tcPr>
            <w:tcW w:w="796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60" w:type="dxa"/>
            <w:gridSpan w:val="2"/>
            <w:tcBorders/>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rPr>
                <w:t>SUMMARY RISK FACTORS</w:t>
              </w:r>
            </w:hyperlink>
          </w:p>
        </w:tc>
        <w:tc>
          <w:tcPr>
            <w:tcW w:w="230" w:type="dxa"/>
            <w:tcBorders/>
            <w:vAlign w:val="center"/>
          </w:tcPr>
          <w:p>
            <w:pPr>
              <w:pStyle w:val="TableContents"/>
              <w:bidi w:val="0"/>
              <w:spacing w:before="0" w:after="0"/>
              <w:ind w:left="0" w:right="0" w:hanging="0"/>
              <w:jc w:val="right"/>
              <w:rPr/>
            </w:pPr>
            <w:hyperlink w:anchor="summary">
              <w:r>
                <w:rPr>
                  <w:rStyle w:val="InternetLink"/>
                  <w:rFonts w:ascii="Times New Roman" w:hAnsi="Times New Roman"/>
                  <w:caps w:val="false"/>
                  <w:smallCaps w:val="false"/>
                  <w:sz w:val="20"/>
                </w:rPr>
                <w:t>4</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partonefininfo">
              <w:r>
                <w:rPr>
                  <w:rStyle w:val="InternetLink"/>
                  <w:rFonts w:ascii="Times New Roman" w:hAnsi="Times New Roman"/>
                  <w:caps w:val="false"/>
                  <w:smallCaps w:val="false"/>
                  <w:sz w:val="20"/>
                </w:rPr>
                <w:t>PART I</w:t>
              </w:r>
            </w:hyperlink>
          </w:p>
        </w:tc>
        <w:tc>
          <w:tcPr>
            <w:tcW w:w="7280" w:type="dxa"/>
            <w:tcBorders/>
            <w:vAlign w:val="center"/>
          </w:tcPr>
          <w:p>
            <w:pPr>
              <w:pStyle w:val="TableContents"/>
              <w:bidi w:val="0"/>
              <w:spacing w:before="0" w:after="0"/>
              <w:ind w:left="0" w:right="0" w:hanging="0"/>
              <w:jc w:val="left"/>
              <w:rPr/>
            </w:pPr>
            <w:hyperlink w:anchor="partonefininfo">
              <w:r>
                <w:rPr>
                  <w:rStyle w:val="InternetLink"/>
                  <w:rFonts w:ascii="Times New Roman" w:hAnsi="Times New Roman"/>
                  <w:caps w:val="false"/>
                  <w:smallCaps w:val="false"/>
                  <w:sz w:val="20"/>
                </w:rPr>
                <w:t>FINANCIAL INFORMATION</w:t>
              </w:r>
            </w:hyperlink>
          </w:p>
        </w:tc>
        <w:tc>
          <w:tcPr>
            <w:tcW w:w="230" w:type="dxa"/>
            <w:tcBorders/>
            <w:vAlign w:val="center"/>
          </w:tcPr>
          <w:p>
            <w:pPr>
              <w:pStyle w:val="TableContents"/>
              <w:bidi w:val="0"/>
              <w:spacing w:before="0" w:after="0"/>
              <w:ind w:left="0" w:right="0" w:hanging="0"/>
              <w:jc w:val="right"/>
              <w:rPr/>
            </w:pPr>
            <w:hyperlink w:anchor="partonefininfo">
              <w:r>
                <w:rPr>
                  <w:rStyle w:val="InternetLink"/>
                  <w:rFonts w:ascii="Times New Roman" w:hAnsi="Times New Roman"/>
                  <w:caps w:val="false"/>
                  <w:smallCaps w:val="false"/>
                  <w:sz w:val="20"/>
                </w:rPr>
                <w:t>6</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Financial Statements:</w:t>
              </w:r>
            </w:hyperlink>
          </w:p>
        </w:tc>
        <w:tc>
          <w:tcPr>
            <w:tcW w:w="230"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6</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23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6</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 (unaudited)</w:t>
              </w:r>
            </w:hyperlink>
          </w:p>
        </w:tc>
        <w:tc>
          <w:tcPr>
            <w:tcW w:w="23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7</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Changes in Stockholders’ Equity (unaudited)</w:t>
              </w:r>
            </w:hyperlink>
          </w:p>
        </w:tc>
        <w:tc>
          <w:tcPr>
            <w:tcW w:w="23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8</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 (unaudited)</w:t>
              </w:r>
            </w:hyperlink>
          </w:p>
        </w:tc>
        <w:tc>
          <w:tcPr>
            <w:tcW w:w="23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9</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Condensed Consolidated Financial Statements (unaudited)</w:t>
              </w:r>
            </w:hyperlink>
          </w:p>
        </w:tc>
        <w:tc>
          <w:tcPr>
            <w:tcW w:w="23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10</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23</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23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28</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23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28</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parttwootherinfo">
              <w:r>
                <w:rPr>
                  <w:rStyle w:val="InternetLink"/>
                  <w:rFonts w:ascii="Times New Roman" w:hAnsi="Times New Roman"/>
                  <w:caps w:val="false"/>
                  <w:smallCaps w:val="false"/>
                  <w:sz w:val="20"/>
                </w:rPr>
                <w:t>PART II</w:t>
              </w:r>
            </w:hyperlink>
          </w:p>
        </w:tc>
        <w:tc>
          <w:tcPr>
            <w:tcW w:w="7280" w:type="dxa"/>
            <w:tcBorders/>
            <w:vAlign w:val="center"/>
          </w:tcPr>
          <w:p>
            <w:pPr>
              <w:pStyle w:val="TableContents"/>
              <w:bidi w:val="0"/>
              <w:spacing w:before="0" w:after="0"/>
              <w:ind w:left="0" w:right="0" w:hanging="0"/>
              <w:jc w:val="left"/>
              <w:rPr/>
            </w:pPr>
            <w:hyperlink w:anchor="parttwootherinfo">
              <w:r>
                <w:rPr>
                  <w:rStyle w:val="InternetLink"/>
                  <w:rFonts w:ascii="Times New Roman" w:hAnsi="Times New Roman"/>
                  <w:caps w:val="false"/>
                  <w:smallCaps w:val="false"/>
                  <w:sz w:val="20"/>
                </w:rPr>
                <w:t>OTHER INFORMATION</w:t>
              </w:r>
            </w:hyperlink>
          </w:p>
        </w:tc>
        <w:tc>
          <w:tcPr>
            <w:tcW w:w="230" w:type="dxa"/>
            <w:tcBorders/>
            <w:vAlign w:val="center"/>
          </w:tcPr>
          <w:p>
            <w:pPr>
              <w:pStyle w:val="TableContents"/>
              <w:bidi w:val="0"/>
              <w:spacing w:before="0" w:after="0"/>
              <w:ind w:left="0" w:right="0" w:hanging="0"/>
              <w:jc w:val="right"/>
              <w:rPr/>
            </w:pPr>
            <w:hyperlink w:anchor="parttwootherinfo">
              <w:r>
                <w:rPr>
                  <w:rStyle w:val="InternetLink"/>
                  <w:rFonts w:ascii="Times New Roman" w:hAnsi="Times New Roman"/>
                  <w:caps w:val="false"/>
                  <w:smallCaps w:val="false"/>
                  <w:sz w:val="20"/>
                </w:rPr>
                <w:t>28</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23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28</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w:t>
              </w:r>
            </w:hyperlink>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23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28</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23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66</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of Senior Securities</w:t>
              </w:r>
            </w:hyperlink>
          </w:p>
        </w:tc>
        <w:tc>
          <w:tcPr>
            <w:tcW w:w="23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67</w:t>
              </w:r>
            </w:hyperlink>
          </w:p>
        </w:tc>
      </w:tr>
      <w:tr>
        <w:trPr/>
        <w:tc>
          <w:tcPr>
            <w:tcW w:w="6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23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67</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w:t>
              </w:r>
            </w:hyperlink>
          </w:p>
        </w:tc>
        <w:tc>
          <w:tcPr>
            <w:tcW w:w="72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Other Information</w:t>
              </w:r>
            </w:hyperlink>
          </w:p>
        </w:tc>
        <w:tc>
          <w:tcPr>
            <w:tcW w:w="23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67</w:t>
              </w:r>
            </w:hyperlink>
          </w:p>
        </w:tc>
      </w:tr>
      <w:tr>
        <w:trPr/>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w:t>
              </w:r>
            </w:hyperlink>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23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67</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specialnotice"/>
      <w:bookmarkEnd w:id="3"/>
      <w:r>
        <w:rPr>
          <w:rFonts w:ascii="Times New Roman" w:hAnsi="Times New Roman"/>
          <w:b/>
          <w:caps w:val="false"/>
          <w:smallCaps w:val="false"/>
          <w:sz w:val="20"/>
        </w:rPr>
        <w:t>SPECIAL CAUTIONARY NOTICE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Certain matters discussed in this Quarterly Report on Form 10-Q contain forward-looking statements. All statements other than statements of historical facts may constitute forward-looking statements. We intend such forward-looking statements to be subject to the safe harbor provisions of the Private Securities Litigation Reform Act of 1995, including Section 27A of the Securities Act of 1933, as amended (Securities Act) and Section 21E of the Securities Exchange Act of 1934, as amended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All written or oral forward-looking statements attributable to us are expressly qualified in their entirety by these cautionary statements. Such forward-looking statements include, but are not limited to, statements about: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obtain regulatory approvals for our product candidates and our ability to maintain regulatory approval of BRIUMVI® (ublituximab-xiiy) 150 mg/6 mL Injection for intravenous therapy for the treatment of relapsing forms of multiple sclerosis (RMS) or any other future indication in the United States (U.S.) or any other jurisdiction outside of the U.S.;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adapt and expand our commercial infrastructure to successfully, or in the timeframe projected, market and sell BRIUMVI and our other product candidates; </w:t>
            </w:r>
          </w:p>
        </w:tc>
      </w:tr>
    </w:tbl>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a reliable supply of our products that meets market demand;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timing and success of the ongoing commercialization and availability of BRIUMVI or any future products or combinations of products, including the anticipated rate and degree of market acceptance and pricing and reimbursement; </w:t>
            </w:r>
          </w:p>
        </w:tc>
      </w:tr>
    </w:tbl>
    <w:tbl>
      <w:tblPr>
        <w:tblW w:w="6220" w:type="dxa"/>
        <w:jc w:val="left"/>
        <w:tblInd w:w="0" w:type="dxa"/>
        <w:tblLayout w:type="fixed"/>
        <w:tblCellMar>
          <w:top w:w="0" w:type="dxa"/>
          <w:left w:w="0" w:type="dxa"/>
          <w:bottom w:w="0" w:type="dxa"/>
          <w:right w:w="0" w:type="dxa"/>
        </w:tblCellMar>
      </w:tblPr>
      <w:tblGrid>
        <w:gridCol w:w="170"/>
        <w:gridCol w:w="605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initiation, timing, progress and results of our preclinical studies and clinical trials; </w:t>
            </w:r>
          </w:p>
        </w:tc>
      </w:tr>
    </w:tbl>
    <w:tbl>
      <w:tblPr>
        <w:tblW w:w="6505" w:type="dxa"/>
        <w:jc w:val="left"/>
        <w:tblInd w:w="0" w:type="dxa"/>
        <w:tblLayout w:type="fixed"/>
        <w:tblCellMar>
          <w:top w:w="0" w:type="dxa"/>
          <w:left w:w="0" w:type="dxa"/>
          <w:bottom w:w="0" w:type="dxa"/>
          <w:right w:w="0" w:type="dxa"/>
        </w:tblCellMar>
      </w:tblPr>
      <w:tblGrid>
        <w:gridCol w:w="170"/>
        <w:gridCol w:w="63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advance drug candidates into, and successfully complete, clinical trials;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develop, formulate, manufacture and commercialize our product candidates;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 </w:t>
            </w:r>
          </w:p>
        </w:tc>
      </w:tr>
    </w:tbl>
    <w:tbl>
      <w:tblPr>
        <w:tblW w:w="7240" w:type="dxa"/>
        <w:jc w:val="left"/>
        <w:tblInd w:w="0" w:type="dxa"/>
        <w:tblLayout w:type="fixed"/>
        <w:tblCellMar>
          <w:top w:w="0" w:type="dxa"/>
          <w:left w:w="0" w:type="dxa"/>
          <w:bottom w:w="0" w:type="dxa"/>
          <w:right w:w="0" w:type="dxa"/>
        </w:tblCellMar>
      </w:tblPr>
      <w:tblGrid>
        <w:gridCol w:w="170"/>
        <w:gridCol w:w="70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implementation of our business model and strategic plans for our business and drug candidates; </w:t>
            </w:r>
          </w:p>
        </w:tc>
      </w:tr>
    </w:tbl>
    <w:tbl>
      <w:tblPr>
        <w:tblW w:w="9850" w:type="dxa"/>
        <w:jc w:val="left"/>
        <w:tblInd w:w="0" w:type="dxa"/>
        <w:tblLayout w:type="fixed"/>
        <w:tblCellMar>
          <w:top w:w="0" w:type="dxa"/>
          <w:left w:w="0" w:type="dxa"/>
          <w:bottom w:w="0" w:type="dxa"/>
          <w:right w:w="0" w:type="dxa"/>
        </w:tblCellMar>
      </w:tblPr>
      <w:tblGrid>
        <w:gridCol w:w="170"/>
        <w:gridCol w:w="968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8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scope of protection we are able to establish and maintain for intellectual property rights covering our product and product candidates; </w:t>
            </w:r>
          </w:p>
        </w:tc>
      </w:tr>
    </w:tbl>
    <w:tbl>
      <w:tblPr>
        <w:tblW w:w="7510" w:type="dxa"/>
        <w:jc w:val="left"/>
        <w:tblInd w:w="0" w:type="dxa"/>
        <w:tblLayout w:type="fixed"/>
        <w:tblCellMar>
          <w:top w:w="0" w:type="dxa"/>
          <w:left w:w="0" w:type="dxa"/>
          <w:bottom w:w="0" w:type="dxa"/>
          <w:right w:w="0" w:type="dxa"/>
        </w:tblCellMar>
      </w:tblPr>
      <w:tblGrid>
        <w:gridCol w:w="170"/>
        <w:gridCol w:w="734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estimates of our expenses, future revenues, capital requirements and our needs for additional financing; </w:t>
            </w:r>
          </w:p>
        </w:tc>
      </w:tr>
    </w:tbl>
    <w:tbl>
      <w:tblPr>
        <w:tblW w:w="7195" w:type="dxa"/>
        <w:jc w:val="left"/>
        <w:tblInd w:w="0" w:type="dxa"/>
        <w:tblLayout w:type="fixed"/>
        <w:tblCellMar>
          <w:top w:w="0" w:type="dxa"/>
          <w:left w:w="0" w:type="dxa"/>
          <w:bottom w:w="0" w:type="dxa"/>
          <w:right w:w="0" w:type="dxa"/>
        </w:tblCellMar>
      </w:tblPr>
      <w:tblGrid>
        <w:gridCol w:w="170"/>
        <w:gridCol w:w="702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and establish collaborations and enter into strategic arrangements, if desired;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meet any of our financial projections or guidance, including without limitation short and long-term revenue and operating expense projections or guidance and changes to the assumptions underlying those projections or guidance; </w:t>
            </w:r>
          </w:p>
        </w:tc>
      </w:tr>
    </w:tbl>
    <w:tbl>
      <w:tblPr>
        <w:tblW w:w="5080" w:type="dxa"/>
        <w:jc w:val="left"/>
        <w:tblInd w:w="0" w:type="dxa"/>
        <w:tblLayout w:type="fixed"/>
        <w:tblCellMar>
          <w:top w:w="0" w:type="dxa"/>
          <w:left w:w="0" w:type="dxa"/>
          <w:bottom w:w="0" w:type="dxa"/>
          <w:right w:w="0" w:type="dxa"/>
        </w:tblCellMar>
      </w:tblPr>
      <w:tblGrid>
        <w:gridCol w:w="170"/>
        <w:gridCol w:w="4910"/>
      </w:tblGrid>
      <w:tr>
        <w:trPr/>
        <w:tc>
          <w:tcPr>
            <w:tcW w:w="170" w:type="dxa"/>
            <w:tcBorders/>
            <w:vAlign w:val="center"/>
          </w:tcPr>
          <w:p>
            <w:pPr>
              <w:pStyle w:val="TableContents"/>
              <w:bidi w:val="0"/>
              <w:spacing w:before="0" w:after="0"/>
              <w:ind w:left="0" w:right="0" w:hanging="0"/>
              <w:jc w:val="both"/>
              <w:rPr/>
            </w:pPr>
            <w:r>
              <w:rPr/>
              <w:t>●</w:t>
            </w:r>
          </w:p>
        </w:tc>
        <w:tc>
          <w:tcPr>
            <w:tcW w:w="4910" w:type="dxa"/>
            <w:tcBorders/>
            <w:vAlign w:val="center"/>
          </w:tcPr>
          <w:p>
            <w:pPr>
              <w:pStyle w:val="TableContents"/>
              <w:bidi w:val="0"/>
              <w:spacing w:before="0" w:after="0"/>
              <w:ind w:left="0" w:right="0" w:hanging="0"/>
              <w:jc w:val="both"/>
              <w:rPr>
                <w:rFonts w:ascii="Times New Roman" w:hAnsi="Times New Roman"/>
                <w:b w:val="false"/>
                <w:sz w:val="18"/>
              </w:rPr>
            </w:pPr>
            <w:r>
              <w:rPr>
                <w:rFonts w:ascii="Times New Roman" w:hAnsi="Times New Roman"/>
                <w:b w:val="false"/>
                <w:sz w:val="18"/>
              </w:rPr>
              <w:t>our ability to obtain sufficient capital to fund our planned operations; </w:t>
            </w:r>
          </w:p>
        </w:tc>
      </w:tr>
    </w:tbl>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financial performance and cash burn management;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or obtain adequate product liability and other insurance coverage;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developments relating to our competitors and our industry;</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effects on our company of future regulatory developments or legislative actions, including changes in healthcare, environmental and other laws and regulations to which we are subject, including tariffs that may apply to products that we purchase or sell;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prevailing economic, market and business conditions;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retain, attract and hire key personnel;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competitive position;</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fluctuations in the trading price of our common stock;</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use of cash and other resources; and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successfully implement our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Forward-looking statements are not guarantees of performance. They involve risks, uncertainties and assumptions. You should refer to the “Risk Factors” section in this Quarterly Report on Form 10-Q for a discussion of important factors that may cause our actual results to differ materially from those expressed or implied by our forward-looking statements. Although we make such statements based on assumptions that we believe to be reasonable, there can be no assurance that actual results will not differ materially from our expectations. We caution you not to rely unduly on any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These forward-looking statements speak only as of the date of this Quarterly Report on Form 10-Q. We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views as of any date subsequent to the date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18"/>
        </w:rPr>
      </w:pPr>
      <w:bookmarkStart w:id="4" w:name="summary"/>
      <w:bookmarkEnd w:id="4"/>
      <w:r>
        <w:rPr>
          <w:rFonts w:ascii="Times New Roman" w:hAnsi="Times New Roman"/>
          <w:b/>
          <w:caps w:val="false"/>
          <w:smallCaps w:val="false"/>
          <w:sz w:val="18"/>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discussed in the section entitled “Risk Factors” in Part I, Item 1A of our Annual Report on Form 10-K for the fiscal year ended December 31, 2024, and any other risks described in the other reports and documents that we have filed with the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Commercialization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obtain U.S. Food and Drug Administration (FDA) or approval by any comparable regulatory authority outside of the U.S. for a product candidate and do not achieve broad market acceptance among physicians, patients, healthcare payors, and the medical community, the revenues that we generate from product sales will be limited.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BRIUMVI, and any of our product candidates for which we in the future obtain approval, may, after approval, be found to cause undesirable side effects that could result in significant negative consequences following commercialization.</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face substantial competition, which may result in others commercializing drugs before or more successfully than we do, resulting in the reduction or elimination of our commercial opportunity.</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sz w:val="18"/>
              </w:rPr>
            </w:pPr>
            <w:r>
              <w:rPr>
                <w:sz w:val="18"/>
              </w:rPr>
              <w:t>BRIUMVI, as well as any products that we are able to commercialize in the future, may become subject to unfavorable pricing regulations or third-party payor coverage and reimbursement policies, which would harm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Product liability lawsuits against us could cause us to incur substantial liabilities and could limit commercialization of any drug candidates that we may develop.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our Financial Position and Need for Additional Capital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have incurred substantial operating losses since our inception, and we may incur losses in the future.</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While we do not expect to need to raise additional capital, we may need to do so. If we are unable to raise capital, if needed, we may be required to delay, limit, reduce or eliminate some of our drug development programs or commercialization efforts.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level of indebtedness and debt service obligations could adversely affect our financial condition and may make it more difficult for us to fund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Drug Development and Regulatory Approval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product or product candidates may cause undesirable side effects that could delay or prevent their regulatory approval or impact their availability and commercial potential after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Any products or product candidates we may advance through clinical development are subject to extensive regulation, which can be costly and time consuming, cause unanticipated delays or prevent the receipt of the required approvals.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Risks Related to Governmental Regulation of the Pharmaceutical Industry and Legal Compliance Matters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are subject to new legislation, regulatory proposals and third-party payor initiatives that may increase our costs of compliance and adversely affect our ability to market our products, obtain collaborators and raise capital.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fail to adequately understand and comply with the local laws and customs as we expand into new international markets, these operations may incur losses or otherwise adversely affect our business and results of operations.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Any product for which we obtain marketing approval, including BRIUMVI, could be subject to restrictions or withdrawal from the market and we may be subject to penalties if we fail to comply with regulatory requirements or if we experience unanticipated problems with our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Risks Related to our Dependence on Third Parties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Because we have in-licensed BRIUMVI and our product candidates from third parties, any dispute with or non-performance by our licensors will adversely affect our ability to develop and commercialize the applicable product or product candidate.</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Intellectual Property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not be able to enforce our intellectual property rights throughout the world.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or our partners are sued for infringing intellectual property rights of third parties, it will be costly and time consuming, and an unfavorable outcome in that litigation would have a material adverse effect on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need to license certain intellectual property from third parties, and such licenses may not be available or may not be available on commercially reasonable terms.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are unable to protect the confidentiality of our trade secrets, our business and competitive position may be harmed.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Our Business Organization and Governance, Strategy, Employees and Growth Management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fail to attract and keep key management, commercial, and clinical development personnel, we may be unable to successfully develop or commercialize our product and product candidates.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will need to develop and expand our business, and we may encounter difficulties in managing this development and expansion, which could disrupt our operations.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Certain of our executive officers, directors, principal stockholders and their affiliates maintain the ability to exercise significant influence over our company and all matters submitted to stockholders for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Unfavorable global economic conditions could adversely affect our business, financial condition or results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 xml:space="preserve">Risks Related to Our Common Stock and Being a Publicly Traded Company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stock price is, and we expect it to remain, volatile, which could limit investors’ ability to sell our stock at a profit.</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incur significant increased costs as a result of operating as a public company, and our management is required to devote substantial time to compliance initiatives.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The foregoing is only a summary of some of our risks. These and other risks are discussed more fully in the section entitled “Risk Factors” in Part II, Item 1A and elsewhere in this Quarterly Report on Form 10-Q (our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5" w:name="partonefininfo"/>
      <w:bookmarkEnd w:id="5"/>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 xml:space="preserve">I. FINANCIAL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6" w:name="finstmts"/>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center"/>
        <w:rPr>
          <w:rFonts w:ascii="Times New Roman" w:hAnsi="Times New Roman"/>
          <w:caps w:val="false"/>
          <w:smallCaps w:val="false"/>
          <w:sz w:val="20"/>
        </w:rPr>
      </w:pPr>
      <w:bookmarkStart w:id="7" w:name="bs"/>
      <w:bookmarkEnd w:id="7"/>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0"/>
        <w:gridCol w:w="60"/>
        <w:gridCol w:w="131"/>
        <w:gridCol w:w="953"/>
        <w:gridCol w:w="80"/>
        <w:gridCol w:w="60"/>
        <w:gridCol w:w="129"/>
        <w:gridCol w:w="940"/>
        <w:gridCol w:w="82"/>
      </w:tblGrid>
      <w:tr>
        <w:trPr/>
        <w:tc>
          <w:tcPr>
            <w:tcW w:w="7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(Note 1)</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08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179,894</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investment securities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131,106</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129,185</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110,458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55,846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15,716</w:t>
            </w:r>
          </w:p>
        </w:tc>
        <w:tc>
          <w:tcPr>
            <w:tcW w:w="82" w:type="dxa"/>
            <w:tcBorders/>
            <w:shd w:fill="CCEEFF" w:val="clear"/>
            <w:vAlign w:val="center"/>
          </w:tcPr>
          <w:p>
            <w:pPr>
              <w:pStyle w:val="TableContents"/>
              <w:bidi w:val="0"/>
              <w:spacing w:before="0" w:after="0"/>
              <w:jc w:val="left"/>
              <w:rPr/>
            </w:pPr>
            <w:r>
              <w:rPr/>
              <w:t> </w:t>
            </w:r>
          </w:p>
        </w:tc>
      </w:tr>
      <w:tr>
        <w:trPr/>
        <w:tc>
          <w:tcPr>
            <w:tcW w:w="777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566,359</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1,298</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investment securities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808</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use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7,151</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366,627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noncurrent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2,074</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577,690</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4"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gridSpan w:val="2"/>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58,296</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4,627</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 current portion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1,157</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revenue - current portion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11,414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15,185</w:t>
            </w:r>
          </w:p>
        </w:tc>
        <w:tc>
          <w:tcPr>
            <w:tcW w:w="82" w:type="dxa"/>
            <w:tcBorders/>
            <w:shd w:fill="FFFFFF" w:val="clear"/>
            <w:vAlign w:val="center"/>
          </w:tcPr>
          <w:p>
            <w:pPr>
              <w:pStyle w:val="TableContents"/>
              <w:bidi w:val="0"/>
              <w:spacing w:before="0" w:after="0"/>
              <w:jc w:val="left"/>
              <w:rPr/>
            </w:pPr>
            <w:r>
              <w:rPr/>
              <w:t> </w:t>
            </w:r>
          </w:p>
        </w:tc>
      </w:tr>
      <w:tr>
        <w:trPr/>
        <w:tc>
          <w:tcPr>
            <w:tcW w:w="777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90,679</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revenue, non-current portion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12,085</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Loan payable – non-current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244,429</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 non-current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8,133</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355,326</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$0.001 par value per share (190,000,000 and 175,000,000 shares authorized, 158,754,176 and 156,204,159 shares issued, 155,210,533 and 155,836,256 shares outstanding at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1,812,345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1,760,396</w:t>
            </w:r>
          </w:p>
        </w:tc>
        <w:tc>
          <w:tcPr>
            <w:tcW w:w="82" w:type="dxa"/>
            <w:tcBorders/>
            <w:shd w:fill="CCEEFF" w:val="clear"/>
            <w:vAlign w:val="center"/>
          </w:tcPr>
          <w:p>
            <w:pPr>
              <w:pStyle w:val="TableContents"/>
              <w:bidi w:val="0"/>
              <w:spacing w:before="0" w:after="283"/>
              <w:jc w:val="left"/>
              <w:rPr/>
            </w:pPr>
            <w:r>
              <w:rPr/>
              <w:t> </w:t>
            </w:r>
          </w:p>
        </w:tc>
      </w:tr>
      <w:tr>
        <w:trPr/>
        <w:tc>
          <w:tcPr>
            <w:tcW w:w="77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Treasury stock, at cost, 3,543,643 and 367,903 shares at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(100,234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(8,994</w:t>
            </w:r>
          </w:p>
        </w:tc>
        <w:tc>
          <w:tcPr>
            <w:tcW w:w="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7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(1,105,052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(1,529,194</w:t>
            </w:r>
          </w:p>
        </w:tc>
        <w:tc>
          <w:tcPr>
            <w:tcW w:w="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7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222,364</w:t>
            </w:r>
          </w:p>
        </w:tc>
        <w:tc>
          <w:tcPr>
            <w:tcW w:w="82" w:type="dxa"/>
            <w:tcBorders/>
            <w:shd w:fill="FFFFFF" w:val="clear"/>
            <w:vAlign w:val="center"/>
          </w:tcPr>
          <w:p>
            <w:pPr>
              <w:pStyle w:val="TableContents"/>
              <w:bidi w:val="0"/>
              <w:spacing w:before="0" w:after="283"/>
              <w:jc w:val="left"/>
              <w:rPr/>
            </w:pPr>
            <w:r>
              <w:rPr/>
              <w:t> </w:t>
            </w:r>
          </w:p>
        </w:tc>
      </w:tr>
      <w:tr>
        <w:trPr/>
        <w:tc>
          <w:tcPr>
            <w:tcW w:w="777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577,690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6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firstLine="56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ops"/>
      <w:bookmarkEnd w:id="8"/>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785" w:type="dxa"/>
        <w:jc w:val="left"/>
        <w:tblInd w:w="0" w:type="dxa"/>
        <w:tblLayout w:type="fixed"/>
        <w:tblCellMar>
          <w:top w:w="0" w:type="dxa"/>
          <w:left w:w="0" w:type="dxa"/>
          <w:bottom w:w="0" w:type="dxa"/>
          <w:right w:w="0" w:type="dxa"/>
        </w:tblCellMar>
      </w:tblPr>
      <w:tblGrid>
        <w:gridCol w:w="4505"/>
        <w:gridCol w:w="60"/>
        <w:gridCol w:w="125"/>
        <w:gridCol w:w="1055"/>
        <w:gridCol w:w="80"/>
        <w:gridCol w:w="60"/>
        <w:gridCol w:w="125"/>
        <w:gridCol w:w="1055"/>
        <w:gridCol w:w="80"/>
        <w:gridCol w:w="60"/>
        <w:gridCol w:w="125"/>
        <w:gridCol w:w="1055"/>
        <w:gridCol w:w="80"/>
        <w:gridCol w:w="60"/>
        <w:gridCol w:w="125"/>
        <w:gridCol w:w="1055"/>
        <w:gridCol w:w="80"/>
      </w:tblGrid>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206,381</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14,438</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220,819</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23,087</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62,417</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70,417</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22,593</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92,742</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115,335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208,839</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16,967</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11,839</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145,416,901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145,102,479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146,273,554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145,342,337</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160,997,977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160,714,388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162,102,373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160,366,927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6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se"/>
      <w:bookmarkEnd w:id="9"/>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Changes in Stockholders’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5"/>
        <w:gridCol w:w="60"/>
        <w:gridCol w:w="60"/>
        <w:gridCol w:w="1055"/>
        <w:gridCol w:w="80"/>
        <w:gridCol w:w="60"/>
        <w:gridCol w:w="184"/>
        <w:gridCol w:w="496"/>
        <w:gridCol w:w="60"/>
        <w:gridCol w:w="60"/>
        <w:gridCol w:w="125"/>
        <w:gridCol w:w="845"/>
        <w:gridCol w:w="80"/>
        <w:gridCol w:w="60"/>
        <w:gridCol w:w="60"/>
        <w:gridCol w:w="695"/>
        <w:gridCol w:w="60"/>
        <w:gridCol w:w="60"/>
        <w:gridCol w:w="126"/>
        <w:gridCol w:w="554"/>
        <w:gridCol w:w="80"/>
        <w:gridCol w:w="60"/>
        <w:gridCol w:w="135"/>
        <w:gridCol w:w="980"/>
        <w:gridCol w:w="80"/>
        <w:gridCol w:w="60"/>
        <w:gridCol w:w="125"/>
        <w:gridCol w:w="695"/>
        <w:gridCol w:w="95"/>
      </w:tblGrid>
      <w:tr>
        <w:trPr/>
        <w:tc>
          <w:tcPr>
            <w:tcW w:w="3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95" w:type="dxa"/>
            <w:tcBorders/>
            <w:shd w:fill="FFFFFF" w:val="clear"/>
            <w:vAlign w:val="center"/>
          </w:tcPr>
          <w:p>
            <w:pPr>
              <w:pStyle w:val="TableContents"/>
              <w:bidi w:val="0"/>
              <w:spacing w:before="0" w:after="283"/>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151,465,598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160,502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exercise of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3,304,468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(165,514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in respect of restricted stock granted to employees, directors and consultants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10,304</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(10,707</w:t>
            </w:r>
          </w:p>
        </w:tc>
        <w:tc>
          <w:tcPr>
            <w:tcW w:w="9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154,607,052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160,109</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exercise of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332,138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(92,593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in respect of restricted stock granted to employees, directors and consultants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10,445</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154,873,847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1,734,052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(1,556,405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177,568</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exercise of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1,038,407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92,301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in respect of restricted stock granted to employees, directors and consultants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3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3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155,910,901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1,746,909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(1,552,525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192,157</w:t>
            </w:r>
          </w:p>
        </w:tc>
        <w:tc>
          <w:tcPr>
            <w:tcW w:w="9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5"/>
        <w:gridCol w:w="60"/>
        <w:gridCol w:w="60"/>
        <w:gridCol w:w="1055"/>
        <w:gridCol w:w="80"/>
        <w:gridCol w:w="60"/>
        <w:gridCol w:w="184"/>
        <w:gridCol w:w="496"/>
        <w:gridCol w:w="60"/>
        <w:gridCol w:w="60"/>
        <w:gridCol w:w="125"/>
        <w:gridCol w:w="845"/>
        <w:gridCol w:w="80"/>
        <w:gridCol w:w="60"/>
        <w:gridCol w:w="60"/>
        <w:gridCol w:w="845"/>
        <w:gridCol w:w="60"/>
        <w:gridCol w:w="60"/>
        <w:gridCol w:w="125"/>
        <w:gridCol w:w="755"/>
        <w:gridCol w:w="80"/>
        <w:gridCol w:w="60"/>
        <w:gridCol w:w="135"/>
        <w:gridCol w:w="980"/>
        <w:gridCol w:w="80"/>
        <w:gridCol w:w="60"/>
        <w:gridCol w:w="125"/>
        <w:gridCol w:w="695"/>
        <w:gridCol w:w="95"/>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156,204,159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222,364</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2,547,179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in respect of restricted stock granted to employees, directors and consultants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15,967</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5,060</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158,736,286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(1,524,134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237,289</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exercise of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in respect of restricted stock granted to employees, directors and consultants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17,399</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28,187</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158,786,335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(1,495,947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276,432</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(78,242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in respect of restricted stock granted to employees, directors and consultants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18,133</w:t>
            </w:r>
          </w:p>
        </w:tc>
        <w:tc>
          <w:tcPr>
            <w:tcW w:w="9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390,895</w:t>
            </w:r>
          </w:p>
        </w:tc>
        <w:tc>
          <w:tcPr>
            <w:tcW w:w="9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158,754,176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3,543,643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(1,105,052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607,218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*Amount less than one thousand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10" w:name="cf"/>
      <w:bookmarkEnd w:id="10"/>
      <w:r>
        <w:rPr>
          <w:rFonts w:ascii="Times New Roman;Times;serif" w:hAnsi="Times New Roman;Times;serif"/>
          <w:b/>
          <w:sz w:val="20"/>
        </w:rPr>
        <w:t>TG Therapeutics,</w:t>
      </w:r>
      <w:r>
        <w:rPr>
          <w:rFonts w:ascii="Times New Roman;Times;serif" w:hAnsi="Times New Roman;Times;serif"/>
          <w:sz w:val="20"/>
        </w:rPr>
        <w:t> </w:t>
      </w:r>
      <w:r>
        <w:rPr>
          <w:rFonts w:ascii="Times New Roman;Times;serif" w:hAnsi="Times New Roman;Times;serif"/>
          <w:b/>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620" w:type="dxa"/>
        <w:jc w:val="left"/>
        <w:tblInd w:w="0" w:type="dxa"/>
        <w:tblLayout w:type="fixed"/>
        <w:tblCellMar>
          <w:top w:w="0" w:type="dxa"/>
          <w:left w:w="0" w:type="dxa"/>
          <w:bottom w:w="0" w:type="dxa"/>
          <w:right w:w="0" w:type="dxa"/>
        </w:tblCellMar>
      </w:tblPr>
      <w:tblGrid>
        <w:gridCol w:w="7565"/>
        <w:gridCol w:w="60"/>
        <w:gridCol w:w="125"/>
        <w:gridCol w:w="755"/>
        <w:gridCol w:w="80"/>
        <w:gridCol w:w="60"/>
        <w:gridCol w:w="125"/>
        <w:gridCol w:w="755"/>
        <w:gridCol w:w="95"/>
      </w:tblGrid>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424,142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30,593</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premium (discount) on investment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leasehold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95" w:type="dxa"/>
            <w:tcBorders/>
            <w:shd w:fill="FFFFFF" w:val="clear"/>
            <w:vAlign w:val="center"/>
          </w:tcPr>
          <w:p>
            <w:pPr>
              <w:pStyle w:val="TableContents"/>
              <w:bidi w:val="0"/>
              <w:spacing w:before="0" w:after="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(366,627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change in lease liability and right of use asset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equity investments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inventory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(42,031</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(23,047</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accounts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(136,199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(64,634</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accounts payable and accrued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53,870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60,850</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19,244</w:t>
            </w:r>
          </w:p>
        </w:tc>
        <w:tc>
          <w:tcPr>
            <w:tcW w:w="95" w:type="dxa"/>
            <w:tcBorders/>
            <w:shd w:fill="FFFFFF" w:val="clear"/>
            <w:vAlign w:val="center"/>
          </w:tcPr>
          <w:p>
            <w:pPr>
              <w:pStyle w:val="TableContents"/>
              <w:bidi w:val="0"/>
              <w:spacing w:before="0" w:after="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maturity of held-to-maturity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237,200</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held-to-maturity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(176,666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(252,625</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equity investments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9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loan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(107,553</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options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debt financings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244,815</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paid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(91,240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9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134,599</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102,899</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94,218</w:t>
            </w:r>
          </w:p>
        </w:tc>
        <w:tc>
          <w:tcPr>
            <w:tcW w:w="95" w:type="dxa"/>
            <w:tcBorders/>
            <w:shd w:fill="FFFFFF" w:val="clear"/>
            <w:vAlign w:val="center"/>
          </w:tcPr>
          <w:p>
            <w:pPr>
              <w:pStyle w:val="TableContents"/>
              <w:bidi w:val="0"/>
              <w:spacing w:before="0" w:after="0"/>
              <w:jc w:val="left"/>
              <w:rPr/>
            </w:pPr>
            <w:r>
              <w:rPr/>
              <w:t> </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197,117</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to amounts on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195,822</w:t>
            </w:r>
          </w:p>
        </w:tc>
        <w:tc>
          <w:tcPr>
            <w:tcW w:w="9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197,117</w:t>
            </w:r>
          </w:p>
        </w:tc>
        <w:tc>
          <w:tcPr>
            <w:tcW w:w="9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75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12,048</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requires otherwise, references in this report to </w:t>
      </w:r>
      <w:r>
        <w:rPr>
          <w:rFonts w:ascii="Times New Roman" w:hAnsi="Times New Roman"/>
          <w:caps w:val="false"/>
          <w:smallCaps w:val="false"/>
          <w:sz w:val="20"/>
        </w:rPr>
        <w:t>“</w:t>
      </w:r>
      <w:r>
        <w:rPr>
          <w:rFonts w:ascii="Times New Roman" w:hAnsi="Times New Roman"/>
          <w:i/>
          <w:caps w:val="false"/>
          <w:smallCaps w:val="false"/>
          <w:sz w:val="20"/>
        </w:rPr>
        <w:t>TG,</w:t>
      </w:r>
      <w:r>
        <w:rPr>
          <w:rFonts w:ascii="Times New Roman" w:hAnsi="Times New Roman"/>
          <w:caps w:val="false"/>
          <w:smallCaps w:val="false"/>
          <w:sz w:val="20"/>
        </w:rPr>
        <w:t xml:space="preserve">”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TG Therapeutics,</w:t>
      </w:r>
      <w:r>
        <w:rPr>
          <w:rFonts w:ascii="Times New Roman" w:hAnsi="Times New Roman"/>
          <w:caps w:val="false"/>
          <w:smallCaps w:val="false"/>
          <w:sz w:val="20"/>
        </w:rPr>
        <w:t> </w:t>
      </w:r>
      <w:r>
        <w:rPr>
          <w:rFonts w:ascii="Times New Roman" w:hAnsi="Times New Roman"/>
          <w:i/>
          <w:caps w:val="false"/>
          <w:smallCaps w:val="false"/>
          <w:sz w:val="20"/>
        </w:rPr>
        <w:t>Inc. and its subsidiaries.</w:t>
      </w:r>
    </w:p>
    <w:p>
      <w:pPr>
        <w:pStyle w:val="TextBody"/>
        <w:bidi w:val="0"/>
        <w:spacing w:before="0" w:after="283"/>
        <w:jc w:val="left"/>
        <w:rPr/>
      </w:pPr>
      <w:r>
        <w:rPr/>
        <w:t xml:space="preserve">  </w:t>
      </w:r>
    </w:p>
    <w:p>
      <w:pPr>
        <w:pStyle w:val="TextBody"/>
        <w:bidi w:val="0"/>
        <w:spacing w:before="0" w:after="0"/>
        <w:ind w:left="0" w:right="0" w:hanging="0"/>
        <w:jc w:val="both"/>
        <w:rPr/>
      </w:pPr>
      <w:bookmarkStart w:id="11" w:name="notes"/>
      <w:bookmarkEnd w:id="11"/>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 ORGANIZATION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fully-integrated, commercial stage, biopharmaceutical company focused on the acquisition, development and commercialization of novel treatments for B-cell diseases. In addition to a research pipeline of investigational medicines, TG has received approval from the FDA for BRIUMVI (ublituximab-xiiy) to treat adult patients with relapsing forms of multiple sclerosis (RMS), to include clinically isolated syndrome, relapsing-remitting disease, and active secondary progressive disease, in adults, as well as approval from several regulatory authorities outside of the U.S. to treat adult patients with RMS who have active disease defined by clinical or imaging features. The Company also actively evaluates complementary products, technologies and companies for in-licensing, partnership, acquisition and/or investment opportunities.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accompanying unaudited condensed consolidated financial statements were prepared in accordance with U.S. generally accepted accounting principles (GAAP), for interim financial information and with the instructions to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of the Exchange Act. Accordingly, they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accompanying condensed balance sheet as of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has been derived from these statements.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the entire fiscal year or any other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Although the Company has recently achieved profitability, the Company has incurred substantial operating losses since its inception. BRIUMVI was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commercially launched in the United States in </w:t>
      </w:r>
      <w:r>
        <w:rPr>
          <w:rStyle w:val="Emphasis"/>
          <w:rFonts w:ascii="Times New Roman" w:hAnsi="Times New Roman"/>
          <w:caps w:val="false"/>
          <w:smallCaps w:val="false"/>
          <w:sz w:val="20"/>
        </w:rPr>
        <w:t xml:space="preserve">January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ex-US through the Company's partner Neuraxpharm 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Despite the commercialization of BRIUMVI and the potential future commercialization of the Company's other drug candidates,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maintain profitability on an ongoing basis.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generated revenue of $423.7 million. Historically, the Company's operating losses have been driven primarily by expenses related to research and development programs and from selling, general and administrative costs associated with its operations and commercialization activities to date. The Company's future operating results and cash flows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fluctuate significantly from period to period, and the Company will need to generate substantial revenues to sustain profitability and positive cash flow over the long term.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Company's accumulated deficit was approximately $1.1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the Company had $178.3 million in cash and cash equivalents, and investment securities. The Company anticipates that its cash, cash equivalents, and investment securities, combined with projected future revenues will be sufficient to meet its liquidity needs for more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-months from the date of filing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The actual level of cash required for operations will depend on numerous factors, including, among others, the scope of commercialization activities for BRIUMVI, timing of collection of receivables from the Company's customers on extended payment terms, the timing and design of clinical trials for the Company's product candidates, and costs associated with licensing or acquiring new product candidates.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significant additional financing in the future to support its ongoing and planned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“TGTX.”</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significant accounting policies are described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Organization and Summary of Significant Accounting Policies to the audited consolidated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except as updated herein or as it relates to revenue recognition, accounts receivable, inventory, cost of revenue, equity securities, and the adoption of new accounting standards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any recently issued,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accounting pronouncements, if currently adopted, would have a material effect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Improvements to Income Tax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requires entities to provide additional information in their tax rate reconciliation and additional disclosures about income taxes paid by jurisdiction.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annual reporting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with early adoption permitted. The guidance should be applied prospectively, but entities have the option to apply it retrospectively for each period presented. The Company is currently evaluating the impact of adopting this new accounting guidance.</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to depict the transfer of promised goods or services to customers in an amount that reflects the consideration to which it expects to be entitled in exchange for those goods or services. To achieve this core principle,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includes provisions within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contract inception, the Company assesses the goods or services promised within each contract and assesses whether each promised good or service is distinct and determine those that are performance obligations. The Company then recognizes as revenue the amount of the transaction price that is allocated to the respective performance obligation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Product Revenue, Net:</w:t>
      </w:r>
      <w:r>
        <w:rPr>
          <w:rFonts w:ascii="Times New Roman" w:hAnsi="Times New Roman"/>
          <w:caps w:val="false"/>
          <w:smallCaps w:val="false"/>
          <w:sz w:val="20"/>
        </w:rPr>
        <w:t>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commercial payer rebates, trade discounts and allowances, product returns, and co-payment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that is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constraint and is included in net product revenues only to the extent that it is probable that a significant reversal in the amount of the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Actual amounts of consideration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ultimately differ from the Company’s estimates. If actual results vary, the Company adjusts these estimates, which could have an effect on earnings in the period of adjustment.</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Chargebacks</w:t>
      </w:r>
      <w:r>
        <w:rPr>
          <w:rFonts w:ascii="Times New Roman" w:hAnsi="Times New Roman"/>
          <w:caps w:val="false"/>
          <w:smallCaps w:val="false"/>
          <w:sz w:val="20"/>
        </w:rPr>
        <w:t>: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Government Rebates</w:t>
      </w:r>
      <w:r>
        <w:rPr>
          <w:rFonts w:ascii="Times New Roman" w:hAnsi="Times New Roman"/>
          <w:caps w:val="false"/>
          <w:smallCaps w:val="false"/>
          <w:sz w:val="20"/>
        </w:rPr>
        <w:t>: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Commercial Payer Rebates</w:t>
      </w:r>
      <w:r>
        <w:rPr>
          <w:rFonts w:ascii="Times New Roman" w:hAnsi="Times New Roman"/>
          <w:caps w:val="false"/>
          <w:smallCaps w:val="false"/>
          <w:sz w:val="20"/>
        </w:rPr>
        <w:t>: The Company contracts with various private payer organizations, primarily insurance companies and pharmacy benefit managers, for the payment of rebates with respect to utilization of its product and contracted formulary status. The Company estimates these rebates and records such estimates in the same period the related revenue is recognized, resulting in a reduction of product revenue and the establishment of a current liability.</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Trade Discounts and Allowances</w:t>
      </w:r>
      <w:r>
        <w:rPr>
          <w:rFonts w:ascii="Times New Roman" w:hAnsi="Times New Roman"/>
          <w:caps w:val="false"/>
          <w:smallCaps w:val="false"/>
          <w:sz w:val="20"/>
        </w:rPr>
        <w:t>: The Company provides its customers with discounts that are explicitly stated in the applicable contracts and are recorded in the period the related product revenue is recognized. In addition, the Company also receives sales order management, inventory management, and data services from its customers in exchange for certain fees.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u w:val="single"/>
        </w:rPr>
        <w:t>Product Returns</w:t>
      </w:r>
      <w:r>
        <w:rPr>
          <w:rFonts w:ascii="Times New Roman" w:hAnsi="Times New Roman"/>
          <w:caps w:val="false"/>
          <w:smallCaps w:val="false"/>
          <w:sz w:val="20"/>
        </w:rPr>
        <w:t xml:space="preserve">: Consistent with industry practice, the Company generally offers customers a limited right of return for product that has been purchased from the Company.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certain limitations, the Company’s return policy allows for eligible returns of commercial products sold for credit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receipt of damaged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shipment errors that were a result of an error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pPr>
      <w:r>
        <w:rPr>
          <w:caps w:val="false"/>
          <w:smallCaps w:val="false"/>
        </w:rPr>
        <w:t xml:space="preserve">● </w:t>
      </w:r>
      <w:r>
        <w:rPr>
          <w:rFonts w:ascii="Times New Roman" w:hAnsi="Times New Roman"/>
          <w:caps w:val="false"/>
          <w:smallCaps w:val="false"/>
          <w:sz w:val="20"/>
        </w:rPr>
        <w:t xml:space="preserve">expired product that is returned during the period beginning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prior to the product’s expiration and ending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after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product subject to a recall;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60"/>
        <w:jc w:val="both"/>
        <w:rPr>
          <w:caps w:val="false"/>
          <w:smallCaps w:val="false"/>
        </w:rPr>
      </w:pPr>
      <w:r>
        <w:rPr>
          <w:caps w:val="false"/>
          <w:smallCaps w:val="false"/>
        </w:rPr>
        <w:t xml:space="preserve">● </w:t>
      </w:r>
      <w:r>
        <w:rPr>
          <w:rFonts w:ascii="Times New Roman" w:hAnsi="Times New Roman"/>
          <w:caps w:val="false"/>
          <w:smallCaps w:val="false"/>
          <w:sz w:val="20"/>
        </w:rPr>
        <w:t>product that the Company, at its sole discretion, has specified can be returned for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date, the Company has experienced an immaterial amount of product returns related to sales of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Co-Payment Assistance Programs</w:t>
      </w:r>
      <w:r>
        <w:rPr>
          <w:rFonts w:ascii="Times New Roman" w:hAnsi="Times New Roman"/>
          <w:caps w:val="false"/>
          <w:smallCaps w:val="false"/>
          <w:sz w:val="20"/>
        </w:rPr>
        <w:t xml:space="preserve">: Co-payment assistance is provided to qualified patients with commercial insurance, whereby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financial assistance to patients with prescription drug co-payments required by the patient's insurance provider. Reserves for co-payment assistance are recorded in the same period the related revenue is recognized.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License Agreements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generates revenue from license or similar agreements with pharmaceutical companies for the development and commercialization of certain products. Such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the transfer of intellectual property rights in the form of licenses. Payments made by the customer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non-refundable upfront fees, payments based upon the achievement of defined milestones, and royalties on sales of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Licenses of intellectual property</w:t>
      </w:r>
      <w:r>
        <w:rPr>
          <w:rFonts w:ascii="Times New Roman" w:hAnsi="Times New Roman"/>
          <w:caps w:val="false"/>
          <w:smallCaps w:val="false"/>
          <w:sz w:val="20"/>
        </w:rPr>
        <w:t xml:space="preserve">: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they are combined with other promised goods or services to create a bundle of promised goods or services that is distinct.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Milestone payments</w:t>
      </w:r>
      <w:r>
        <w:rPr>
          <w:rFonts w:ascii="Times New Roman" w:hAnsi="Times New Roman"/>
          <w:caps w:val="false"/>
          <w:smallCaps w:val="false"/>
          <w:sz w:val="20"/>
        </w:rPr>
        <w:t xml:space="preserve">: Contingent milestones at contract inception are estimated at the amount which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of a material reversal and included in the transaction price using the most likely amount method.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control, such as regulatory approvals,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Sales-based royalties:</w:t>
      </w:r>
      <w:r>
        <w:rPr>
          <w:rFonts w:ascii="Times New Roman" w:hAnsi="Times New Roman"/>
          <w:caps w:val="false"/>
          <w:smallCaps w:val="false"/>
          <w:sz w:val="20"/>
        </w:rPr>
        <w:t xml:space="preserve">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Optional Purchases:</w:t>
      </w:r>
      <w:r>
        <w:rPr>
          <w:rFonts w:ascii="Times New Roman" w:hAnsi="Times New Roman"/>
          <w:caps w:val="false"/>
          <w:smallCaps w:val="false"/>
          <w:sz w:val="20"/>
        </w:rPr>
        <w:t xml:space="preserve"> The Company’s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Revenue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also generated from service-based fees recognized for providing regulatory support &amp; development services to customers. Service fee revenue is recognized overtime as the services are transferred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current liabilities. Deferred revenues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long-term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general, accounts receivable consists of amounts due from customers, net of customer allowances for cash discounts, product returns and chargebacks. The Company's standard payment terms on invoiced amounts are typically between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however extended payment terms have been offered during the BRIUMVI commercial launch. The extended payment terms the Company offers are meant to align with the timing of reimbursement by government and commercial payers. These extended payment terms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impacted the collectability of accounts receivable. In addition,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adjust accounts receivable for the effects of financing, as the expected time between transfer of the promised products and the payment of the associated consideration is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The Company analyzes accounts that are past due for collectability, and regularly evaluates the creditworthiness of its customers so that it can properly assess and respond to changes in their credit profiles.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determined an allowance for expected credit losses related to outstanding accounts receivable was currently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as they relate to large established credit worthy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Cost of revenue consists primarily of royalties owed to the Company's licensing partner for BRIUMVI sales,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manufacturing costs, distribution and overhead. Cost of revenue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include costs related to excess or obsolete inventory adjustment charges, abnormal costs, unabsorbed manufacturing and overhead costs, and manufacturing variances. All manufacturing costs incurred to produce BRIUMVI prior to the approval of BRIUMVI by the FDA were expensed to research and development and therefore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 cost of revenue. Therefore, a portion of costs incurred to produce BRIUMVI that was sold through the middle of the quarter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were previously expensed as research and development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 Company's cost of revenue. Costs related to providing regulatory support and development services to the Company's ex-US commercialization partner, Neuraxpharm, is included in the Company's cost of revenue.</w:t>
      </w:r>
    </w:p>
    <w:p>
      <w:pPr>
        <w:pStyle w:val="TextBody"/>
        <w:bidi w:val="0"/>
        <w:spacing w:before="0" w:after="0"/>
        <w:ind w:left="0" w:right="0" w:hanging="18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Inventories are stated at the lower of cost or estimated net realizable value with cost based on the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-out method (FIFO). The Company will classify inventory costs as long-term, in other assets in its consolidated balance sheets, when the Company expects to utilize the inventory beyond its normal operating cycle. Prior to regulatory approval, the Company expenses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 Prior to the approval of BRIUMVI, all manufacturing and other potential costs related to the commercial launch of BRIUMVI were expensed to research and development expense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equity securities consist of the common stock of Precision BioSciences, Inc. (Precision). Equity securities are recognized at their fair value in accordance with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Investments – Equity Securities. Forward contracts to purchase equity securities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as derivatives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are accounted for in accordance with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These forward contracts are recorded at fair value at the balance sheet date. See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 Fair Value Measures for further details.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Income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net income per share of the Company's common stock is calculated by dividing net income applicable to the common stock by the weighted-average number of shares of the Company's common stock outstanding for the period. Diluted net income per share of common stock reflects the effect of potential common shares from the assumed exercise or conversion of securities such as warrants, stock options, and restricted stock, to the extent they are dilutive. For all periods presented, the Company reported net income in the condensed consolidated statements of operations and, accordingly, present the dilutive effect of potential common shares in the computation of diluted earnings per share, as shown in the table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Company's potentially dilutive securities at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3065"/>
        <w:gridCol w:w="60"/>
        <w:gridCol w:w="60"/>
        <w:gridCol w:w="950"/>
        <w:gridCol w:w="60"/>
        <w:gridCol w:w="60"/>
        <w:gridCol w:w="60"/>
        <w:gridCol w:w="950"/>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Unvested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11,031,573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10,645,967</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4,362,316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4,631,966</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312,272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issuable upon note conversion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21,704</w:t>
            </w:r>
          </w:p>
        </w:tc>
        <w:tc>
          <w:tcPr>
            <w:tcW w:w="60" w:type="dxa"/>
            <w:tcBorders/>
            <w:shd w:fill="FFFFFF" w:val="clear"/>
            <w:vAlign w:val="center"/>
          </w:tcPr>
          <w:p>
            <w:pPr>
              <w:pStyle w:val="TableContents"/>
              <w:bidi w:val="0"/>
              <w:spacing w:before="0" w:after="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15,581,076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15,611,909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computation of basic and diluted EPS is as follows:</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5"/>
        <w:gridCol w:w="60"/>
        <w:gridCol w:w="60"/>
        <w:gridCol w:w="1055"/>
        <w:gridCol w:w="60"/>
        <w:gridCol w:w="60"/>
        <w:gridCol w:w="60"/>
        <w:gridCol w:w="1055"/>
        <w:gridCol w:w="60"/>
        <w:gridCol w:w="60"/>
        <w:gridCol w:w="60"/>
        <w:gridCol w:w="1055"/>
        <w:gridCol w:w="60"/>
        <w:gridCol w:w="60"/>
        <w:gridCol w:w="60"/>
        <w:gridCol w:w="1055"/>
        <w:gridCol w:w="60"/>
      </w:tblGrid>
      <w:tr>
        <w:trPr/>
        <w:tc>
          <w:tcPr>
            <w:tcW w:w="5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145,416,901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145,102,479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146,273,554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145,342,337</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potential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15,581,076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15,611,909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15,828,819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15,024,590</w:t>
            </w:r>
          </w:p>
        </w:tc>
        <w:tc>
          <w:tcPr>
            <w:tcW w:w="60" w:type="dxa"/>
            <w:tcBorders/>
            <w:shd w:fill="CCEE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assuming dilution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160,997,977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160,714,388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162,102,373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160,366,927</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0" w:type="dxa"/>
            <w:gridSpan w:val="6"/>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0" w:type="dxa"/>
            <w:gridSpan w:val="6"/>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60" w:type="dxa"/>
            <w:tcBorders/>
            <w:shd w:fill="FFFFFF" w:val="clear"/>
            <w:vAlign w:val="center"/>
          </w:tcPr>
          <w:p>
            <w:pPr>
              <w:pStyle w:val="TableContents"/>
              <w:bidi w:val="0"/>
              <w:spacing w:before="0" w:after="283"/>
              <w:jc w:val="left"/>
              <w:rPr/>
            </w:pPr>
            <w:r>
              <w:rPr/>
              <w:t> </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Operating segments are defined as components of an enterprise that engage in business activities from which it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recognize revenues and incur expenses, and for which discrete financial information is available that is evaluated regularly by the chief operating decision maker (CODM) to allocate resources and assess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operates as a single reportable segment, B-cell mediated disease therapy, which includes all activities related to the development and commercialization of novel treatments, including BRIUMVI, to address unmet medical needs and improve the lives of patients. The determination of a single reportable segment is consistent with the consolidated financial information regularly provided to the Company’s CODM, which is its chief executive officer, who reviews and evaluates consolidated net income for purposes of assessing performance, making operating decisions, allocating resources and planning and forecasting for future periods. The measure of segment assets is reported on the condensed consolidated balance sheet as total assets.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Organization and Summary of Significant Accounting Policies, revenues are recognized under guidance within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following table presents the Company's disaggregated revenue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9654" w:type="dxa"/>
        <w:jc w:val="left"/>
        <w:tblInd w:w="0" w:type="dxa"/>
        <w:tblLayout w:type="fixed"/>
        <w:tblCellMar>
          <w:top w:w="0" w:type="dxa"/>
          <w:left w:w="0" w:type="dxa"/>
          <w:bottom w:w="0" w:type="dxa"/>
          <w:right w:w="0" w:type="dxa"/>
        </w:tblCellMar>
      </w:tblPr>
      <w:tblGrid>
        <w:gridCol w:w="3710"/>
        <w:gridCol w:w="60"/>
        <w:gridCol w:w="219"/>
        <w:gridCol w:w="1217"/>
        <w:gridCol w:w="105"/>
        <w:gridCol w:w="105"/>
        <w:gridCol w:w="219"/>
        <w:gridCol w:w="1033"/>
        <w:gridCol w:w="60"/>
        <w:gridCol w:w="60"/>
        <w:gridCol w:w="199"/>
        <w:gridCol w:w="1109"/>
        <w:gridCol w:w="95"/>
        <w:gridCol w:w="95"/>
        <w:gridCol w:w="199"/>
        <w:gridCol w:w="1109"/>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2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159,317</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417,815</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206,381</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5,898</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14,438</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161,709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423,713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220,819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product revenue consists of U.S. sales of BRIUMVI, of $152.9 million and $411.4 million, respectively. Also included in product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are sales of BRIUMVI to the Company's ex-U.S. licensing partner, Neuraxpharm, of $6.4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gross-to-net accruals of approximately $16.7 million and $34.9 million are included on the condensed consolidated balance sheets within accounts receivable, net, and accounts payable and accrued expenses, respectively.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primarily sells BRIUMVI through specialty distributors. The following table summarizes the customers that represent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greater of gross product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146" w:type="dxa"/>
        <w:jc w:val="left"/>
        <w:tblInd w:w="0" w:type="dxa"/>
        <w:tblLayout w:type="fixed"/>
        <w:tblCellMar>
          <w:top w:w="0" w:type="dxa"/>
          <w:left w:w="0" w:type="dxa"/>
          <w:bottom w:w="0" w:type="dxa"/>
          <w:right w:w="0" w:type="dxa"/>
        </w:tblCellMar>
      </w:tblPr>
      <w:tblGrid>
        <w:gridCol w:w="950"/>
        <w:gridCol w:w="60"/>
        <w:gridCol w:w="208"/>
        <w:gridCol w:w="808"/>
        <w:gridCol w:w="648"/>
        <w:gridCol w:w="208"/>
        <w:gridCol w:w="208"/>
        <w:gridCol w:w="817"/>
        <w:gridCol w:w="185"/>
        <w:gridCol w:w="60"/>
        <w:gridCol w:w="202"/>
        <w:gridCol w:w="783"/>
        <w:gridCol w:w="628"/>
        <w:gridCol w:w="202"/>
        <w:gridCol w:w="202"/>
        <w:gridCol w:w="792"/>
        <w:gridCol w:w="185"/>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28"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24</w:t>
            </w:r>
          </w:p>
        </w:tc>
        <w:tc>
          <w:tcPr>
            <w:tcW w:w="6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27</w:t>
            </w:r>
          </w:p>
        </w:tc>
        <w:tc>
          <w:tcPr>
            <w:tcW w:w="6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3</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17</w:t>
            </w:r>
          </w:p>
        </w:tc>
        <w:tc>
          <w:tcPr>
            <w:tcW w:w="6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4</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12</w:t>
            </w:r>
          </w:p>
        </w:tc>
        <w:tc>
          <w:tcPr>
            <w:tcW w:w="6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customers with amounts due that represent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greater of the accounts receivable associated with the Company’s product sales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703" w:type="dxa"/>
        <w:jc w:val="left"/>
        <w:tblInd w:w="0" w:type="dxa"/>
        <w:tblLayout w:type="fixed"/>
        <w:tblCellMar>
          <w:top w:w="0" w:type="dxa"/>
          <w:left w:w="0" w:type="dxa"/>
          <w:bottom w:w="0" w:type="dxa"/>
          <w:right w:w="0" w:type="dxa"/>
        </w:tblCellMar>
      </w:tblPr>
      <w:tblGrid>
        <w:gridCol w:w="950"/>
        <w:gridCol w:w="60"/>
        <w:gridCol w:w="342"/>
        <w:gridCol w:w="1312"/>
        <w:gridCol w:w="185"/>
        <w:gridCol w:w="60"/>
        <w:gridCol w:w="331"/>
        <w:gridCol w:w="1278"/>
        <w:gridCol w:w="185"/>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3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12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3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2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3</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3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12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4</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3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2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License, Milestone, Royalty and Other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License, milestone, royalty and other revenue consist primarily of recognition of consideration received under the ex-U.S. commercialization agreement (the Commercialization Agreement) with Neuraxpharm. Refer to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 License Agreements for a description of the Commercialization Agreement and for further information of the accounting in accordance with ASC </w:t>
      </w:r>
      <w:r>
        <w:rPr>
          <w:rStyle w:val="Emphasis"/>
          <w:rFonts w:ascii="Times New Roman" w:hAnsi="Times New Roman"/>
          <w:caps w:val="false"/>
          <w:smallCaps w:val="false"/>
          <w:sz w:val="20"/>
        </w:rPr>
        <w:t>606.</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 INVESTMENT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short-term and long-term investment securities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are classified as held-to-maturity. Held-to-maturity investments are recorded at amortized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summarize the Company's short-term and long-term investment securities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27"/>
        <w:gridCol w:w="60"/>
        <w:gridCol w:w="133"/>
        <w:gridCol w:w="742"/>
        <w:gridCol w:w="60"/>
        <w:gridCol w:w="60"/>
        <w:gridCol w:w="275"/>
        <w:gridCol w:w="748"/>
        <w:gridCol w:w="60"/>
        <w:gridCol w:w="60"/>
        <w:gridCol w:w="336"/>
        <w:gridCol w:w="702"/>
        <w:gridCol w:w="60"/>
        <w:gridCol w:w="60"/>
        <w:gridCol w:w="131"/>
        <w:gridCol w:w="729"/>
        <w:gridCol w:w="62"/>
      </w:tblGrid>
      <w:tr>
        <w:trPr/>
        <w:tc>
          <w:tcPr>
            <w:tcW w:w="5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2" w:type="dxa"/>
            <w:tcBorders/>
            <w:shd w:fill="FFFFFF" w:val="clear"/>
            <w:vAlign w:val="center"/>
          </w:tcPr>
          <w:p>
            <w:pPr>
              <w:pStyle w:val="TableContents"/>
              <w:bidi w:val="0"/>
              <w:spacing w:before="0" w:after="283"/>
              <w:jc w:val="left"/>
              <w:rPr/>
            </w:pPr>
            <w:r>
              <w:rPr/>
              <w:t> </w:t>
            </w:r>
          </w:p>
        </w:tc>
      </w:tr>
      <w:tr>
        <w:trPr/>
        <w:tc>
          <w:tcPr>
            <w:tcW w:w="5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283"/>
              <w:jc w:val="left"/>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5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2" w:type="dxa"/>
            <w:tcBorders/>
            <w:shd w:fill="FFFFFF" w:val="clear"/>
            <w:vAlign w:val="center"/>
          </w:tcPr>
          <w:p>
            <w:pPr>
              <w:pStyle w:val="TableContents"/>
              <w:bidi w:val="0"/>
              <w:spacing w:before="0" w:after="283"/>
              <w:jc w:val="left"/>
              <w:rPr/>
            </w:pPr>
            <w:r>
              <w:rPr/>
              <w:t> </w:t>
            </w:r>
          </w:p>
        </w:tc>
      </w:tr>
      <w:tr>
        <w:trPr/>
        <w:tc>
          <w:tcPr>
            <w:tcW w:w="59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59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obligations of domestic governmental agencies (maturing between October 2025 and September 2026) (held-to-maturity)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57,543</w:t>
            </w:r>
          </w:p>
        </w:tc>
        <w:tc>
          <w:tcPr>
            <w:tcW w:w="62" w:type="dxa"/>
            <w:tcBorders/>
            <w:shd w:fill="CCEEFF" w:val="clear"/>
            <w:vAlign w:val="center"/>
          </w:tcPr>
          <w:p>
            <w:pPr>
              <w:pStyle w:val="TableContents"/>
              <w:bidi w:val="0"/>
              <w:spacing w:before="0" w:after="283"/>
              <w:jc w:val="left"/>
              <w:rPr/>
            </w:pPr>
            <w:r>
              <w:rPr/>
              <w:t> </w:t>
            </w:r>
          </w:p>
        </w:tc>
      </w:tr>
      <w:tr>
        <w:trPr/>
        <w:tc>
          <w:tcPr>
            <w:tcW w:w="59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obligations of domestic governmental agencies (maturing between October 2026 and May 2027) (held-to-maturity)</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46,905</w:t>
            </w:r>
          </w:p>
        </w:tc>
        <w:tc>
          <w:tcPr>
            <w:tcW w:w="62" w:type="dxa"/>
            <w:tcBorders/>
            <w:shd w:fill="FFFFFF" w:val="clear"/>
            <w:vAlign w:val="center"/>
          </w:tcPr>
          <w:p>
            <w:pPr>
              <w:pStyle w:val="TableContents"/>
              <w:bidi w:val="0"/>
              <w:spacing w:before="0" w:after="283"/>
              <w:jc w:val="left"/>
              <w:rPr/>
            </w:pPr>
            <w:r>
              <w:rPr/>
              <w:t> </w:t>
            </w:r>
          </w:p>
        </w:tc>
      </w:tr>
      <w:tr>
        <w:trPr/>
        <w:tc>
          <w:tcPr>
            <w:tcW w:w="592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and long-term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104,448</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25"/>
        <w:gridCol w:w="60"/>
        <w:gridCol w:w="133"/>
        <w:gridCol w:w="742"/>
        <w:gridCol w:w="60"/>
        <w:gridCol w:w="60"/>
        <w:gridCol w:w="358"/>
        <w:gridCol w:w="666"/>
        <w:gridCol w:w="60"/>
        <w:gridCol w:w="60"/>
        <w:gridCol w:w="336"/>
        <w:gridCol w:w="703"/>
        <w:gridCol w:w="60"/>
        <w:gridCol w:w="60"/>
        <w:gridCol w:w="131"/>
        <w:gridCol w:w="729"/>
        <w:gridCol w:w="62"/>
      </w:tblGrid>
      <w:tr>
        <w:trPr/>
        <w:tc>
          <w:tcPr>
            <w:tcW w:w="5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2" w:type="dxa"/>
            <w:tcBorders/>
            <w:shd w:fill="FFFFFF" w:val="clear"/>
            <w:vAlign w:val="center"/>
          </w:tcPr>
          <w:p>
            <w:pPr>
              <w:pStyle w:val="TableContents"/>
              <w:bidi w:val="0"/>
              <w:spacing w:before="0" w:after="283"/>
              <w:jc w:val="left"/>
              <w:rPr/>
            </w:pPr>
            <w:r>
              <w:rPr/>
              <w:t> </w:t>
            </w:r>
          </w:p>
        </w:tc>
      </w:tr>
      <w:tr>
        <w:trPr/>
        <w:tc>
          <w:tcPr>
            <w:tcW w:w="5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283"/>
              <w:jc w:val="left"/>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5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2" w:type="dxa"/>
            <w:tcBorders/>
            <w:shd w:fill="FFFFFF" w:val="clear"/>
            <w:vAlign w:val="center"/>
          </w:tcPr>
          <w:p>
            <w:pPr>
              <w:pStyle w:val="TableContents"/>
              <w:bidi w:val="0"/>
              <w:spacing w:before="0" w:after="283"/>
              <w:jc w:val="left"/>
              <w:rPr/>
            </w:pPr>
            <w:r>
              <w:rPr/>
              <w:t> </w:t>
            </w:r>
          </w:p>
        </w:tc>
      </w:tr>
      <w:tr>
        <w:trPr/>
        <w:tc>
          <w:tcPr>
            <w:tcW w:w="5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holding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59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Short-term obligations of domestic governmental agencies (maturing between January 2025 and December 2025) (held-to-maturity)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131,170</w:t>
            </w:r>
          </w:p>
        </w:tc>
        <w:tc>
          <w:tcPr>
            <w:tcW w:w="62" w:type="dxa"/>
            <w:tcBorders/>
            <w:shd w:fill="CCEEFF" w:val="clear"/>
            <w:vAlign w:val="center"/>
          </w:tcPr>
          <w:p>
            <w:pPr>
              <w:pStyle w:val="TableContents"/>
              <w:bidi w:val="0"/>
              <w:spacing w:before="0" w:after="283"/>
              <w:jc w:val="left"/>
              <w:rPr/>
            </w:pPr>
            <w:r>
              <w:rPr/>
              <w:t> </w:t>
            </w:r>
          </w:p>
        </w:tc>
      </w:tr>
      <w:tr>
        <w:trPr/>
        <w:tc>
          <w:tcPr>
            <w:tcW w:w="59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short-term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131,170</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 xml:space="preserve">Included in long-term investments on the condensed consolidated balance sheet, are equity securities as a result of the Precision License Agreement. See Note </w:t>
      </w:r>
      <w:r>
        <w:rPr>
          <w:rStyle w:val="Emphasis"/>
          <w:rFonts w:ascii="Times New Roman" w:hAnsi="Times New Roman"/>
          <w:sz w:val="20"/>
        </w:rPr>
        <w:t>5</w:t>
      </w:r>
      <w:r>
        <w:rPr>
          <w:rFonts w:ascii="Times New Roman" w:hAnsi="Times New Roman"/>
          <w:sz w:val="20"/>
        </w:rPr>
        <w:t xml:space="preserve"> - Fair Value Measurements for a description of the Precision License Agreement and for further information on the Company's equity investments.</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the Company's inventory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left"/>
        <w:rPr/>
      </w:pPr>
      <w:r>
        <w:rPr/>
        <w:t> </w:t>
      </w:r>
    </w:p>
    <w:tbl>
      <w:tblPr>
        <w:tblW w:w="4828" w:type="dxa"/>
        <w:jc w:val="left"/>
        <w:tblInd w:w="0" w:type="dxa"/>
        <w:tblLayout w:type="fixed"/>
        <w:tblCellMar>
          <w:top w:w="0" w:type="dxa"/>
          <w:left w:w="0" w:type="dxa"/>
          <w:bottom w:w="0" w:type="dxa"/>
          <w:right w:w="0" w:type="dxa"/>
        </w:tblCellMar>
      </w:tblPr>
      <w:tblGrid>
        <w:gridCol w:w="1325"/>
        <w:gridCol w:w="60"/>
        <w:gridCol w:w="251"/>
        <w:gridCol w:w="1403"/>
        <w:gridCol w:w="60"/>
        <w:gridCol w:w="60"/>
        <w:gridCol w:w="243"/>
        <w:gridCol w:w="1366"/>
        <w:gridCol w:w="60"/>
      </w:tblGrid>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sz w:val="20"/>
              </w:rPr>
            </w:pPr>
            <w:r>
              <w:rPr>
                <w:sz w:val="20"/>
              </w:rPr>
              <w:t>$</w:t>
            </w:r>
          </w:p>
        </w:tc>
        <w:tc>
          <w:tcPr>
            <w:tcW w:w="1403" w:type="dxa"/>
            <w:tcBorders/>
            <w:shd w:fill="CCEEFF" w:val="clear"/>
            <w:vAlign w:val="center"/>
          </w:tcPr>
          <w:p>
            <w:pPr>
              <w:pStyle w:val="TableContents"/>
              <w:bidi w:val="0"/>
              <w:spacing w:before="0" w:after="283"/>
              <w:ind w:left="0" w:right="0" w:hanging="0"/>
              <w:jc w:val="right"/>
              <w:rPr>
                <w:sz w:val="20"/>
              </w:rPr>
            </w:pPr>
            <w:r>
              <w:rPr>
                <w:sz w:val="20"/>
              </w:rPr>
              <w:t>4,059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sz w:val="20"/>
              </w:rPr>
            </w:pPr>
            <w:r>
              <w:rPr>
                <w:sz w:val="20"/>
              </w:rPr>
              <w:t>$</w:t>
            </w:r>
          </w:p>
        </w:tc>
        <w:tc>
          <w:tcPr>
            <w:tcW w:w="1366" w:type="dxa"/>
            <w:tcBorders/>
            <w:shd w:fill="CCEEFF" w:val="clear"/>
            <w:vAlign w:val="center"/>
          </w:tcPr>
          <w:p>
            <w:pPr>
              <w:pStyle w:val="TableContents"/>
              <w:bidi w:val="0"/>
              <w:spacing w:before="0" w:after="283"/>
              <w:ind w:left="0" w:right="0" w:hanging="0"/>
              <w:jc w:val="right"/>
              <w:rPr>
                <w:sz w:val="20"/>
              </w:rPr>
            </w:pPr>
            <w:r>
              <w:rPr>
                <w:sz w:val="20"/>
              </w:rPr>
              <w:t>28,151</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sz w:val="20"/>
              </w:rPr>
            </w:pPr>
            <w:r>
              <w:rPr>
                <w:sz w:val="20"/>
              </w:rPr>
              <w:t>121,806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sz w:val="20"/>
              </w:rPr>
            </w:pPr>
            <w:r>
              <w:rPr>
                <w:sz w:val="20"/>
              </w:rPr>
              <w:t>68,369</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21,088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13,938</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146,953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110,458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expense when consumed.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Company's inventory was solely related to BRIUMVI. The work in process materials consist primarily of bulk drug substance, which has a multi-year shelf life. When the bulk drug substance is manufactured into BRIUMVI finished goods, those finished goods have a shelf life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from the date of manufacture. The Company's expectation is to sell finished goods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prior to expiration. Due to the Company's long manufacturing lead time, it is necessary to build inventory levels to support BRIUMVI forecasted sales, to ensure appropriate safety stock levels, and meet the Company's commitment to supply BRIUMVI to Neuraxpharm related to the Commercialization Agreement. As a result of being in the early stages of the BRIUMVI product launch, the Company is continuing to evaluate the length of BRIUMVI's operating cycle.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a quarterly basis, the Company analyzes its inventory levels for excess quantities and obsolescence (expiration), taking into account factors such as historical and anticipated future sales compared to quantities on hand and the remaining shelf-life.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determined that a reserve related to BRIUMVI inventory for excess quantities and obsolescence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The Company has not recorded any inventory write downs for BRIUMVI.</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identified a potential manufacturing deviation affecting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batch of bulk drug substance. The Company is currently evaluating the impact of this deviation on product usability. In accordance with ASC </w:t>
      </w:r>
      <w:r>
        <w:rPr>
          <w:rStyle w:val="Emphasis"/>
          <w:rFonts w:ascii="Times New Roman" w:hAnsi="Times New Roman"/>
          <w:caps w:val="false"/>
          <w:smallCaps w:val="false"/>
          <w:sz w:val="20"/>
        </w:rPr>
        <w:t>450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management assesses potential losses when information becomes available indicating that it is reasonably possible or probable that a loss has been incurred and the amount of the loss can be reasonably estimated.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management has determined that a loss related to this matter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and the Company has not recorded an inventory reserve related to this matter, however the potential exposure has been estimated at approximately $6.0 million. The Company will continue to monitor the situation and will recognize a charge or reserve in a future period if and when it is determined that a loss related to this batch is both probable and reasonably estimable.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United States and other countries have recently imposed,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continue to impose, new tariffs. Tariffs are an inventoriable cost, and the Company's sole supplier of bulk drug substance is located outside of the U.S. While the tariffs imposed to date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resulted in a material impact on the Company's business and the results of operations, the Company continues to evaluate their impact on its business and results of operations.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measures certain financial assets and liabilities at fair value on a recurring basis in its condensed consolidated financial statements. The fair value hierarchy ranks the quality and reliability of inputs, or assumptions, used in the determination of fair value and requires financial assets and liabilities carried at fair value to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quoted prices in active markets for identical assets and liabilities;</w:t>
            </w:r>
          </w:p>
        </w:tc>
      </w:tr>
    </w:tbl>
    <w:tbl>
      <w:tblPr>
        <w:tblW w:w="7795" w:type="dxa"/>
        <w:jc w:val="left"/>
        <w:tblInd w:w="0" w:type="dxa"/>
        <w:tblLayout w:type="fixed"/>
        <w:tblCellMar>
          <w:top w:w="0" w:type="dxa"/>
          <w:left w:w="0" w:type="dxa"/>
          <w:bottom w:w="0" w:type="dxa"/>
          <w:right w:w="0" w:type="dxa"/>
        </w:tblCellMar>
      </w:tblPr>
      <w:tblGrid>
        <w:gridCol w:w="60"/>
        <w:gridCol w:w="170"/>
        <w:gridCol w:w="7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quoted prices that are directly or indirectly observable; and</w:t>
            </w:r>
          </w:p>
        </w:tc>
      </w:tr>
    </w:tbl>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unobservable inputs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corroborated by market data.</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Investments and Forward Contract Liabilities</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the Company and its wholly-owned subsidiary, TG Cell Therapy, Inc., (TG Cell) entered into a License Agreement (the Precision License Agreement) with Precision, pursuant to which Precision granted the Company certain exclusive and non-exclusive license rights to develop, manufacture, and commercialize Precision’s allogeneic CAR T therapy, azer-cel, for the treatment of autoimmune and other non-oncology diseases and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Upon execution of the Precision License Agreement, the Company made an upfront payment to Precision of $7.5 million, consisting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implemented a 30-to-</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reverse stock split in </w:t>
      </w:r>
      <w:r>
        <w:rPr>
          <w:rStyle w:val="Emphasis"/>
          <w:rFonts w:ascii="Times New Roman" w:hAnsi="Times New Roman"/>
          <w:caps w:val="false"/>
          <w:smallCaps w:val="false"/>
          <w:sz w:val="20"/>
        </w:rPr>
        <w:t>February 2024.</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7, 2025, </w:t>
      </w:r>
      <w:r>
        <w:rPr>
          <w:rFonts w:ascii="Times New Roman" w:hAnsi="Times New Roman"/>
          <w:caps w:val="false"/>
          <w:smallCaps w:val="false"/>
          <w:sz w:val="20"/>
        </w:rPr>
        <w:t xml:space="preserve">the Company made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payment to Precision equal to $2.5 million (the Deferred Precision Stock Payment), as an equity investment, for the purchase of 220,712 shares of Precision common stock calculated by dividing the Deferred Precision Stock Payment by 200% of the weighted average share price of the Precision common stock for the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(30) trading days preceding the payment date. The Deferred Precision Stock Payment which was classified as a forward contract liability in Other Current Liabilities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was then reclassed to equity investments at its fair market value of $1.4 million on the date the payment was made to Precision.</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All Precision shares held are recognized at fair market value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are classified as an equity investment and included within long-term investments on the condensed consolidated balance sheet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Precision License Agreement also includes a milestone payment upon the achievement of a clinical and regulatory milestone event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requires the Company to make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payment to Precision equal to $2.3 million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Precision Stock Payment). Upon receipt of the payment, Precision will issue to the Company shares of Precision common stock (rounded down to the nearest whole share) calculated by dividing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Precision Stock Payment by 200% of the weighted average share price of the Precision common stock for the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(30) trading days preceding the achievement of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While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achieved to date, it was recorded to research and development License Fees as part of the cost of executing the Precision License Agreement, and is classified as a forward contract liability recognized at its fair market value of $1.1 million in Other Current Liabilities on the Company’s condensed consolidated balance sheet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in accordance with ASC </w:t>
      </w:r>
      <w:r>
        <w:rPr>
          <w:rStyle w:val="Emphasis"/>
          <w:rFonts w:ascii="Times New Roman" w:hAnsi="Times New Roman"/>
          <w:caps w:val="false"/>
          <w:smallCaps w:val="false"/>
          <w:sz w:val="20"/>
        </w:rPr>
        <w:t>321.</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5%</w:t>
      </w:r>
      <w:r>
        <w:rPr>
          <w:rFonts w:ascii="Times New Roman;Times;serif" w:hAnsi="Times New Roman;Times;serif"/>
          <w:b/>
          <w:sz w:val="20"/>
        </w:rPr>
        <w:t xml:space="preserve"> Notes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At the time of the Company's merger (the Company was then known as Manhattan Pharmaceuticals, Inc. (Manhattan)) with Ariston Pharmaceuticals, Inc. (Ariston) in </w:t>
      </w:r>
      <w:r>
        <w:rPr>
          <w:rStyle w:val="Emphasis"/>
          <w:rFonts w:ascii="Times New Roman" w:hAnsi="Times New Roman"/>
          <w:caps w:val="false"/>
          <w:smallCaps w:val="false"/>
          <w:sz w:val="20"/>
        </w:rPr>
        <w:t>March 2010,</w:t>
      </w:r>
      <w:r>
        <w:rPr>
          <w:rFonts w:ascii="Times New Roman" w:hAnsi="Times New Roman"/>
          <w:caps w:val="false"/>
          <w:smallCaps w:val="false"/>
          <w:sz w:val="20"/>
        </w:rPr>
        <w:t xml:space="preserve"> Ariston issued $15.5 million of five-year 5% notes payable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in satisfaction of several note payable issuances.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and accrued and unpaid interest thereon are convertible at the option of the holder into common stock at the conversion price of $1,125 per share.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obligations under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aside from the conversion feature. The 5% Notes are recognized in other current liabilities on the Company’s consolidated balance sheet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financial instruments include cash, cash equivalents consisting of money market funds, accounts receivable, accounts payable and loan payable.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fair values of cash and cash equivalents, restricted cash, accounts receivable, and loan and interest payable approximate their carrying value. The carrying value of the loan payable on the Company’s balance sheet is estimated to approximate its fair value as the interest rate approximates the market rate for loans with similar terms and risk characteristics.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equity investments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were valued using their respective closing stock price on the Nasdaq Stock Market.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 any transfers of financial instruments between the fair value hierarchy levels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Company's forward contract liabilities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were valued using Precision’s closing stock price on the Nasdaq Stock Market and the Company's assessment of the probability of achieving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Company's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instrument amounts represent the fair value of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and related accrued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provide the fair value measurements of applicable financial assets and liabilities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160" w:right="0" w:firstLine="560"/>
        <w:jc w:val="both"/>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2315"/>
        <w:gridCol w:w="60"/>
        <w:gridCol w:w="270"/>
        <w:gridCol w:w="1049"/>
        <w:gridCol w:w="129"/>
        <w:gridCol w:w="129"/>
        <w:gridCol w:w="270"/>
        <w:gridCol w:w="1049"/>
        <w:gridCol w:w="129"/>
        <w:gridCol w:w="129"/>
        <w:gridCol w:w="270"/>
        <w:gridCol w:w="724"/>
        <w:gridCol w:w="129"/>
        <w:gridCol w:w="129"/>
        <w:gridCol w:w="270"/>
        <w:gridCol w:w="1049"/>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Financial assets and liabilities at fair value as of September 30, 2025</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1,756</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1,756</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Contract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FFFFFF" w:val="clear"/>
            <w:vAlign w:val="center"/>
          </w:tcPr>
          <w:p>
            <w:pPr>
              <w:pStyle w:val="TableContents"/>
              <w:bidi w:val="0"/>
              <w:spacing w:before="0" w:after="0"/>
              <w:ind w:left="0" w:right="0" w:hanging="0"/>
              <w:jc w:val="right"/>
              <w:rPr/>
            </w:pPr>
            <w:r>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129"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0"/>
              <w:ind w:left="0" w:right="0" w:hanging="0"/>
              <w:jc w:val="right"/>
              <w:rPr/>
            </w:pPr>
            <w:r>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Notes</w:t>
            </w:r>
          </w:p>
        </w:tc>
        <w:tc>
          <w:tcPr>
            <w:tcW w:w="60"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129"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60" w:type="dxa"/>
            <w:tcBorders/>
            <w:shd w:fill="CCEEFF" w:val="clear"/>
            <w:vAlign w:val="center"/>
          </w:tcPr>
          <w:p>
            <w:pPr>
              <w:pStyle w:val="TableContents"/>
              <w:bidi w:val="0"/>
              <w:spacing w:before="0" w:after="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17" w:type="dxa"/>
        <w:jc w:val="left"/>
        <w:tblInd w:w="0" w:type="dxa"/>
        <w:tblLayout w:type="fixed"/>
        <w:tblCellMar>
          <w:top w:w="0" w:type="dxa"/>
          <w:left w:w="0" w:type="dxa"/>
          <w:bottom w:w="0" w:type="dxa"/>
          <w:right w:w="0" w:type="dxa"/>
        </w:tblCellMar>
      </w:tblPr>
      <w:tblGrid>
        <w:gridCol w:w="2315"/>
        <w:gridCol w:w="60"/>
        <w:gridCol w:w="284"/>
        <w:gridCol w:w="762"/>
        <w:gridCol w:w="136"/>
        <w:gridCol w:w="136"/>
        <w:gridCol w:w="284"/>
        <w:gridCol w:w="1103"/>
        <w:gridCol w:w="136"/>
        <w:gridCol w:w="136"/>
        <w:gridCol w:w="284"/>
        <w:gridCol w:w="762"/>
        <w:gridCol w:w="136"/>
        <w:gridCol w:w="136"/>
        <w:gridCol w:w="284"/>
        <w:gridCol w:w="1103"/>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8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Financial assets and liabilities at fair value as of December 31, 2024</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371</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371</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371</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0"/>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FFFFFF" w:val="clear"/>
            <w:tcMar>
              <w:bottom w:w="28" w:type="dxa"/>
            </w:tcMar>
            <w:vAlign w:val="center"/>
          </w:tcPr>
          <w:p>
            <w:pPr>
              <w:pStyle w:val="TableContents"/>
              <w:bidi w:val="0"/>
              <w:spacing w:before="0" w:after="0"/>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Contract Liabilities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2"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3,129</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2"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3,129</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Notes</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change in the fair value of the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assets and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is reported in other (income) expense in the accompanying condensed consolidated statements of operations.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amended and restated certificate of incorporation authorizes the issuance of up to 10,000,000 shares of preferred stock, $0.001 par value, with rights senior to those of the Company's common stock, issuable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greater than the rights of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amended and restated certificate of incorporation authorizes the issuance of up to 190,000,000 shares of $0.001 par value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8, 2025, </w:t>
      </w:r>
      <w:r>
        <w:rPr>
          <w:rFonts w:ascii="Times New Roman" w:hAnsi="Times New Roman"/>
          <w:caps w:val="false"/>
          <w:smallCaps w:val="false"/>
          <w:sz w:val="20"/>
        </w:rPr>
        <w:t>the Company filed an automatic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WKSI Shelf) as a "well-known" issuer" (WKSI) as defined in Rule </w:t>
      </w:r>
      <w:r>
        <w:rPr>
          <w:rStyle w:val="Emphasis"/>
          <w:rFonts w:ascii="Times New Roman" w:hAnsi="Times New Roman"/>
          <w:caps w:val="false"/>
          <w:smallCaps w:val="false"/>
          <w:sz w:val="20"/>
        </w:rPr>
        <w:t>405</w:t>
      </w:r>
      <w:r>
        <w:rPr>
          <w:rFonts w:ascii="Times New Roman" w:hAnsi="Times New Roman"/>
          <w:caps w:val="false"/>
          <w:smallCaps w:val="false"/>
          <w:sz w:val="20"/>
        </w:rPr>
        <w:t xml:space="preserv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WKSI Shelf was declared effective upon filing and registers an unlimited amount of debt securities, equity securities, or other securities that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issue and sell from time to time.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WKSI Shelf is currently the Company's only active shelf registration statement. The at-the-market program established under the Company's prior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pursuant to the At-the-Market Issuance Sales Agreement, dated </w:t>
      </w:r>
      <w:r>
        <w:rPr>
          <w:rStyle w:val="Emphasis"/>
          <w:rFonts w:ascii="Times New Roman" w:hAnsi="Times New Roman"/>
          <w:caps w:val="false"/>
          <w:smallCaps w:val="false"/>
          <w:sz w:val="20"/>
        </w:rPr>
        <w:t xml:space="preserve">September 2, 2022, </w:t>
      </w:r>
      <w:r>
        <w:rPr>
          <w:rFonts w:ascii="Times New Roman" w:hAnsi="Times New Roman"/>
          <w:caps w:val="false"/>
          <w:smallCaps w:val="false"/>
          <w:sz w:val="20"/>
        </w:rPr>
        <w:t>with Cantor Fitzgerald &amp; Co. and B. Riley Securities, Inc. has expired.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offer and sell securities registered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WKSI Shelf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offerings, from time to time, depending on market conditions and its capital needs.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also file additional registration statements in the future to maintain financing flexibility in support of its operations.</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Share Repurchase Program and Treasury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the Company announced that its Board of Directors (the Board) had authorized and approved a share repurchase program (the Prior Share Repurchase Program) for up to $100 million of the currently outstanding shares of the Company’s common stock. 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Company announced the completion of the Prior Share Repurchase Program.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repurchased 2,782,545 shares of common stock at a cost of $78.2 million. From inception through completion, the Company repurchased a total of 3,502,334 shares at an average price of $28.55 per share.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no amount remained available for repurchases under the Prior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Board authorized and approved a new share repurchase program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for up to $100 million of the currently outstanding shares of the Company’s common stock.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the Company intends to repurchase shares through open market purchases, privately-negotiated transactions, or other methods in accordance with applicable federal securities laws, including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Exchange Act.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fixed expiration date,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or discontinued at any time,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 the Company to acquire any particular amount of its common stock. There were no purchases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3,543,643 shares of common stock are being held in Treasury, at a cost of approximately $100.2 million, representing the fair market value on the date the shares were surrendered to the Company, mainly as part of the Prior Share Repurchase Program.</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TG Therapeutics, Inc. Amended and Restated </w:t>
      </w:r>
      <w:r>
        <w:rPr>
          <w:rStyle w:val="Emphasis"/>
          <w:rFonts w:ascii="Times New Roman" w:hAnsi="Times New Roman"/>
          <w:caps w:val="false"/>
          <w:smallCaps w:val="false"/>
          <w:sz w:val="20"/>
        </w:rPr>
        <w:t>2012</w:t>
      </w:r>
      <w:r>
        <w:rPr>
          <w:rFonts w:ascii="Times New Roman" w:hAnsi="Times New Roman"/>
          <w:caps w:val="false"/>
          <w:smallCaps w:val="false"/>
          <w:sz w:val="20"/>
        </w:rPr>
        <w:t> Incentive Plan (the </w:t>
      </w:r>
      <w:r>
        <w:rPr>
          <w:rStyle w:val="Emphasis"/>
          <w:rFonts w:ascii="Times New Roman" w:hAnsi="Times New Roman"/>
          <w:caps w:val="false"/>
          <w:smallCaps w:val="false"/>
          <w:sz w:val="20"/>
        </w:rPr>
        <w:t>2012</w:t>
      </w:r>
      <w:r>
        <w:rPr>
          <w:rFonts w:ascii="Times New Roman" w:hAnsi="Times New Roman"/>
          <w:caps w:val="false"/>
          <w:smallCaps w:val="false"/>
          <w:sz w:val="20"/>
        </w:rPr>
        <w:t> Incentive Plan) was approved by stockholders in </w:t>
      </w:r>
      <w:r>
        <w:rPr>
          <w:rStyle w:val="Emphasis"/>
          <w:rFonts w:ascii="Times New Roman" w:hAnsi="Times New Roman"/>
          <w:caps w:val="false"/>
          <w:smallCaps w:val="false"/>
          <w:sz w:val="20"/>
        </w:rPr>
        <w:t xml:space="preserve"> June 2020.</w:t>
      </w:r>
      <w:r>
        <w:rPr>
          <w:rFonts w:ascii="Times New Roman" w:hAnsi="Times New Roman"/>
          <w:caps w:val="false"/>
          <w:smallCaps w:val="false"/>
          <w:sz w:val="20"/>
        </w:rPr>
        <w:t>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3,266,436 shares of restricted stock and 2,104,810 options were outstanding, and no additional shares were available to be issued under the </w:t>
      </w:r>
      <w:r>
        <w:rPr>
          <w:rStyle w:val="Emphasis"/>
          <w:rFonts w:ascii="Times New Roman" w:hAnsi="Times New Roman"/>
          <w:caps w:val="false"/>
          <w:smallCaps w:val="false"/>
          <w:sz w:val="20"/>
        </w:rPr>
        <w:t>2012</w:t>
      </w:r>
      <w:r>
        <w:rPr>
          <w:rFonts w:ascii="Times New Roman" w:hAnsi="Times New Roman"/>
          <w:caps w:val="false"/>
          <w:smallCaps w:val="false"/>
          <w:sz w:val="20"/>
        </w:rPr>
        <w:t>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TG Therapeutics, Inc. </w:t>
      </w:r>
      <w:r>
        <w:rPr>
          <w:rStyle w:val="Emphasis"/>
          <w:rFonts w:ascii="Times New Roman" w:hAnsi="Times New Roman"/>
          <w:caps w:val="false"/>
          <w:smallCaps w:val="false"/>
          <w:sz w:val="20"/>
        </w:rPr>
        <w:t>2022</w:t>
      </w:r>
      <w:r>
        <w:rPr>
          <w:rFonts w:ascii="Times New Roman" w:hAnsi="Times New Roman"/>
          <w:caps w:val="false"/>
          <w:smallCaps w:val="false"/>
          <w:sz w:val="20"/>
        </w:rPr>
        <w:t> Incentive Plan (the </w:t>
      </w:r>
      <w:r>
        <w:rPr>
          <w:rStyle w:val="Emphasis"/>
          <w:rFonts w:ascii="Times New Roman" w:hAnsi="Times New Roman"/>
          <w:caps w:val="false"/>
          <w:smallCaps w:val="false"/>
          <w:sz w:val="20"/>
        </w:rPr>
        <w:t>2022</w:t>
      </w:r>
      <w:r>
        <w:rPr>
          <w:rFonts w:ascii="Times New Roman" w:hAnsi="Times New Roman"/>
          <w:caps w:val="false"/>
          <w:smallCaps w:val="false"/>
          <w:sz w:val="20"/>
        </w:rPr>
        <w:t> Incentive Plan) was approved by stockholders in </w:t>
      </w:r>
      <w:r>
        <w:rPr>
          <w:rStyle w:val="Emphasis"/>
          <w:rFonts w:ascii="Times New Roman" w:hAnsi="Times New Roman"/>
          <w:caps w:val="false"/>
          <w:smallCaps w:val="false"/>
          <w:sz w:val="20"/>
        </w:rPr>
        <w:t xml:space="preserve"> June 2022 </w:t>
      </w:r>
      <w:r>
        <w:rPr>
          <w:rFonts w:ascii="Times New Roman" w:hAnsi="Times New Roman"/>
          <w:caps w:val="false"/>
          <w:smallCaps w:val="false"/>
          <w:sz w:val="20"/>
        </w:rPr>
        <w:t xml:space="preserve">with 17,000,000 shares available to be issued, which was amended to increase the shares available to be issued from 17,000,000 to 22,000,000 in </w:t>
      </w:r>
      <w:r>
        <w:rPr>
          <w:rStyle w:val="Emphasis"/>
          <w:rFonts w:ascii="Times New Roman" w:hAnsi="Times New Roman"/>
          <w:caps w:val="false"/>
          <w:smallCaps w:val="false"/>
          <w:sz w:val="20"/>
        </w:rPr>
        <w:t>June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Amendment).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9,265,168 shares of restricted stock and 2,257,500 options were outstanding, and up to an additional 6,599,742 shares were available to be issued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is currently the Company's only active incentive plan.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activity for restricted stock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firstLine="560"/>
        <w:jc w:val="both"/>
        <w:rPr>
          <w:caps w:val="false"/>
          <w:smallCaps w:val="false"/>
        </w:rPr>
      </w:pPr>
      <w:r>
        <w:rPr>
          <w:caps w:val="false"/>
          <w:smallCaps w:val="false"/>
        </w:rPr>
        <w:t> </w:t>
      </w:r>
    </w:p>
    <w:tbl>
      <w:tblPr>
        <w:tblW w:w="7133" w:type="dxa"/>
        <w:jc w:val="left"/>
        <w:tblInd w:w="0" w:type="dxa"/>
        <w:tblLayout w:type="fixed"/>
        <w:tblCellMar>
          <w:top w:w="0" w:type="dxa"/>
          <w:left w:w="0" w:type="dxa"/>
          <w:bottom w:w="0" w:type="dxa"/>
          <w:right w:w="0" w:type="dxa"/>
        </w:tblCellMar>
      </w:tblPr>
      <w:tblGrid>
        <w:gridCol w:w="4475"/>
        <w:gridCol w:w="60"/>
        <w:gridCol w:w="70"/>
        <w:gridCol w:w="1119"/>
        <w:gridCol w:w="80"/>
        <w:gridCol w:w="60"/>
        <w:gridCol w:w="70"/>
        <w:gridCol w:w="1119"/>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Restricted Stock</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Restricted stock awards outstanding, beginning of year</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sz w:val="20"/>
              </w:rPr>
            </w:pPr>
            <w:r>
              <w:rPr>
                <w:sz w:val="20"/>
              </w:rPr>
              <w:t>11,843,586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sz w:val="20"/>
              </w:rPr>
            </w:pPr>
            <w:r>
              <w:rPr>
                <w:sz w:val="20"/>
              </w:rPr>
              <w:t>9,639,068</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Changes during the year: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Granted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sz w:val="20"/>
              </w:rPr>
            </w:pPr>
            <w:r>
              <w:rPr>
                <w:sz w:val="20"/>
              </w:rPr>
              <w:t>2,734,646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sz w:val="20"/>
              </w:rPr>
            </w:pPr>
            <w:r>
              <w:rPr>
                <w:sz w:val="20"/>
              </w:rPr>
              <w:t>4,675,013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Vested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sz w:val="20"/>
              </w:rPr>
            </w:pPr>
            <w:r>
              <w:rPr>
                <w:sz w:val="20"/>
              </w:rPr>
              <w:t>(1,810,349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sz w:val="20"/>
              </w:rPr>
            </w:pPr>
            <w:r>
              <w:rPr>
                <w:sz w:val="20"/>
              </w:rPr>
              <w:t>(1,873,310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Expired or Forfeited</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(236,279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(294,773</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Restricted stock awards outstanding, end of period</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12,531,604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12,145,998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ind w:left="0" w:right="0" w:firstLine="740"/>
        <w:jc w:val="both"/>
        <w:rPr/>
      </w:pPr>
      <w:r>
        <w:rPr>
          <w:sz w:val="20"/>
        </w:rPr>
        <w:t xml:space="preserve">Total stock-based compensation expense related to restricted stock grants was $17.5 million and $11.3 million for the  </w:t>
      </w:r>
      <w:r>
        <w:rPr>
          <w:rStyle w:val="Emphasis"/>
          <w:sz w:val="20"/>
        </w:rPr>
        <w:t>three</w:t>
      </w:r>
      <w:r>
        <w:rPr>
          <w:sz w:val="20"/>
        </w:rPr>
        <w:t xml:space="preserve"> months ended </w:t>
      </w:r>
      <w:r>
        <w:rPr>
          <w:rStyle w:val="Emphasis"/>
          <w:sz w:val="20"/>
        </w:rPr>
        <w:t xml:space="preserve">September 30, 2025 </w:t>
      </w:r>
      <w:r>
        <w:rPr>
          <w:sz w:val="20"/>
        </w:rPr>
        <w:t xml:space="preserve">and 2024, respectively, net of $0.5 million and $0.9 million of expense capitalized into inventory during the respective periods. For the  </w:t>
      </w:r>
      <w:r>
        <w:rPr>
          <w:rStyle w:val="Emphasis"/>
          <w:sz w:val="20"/>
        </w:rPr>
        <w:t>nine</w:t>
      </w:r>
      <w:r>
        <w:rPr>
          <w:sz w:val="20"/>
        </w:rPr>
        <w:t xml:space="preserve"> months ended </w:t>
      </w:r>
      <w:r>
        <w:rPr>
          <w:rStyle w:val="Emphasis"/>
          <w:sz w:val="20"/>
        </w:rPr>
        <w:t xml:space="preserve">September 30, 2025 </w:t>
      </w:r>
      <w:r>
        <w:rPr>
          <w:sz w:val="20"/>
        </w:rPr>
        <w:t xml:space="preserve">and </w:t>
      </w:r>
      <w:r>
        <w:rPr>
          <w:rStyle w:val="Emphasis"/>
          <w:sz w:val="20"/>
        </w:rPr>
        <w:t>2024</w:t>
      </w:r>
      <w:r>
        <w:rPr>
          <w:sz w:val="20"/>
        </w:rPr>
        <w:t xml:space="preserve">, total stock-based compensation expense related to restricted stock grants was $48.0 million and $28.5 million, respectively, net of $2.5 million and $2.8 million of expense capitalized into inventory. </w:t>
      </w:r>
    </w:p>
    <w:p>
      <w:pPr>
        <w:pStyle w:val="TextBody"/>
        <w:bidi w:val="0"/>
        <w:spacing w:before="0" w:after="0"/>
        <w:ind w:left="0" w:right="0" w:firstLine="740"/>
        <w:jc w:val="both"/>
        <w:rPr/>
      </w:pPr>
      <w:r>
        <w:rPr/>
        <w:t xml:space="preserve">  </w:t>
      </w:r>
    </w:p>
    <w:p>
      <w:pPr>
        <w:pStyle w:val="TextBody"/>
        <w:bidi w:val="0"/>
        <w:spacing w:before="0" w:after="0"/>
        <w:ind w:left="0" w:right="0" w:firstLine="740"/>
        <w:jc w:val="both"/>
        <w:rPr/>
      </w:pPr>
      <w:r>
        <w:rPr>
          <w:sz w:val="20"/>
        </w:rPr>
        <w:t xml:space="preserve">As of </w:t>
      </w:r>
      <w:r>
        <w:rPr>
          <w:rStyle w:val="Emphasis"/>
          <w:sz w:val="20"/>
        </w:rPr>
        <w:t>September 30, 2025</w:t>
      </w:r>
      <w:r>
        <w:rPr>
          <w:sz w:val="20"/>
        </w:rPr>
        <w:t xml:space="preserve">, the Company had approximately $54.6 million of total unrecognized compensation expense related to unvested time-based restricted stock, expected to be recognized over a weighted-average period of  2.8 years. This amount excludes  975,000 shares of milestone-based restricted stock, which vest upon the achievement of specified corporate milestones, and  3,817,678 shares of restricted stock that vest based on market conditions. </w:t>
      </w:r>
    </w:p>
    <w:p>
      <w:pPr>
        <w:pStyle w:val="TextBody"/>
        <w:bidi w:val="0"/>
        <w:spacing w:before="0" w:after="0"/>
        <w:ind w:left="0" w:right="0" w:firstLine="740"/>
        <w:jc w:val="both"/>
        <w:rPr/>
      </w:pPr>
      <w:r>
        <w:rPr/>
        <w:t xml:space="preserve">  </w:t>
      </w:r>
    </w:p>
    <w:p>
      <w:pPr>
        <w:pStyle w:val="TextBody"/>
        <w:bidi w:val="0"/>
        <w:spacing w:before="0" w:after="0"/>
        <w:ind w:left="0" w:right="0" w:firstLine="740"/>
        <w:jc w:val="both"/>
        <w:rPr>
          <w:sz w:val="20"/>
        </w:rPr>
      </w:pPr>
      <w:r>
        <w:rPr>
          <w:sz w:val="20"/>
        </w:rPr>
        <w:t xml:space="preserve">Milestone-based noncash compensation expense will be recognized if and when achievement of the related milestone becomes probable. Awards with market conditions are valued using advanced option-pricing models, such as a Monte Carlo simulation, with the effect of the market condition reflected in the grant-date fair value. Compensation expense for awards with market conditions is recognized over the requisite service period derived from the grant-date valuation, regardless of whether the market condition is ultimately satisfied. </w:t>
      </w:r>
    </w:p>
    <w:p>
      <w:pPr>
        <w:pStyle w:val="TextBody"/>
        <w:bidi w:val="0"/>
        <w:spacing w:before="0" w:after="0"/>
        <w:ind w:left="0" w:right="0" w:firstLine="740"/>
        <w:jc w:val="both"/>
        <w:rPr/>
      </w:pPr>
      <w:r>
        <w:rPr/>
        <w:t xml:space="preserve">  </w:t>
      </w:r>
    </w:p>
    <w:p>
      <w:pPr>
        <w:pStyle w:val="TextBody"/>
        <w:bidi w:val="0"/>
        <w:ind w:left="0" w:right="0" w:firstLine="740"/>
        <w:jc w:val="both"/>
        <w:rPr/>
      </w:pPr>
      <w:r>
        <w:rPr>
          <w:sz w:val="20"/>
        </w:rPr>
        <w:t xml:space="preserve">As of  </w:t>
      </w:r>
      <w:r>
        <w:rPr>
          <w:rStyle w:val="Emphasis"/>
          <w:sz w:val="20"/>
        </w:rPr>
        <w:t>September 30, 2025</w:t>
      </w:r>
      <w:r>
        <w:rPr>
          <w:sz w:val="20"/>
        </w:rPr>
        <w:t xml:space="preserve">, the Company had approximately  $19.2 million of total unrecognized compensation expense related to unvested milestone-based restricted stock and approximately $42.5 million related to restricted stock with market conditions, which is expected to be recognized over a weighted-average period of  3.0 years.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activity for stock options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13" w:type="dxa"/>
        <w:jc w:val="left"/>
        <w:tblInd w:w="0" w:type="dxa"/>
        <w:tblLayout w:type="fixed"/>
        <w:tblCellMar>
          <w:top w:w="0" w:type="dxa"/>
          <w:left w:w="0" w:type="dxa"/>
          <w:bottom w:w="0" w:type="dxa"/>
          <w:right w:w="0" w:type="dxa"/>
        </w:tblCellMar>
      </w:tblPr>
      <w:tblGrid>
        <w:gridCol w:w="3695"/>
        <w:gridCol w:w="60"/>
        <w:gridCol w:w="79"/>
        <w:gridCol w:w="1140"/>
        <w:gridCol w:w="80"/>
        <w:gridCol w:w="60"/>
        <w:gridCol w:w="79"/>
        <w:gridCol w:w="1140"/>
        <w:gridCol w:w="80"/>
      </w:tblGrid>
      <w:tr>
        <w:trPr/>
        <w:tc>
          <w:tcPr>
            <w:tcW w:w="36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Options</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outstanding, beginning of year</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4,697,029</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during the year:</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 or Forfeited</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outstanding, end of period</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4,631,966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stock-based compensation expense associated with stock options was approximately $0.2 million and $0.5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and $1.0 million and $2.1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there was approximately $0.6 million of total unrecognized compensation cost related to unvested time-based stock options, which is expected to be recognized over a weighted-average period of 0.8 years.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stock options outstanding include options granted to both employees and non-employees which are both time-based and milestone-based. Stock-based compensation for milestone-based options will be recorded if and when a milestone becomes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had outstanding warrants issued to Hercules Capital, Inc. (Hercules) to purchase 115,042 and 50,172 shares of its common stock with exercise prices of $17.95 and $14.70, respectively. The warrants were issued in connection with the Company's prior loan agreement with Hercules, which has been repaid and terminated. These Warrants shall be exercisable for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years from their date of issuance, and will expire on </w:t>
      </w:r>
      <w:r>
        <w:rPr>
          <w:rStyle w:val="Emphasis"/>
          <w:rFonts w:ascii="Times New Roman" w:hAnsi="Times New Roman"/>
          <w:caps w:val="false"/>
          <w:smallCaps w:val="false"/>
          <w:sz w:val="20"/>
        </w:rPr>
        <w:t xml:space="preserve"> December 30, 2028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7</w:t>
      </w:r>
      <w:r>
        <w:rPr>
          <w:rFonts w:ascii="Times New Roman;Times;serif" w:hAnsi="Times New Roman;Times;serif"/>
          <w:b/>
          <w:sz w:val="20"/>
        </w:rPr>
        <w:t xml:space="preserve"> - LOAN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August 2024,</w:t>
      </w:r>
      <w:r>
        <w:rPr>
          <w:rFonts w:ascii="Times New Roman" w:hAnsi="Times New Roman"/>
          <w:caps w:val="false"/>
          <w:smallCaps w:val="false"/>
          <w:sz w:val="20"/>
        </w:rPr>
        <w:t xml:space="preserve"> the Company entered into a term loan facility of $250 million (the Initial Term Loan) with Blue Owl Capital Corporation, as administrative agent (the Administrative Agent), HealthCare Royalty and Blue Owl Capital under the Financing Agreement (as defined below).</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Initial Term Loan is governed by a financing agreement (the Financing Agreement), which provides for (i) a single draw of the Initial Term Loan, which was funded on </w:t>
      </w:r>
      <w:r>
        <w:rPr>
          <w:rStyle w:val="Emphasis"/>
          <w:rFonts w:ascii="Times New Roman" w:hAnsi="Times New Roman"/>
          <w:caps w:val="false"/>
          <w:smallCaps w:val="false"/>
          <w:sz w:val="20"/>
        </w:rPr>
        <w:t xml:space="preserve">August 2, 2024 </w:t>
      </w:r>
      <w:r>
        <w:rPr>
          <w:rFonts w:ascii="Times New Roman" w:hAnsi="Times New Roman"/>
          <w:caps w:val="false"/>
          <w:smallCaps w:val="false"/>
          <w:sz w:val="20"/>
        </w:rPr>
        <w:t>and (ii) an uncommitted additional facility in an aggregate principal amount of up to $100 million. The Initial Term Loan will mature on </w:t>
      </w:r>
      <w:r>
        <w:rPr>
          <w:rStyle w:val="Emphasis"/>
          <w:rFonts w:ascii="Times New Roman" w:hAnsi="Times New Roman"/>
          <w:caps w:val="false"/>
          <w:smallCaps w:val="false"/>
          <w:sz w:val="20"/>
        </w:rPr>
        <w:t xml:space="preserve"> August 2, 2029 (</w:t>
      </w:r>
      <w:r>
        <w:rPr>
          <w:rFonts w:ascii="Times New Roman" w:hAnsi="Times New Roman"/>
          <w:caps w:val="false"/>
          <w:smallCaps w:val="false"/>
          <w:sz w:val="20"/>
        </w:rPr>
        <w:t>the Term Loan Maturity Date). The Initial Term Loan accrues interest at a per annum rate of interest equal to an applicable margin plus, at the Company’s option, either (a) at a base rate determined by reference to the highest of (</w:t>
      </w:r>
      <w:r>
        <w:rPr>
          <w:rStyle w:val="Emphasis"/>
          <w:rFonts w:ascii="Times New Roman" w:hAnsi="Times New Roman"/>
          <w:caps w:val="false"/>
          <w:smallCaps w:val="false"/>
          <w:sz w:val="20"/>
        </w:rPr>
        <w:t>1</w:t>
      </w:r>
      <w:r>
        <w:rPr>
          <w:rFonts w:ascii="Times New Roman" w:hAnsi="Times New Roman"/>
          <w:caps w:val="false"/>
          <w:smallCaps w:val="false"/>
          <w:sz w:val="20"/>
        </w:rPr>
        <w:t>) the prime rate published by the Wall Street Journal, (</w:t>
      </w:r>
      <w:r>
        <w:rPr>
          <w:rStyle w:val="Emphasis"/>
          <w:rFonts w:ascii="Times New Roman" w:hAnsi="Times New Roman"/>
          <w:caps w:val="false"/>
          <w:smallCaps w:val="false"/>
          <w:sz w:val="20"/>
        </w:rPr>
        <w:t>2</w:t>
      </w:r>
      <w:r>
        <w:rPr>
          <w:rFonts w:ascii="Times New Roman" w:hAnsi="Times New Roman"/>
          <w:caps w:val="false"/>
          <w:smallCaps w:val="false"/>
          <w:sz w:val="20"/>
        </w:rPr>
        <w:t>) the federal funds effective rate plus 0.50% and (</w:t>
      </w:r>
      <w:r>
        <w:rPr>
          <w:rStyle w:val="Emphasis"/>
          <w:rFonts w:ascii="Times New Roman" w:hAnsi="Times New Roman"/>
          <w:caps w:val="false"/>
          <w:smallCaps w:val="false"/>
          <w:sz w:val="20"/>
        </w:rPr>
        <w:t>3</w:t>
      </w:r>
      <w:r>
        <w:rPr>
          <w:rFonts w:ascii="Times New Roman" w:hAnsi="Times New Roman"/>
          <w:caps w:val="false"/>
          <w:smallCaps w:val="false"/>
          <w:sz w:val="20"/>
        </w:rPr>
        <w:t>) Term SOFR, plus 1.00% or (b) Term SOFR, which, shall be </w:t>
      </w:r>
      <w:r>
        <w:rPr>
          <w:rStyle w:val="Emphasis"/>
          <w:rFonts w:ascii="Times New Roman" w:hAnsi="Times New Roman"/>
          <w:caps w:val="false"/>
          <w:smallCaps w:val="false"/>
          <w:sz w:val="20"/>
        </w:rPr>
        <w:t>no</w:t>
      </w:r>
      <w:r>
        <w:rPr>
          <w:rFonts w:ascii="Times New Roman" w:hAnsi="Times New Roman"/>
          <w:caps w:val="false"/>
          <w:smallCaps w:val="false"/>
          <w:sz w:val="20"/>
        </w:rPr>
        <w:t> less than 1.00%. The applicable margin for borrowings of the Initial Term Loan is determined on a quarterly basis by reference to a pricing grid based on the achievement of US Net Sales (as defined in the Financing Agreement) for the most recently completed </w:t>
      </w:r>
      <w:r>
        <w:rPr>
          <w:rStyle w:val="Emphasis"/>
          <w:rFonts w:ascii="Times New Roman" w:hAnsi="Times New Roman"/>
          <w:caps w:val="false"/>
          <w:smallCaps w:val="false"/>
          <w:sz w:val="20"/>
        </w:rPr>
        <w:t>four</w:t>
      </w:r>
      <w:r>
        <w:rPr>
          <w:rFonts w:ascii="Times New Roman" w:hAnsi="Times New Roman"/>
          <w:caps w:val="false"/>
          <w:smallCaps w:val="false"/>
          <w:sz w:val="20"/>
        </w:rPr>
        <w:t> consecutive fiscal quarters.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w:t>
      </w:r>
      <w:r>
        <w:rPr>
          <w:rStyle w:val="Emphasis"/>
          <w:rFonts w:ascii="Times New Roman" w:hAnsi="Times New Roman"/>
          <w:caps w:val="false"/>
          <w:smallCaps w:val="false"/>
          <w:sz w:val="20"/>
        </w:rPr>
        <w:t xml:space="preserve"> June 30, 2028, </w:t>
      </w:r>
      <w:r>
        <w:rPr>
          <w:rFonts w:ascii="Times New Roman" w:hAnsi="Times New Roman"/>
          <w:caps w:val="false"/>
          <w:smallCaps w:val="false"/>
          <w:sz w:val="20"/>
        </w:rPr>
        <w:t>in an amount equal to $12.5 million, with the balance due and payable on the Term Loan Maturity Date; provided that such amortization payments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deferred to the Term Loan Maturity Date upon the achievement of a Total Net Leverage Ratio (as defined in the Financing Agreement) that is less than or equal to an agreed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Initial Term Loan is secured by a lien on substantially all of the assets of the Company and certain subsidiaries of the Company as guarantors and contains customary covenants and representations. The events of default under the Financing Agreement are customary for financings of this type. If an event of default occurs, the Administrative Agent is entitled to take enforcement action, including acceleration of amounts due under the Financing Agreement. The Company capitalized </w:t>
      </w:r>
      <w:r>
        <w:rPr>
          <w:rStyle w:val="Emphasis"/>
          <w:rFonts w:ascii="Times New Roman" w:hAnsi="Times New Roman"/>
          <w:caps w:val="false"/>
          <w:smallCaps w:val="false"/>
          <w:sz w:val="20"/>
        </w:rPr>
        <w:t>third</w:t>
      </w:r>
      <w:r>
        <w:rPr>
          <w:rFonts w:ascii="Times New Roman" w:hAnsi="Times New Roman"/>
          <w:caps w:val="false"/>
          <w:smallCaps w:val="false"/>
          <w:sz w:val="20"/>
        </w:rPr>
        <w:t> party fees from the Initial Term Loan to debt issuance costs and capitalized the facility fee incurred with the Administrative Agent as part of the Initial Term Loan to debt discount.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The Company incurred total financing and upfront costs of $6.0 million related to the Initial Term Loan which are recorded as debt issuance costs and debt discount costs and as an offset to loan payable on the Company’s consolidated balance sheet. The debt issuance and debt discount costs are being amortized over the term of the debt using the straight-line method, which approximates the effective interest method, and will be included in interest expense in the Company’s consolidated statements of operations. Amortization of debt issuance and debt discount costs was $0.9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$5.3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which included a write off of remaining debt issuance balance under the prior loan agreement with Hercules.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remaining unamortized balance of debt issuance and discount costs was approximately $4.7 million.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loan payable balance of the Initial Term Loan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is as follows:</w:t>
      </w:r>
    </w:p>
    <w:p>
      <w:pPr>
        <w:pStyle w:val="TextBody"/>
        <w:bidi w:val="0"/>
        <w:spacing w:before="0" w:after="0"/>
        <w:ind w:left="0" w:right="0" w:firstLine="180"/>
        <w:jc w:val="left"/>
        <w:rPr/>
      </w:pPr>
      <w:r>
        <w:rPr/>
        <w:t> </w:t>
      </w:r>
    </w:p>
    <w:tbl>
      <w:tblPr>
        <w:tblW w:w="8603" w:type="dxa"/>
        <w:jc w:val="left"/>
        <w:tblInd w:w="0" w:type="dxa"/>
        <w:tblLayout w:type="fixed"/>
        <w:tblCellMar>
          <w:top w:w="0" w:type="dxa"/>
          <w:left w:w="0" w:type="dxa"/>
          <w:bottom w:w="0" w:type="dxa"/>
          <w:right w:w="0" w:type="dxa"/>
        </w:tblCellMar>
      </w:tblPr>
      <w:tblGrid>
        <w:gridCol w:w="4595"/>
        <w:gridCol w:w="60"/>
        <w:gridCol w:w="284"/>
        <w:gridCol w:w="1580"/>
        <w:gridCol w:w="80"/>
        <w:gridCol w:w="60"/>
        <w:gridCol w:w="284"/>
        <w:gridCol w:w="1580"/>
        <w:gridCol w:w="80"/>
      </w:tblGrid>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The Initial Term Loan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The Initial Term Loan</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Accreted Liability of final payment fee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and debt discount costs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244,429</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principal payments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 payable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244,429</w:t>
            </w:r>
          </w:p>
        </w:tc>
        <w:tc>
          <w:tcPr>
            <w:tcW w:w="8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2014, </w:t>
      </w:r>
      <w:r>
        <w:rPr>
          <w:rFonts w:ascii="Times New Roman" w:hAnsi="Times New Roman"/>
          <w:caps w:val="false"/>
          <w:smallCaps w:val="false"/>
          <w:sz w:val="20"/>
        </w:rPr>
        <w:t>the Company entered into an agreement (the Office Agreement) with Fortress Biotech, Inc. (FBIO) to occupy approximately 45% of the 24,000 square feet of New York City office space leased by FBIO. The Office Agreement requires the Company to pay its respective share of the average annual rent and other costs of the 15-year lease. The Company approximates an average annual rental obligation of $1.8 million under the Office Agreement. In connection with the Office Agreement, the Company has pledged $1.3 million to secure a line of credit as a security deposit for the Office Agreement, which has been recorded as restricted cash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the Company finalized a five-year lease for office space in North Carolina (the NC Lease). The Company approximates an average annual rental obligation of $0.2 million under the NC Lease. The Company incurred rental expense of less than $0.2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present values of the Company's lease liability and corresponding Right-of-Use (ROU) asset are $8.4 million and $6.5 million, respectively,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Company's leases have remaining lease terms of two to six years. One lease has a renewal option to extend the lease for an additional term of two years. The following components of lease expense are included in the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169" w:type="dxa"/>
        <w:jc w:val="left"/>
        <w:tblInd w:w="0" w:type="dxa"/>
        <w:tblLayout w:type="fixed"/>
        <w:tblCellMar>
          <w:top w:w="0" w:type="dxa"/>
          <w:left w:w="0" w:type="dxa"/>
          <w:bottom w:w="0" w:type="dxa"/>
          <w:right w:w="0" w:type="dxa"/>
        </w:tblCellMar>
      </w:tblPr>
      <w:tblGrid>
        <w:gridCol w:w="1655"/>
        <w:gridCol w:w="60"/>
        <w:gridCol w:w="202"/>
        <w:gridCol w:w="542"/>
        <w:gridCol w:w="97"/>
        <w:gridCol w:w="97"/>
        <w:gridCol w:w="202"/>
        <w:gridCol w:w="542"/>
        <w:gridCol w:w="60"/>
        <w:gridCol w:w="60"/>
        <w:gridCol w:w="148"/>
        <w:gridCol w:w="577"/>
        <w:gridCol w:w="71"/>
        <w:gridCol w:w="71"/>
        <w:gridCol w:w="148"/>
        <w:gridCol w:w="577"/>
        <w:gridCol w:w="60"/>
      </w:tblGrid>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6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weighted-average remaining operating lease term was 5.2 years and the weighted-average discount rate for operating leases was 10.08%. Cash paid for amounts included in the measurement of operating lease liabilities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was $1.6 million. The balance sheet classification of lease liabilities was as follows:</w:t>
      </w:r>
    </w:p>
    <w:p>
      <w:pPr>
        <w:pStyle w:val="TextBody"/>
        <w:bidi w:val="0"/>
        <w:spacing w:before="0" w:after="0"/>
        <w:ind w:left="0" w:right="0" w:hanging="0"/>
        <w:jc w:val="left"/>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2450"/>
        <w:gridCol w:w="60"/>
        <w:gridCol w:w="243"/>
        <w:gridCol w:w="946"/>
        <w:gridCol w:w="60"/>
        <w:gridCol w:w="60"/>
        <w:gridCol w:w="234"/>
        <w:gridCol w:w="910"/>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 non-current</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8,133</w:t>
            </w:r>
          </w:p>
        </w:tc>
        <w:tc>
          <w:tcPr>
            <w:tcW w:w="60" w:type="dxa"/>
            <w:tcBorders/>
            <w:shd w:fill="CCEEFF" w:val="clear"/>
            <w:vAlign w:val="center"/>
          </w:tcPr>
          <w:p>
            <w:pPr>
              <w:pStyle w:val="TableContents"/>
              <w:bidi w:val="0"/>
              <w:spacing w:before="0" w:after="0"/>
              <w:jc w:val="left"/>
              <w:rPr/>
            </w:pPr>
            <w:r>
              <w:rPr/>
              <w:t> </w:t>
            </w:r>
          </w:p>
        </w:tc>
      </w:tr>
      <w:tr>
        <w:trPr/>
        <w:tc>
          <w:tcPr>
            <w:tcW w:w="24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maturities of lease liabilities were as follows:</w:t>
      </w:r>
    </w:p>
    <w:p>
      <w:pPr>
        <w:pStyle w:val="TextBody"/>
        <w:bidi w:val="0"/>
        <w:spacing w:before="0" w:after="0"/>
        <w:ind w:left="0" w:right="0" w:firstLine="560"/>
        <w:jc w:val="left"/>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2810"/>
        <w:gridCol w:w="60"/>
        <w:gridCol w:w="150"/>
        <w:gridCol w:w="710"/>
        <w:gridCol w:w="8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Remainder of 2025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519</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2,080</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1,913</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1,827</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After 2030</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2,889</w:t>
            </w:r>
          </w:p>
        </w:tc>
        <w:tc>
          <w:tcPr>
            <w:tcW w:w="80" w:type="dxa"/>
            <w:tcBorders/>
            <w:shd w:fill="FFFFFF" w:val="clear"/>
            <w:vAlign w:val="center"/>
          </w:tcPr>
          <w:p>
            <w:pPr>
              <w:pStyle w:val="TableContents"/>
              <w:bidi w:val="0"/>
              <w:spacing w:before="0" w:after="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11,055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(2,679</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5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As the Company's leases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provide an implicit rate, the Company uses its incremental borrowing rate based on the information available at commencement date and considering the term of the lease to determine the present value of lease payments. The Company used the incremental borrowing rate of 10.25% on </w:t>
            </w:r>
            <w:r>
              <w:rPr>
                <w:rStyle w:val="Emphasis"/>
                <w:rFonts w:ascii="Times New Roman;Times;serif" w:hAnsi="Times New Roman;Times;serif"/>
                <w:caps w:val="false"/>
                <w:smallCaps w:val="false"/>
                <w:sz w:val="20"/>
              </w:rPr>
              <w:t>February 28,</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2019,</w:t>
            </w:r>
            <w:r>
              <w:rPr>
                <w:rFonts w:ascii="Times New Roman;Times;serif" w:hAnsi="Times New Roman;Times;serif"/>
                <w:caps w:val="false"/>
                <w:smallCaps w:val="false"/>
                <w:sz w:val="20"/>
              </w:rPr>
              <w:t xml:space="preserve"> for operating leases that commenced prior to that date through </w:t>
            </w:r>
            <w:r>
              <w:rPr>
                <w:rStyle w:val="Emphasis"/>
                <w:rFonts w:ascii="Times New Roman;Times;serif" w:hAnsi="Times New Roman;Times;serif"/>
                <w:caps w:val="false"/>
                <w:smallCaps w:val="false"/>
                <w:sz w:val="20"/>
              </w:rPr>
              <w:t xml:space="preserve">December 31, 2021. </w:t>
            </w:r>
            <w:r>
              <w:rPr>
                <w:rFonts w:ascii="Times New Roman;Times;serif" w:hAnsi="Times New Roman;Times;serif"/>
                <w:caps w:val="false"/>
                <w:smallCaps w:val="false"/>
                <w:sz w:val="20"/>
              </w:rPr>
              <w:t>The Company used an incremental borrowing rate of 5.65% for the NC lease.</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xml:space="preserve"> -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BRIUMVI (Ublituximab)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2012, </w:t>
      </w:r>
      <w:r>
        <w:rPr>
          <w:rFonts w:ascii="Times New Roman" w:hAnsi="Times New Roman"/>
          <w:caps w:val="false"/>
          <w:smallCaps w:val="false"/>
          <w:sz w:val="20"/>
        </w:rPr>
        <w:t>the Company entered into an exclusive license agreement with LFB Biotechnologies, GTC Biotherapeutics and LFB/GTC LLC, all wholly-owned subsidiaries of LFB Group, relating to the development of ublituximab (the LFB License Agreement). Under the terms of the LFB License Agreement, the Company has acquired the exclusive worldwide rights (exclusive of France/Belgium) for the development and commercialization of ublituximab. From the inception of the LFB License Agreement, the Company has incurred expenses of approximately $31.0 million related to the achievement of certain milestones of the LFB License Agreement. No further milestone payments remain payable under the LFB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LFB Group is eligible to receive royalty payments on net sales of ublituximab at a royalty rate that escalates from mid-single digits to high-single digits. The license will terminate on a country-by-country basis upon the expiration of the last licensed patent right or fifteen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recorded $15.8 million and $42.1 million, respectively, related to the worldwide royalty due under the LFB License Agreement in cost of revenue.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$15.8 million in royalties payable under the LFB License Agreement remain outstanding in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2012, </w:t>
      </w:r>
      <w:r>
        <w:rPr>
          <w:rFonts w:ascii="Times New Roman" w:hAnsi="Times New Roman"/>
          <w:caps w:val="false"/>
          <w:smallCaps w:val="false"/>
          <w:sz w:val="20"/>
        </w:rPr>
        <w:t>the Company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An upfront payment of $2.0 million, which was received in </w:t>
      </w:r>
      <w:r>
        <w:rPr>
          <w:rStyle w:val="Emphasis"/>
          <w:rFonts w:ascii="Times New Roman" w:hAnsi="Times New Roman"/>
          <w:caps w:val="false"/>
          <w:smallCaps w:val="false"/>
          <w:sz w:val="20"/>
        </w:rPr>
        <w:t xml:space="preserve">December 2012, </w:t>
      </w:r>
      <w:r>
        <w:rPr>
          <w:rFonts w:ascii="Times New Roman" w:hAnsi="Times New Roman"/>
          <w:caps w:val="false"/>
          <w:smallCaps w:val="false"/>
          <w:sz w:val="20"/>
        </w:rPr>
        <w:t xml:space="preserve">net of $0.3 million of income tax withholdings, is being recognized as license revenue on a straight-line basis over the life of the agreement, which is through the expiration of the last licensed patent right or fifteen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a product in such country, unless the agreement is earlier terminated, and represents the estimated period over which the Company will have certain ongoing responsibilities under the sublicense agreement. The Company recorded license revenue of approximately $38,000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Company has deferred revenue of approximately less than $0.1 million and $0.2 million, respectively, associated with this $2.0 million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receive up to an additional $5.0 million in payments upon the achievement of pre-specified milestones. In addition, upon commercialization, Ildong will make royalty payments to the Company on net sales of ublituximab in the sublicense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Neuraxpharm Commercialization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2023, </w:t>
      </w:r>
      <w:r>
        <w:rPr>
          <w:rFonts w:ascii="Times New Roman" w:hAnsi="Times New Roman"/>
          <w:caps w:val="false"/>
          <w:smallCaps w:val="false"/>
          <w:sz w:val="20"/>
        </w:rPr>
        <w:t xml:space="preserve">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w:t>
      </w:r>
      <w:r>
        <w:rPr>
          <w:rStyle w:val="Emphasis"/>
          <w:rFonts w:ascii="Times New Roman" w:hAnsi="Times New Roman"/>
          <w:caps w:val="false"/>
          <w:smallCaps w:val="false"/>
          <w:sz w:val="20"/>
        </w:rPr>
        <w:t>one</w:t>
      </w:r>
      <w:r>
        <w:rPr>
          <w:rFonts w:ascii="Times New Roman" w:hAnsi="Times New Roman"/>
          <w:caps w:val="false"/>
          <w:smallCaps w:val="false"/>
          <w:sz w:val="20"/>
        </w:rPr>
        <w:t>-time, non-refundable payment of $140.0 million upon contract execution and a $12.5 million milestone payment upon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key market commercial launch in the EU. The Company is eligible to receive up to an additional $492.5 million in milestone-based payments on achievement of certain launch and commercial milestones. In addition, the Company will receive tiered double-digit royalties on net product sales up to 30%.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royalty revenue of $1.5 million and $3.2 million, respectively, was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evaluated the Commercialization Agreement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(Development and Regulatory Activities).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 The performance obligation related to the Supply of Licensed Product is met when control of the product passes to Neuraxpharm. The consideration received from Neuraxpharm for the supply of BRIUMVI will be recognized by the Company as a component of product revenue, net.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has an unconditional right to receive $1.3 million in consideration from Neuraxpharm related to the performance obligation to supply BRIUMVI, that is recorded as accounts receivable, net. The related performance obligation to supply BRIUMVI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satisfied, and therefore,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$34.7 million has been recorded as deferred revenue. The Company will reevaluate the consideration received, and performance obligations satisfied, at the end of each reporting period. Such reevaluations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 change to the amount of product revenue, net, recognized and deferred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Azer-cel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2024,</w:t>
      </w:r>
      <w:r>
        <w:rPr>
          <w:rFonts w:ascii="Times New Roman" w:hAnsi="Times New Roman"/>
          <w:caps w:val="false"/>
          <w:smallCaps w:val="false"/>
          <w:sz w:val="20"/>
        </w:rPr>
        <w:t xml:space="preserve">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Precision License Agreement, the Company made an upfront payment to Precision of $7.5 million, consisting of (i) $5.25 million in cash and (ii) $2.25 million, as an equity investment, for the purchase of 2,920,816 shares of Precision’s common stock.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Company made a deferred payment of $2.5 million to Precision consisting of an equity investment in Precision’s common stock at a 100% premium to the 30-day volume-weighted average price (the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VWAP) prior to purchase. Upon achievement of certain near-term clinical or time-based milestones, the Company will make a $7.5 million payment to Precision, a portion of which will also be an equity investment in Precision’s common stock at a 100% premium to the 30-day VWAP prior to purchase. 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the licensed product in such country.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near-term clinical milestones have been achieved.</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MaxCyte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10, 2025, </w:t>
      </w:r>
      <w:r>
        <w:rPr>
          <w:rFonts w:ascii="Times New Roman" w:hAnsi="Times New Roman"/>
          <w:caps w:val="false"/>
          <w:smallCaps w:val="false"/>
          <w:sz w:val="20"/>
        </w:rPr>
        <w:t xml:space="preserve">the Company entered into the Strategic Platform License Agreement with MaxCyte, Inc (MaxCyte). which granted a non-exclusive, non-transferable license for the Company to use MaxCyte’s cell loading technology (licensed technology) to develop and commercialize products for the treatment of autoimmune and other non-oncology diseases and conditions, including azer-cel, which was licensed by the Company from Precision in </w:t>
      </w:r>
      <w:r>
        <w:rPr>
          <w:rStyle w:val="Emphasis"/>
          <w:rFonts w:ascii="Times New Roman" w:hAnsi="Times New Roman"/>
          <w:caps w:val="false"/>
          <w:smallCaps w:val="false"/>
          <w:sz w:val="20"/>
        </w:rPr>
        <w:t>January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MaxCyte is eligible to receive royalty payments on net sales of approved products developed with the licensed technology at a royalty rate in the low-single digits. Upon the achievement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dosing of a human subject in a pivotal trial for a product developed with the licensed technology the Company will make a $1.0 million payment to MaxCyte. MaxCyte will also be eligible to receive up to $13.0 million in additional milestone payments based on the achievement of certain regulatory marketing approvals. The Company is also required to pay an annual licensing fee of approximately $0.2 million for access to the licensed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Strategic Platform License Agreement will expire on the ten-year anniversary if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achieved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milestone events prior to that date. The Company will have the option, at its sole discretion, to extend the term of the Strategic Platform License Agreement beyond the initial ten years for successive renewal terms of five years each, as long as all applicable licensing fees and milestone payments have been paid timely and the Company provides MaxCyte at least ninety days written notice prior to the expiration of the then-current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TG-</w:t>
      </w:r>
      <w:r>
        <w:rPr>
          <w:rStyle w:val="Emphasis"/>
          <w:rFonts w:ascii="Times New Roman" w:hAnsi="Times New Roman"/>
          <w:b/>
          <w:i/>
          <w:caps w:val="false"/>
          <w:smallCaps w:val="false"/>
          <w:sz w:val="20"/>
        </w:rPr>
        <w:t>1701:</w:t>
      </w:r>
      <w:r>
        <w:rPr>
          <w:rFonts w:ascii="Times New Roman" w:hAnsi="Times New Roman"/>
          <w:b/>
          <w:i/>
          <w:caps w:val="false"/>
          <w:smallCaps w:val="false"/>
          <w:sz w:val="20"/>
        </w:rPr>
        <w:t xml:space="preserve"> BTK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2018,</w:t>
      </w:r>
      <w:r>
        <w:rPr>
          <w:rFonts w:ascii="Times New Roman" w:hAnsi="Times New Roman"/>
          <w:caps w:val="false"/>
          <w:smallCaps w:val="false"/>
          <w:sz w:val="20"/>
        </w:rPr>
        <w:t xml:space="preserve"> the Company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TG-</w:t>
      </w:r>
      <w:r>
        <w:rPr>
          <w:rStyle w:val="Emphasis"/>
          <w:rFonts w:ascii="Times New Roman" w:hAnsi="Times New Roman"/>
          <w:caps w:val="false"/>
          <w:smallCaps w:val="false"/>
          <w:sz w:val="20"/>
        </w:rPr>
        <w:t>1701.</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the Company and Jiangsu mutually agreed to terminate its license agreement covering TG-</w:t>
      </w:r>
      <w:r>
        <w:rPr>
          <w:rStyle w:val="Emphasis"/>
          <w:rFonts w:ascii="Times New Roman" w:hAnsi="Times New Roman"/>
          <w:caps w:val="false"/>
          <w:smallCaps w:val="false"/>
          <w:sz w:val="20"/>
        </w:rPr>
        <w:t>1701.</w:t>
      </w:r>
      <w:r>
        <w:rPr>
          <w:rFonts w:ascii="Times New Roman" w:hAnsi="Times New Roman"/>
          <w:caps w:val="false"/>
          <w:smallCaps w:val="false"/>
          <w:sz w:val="20"/>
        </w:rPr>
        <w:t xml:space="preserve"> As a result, all rights to the program have reverted to Jiangsu, and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obligations for milestone or royalty payments.</w:t>
      </w:r>
    </w:p>
    <w:p>
      <w:pPr>
        <w:pStyle w:val="TextBody"/>
        <w:bidi w:val="0"/>
        <w:spacing w:before="0" w:after="0"/>
        <w:ind w:left="0" w:right="0" w:hanging="0"/>
        <w:jc w:val="left"/>
        <w:rPr/>
      </w:pPr>
      <w:r>
        <w:rPr/>
        <w:t> </w:t>
      </w:r>
    </w:p>
    <w:p>
      <w:pPr>
        <w:pStyle w:val="TextBody"/>
        <w:bidi w:val="0"/>
        <w:spacing w:before="0" w:after="0"/>
        <w:ind w:left="160" w:right="0" w:hanging="180"/>
        <w:jc w:val="both"/>
        <w:rPr/>
      </w:pPr>
      <w:r>
        <w:rPr>
          <w:rFonts w:ascii="Times New Roman" w:hAnsi="Times New Roman"/>
          <w:b/>
          <w:i/>
          <w:caps w:val="false"/>
          <w:smallCaps w:val="false"/>
          <w:sz w:val="20"/>
        </w:rPr>
        <w:t>TG-</w:t>
      </w:r>
      <w:r>
        <w:rPr>
          <w:rStyle w:val="Emphasis"/>
          <w:rFonts w:ascii="Times New Roman" w:hAnsi="Times New Roman"/>
          <w:b/>
          <w:i/>
          <w:caps w:val="false"/>
          <w:smallCaps w:val="false"/>
          <w:sz w:val="20"/>
        </w:rPr>
        <w:t>1801:</w:t>
      </w:r>
      <w:r>
        <w:rPr>
          <w:rFonts w:ascii="Times New Roman" w:hAnsi="Times New Roman"/>
          <w:b/>
          <w:i/>
          <w:caps w:val="false"/>
          <w:smallCaps w:val="false"/>
          <w:sz w:val="20"/>
        </w:rPr>
        <w:t xml:space="preserve"> anti-</w:t>
      </w:r>
      <w:r>
        <w:rPr>
          <w:rStyle w:val="Emphasis"/>
          <w:rFonts w:ascii="Times New Roman" w:hAnsi="Times New Roman"/>
          <w:b/>
          <w:i/>
          <w:caps w:val="false"/>
          <w:smallCaps w:val="false"/>
          <w:sz w:val="20"/>
        </w:rPr>
        <w:t>CD47/anti</w:t>
      </w:r>
      <w:r>
        <w:rPr>
          <w:rFonts w:ascii="Times New Roman" w:hAnsi="Times New Roman"/>
          <w:b/>
          <w:i/>
          <w:caps w:val="false"/>
          <w:smallCaps w:val="false"/>
          <w:sz w:val="20"/>
        </w:rPr>
        <w:t>-</w:t>
      </w:r>
      <w:r>
        <w:rPr>
          <w:rStyle w:val="Emphasis"/>
          <w:rFonts w:ascii="Times New Roman" w:hAnsi="Times New Roman"/>
          <w:b/>
          <w:i/>
          <w:caps w:val="false"/>
          <w:smallCaps w:val="false"/>
          <w:sz w:val="20"/>
        </w:rPr>
        <w:t>CD19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June 2018,</w:t>
      </w:r>
      <w:r>
        <w:rPr>
          <w:rFonts w:ascii="Times New Roman" w:hAnsi="Times New Roman"/>
          <w:caps w:val="false"/>
          <w:smallCaps w:val="false"/>
          <w:sz w:val="20"/>
        </w:rPr>
        <w:t xml:space="preserve"> the Company entered into a Joint Venture and License Option Agreement with Novimmune SA (Novimmune) to collaborate on the development and commercialization of Novimmune’s novel </w:t>
      </w:r>
      <w:r>
        <w:rPr>
          <w:rStyle w:val="Emphasis"/>
          <w:rFonts w:ascii="Times New Roman" w:hAnsi="Times New Roman"/>
          <w:caps w:val="false"/>
          <w:smallCaps w:val="false"/>
          <w:sz w:val="20"/>
        </w:rPr>
        <w:t>first</w:t>
      </w:r>
      <w:r>
        <w:rPr>
          <w:rFonts w:ascii="Times New Roman" w:hAnsi="Times New Roman"/>
          <w:caps w:val="false"/>
          <w:smallCaps w:val="false"/>
          <w:sz w:val="20"/>
        </w:rPr>
        <w:t>-in-class anti-</w:t>
      </w:r>
      <w:r>
        <w:rPr>
          <w:rStyle w:val="Emphasis"/>
          <w:rFonts w:ascii="Times New Roman" w:hAnsi="Times New Roman"/>
          <w:caps w:val="false"/>
          <w:smallCaps w:val="false"/>
          <w:sz w:val="20"/>
        </w:rPr>
        <w:t>CD47/anti</w:t>
      </w:r>
      <w:r>
        <w:rPr>
          <w:rFonts w:ascii="Times New Roman" w:hAnsi="Times New Roman"/>
          <w:caps w:val="false"/>
          <w:smallCaps w:val="false"/>
          <w:sz w:val="20"/>
        </w:rPr>
        <w:t>-</w:t>
      </w:r>
      <w:r>
        <w:rPr>
          <w:rStyle w:val="Emphasis"/>
          <w:rFonts w:ascii="Times New Roman" w:hAnsi="Times New Roman"/>
          <w:caps w:val="false"/>
          <w:smallCaps w:val="false"/>
          <w:sz w:val="20"/>
        </w:rPr>
        <w:t>CD19</w:t>
      </w:r>
      <w:r>
        <w:rPr>
          <w:rFonts w:ascii="Times New Roman" w:hAnsi="Times New Roman"/>
          <w:caps w:val="false"/>
          <w:smallCaps w:val="false"/>
          <w:sz w:val="20"/>
        </w:rPr>
        <w:t xml:space="preserve"> bispecific antibody known as TG-</w:t>
      </w:r>
      <w:r>
        <w:rPr>
          <w:rStyle w:val="Emphasis"/>
          <w:rFonts w:ascii="Times New Roman" w:hAnsi="Times New Roman"/>
          <w:caps w:val="false"/>
          <w:smallCaps w:val="false"/>
          <w:sz w:val="20"/>
        </w:rPr>
        <w:t>1801</w:t>
      </w:r>
      <w:r>
        <w:rPr>
          <w:rFonts w:ascii="Times New Roman" w:hAnsi="Times New Roman"/>
          <w:caps w:val="false"/>
          <w:smallCaps w:val="false"/>
          <w:sz w:val="20"/>
        </w:rPr>
        <w:t xml:space="preserve"> (previously NI-</w:t>
      </w:r>
      <w:r>
        <w:rPr>
          <w:rStyle w:val="Emphasis"/>
          <w:rFonts w:ascii="Times New Roman" w:hAnsi="Times New Roman"/>
          <w:caps w:val="false"/>
          <w:smallCaps w:val="false"/>
          <w:sz w:val="20"/>
        </w:rPr>
        <w:t>1701</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the Company and Novimmune mutually agreed to terminate its Joint Venture and License Option agreement. As a result, all rights to the program have reverted to Novimmune, and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obligations for milestone or royalty payments.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July 2015,</w:t>
      </w:r>
      <w:r>
        <w:rPr>
          <w:rFonts w:ascii="Times New Roman" w:hAnsi="Times New Roman"/>
          <w:caps w:val="false"/>
          <w:smallCaps w:val="false"/>
          <w:sz w:val="20"/>
        </w:rPr>
        <w:t xml:space="preserve"> the Company entered into a Shared Services Agreement (the Shared Services Agreement) with FBIO to share the cost of certain services such as facilities use, personnel costs and other overhead and administrative costs. The Shared Services Agreement requires the Company to pay its respective share of services utilized. In connection with the Shared Services Agreement, the Company incurred expenses of approximately $1.0 million and $1.1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primarily related to shared personnel. Mr. Weiss, the Company's Chairman and Chief Executive Officer, also serves as a director and Executive Vice Chairman, Strategic Development of FBIO.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 Leases for details regarding the Office Agreement with FBIO.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b/>
          <w:caps w:val="false"/>
          <w:smallCaps w:val="false"/>
          <w:sz w:val="20"/>
        </w:rPr>
        <w:t> -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income tax benefit of $361.8 million and income tax expense of $0.1 million, respectively. The effective tax rates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were (580.8)% and 63.1%,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effective tax rate differs from the federal statutory rate primarily due to a change in deferred tax asset valuation allowance.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effective tax rate differs from the federal statutory rate primarily due to state income taxes, non-deductible officer compensation, research and development credit, and change in valuation allowance.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income tax benefit of $365.0 million and income tax expense of $0.4 million, respectively. The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were (1408.7)% and 9.1%,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effective tax rate differs from the federal statutory rate primarily due to a change in deferred tax asset valuation allowance.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effective tax rate differs from the federal statutory rate primarily due to state income taxes, research and development tax credit, non-deductible officer compensation and change in valuation allowance.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is subject to income taxes in the U.S. and various state jurisdictions. Significant judgment is required in determining the Company's provision for income taxes, deferred tax assets and liabilities and any valuation allowance recorded against its net deferred tax assets. The Company monitors the realizability of its deferred tax assets at each reporting period. In completing the Company's assessment of realizability of its deferred tax assets, the Company considers, among other things: its history of income (loss) measured at pre-tax income (loss) adjusted for permanent book-tax differences on a jurisdictional basis; volatility in actual earnings; and the impacts of the timing of reversals of existing temporary differences. The Company also relies on its assessment of the Company’s projected future results of business operations, including uncertainty in future operating results, variable macroeconomic conditions, and changes in business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the existence and magnitude of future taxable income. The Company's valuation allowance assessment is based on its best estimate of future results considering all available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based on the relevant weight of positive and negative evidence, including improved and sustained profitability trends as well as consideration of the Company's expected future taxable earnings, the Company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its U.S. federal and certain state deferred tax assets are realizable. As such, the Company released </w:t>
      </w:r>
      <w:r>
        <w:rPr>
          <w:rStyle w:val="Emphasis"/>
          <w:rFonts w:ascii="Times New Roman" w:hAnsi="Times New Roman"/>
          <w:caps w:val="false"/>
          <w:smallCaps w:val="false"/>
          <w:sz w:val="20"/>
        </w:rPr>
        <w:t>$371.7</w:t>
      </w:r>
      <w:r>
        <w:rPr>
          <w:rFonts w:ascii="Times New Roman" w:hAnsi="Times New Roman"/>
          <w:caps w:val="false"/>
          <w:smallCaps w:val="false"/>
          <w:sz w:val="20"/>
        </w:rPr>
        <w:t xml:space="preserve"> million of its valuation allowance associated with the U.S. federal and state deferred tax assets, except for those related to certain state net operating loss carryforwards. The Company continues to maintain a full or partial valuation allowance against certain state attributes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because the Company concluded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as the Company expects certain state attribute generation in future years to exceed its ability to use these deferred tax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provision for income taxes for interim periods is determined using an estimate of its annual effective tax rate, adjusted for discrete items, if any, that are taken into account in the relevant period. Each quarter, the Company updates its estimate of the annual effective tax rate, and if the Company's estimated tax rate changes, it makes a cumulative adjustment.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Act (the OBBBA) was enacted in the United States. Among other changes, the OBBBA modifies key business tax provisions, including restoring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bonus depreciation under Section </w:t>
      </w:r>
      <w:r>
        <w:rPr>
          <w:rStyle w:val="Emphasis"/>
          <w:rFonts w:ascii="Times New Roman" w:hAnsi="Times New Roman"/>
          <w:caps w:val="false"/>
          <w:smallCaps w:val="false"/>
          <w:sz w:val="20"/>
        </w:rPr>
        <w:t>168</w:t>
      </w:r>
      <w:r>
        <w:rPr>
          <w:rFonts w:ascii="Times New Roman" w:hAnsi="Times New Roman"/>
          <w:caps w:val="false"/>
          <w:smallCaps w:val="false"/>
          <w:sz w:val="20"/>
        </w:rPr>
        <w:t xml:space="preserve">(k), reverting to the higher, EBITDA-based, business interest expense limitation under Section </w:t>
      </w:r>
      <w:r>
        <w:rPr>
          <w:rStyle w:val="Emphasis"/>
          <w:rFonts w:ascii="Times New Roman" w:hAnsi="Times New Roman"/>
          <w:caps w:val="false"/>
          <w:smallCaps w:val="false"/>
          <w:sz w:val="20"/>
        </w:rPr>
        <w:t>163</w:t>
      </w:r>
      <w:r>
        <w:rPr>
          <w:rFonts w:ascii="Times New Roman" w:hAnsi="Times New Roman"/>
          <w:caps w:val="false"/>
          <w:smallCaps w:val="false"/>
          <w:sz w:val="20"/>
        </w:rPr>
        <w:t xml:space="preserve">(j) and reinstatement of expensing domestic research and development costs including those previously capitalized under Section </w:t>
      </w:r>
      <w:r>
        <w:rPr>
          <w:rStyle w:val="Emphasis"/>
          <w:rFonts w:ascii="Times New Roman" w:hAnsi="Times New Roman"/>
          <w:caps w:val="false"/>
          <w:smallCaps w:val="false"/>
          <w:sz w:val="20"/>
        </w:rPr>
        <w:t>174.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Under Internal Revenue Code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if a corporation undergoes an “ownership change,” the corporation’s ability to use its pre-change NOL carryforwards and other pre-change tax attributes to offset its post-change income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The Company has completed a study to assess whether an “ownership change” has occurred through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as defined in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Based on the analysis, the Company experienced an ownership change in </w:t>
      </w:r>
      <w:r>
        <w:rPr>
          <w:rStyle w:val="Emphasis"/>
          <w:rFonts w:ascii="Times New Roman" w:hAnsi="Times New Roman"/>
          <w:caps w:val="false"/>
          <w:smallCaps w:val="false"/>
          <w:sz w:val="20"/>
        </w:rPr>
        <w:t xml:space="preserve">November 2012.  </w:t>
      </w:r>
      <w:r>
        <w:rPr>
          <w:rFonts w:ascii="Times New Roman" w:hAnsi="Times New Roman"/>
          <w:caps w:val="false"/>
          <w:smallCaps w:val="false"/>
          <w:sz w:val="20"/>
        </w:rPr>
        <w:t xml:space="preserve">The Company estimates the base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annual limitation regarding the Company’s </w:t>
      </w:r>
      <w:r>
        <w:rPr>
          <w:rStyle w:val="Emphasis"/>
          <w:rFonts w:ascii="Times New Roman" w:hAnsi="Times New Roman"/>
          <w:caps w:val="false"/>
          <w:smallCaps w:val="false"/>
          <w:sz w:val="20"/>
        </w:rPr>
        <w:t xml:space="preserve">November 2012 </w:t>
      </w:r>
      <w:r>
        <w:rPr>
          <w:rFonts w:ascii="Times New Roman" w:hAnsi="Times New Roman"/>
          <w:caps w:val="false"/>
          <w:smallCaps w:val="false"/>
          <w:sz w:val="20"/>
        </w:rPr>
        <w:t xml:space="preserve">ownership change to be immaterial. Future changes in the Company's stock ownership,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outside of its control,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trigger an additional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limited, which could potentially result in increased future tax liability to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i/>
          <w:caps w:val="false"/>
          <w:smallCaps w:val="false"/>
          <w:sz w:val="20"/>
        </w:rPr>
        <w:t>12</w:t>
      </w:r>
      <w:r>
        <w:rPr>
          <w:rFonts w:ascii="Times New Roman" w:hAnsi="Times New Roman"/>
          <w:caps w:val="false"/>
          <w:smallCaps w:val="false"/>
          <w:sz w:val="20"/>
        </w:rPr>
        <w:t xml:space="preserve"> –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contracts with various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conduct certain activities including clinical operations and contract manufacturing, and for the clinical and commercial supply of BRIUMVI. Certain contracts contain non-cancellable features or require the Company to make binding forecasts for future purchases.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the Company had aggregate non-cancelable purchase commitments of $202.0 million, of which $102.1 million and $99.9 million are expected to be incurred in the years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respectively. These amounts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the Company's entire anticipated purchases in the future as the amounts of such obligations are dependent on the timing of future orders, and the terms of the agreement, which the Company believes at this time cannot be reasonably estimated.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Loan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 for a detailed description of the Company's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8</w:t>
      </w:r>
      <w:r>
        <w:rPr>
          <w:rFonts w:ascii="Times New Roman" w:hAnsi="Times New Roman"/>
          <w:caps w:val="false"/>
          <w:smallCaps w:val="false"/>
          <w:sz w:val="20"/>
        </w:rPr>
        <w:t> - for a detailed description of the Company's lease arrangements in New York and North Carolina.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the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OVERVIEW</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fully-integrated, commercial stage, biopharmaceutical company focused on the acquisition, development and commercialization of novel treatments for B-cell diseases. In addition to a research pipeline of investigational medicines, TG has received approval from the FDA for BRIUMVI (ublituximab-xiiy) to treat adult patients with relapsing forms of multiple sclerosis (RMS), to include clinically isolated syndrome, relapsing-remitting disease, and active secondary progressive disease, in adults, as well as approval from several regulatory authorities outside of the U.S. to treat adult patients with RMS who have active disease defined by clinical or imaging features. We also actively evaluate complementary products, technologies and companies for in-licensing, partnership, acquisition and/or investment opportunities.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RECENT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completed our previously authorized $100 million share repurchase program, which was initially announced in August 2024 (the Prior Share Repurchase Program). Under the Prior Share Repurchase Program, we repurchased a total of 3,502,334 shares of our common stock at an average price of $28.55 per share. In September 2025, the Board authorized and approved a new share repurchase program (the 2025 Share Repurchase Program) for up to $100 million of the currently outstanding shares of our common stock. There were no repurchases under the 2025 Share Repurchase Program for the three and nine months ended September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license worldwide development and commercial rights, subject to certain limited geographical restrictions, for all of our products under development. The following table summarizes the current clinical trial status for our lead drug candidates as of September 2025. </w:t>
      </w:r>
    </w:p>
    <w:p>
      <w:pPr>
        <w:pStyle w:val="TextBody"/>
        <w:bidi w:val="0"/>
        <w:spacing w:before="0" w:after="0"/>
        <w:ind w:left="0" w:right="0" w:firstLine="720"/>
        <w:jc w:val="both"/>
        <w:rPr>
          <w:caps w:val="false"/>
          <w:smallCaps w:val="false"/>
        </w:rPr>
      </w:pPr>
      <w:r>
        <w:rPr>
          <w:caps w:val="false"/>
          <w:smallCaps w:val="false"/>
        </w:rPr>
        <w:t> </w:t>
      </w:r>
    </w:p>
    <w:tbl>
      <w:tblPr>
        <w:tblW w:w="9420" w:type="dxa"/>
        <w:jc w:val="left"/>
        <w:tblInd w:w="0" w:type="dxa"/>
        <w:tblLayout w:type="fixed"/>
        <w:tblCellMar>
          <w:top w:w="28" w:type="dxa"/>
          <w:left w:w="28" w:type="dxa"/>
          <w:bottom w:w="28" w:type="dxa"/>
          <w:right w:w="0" w:type="dxa"/>
        </w:tblCellMar>
      </w:tblPr>
      <w:tblGrid>
        <w:gridCol w:w="3710"/>
        <w:gridCol w:w="3230"/>
        <w:gridCol w:w="2480"/>
      </w:tblGrid>
      <w:tr>
        <w:trPr/>
        <w:tc>
          <w:tcPr>
            <w:tcW w:w="37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Clinical Drug Candidate:</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(molecular target)</w:t>
            </w:r>
          </w:p>
        </w:tc>
        <w:tc>
          <w:tcPr>
            <w:tcW w:w="32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Initial Target Disease</w:t>
            </w:r>
          </w:p>
        </w:tc>
        <w:tc>
          <w:tcPr>
            <w:tcW w:w="248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Stage/Status of Development</w:t>
            </w:r>
          </w:p>
        </w:tc>
      </w:tr>
      <w:tr>
        <w:trPr/>
        <w:tc>
          <w:tcPr>
            <w:tcW w:w="37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Ublituximab IV (anti-CD20 mAb)</w:t>
            </w:r>
          </w:p>
        </w:tc>
        <w:tc>
          <w:tcPr>
            <w:tcW w:w="32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RMS</w:t>
            </w:r>
          </w:p>
        </w:tc>
        <w:tc>
          <w:tcPr>
            <w:tcW w:w="24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APPROVED</w:t>
            </w:r>
          </w:p>
        </w:tc>
      </w:tr>
      <w:tr>
        <w:trPr/>
        <w:tc>
          <w:tcPr>
            <w:tcW w:w="3710"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Ublituximab IV Simplified Dosing Schedule</w:t>
            </w:r>
          </w:p>
        </w:tc>
        <w:tc>
          <w:tcPr>
            <w:tcW w:w="3230"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RMS</w:t>
            </w:r>
          </w:p>
        </w:tc>
        <w:tc>
          <w:tcPr>
            <w:tcW w:w="24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Phase 3 completed enrollment</w:t>
            </w:r>
          </w:p>
        </w:tc>
      </w:tr>
      <w:tr>
        <w:trPr/>
        <w:tc>
          <w:tcPr>
            <w:tcW w:w="37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Ublituximab Subcutaneous (anti-CD20 mAb)</w:t>
            </w:r>
          </w:p>
        </w:tc>
        <w:tc>
          <w:tcPr>
            <w:tcW w:w="32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RMS</w:t>
            </w:r>
          </w:p>
        </w:tc>
        <w:tc>
          <w:tcPr>
            <w:tcW w:w="24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Phase 3 enrolling</w:t>
            </w:r>
          </w:p>
        </w:tc>
      </w:tr>
      <w:tr>
        <w:trPr/>
        <w:tc>
          <w:tcPr>
            <w:tcW w:w="37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Azer-cel</w:t>
            </w:r>
          </w:p>
        </w:tc>
        <w:tc>
          <w:tcPr>
            <w:tcW w:w="32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Progressive Forms of Multiple Sclerosis</w:t>
            </w:r>
          </w:p>
        </w:tc>
        <w:tc>
          <w:tcPr>
            <w:tcW w:w="248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Phase 1 enrolling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BRIUMVI (ublituximab-xiiy)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Development of BRIUMVI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is an anti-CD20 monoclonal antibody that can be administered to adults with RMS in a one-hour infusion every 24 weeks, following the starting dose. BRIUMVI received approval from the FDA primarily based on results from the ULTIMATE I and ULTIMATE II Phase 3 trials. Each trial was an independent global, randomized, multi-center, double-blinded, double-dummy, active-controlled study comparing the efficacy and safety/tolerability of BRIUMVI (450mg dose administered by one-hour intravenous infusion every 6 months, following a day 1 infusion of 150mg over four hours and a day 15 infusion of 450mg over one hour) versus teriflunomide (14mg oral tablets taken once daily) in subjects with RMS.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22, 2022, the full results from the ULTIMATE I &amp; II trials were published in the New England Journal of Medicine.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27, 2024, we announced the issuance of three additional patents by the United States Patent and Trademark Office (USPTO) for BRIUMVI, which extended patent protection through 2042.</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Additional BRIUMVI data continues to be presented at major medical meetings. Most recently data was presented at ECTRIMS 2025, including six year long term data from the ULTIMATE I &amp; II Phase 3 trials; updated data from the ENHANCE trial evaluating modified dosing regimens for BRIUMVI in patients with RMS, and 2025 data from ENABLE, the first Phase 4 observational study for patients with RMS starting treatment on BRIUMVI.</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In August 2025, we announced patient enrollment commenced into a randomized Phase 3 pivotal cohort to evaluate a consolidated Day 1 and Day 15 dosing regimen for IV BRIUMVI in the ongoing ENHANCE trial.</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Commercialization of BRIUMVI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Ex-U.S. Commercialization of BRIUMVI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2023, we announced that the EC granted approval of BRIUMVI to treat adult patients with RMS who have active disease defined by clinical or imaging features. With this approval, the centralized marketing authorization is valid in all EU member states, Iceland, Norway and Liechtenstein.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2023, we announced an agreement with Neuraxpharm Pharmaceuticals, S.L. (Neuraxpharm), a leading European specialty pharmaceutical company focused on the treatment of CNS disorders, for the Ex-U.S. commercialization of BRIUMVI (Commercialization Agreement). Under the terms of the Commercialization Agreement, we received an upfront payment of $140 million, and $12.5 million upon launch in the first EU country in February 2024,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we previously partnered.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2024, we announced the commercial launch of BRIUMVI in the EU by Neuraxpharm, with BRIUMVI made available for commercial sale in Germany.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is now approved in the European Union, the United Kingdom, Switzerland, Australia, Kuwait and the United Arab Emirates.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Subcutaneous Ublituximab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2024, we announced the initiation of a Phase 1 clinical trial evaluating subcutaneous ublituximab (the active ingredient in BRIUMVI), and sometimes otherwise referred to as “subcutaneous BRIUMVI" in patients with 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2025, we announced the first patients with myasthenia gravis (MG) have been enrolled in a clinical trial evaluating ublituximab.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announced enrollment commenced in the Phase 3 pivotal program evaluating subcutaneous ublituximab. The Phase 3 pivotal program is a randomized, open label, parallel-group, multicenter study designed to evaluate the pharmacokinetics, pharmacodynamics, safety, radiological and clinical effects of subcutaneous ublituximab compared to IV BRIUMVI in adult participants with RMS. Participants will be randomized into one of three arms: 8-week regimen of subcutaneous ublituximab, 12-week regimen of subcutaneous ublituximab or the currently approved IV BRIUMVI dosing schedule. The primary endpoint of the trial is non inferior exposure of subcutaneous ublituximab compared to IV BRIUMVI with respect to area under the curve (AUC) at week 24.</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Azercabtagene Zapreleucel (azer-cel)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Azer-cel is an allogeneic (off-the-shelf) CD19-directed CAR T cell therapy under development by us for autoimmune diseases. Made from donor-derived T cells modified using a proprietary ARCUS genome editing technology, azer-cel recognizes the well characterized B-cell surface protein CD19, an important and validated target in several B-cell cancers and autoimmune diseases. Azer-cel is designed to minimize graft-versus-host disease (GvHD), a significant complication associated with other donor-derived, cell-based therapies. In August 2024, we announced FDA clearance of the IND for azer-cel for the treatment of progressive forms of MS. In August 2025, we announced the first patient with progressive multiple sclerosis has been dosed with azer-cel in a Phase 1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40"/>
        <w:jc w:val="both"/>
        <w:rPr>
          <w:rFonts w:ascii="Times New Roman" w:hAnsi="Times New Roman"/>
          <w:caps w:val="false"/>
          <w:smallCaps w:val="false"/>
          <w:sz w:val="20"/>
        </w:rPr>
      </w:pPr>
      <w:r>
        <w:rPr>
          <w:rFonts w:ascii="Times New Roman" w:hAnsi="Times New Roman"/>
          <w:caps w:val="false"/>
          <w:smallCaps w:val="false"/>
          <w:sz w:val="20"/>
        </w:rPr>
        <w:t>For more information, please refer to our Annual Report on Form 10-K for the quarter and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results of operations for the three months ended September 30, 2025 and 2024:</w:t>
      </w:r>
    </w:p>
    <w:p>
      <w:pPr>
        <w:pStyle w:val="TextBody"/>
        <w:bidi w:val="0"/>
        <w:spacing w:before="0" w:after="0"/>
        <w:ind w:left="0" w:right="0" w:firstLine="560"/>
        <w:jc w:val="left"/>
        <w:rPr>
          <w:caps w:val="false"/>
          <w:smallCaps w:val="false"/>
        </w:rPr>
      </w:pPr>
      <w:r>
        <w:rPr>
          <w:caps w:val="false"/>
          <w:smallCaps w:val="false"/>
        </w:rPr>
        <w:t> </w:t>
      </w:r>
    </w:p>
    <w:tbl>
      <w:tblPr>
        <w:tblW w:w="5577" w:type="dxa"/>
        <w:jc w:val="left"/>
        <w:tblInd w:w="0" w:type="dxa"/>
        <w:tblLayout w:type="fixed"/>
        <w:tblCellMar>
          <w:top w:w="0" w:type="dxa"/>
          <w:left w:w="0" w:type="dxa"/>
          <w:bottom w:w="0" w:type="dxa"/>
          <w:right w:w="0" w:type="dxa"/>
        </w:tblCellMar>
      </w:tblPr>
      <w:tblGrid>
        <w:gridCol w:w="3710"/>
        <w:gridCol w:w="60"/>
        <w:gridCol w:w="129"/>
        <w:gridCol w:w="717"/>
        <w:gridCol w:w="82"/>
        <w:gridCol w:w="61"/>
        <w:gridCol w:w="129"/>
        <w:gridCol w:w="609"/>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159,317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83,297</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2,392</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161,709</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83,879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28,093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9,341</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5,335</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3,028</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35,543</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17,110</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40,878</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20,138</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12,351</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8,745</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51,022</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33,221</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63,373</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41,966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132,344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71,445</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6,721</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(3,265</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3,456</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before taxes</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25,909</w:t>
            </w:r>
          </w:p>
        </w:tc>
        <w:tc>
          <w:tcPr>
            <w:tcW w:w="82"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364,986</w:t>
            </w:r>
          </w:p>
        </w:tc>
        <w:tc>
          <w:tcPr>
            <w:tcW w:w="82"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(388</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390,895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Product Revenue, Net</w:t>
      </w:r>
      <w:r>
        <w:rPr>
          <w:rFonts w:ascii="Times New Roman" w:hAnsi="Times New Roman"/>
          <w:i/>
          <w:caps w:val="false"/>
          <w:smallCaps w:val="false"/>
          <w:sz w:val="20"/>
        </w:rPr>
        <w:t xml:space="preserve">. </w:t>
      </w:r>
      <w:r>
        <w:rPr>
          <w:rFonts w:ascii="Times New Roman" w:hAnsi="Times New Roman"/>
          <w:caps w:val="false"/>
          <w:smallCaps w:val="false"/>
          <w:sz w:val="20"/>
        </w:rPr>
        <w:t>Product revenue, net was approximately $159.3 million for the three months ended September 30, 2025, compared to $83.3 million for the three months ended September 30, 2024. Product revenue, net for both the three months ended September 30, 2025 and September 30, 2024 consisted of net product sales of BRIUMVI in the United States of $152.9 million and $83.3 million, respectively. Also included in product revenue, net for the three months ended September 30, 2025 are sales of BRIUMVI to our ex-U.S. licensing partner, Neuraxpharm, of $6.4 million. The increase in product revenue, net is a result of greater market penetration.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License, Milestone, Royalty and Other Revenue</w:t>
      </w:r>
      <w:r>
        <w:rPr>
          <w:rFonts w:ascii="Times New Roman" w:hAnsi="Times New Roman"/>
          <w:caps w:val="false"/>
          <w:smallCaps w:val="false"/>
          <w:sz w:val="20"/>
        </w:rPr>
        <w:t>. License, milestone, royalty and other revenue was $2.4 million for the three months ended September 30, 2025 and $0.6 million for the three months ended September 30, 2024. License, milestone, royalty and other revenue for the three months ended September 30, 2025 is comprised of $0.9 million of consideration received for development and regulatory activities performed on behalf of Neuraxpharm in accordance with the Commercialization Agreement and $1.5 million of royalty revenue recognized under the Commercialization Agreement with Neuraxpharm (see Note 2 - Revenue for more information). License, milestone, royalty and other revenue for the three months ended September 30, 2024 is primarily comprised of consideration received for development and regulatory activities performed on behalf of Neuraxpharm in accordance with the Commercialization Agreement (see Note 2 - Revenue for more information).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Cost of Revenue</w:t>
      </w:r>
      <w:r>
        <w:rPr>
          <w:rFonts w:ascii="Times New Roman" w:hAnsi="Times New Roman"/>
          <w:caps w:val="false"/>
          <w:smallCaps w:val="false"/>
          <w:sz w:val="20"/>
        </w:rPr>
        <w:t>. Cost of revenue for the three months ended September 30, 2025 was $28.1 million compared to approximately $9.3 million for the three months ended September 30, 2024. Cost of revenue for both the three months ended September 30, 2025 and September 30, 2024 consists primarily of royalties owed to our licensing partner for BRIUMVI sales, third-party manufacturing, distribution and overhead costs. A portion of the manufacturing costs of BRIUMVI sold during the quarter ending September 30, 2024 was expensed as research and development prior to the FDA approval of BRIUMVI and therefore it is not reflected in the cost of revenue. We depleted these inventories during the quarter ending March 31, 2025.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(Research and Development)</w:t>
      </w:r>
      <w:r>
        <w:rPr>
          <w:rFonts w:ascii="Times New Roman" w:hAnsi="Times New Roman"/>
          <w:caps w:val="false"/>
          <w:smallCaps w:val="false"/>
          <w:sz w:val="20"/>
        </w:rPr>
        <w:t>. Noncash compensation expense (research and development) related to equity incentive grants totaled $5.3 million for the three months ended September 30, 2025, as compared to $3.0 million during the comparable period ended September 30, 2024. The increase in noncash compensation expense was primarily due to greater recognition of noncash compensation expense for performance-based awards and increased stock price at which equity awards were granted during the three months ended September 30, 2025, as compared to the three months ended September 30, 2024.</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 </w:t>
      </w:r>
      <w:r>
        <w:rPr>
          <w:rFonts w:ascii="Times New Roman" w:hAnsi="Times New Roman"/>
          <w:caps w:val="false"/>
          <w:smallCaps w:val="false"/>
          <w:sz w:val="20"/>
        </w:rPr>
        <w:t>Other research and development expense was $35.5 million for the three months ended September 30, 2025, as compared to $17.1 million during the three months ended September 30, 2024. The increase in research and development expense during the three months ended September 30, 2025 was primarily due to an increase in manufacturing expense, including manufacturing and development costs incurred in connection with our subcutaneous ublituximab development work during the period ended September 30, 2025, as well as increased clinical trial related expenses pertaining to our clinical pipeline, and increased personnel costs, partially offset by a one-time milestone payment made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(Selling, General and Administrative)</w:t>
      </w:r>
      <w:r>
        <w:rPr>
          <w:rFonts w:ascii="Times New Roman" w:hAnsi="Times New Roman"/>
          <w:caps w:val="false"/>
          <w:smallCaps w:val="false"/>
          <w:sz w:val="20"/>
        </w:rPr>
        <w:t>. Noncash compensation expense (selling, general and administrative) related to equity incentive grants totaled $12.4 million for the three months ended September 30, 2025, as compared to $8.7 million during the comparable period ended September 30, 2024. The increase in noncash compensation expense was primarily due to greater recognition of noncash compensation expense for performance and market-based awards and an increase in headcount and stock price at which equity awards were granted during the three months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Selling, General and Administrative Expenses</w:t>
      </w:r>
      <w:r>
        <w:rPr>
          <w:rFonts w:ascii="Times New Roman" w:hAnsi="Times New Roman"/>
          <w:caps w:val="false"/>
          <w:smallCaps w:val="false"/>
          <w:sz w:val="20"/>
        </w:rPr>
        <w:t>. Other selling, general and administrative expenses totaled $51.0 million for the three months ended September 30, 2025, as compared to $33.2 million during the comparable period ended September 30, 2024. The increase was primarily due to other selling, general and administrative costs, including marketing personnel and external costs associated with the commercialization of BRIUMVI during the three months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Interest expense totaled $6.7 million for the three months ended September 30, 2025, as compared to $10.8 million for the three months ended September 30, 2024. The decrease is mainly due to $4.6 million of debt extinguishment costs in connection with the termination of our prior loan agreement with Hercules during the three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Income</w:t>
      </w:r>
      <w:r>
        <w:rPr>
          <w:rFonts w:ascii="Times New Roman" w:hAnsi="Times New Roman"/>
          <w:caps w:val="false"/>
          <w:smallCaps w:val="false"/>
          <w:sz w:val="20"/>
        </w:rPr>
        <w:t>. Other income totaled $3.3 million for the three months ended September 30, 2025, as compared to $2.7 million during the comparable period ended September 30, 2024. The increase is mainly due to higher interest income received from our investments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Income Tax Benefit (Expense). </w:t>
      </w:r>
      <w:r>
        <w:rPr>
          <w:rFonts w:ascii="Times New Roman" w:hAnsi="Times New Roman"/>
          <w:caps w:val="false"/>
          <w:smallCaps w:val="false"/>
          <w:sz w:val="20"/>
        </w:rPr>
        <w:t>Income tax benefit totaled $365.0 million for the three months ended September 30, 2025, as compared to income tax expense of ($0.4) million during the comparable period ended September 30, 2024. The increase in income tax benefit is driven by the release of our deferred tax asset valuation allowance during the three months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results of operations for the nine months ended September 30, 2025 and 2024:</w:t>
      </w:r>
    </w:p>
    <w:p>
      <w:pPr>
        <w:pStyle w:val="TextBody"/>
        <w:bidi w:val="0"/>
        <w:spacing w:before="0" w:after="0"/>
        <w:ind w:left="0" w:right="0" w:firstLine="560"/>
        <w:jc w:val="left"/>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3710"/>
        <w:gridCol w:w="60"/>
        <w:gridCol w:w="125"/>
        <w:gridCol w:w="695"/>
        <w:gridCol w:w="80"/>
        <w:gridCol w:w="60"/>
        <w:gridCol w:w="125"/>
        <w:gridCol w:w="695"/>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206,381</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14,438</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220,819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23,087</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62,417</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70,417</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22,593</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92,742</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115,335</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208,839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16,967</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Product Revenue, Net</w:t>
      </w:r>
      <w:r>
        <w:rPr>
          <w:rFonts w:ascii="Times New Roman" w:hAnsi="Times New Roman"/>
          <w:i/>
          <w:caps w:val="false"/>
          <w:smallCaps w:val="false"/>
          <w:sz w:val="20"/>
        </w:rPr>
        <w:t xml:space="preserve">. </w:t>
      </w:r>
      <w:r>
        <w:rPr>
          <w:rFonts w:ascii="Times New Roman" w:hAnsi="Times New Roman"/>
          <w:caps w:val="false"/>
          <w:smallCaps w:val="false"/>
          <w:sz w:val="20"/>
        </w:rPr>
        <w:t>Product revenue, net was approximately $417.8 million for the nine months ended September 30, 2025, compared to $206.4 million for the nine months ended September 30, 2024. Product revenue, net for both the nine months ended September 30, 2025 and September 30, 2024 consisted of net product sales of BRIUMVI in the United States of $411.4 million and $206.4 million, respectively. Also included in product revenue, net for the nine months ended September 30, 2025 are sales of BRIUMVI to our ex-U.S. licensing partner, Neuraxpharm, of $6.4 million. The increase in product revenue, net is a result of greater market penetration.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License, Milestone, Royalty and Other Revenue</w:t>
      </w:r>
      <w:r>
        <w:rPr>
          <w:rFonts w:ascii="Times New Roman" w:hAnsi="Times New Roman"/>
          <w:caps w:val="false"/>
          <w:smallCaps w:val="false"/>
          <w:sz w:val="20"/>
        </w:rPr>
        <w:t>. License, milestone, royalty and other revenue was $5.9 million for the nine months ended September 30, 2025 and $14.4 million for the nine months ended September 30, 2024. License, milestone, royalty and other revenue for the nine months ended September 30, 2025 is primarily comprised $2.7 million of consideration received for development and regulatory activities performed on behalf of Neuraxpharm in accordance with the Commercialization Agreement and $3.2 million of royalty revenue recognized under the Commercialization Agreement with Neuraxpharm (see Note 2 - Revenue for more information). License, milestone, royalty and other revenue for the nine months ended September 30, 2024 is predominantly comprised of recognition of the one-time $12.5 million milestone payment under the Commercialization Agreement for the first key market commercial launch of BRIUMVI in the EU.</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Cost of Revenue</w:t>
      </w:r>
      <w:r>
        <w:rPr>
          <w:rFonts w:ascii="Times New Roman" w:hAnsi="Times New Roman"/>
          <w:caps w:val="false"/>
          <w:smallCaps w:val="false"/>
          <w:sz w:val="20"/>
        </w:rPr>
        <w:t>. Cost of revenue for the nine months ended September 30, 2025 was $62.6 million compared to approximately $23.1 million for the nine months ended September 30, 2024. Cost of revenue for both the nine months ended September 30, 2025 and September 30, 2024 consists primarily of royalties owed to our licensing partner for BRIUMVI sales, third-party manufacturing, distribution and overhead costs. A portion of the manufacturing costs of BRIUMVI sold through the middle of the quarter ending March 31, 2025 was expensed as research and development prior to the FDA approval of BRIUMVI and therefore it is not reflected in the cost of revenue. We depleted these inventories during the quarter ending March 31, 2025.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(Research and Development)</w:t>
      </w:r>
      <w:r>
        <w:rPr>
          <w:rFonts w:ascii="Times New Roman" w:hAnsi="Times New Roman"/>
          <w:caps w:val="false"/>
          <w:smallCaps w:val="false"/>
          <w:sz w:val="20"/>
        </w:rPr>
        <w:t>. Noncash compensation expense (research and development) related to equity incentive grants totaled $13.0 million for the nine months ended September 30, 2025, as compared to $8.0 million during the comparable period ended September 30, 2024. The increase in noncash compensation expense was primarily due to greater recognition of noncash compensation expense for performance-based awards and increased stock price at which equity awards were granted during the nine months ended September 30, 2025, as compared to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 </w:t>
      </w:r>
      <w:r>
        <w:rPr>
          <w:rFonts w:ascii="Times New Roman" w:hAnsi="Times New Roman"/>
          <w:caps w:val="false"/>
          <w:smallCaps w:val="false"/>
          <w:sz w:val="20"/>
        </w:rPr>
        <w:t>Other research and development expense was $106.0 million for the nine months ended September 30, 2025, as compared to $62.4 million during the nine months ended September 30, 2024. The increase in research and development expense during the nine months ended September 30, 2025 was primarily due to an increase in manufacturing expense, including manufacturing and development costs incurred in connection with our subcutaneous ublituximab development work during the period ended September 30, 2025, as well as increased clinical trial related expenses pertaining to our clinical pipeline, and increased personnel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(Selling, General and Administrative)</w:t>
      </w:r>
      <w:r>
        <w:rPr>
          <w:rFonts w:ascii="Times New Roman" w:hAnsi="Times New Roman"/>
          <w:caps w:val="false"/>
          <w:smallCaps w:val="false"/>
          <w:sz w:val="20"/>
        </w:rPr>
        <w:t>. Noncash compensation expense (selling, general and administrative) related to equity incentive grants totaled $36.0 million for the nine months ended September 30, 2025, as compared to $22.6 million during the comparable period ended September 30, 2024. The increase in noncash compensation expense was primarily due to greater recognition of noncash compensation expense for performance and market-based awards and an increase in headcount and stock price at which equity awards were granted during the nine months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Selling, General and Administrative Expenses</w:t>
      </w:r>
      <w:r>
        <w:rPr>
          <w:rFonts w:ascii="Times New Roman" w:hAnsi="Times New Roman"/>
          <w:caps w:val="false"/>
          <w:smallCaps w:val="false"/>
          <w:sz w:val="20"/>
        </w:rPr>
        <w:t>. Other selling, general and administrative expenses totaled $133.3 million for the nine months ended September 30, 2025, as compared to $92.7 million during the comparable period ended September 30, 2024. The increase was primarily due to other selling, general and administrative costs, including marketing personnel and external costs associated with the commercialization of BRIUMVI during the nine months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Interest expense totaled $20.2 million for the nine months ended September 30, 2025, as compared to $17.0 million for the nine months ended September 30, 2024. The increase is mainly due to increased interest expense pertaining to the Initial Term Loan with Blue Owl during the period ended September 30, 2025 (see Note 7 - Loan Payable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Income</w:t>
      </w:r>
      <w:r>
        <w:rPr>
          <w:rFonts w:ascii="Times New Roman" w:hAnsi="Times New Roman"/>
          <w:caps w:val="false"/>
          <w:smallCaps w:val="false"/>
          <w:sz w:val="20"/>
        </w:rPr>
        <w:t>. Other income totaled $9.7 million for the nine months ended September 30, 2025, as compared to $5.1 million during the comparable period ended September 30, 2024. The increase is mainly due to higher interest income received from our investments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Income Tax Benefit (Expense). </w:t>
      </w:r>
      <w:r>
        <w:rPr>
          <w:rFonts w:ascii="Times New Roman" w:hAnsi="Times New Roman"/>
          <w:caps w:val="false"/>
          <w:smallCaps w:val="false"/>
          <w:sz w:val="20"/>
        </w:rPr>
        <w:t>Income tax benefit totaled $361.8 million for the nine months ended September 30, 2025, as compared to income tax expense of ($0.1) million during the comparable period ended September 30, 2024. The increase in income tax benefit is driven by the release of our deferred tax asset valuation allowance during the nine months ended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recently achieved profitability, we have incurred substantial operating losses since our inception. BRIUMVI was first commercially launched in the United States in January of 2023, and ex-US through our partner Neuraxpharm in February 2024. Despite the commercialization of BRIUMVI and the potential future commercialization of our other drug candidates, there can be no assurance that we will maintain profitability on an ongoing basis. For the nine months ended September 30, 2025, we generated revenue of $423.7 million. Historically, our operating losses have been driven primarily by expenses related to research and development programs and from selling, general and administrative costs associated with our operations and commercialization activities to date. Our future operating results and cash flows may fluctuate significantly from period to period, and we will need to generate substantial revenues to sustain profitability and positive cash flow over the long term. As of September 30, 2025, our accumulated deficit was approximately $1.1 billion.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2025, we had $178.3 million in cash and cash equivalents, and investment securities. We anticipate that our cash, cash equivalents, and investment securities, combined with projected future revenues will be sufficient to meet our liquidity needs for more than twelve-months from the date of filing this Quarterly Report on Form 10-Q. The actual level of cash required for operations will depend on numerous factors, including, among others, the scope of commercialization activities for BRIUMVI, timing of collection of receivables from our customers on extended payment terms, the timing and design of clinical trials for our product candidates, and costs associated with licensing or acquiring new product candidates. We may require significant additional financing in the future to support our ongoing and planned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Discussion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nine months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4115"/>
        <w:gridCol w:w="60"/>
        <w:gridCol w:w="125"/>
        <w:gridCol w:w="650"/>
        <w:gridCol w:w="80"/>
        <w:gridCol w:w="60"/>
        <w:gridCol w:w="125"/>
        <w:gridCol w:w="695"/>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134,599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operating activities for the nine months ended September 30, 2025 was $44.4 million as compared to cash used in operating activities of $14.9 million for the nine months ended September 30, 2024. The increase in net cash used in operating activities was primarily due to an increase in accounts receivable during the nine months ended September 30, 2025, partially offset by an increase in accounts payable.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investing activities for the nine months ended September 30, 2025 was $29.4 million as compared to $16.8 million used in investing activities for the nine months ended September 30, 2024. The decrease in net cash used in investing activities was primarily due to decreased investments in held-to-maturity securities during the nine months ended September 30, 2025. as compared to the nine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for the nine months ended September 30, 2025 was approximately $90.8 million as compared to net cash provided by financing activities of $134.6 million for the nine months ended September 30, 2024. Net cash used in financing activities during the nine months ended September 30, 2025 is mainly due the repurchase of stock under our share repurchase program. Net cash provided by financing activities during the nine months ended September 30, 2024 is mainly due to the proceeds from the new loan with Blue Owl, offset by the payoff of our prior loan with Hercules.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Annual Report on Form 10-K for the year ended December 31, 2024, and refer to Note 1 - Organization and Summary of Significant Accounting Policies in this Quarterly Report on Form 10-Q for significant accounting policies due to commercialization for revenue recognition, gross-to-net sales adjustments, accounts receivable, inventory, and cost of revenue. Of these policies, the following are considered critical to an understanding of our condensed consolidated financial statements as they require the application of the most difficult, subjective and complex judgments: revenue recognition and stock-based compensation expenses. Refer to Note 2 – Revenue and Note 6 – Stockholders’ Equity respectively, in this Quarterly Report on Form 10-Q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quant"/>
      <w:bookmarkEnd w:id="13"/>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exposure to market risk has not changed materially since our disclosure in Item 7A, “Quantitative and Qualitative Disclosures About Market Risk” in our Annual Report on Form 10-K for the year ended December 31,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4" w:name="controls"/>
      <w:bookmarkEnd w:id="14"/>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2025, our disclosure controls and procedures were effective.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during the quarter ended September 30, 2025 that materially affected, or are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5" w:name="parttwootherinfo"/>
      <w:bookmarkEnd w:id="15"/>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legal"/>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and our subsidiaries, are not a party to, and our property is not the subject of, any material pending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risk"/>
      <w:bookmarkEnd w:id="17"/>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You should carefully consider the following risk factors and the other information contained elsewhere in this Quarterly Report on Form 10-Q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r>
        <w:rPr>
          <w:rFonts w:ascii="Times New Roman" w:hAnsi="Times New Roman"/>
          <w:caps w:val="false"/>
          <w:smallCaps w:val="false"/>
          <w:sz w:val="20"/>
        </w:rPr>
        <w:t> </w:t>
      </w:r>
      <w:r>
        <w:rPr>
          <w:rFonts w:ascii="Times New Roman" w:hAnsi="Times New Roman"/>
          <w:i/>
          <w:caps w:val="false"/>
          <w:smallCaps w:val="false"/>
          <w:sz w:val="20"/>
        </w:rPr>
        <w:t>Investors should also refer to the other information contained or incorporated by reference in this Quarterly Report on Form 10-Q, including our financial statements and related notes, and our other filings from time to time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obtain U.S. Food and Drug Administration (FDA) or approval by any comparable regulatory authority outside of the U.S. for a product candidate and do not achieve broad market acceptance among physicians, patients, healthcare payors, and the medical community, the revenues that we generate from product sales will be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as well as approval by several regulatory authorities outside of the U.S. for BRIUMVI to treat adult patients with RMS who have active disease defined by clinical or imaging features.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and operating expenses projections or guidance and may not become profitable. The degree of market acceptance of BRIUMVI, as well as any future product candidates for which we may receive marketing approval, will depend on a number of factors, including: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our receipt of marketing approvals, the terms of such approvals, and the countries in which such approvals are obtained;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efficacy, safety and tolerability as demonstrated in clinical trials and as compared to alternative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market introduction of BRIUMVI and any of our product candidates, as well as competitive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indications for which our products are approved, and other aspects of the approved labeling for such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acceptance by physicians, advanced practitioners, major operators of neurology clinics, and patients of our products as safe, tolerable and effective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and perceived advantages or disadvantages of our products compared to alternative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offer our products for sale at competitive prices;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adequate reimbursement by third-party payors and government authorities;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of patient cost-sharing obligations, including copays and deductibles;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regulatory requirements by government authorities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relative convenience and ease of administration;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prevalence and severity of side effects and adverse events;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the target patient population to try new therapies and of physicians to prescribe these therapies;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effectiveness of our sales and marketing efforts, as well as those of any current or future partners;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protecting our rights in our intellectual property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a reliable supply of our products that meets market demand;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favorable or unfavorable publicity relating to our products or relating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There are currently ongoing clinical studies evaluating BRIUMVI in patients with RMS, but the ultimate outcome of these and other studies remains uncertain.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with respect to BRIUMVI and any product candidate that the FDA or a comparable regulatory authority outside the U.S.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and any of our product candidates for which we in the future obtain approval, may, after approval, be found to cause undesirable side effects that could result in significant negative consequences following commercialization.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approval or limit the approved indications for use of such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such drug candidates are distributed or administered, or to conduct additional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regulatory investigations and government enforcement actions;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decide to remove such drug candidates from the marketplace;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enter into collaboration agreements on acceptable terms and execute on our business model;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injury caused to individuals exposed to or taking our products;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may suffer.</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one or a combination of these events could prevent us from maintaining regulatory approval and achieving or maintaining market acceptance of the affected product and/ or other products or could substantially increase the costs and expenses of commercializing the affected product and/or other products, which in turn could significantly impact our ability to successfully commercialize our drug candidates and generate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substantial competition, which may result in others commercializing drugs before or more successfully than we do, resulting in the reduction or elimination of our commercial opportunity.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(certain educational and scientific exchange), and with regard to potential competitor actions under federal law (such as the Lanham Act) and congruous state law, which protect businesses against the unfair competition of misleading advertising or labeling.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resources, including personnel and technology;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experience;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pharmaceutical development, clinical trial and pharmaceutical commercialization experience;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and expertise in exploitation of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also face competition from these third parties in recruiting and retaining qualified personnel, establishing clinical trial sites, patient registration for clinical trials, and in identifying and in-licensing new products and product candidates.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as well as any products that we are able to commercialize in the future, may become subject to unfavorable pricing regulations or third-party payor coverage and reimbursement policies, which would harm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 See “Risk Factors – Risks Related to Governmental Regulation of the Pharmaceutical Industry and Legal Compliance Matters – We are subject to new legislation, regulatory proposals and third-party payor initiatives that may increase our costs of compliance and adversely affect our ability to market our products, obtain collaborators and raise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expand our commercialization operations, we may not be successful in commercializing BRIUMVI or any product candidate, if and when such product candidates are approved, and we may not be able to generate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Commercialization of pharmaceutical products is an extremely complex and highly capital and resource-intensive process. Even for established companies with existing infrastructure and significantly greater resources than we have, challenges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made and continue to make significant investments in our commercial organization and infrastructure. We have developed and expanded our processes and systems to support the ongoing commercialization of BRIUMVI following its commercial launch in the U.S. on January 26, 2023. There are risks involved with developing and expanding our own commercialization capabilities. For example, if we are unable to recruit and retain adequate numbers of effective personnel to support the ongoing commercialization of BRIUMVI, we may not be successful in marketing and selling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 factors that may inhibit our efforts to support the ongoing commercialization of BRIUMVI and our other product candidates on our own, or through partnership, and generate product revenues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time associated with the initial and ongoing training of commercialization personnel on the applicable disease states, products, competitors, and legal and regulatory compliance matters;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of commercialization personnel to obtain access to physicians or to effectively promote or provide education about BRIUMVI and any future approved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lack of complementary drugs to be offered by the Company, which may put us at a competitive disadvantage relative to companies with more extensive product lines;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third-party payors to deny reimbursement of or delay coverage decisions regarding BRIUMVI or following approval of any product candidates;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maintain a healthcare compliance program including effective mechanisms for compliance monitoring;</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establish and maintain commercial partnerships outside the U.S.;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or the inability of a third party with whom we have partnered, to maintain the necessary regulatory approvals required to operate in markets outside of the U.S.;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product availability for commercial sale following approval and continued product supply;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costs and expenses associated with creating a commercialization 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have entered into a Commercialization Agreement, and may enter into additional agreements in the future, that facilitate commercialization of BRIUMVI and/or future products that receive approval in markets outside the U.S. through partnerships. On February 26, 2024, BRIUMVI was first made available in the European market by Neuraxpharm in Germany and is now commercially available in several other jurisdictions outside of the U.S.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Product liability lawsuits against us could cause us to incur substantial liabilities and could limit commercialization of any drug candidates that we may develop.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any products that we may commercialize;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 and significant negative media attention;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clinical trial participants;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costs to defend the related litigation, including the risk that any individuals who may face such related litigation may in turn seek to recover from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trial participants or patients;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loss of revenue;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commercialize any products or product candidates that we may develop.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Any contracts that we enter into with government entities may involve future funding and compliance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the current U.S. political environment, there is significant uncertainty with respect to legislation, regulation and policy throughout the government. Policy changes, shifts in international and trade relations, budget uncertainty, shifting funding priorities, U.S. government shutdowns or the need to operate under continuing resolutions, the failure of the U.S. government to manage debt, the failure of the U.S. government to approve budgets, and/or other disruptions to federal government operations could result in contract terminations, delays in contract awards, reduction in contract scope, the failure to exercise contract options, the cancellation of planned procurements and fewer new business opportunities, all of which could have a material and adverse effect on our business, financial condition, and results of operations.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Financial Position and Need for Additional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incurred substantial operating losses since our inception, and we may incur losses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Our transition to a company capable of supporting commercial activities in the U.S. and outside the U.S. involves a wide variety of risks, and we may not be successful in such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inception, 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Since inception, we have incurred substantial operating losses. Substantially all our operating losses have resulted from costs incurred in connection with our research and development programs and from selling, general and administrative costs associated with our operations, including our commercialization activities. BRIUMVI is currently our only marketed product.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a net profit. We may not be able to sustain or increase our profitability on a quarterly or annual basis. Our ability to become profitable depends upon our ability to generate substantial revenue. Our prior losses have had and will continue to have an adverse effect on our stockholders’ deficit and working capital should we be unable to maintain profitability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become and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and operating expenses projections or guidance with respect to BRIUMVI or our product candidates, if approved. To obtain significant and sustained revenues and meet our revenue and operating expenses projections or guidance, we must succeed, either alone or with others, in (i) obtaining and maintaining regulatory approval for our products and product candidates; and (ii) manufacturing, marketing and selling our product and product candidates. Our ability to generate sustained revenue depends on a number of factors, including, but not limited to, our ability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complete clinical trials that meet their clinical endpoints;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and successfully complete all safety, pharmacokinetic, biodistribution, and non-clinical studies required to obtain U.S. and non-U.S. marketing approval for our product and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approval from the FDA and comparable regulatory authorities outside of the U.S. to market and sell our product and product candidates, and maintain FDA and other global approvals of BRIUMVI for RMS;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and maintain commercial manufacturing capabilities with third parties that are satisfactory to the regulatory authorities, cost effective, and that are capable of providing commercial supply of our product and product candidates;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expand on our commercialization infrastructure to commercialize BRIUMVI, and/or entering into collaborations with third parties;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develop, maintain, protect, and defend our intellectual property portfolio;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 market acceptance of BRIUMVI and any other products for which we may receive regulatory approval in the medical community and with third-party payors.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are unable to generate significant and sustained revenues, we will not become or remain profitable and we will be unable to continue our operations without continued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While we do not expect to need to raise additional capital, we may need to do so. If we are unable to raise capital, if needed, we may be required to delay, limit, reduce or eliminate some of our drug development programs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development of pharmaceuticals is capital-intensive. We are also continuing to generate additional clinical data for BRIUMVI to support and potentially expand commercial adoption, including our Open-Label Extension of the Phase 3 ULTIMATE I and II trials, Phase 3 trial to evaluate subcutaneous ublituximab, Phase 3b ENHANCE trial, the Phase 4 ENABLE real-world observational study and additional Phase 4 clinical studies necessary to satisfy post-approval commitments for regulatory authorities. Moreover, we expect to continue to incur significant research and development expenses, as well as significant commercialization and outsourced manufacturing expenses as we continue to commercialize BRIUMVI and continue to advance our clinical trials to evaluate subcutaneous ublituximab, optimize intravenous BRIUMVI for patients with RMS, and evaluate BRIUMVI in other autoimmune diseases and azer-cel for the treatment of primary progressive 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 and timing of our future funding requirements will depend on many factors,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success of the ongoing commercialization of BRIUMVI and any other products for which we receive regulatory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timing of clinical and commercial manufacturing supply arrangements for each product and product candidate;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expanding our sales, distribution, and other commercialization capabilities;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timing of regulatory approvals;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progress of our clinical trials, including expenses to support the trials and milestone payments that may become payable under our license agreements;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and maintain strategic collaborations, including licensing and other arrangements;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enforcing or defending patent claims or other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in-license or invest in other indications or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regulatory authority outside of the U.S.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Raising additional capital may cause dilution to our stockholders, restrict our operations or require us to relinquish rights to our technologies or drug candidates and occupy valuable management time and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our term loan facility of $250 million pursuant to the financing agreement, dated August 2, 2024, that we entered into with Blue Owl Capital Corporation, as administrative agent, HealthCare Royalty and Blue Owl Capital (the Financing Agreement) (</w:t>
      </w:r>
      <w:r>
        <w:rPr>
          <w:rFonts w:ascii="Times New Roman" w:hAnsi="Times New Roman"/>
          <w:i/>
          <w:caps w:val="false"/>
          <w:smallCaps w:val="false"/>
          <w:sz w:val="20"/>
        </w:rPr>
        <w:t>see</w:t>
      </w:r>
      <w:r>
        <w:rPr>
          <w:rFonts w:ascii="Times New Roman" w:hAnsi="Times New Roman"/>
          <w:caps w:val="false"/>
          <w:smallCaps w:val="false"/>
          <w:sz w:val="20"/>
        </w:rPr>
        <w:t xml:space="preserve"> Note 7 – Loan Payable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Due to limited resources, we may fail to capitalize on programs or product candidates that may present a greater commercial opportunity or for which there is a greater likelihood of success.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level of indebtedness and debt service obligations could adversely affect our financial condition and may make it more difficult for us to fund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 2024, we entered into a term loan facility of $250 million (the Initial Term Loan) with Blue Owl Capital Corporation, as administrative agent, HealthCare Royalty and Blue Owl Capital. The Initial Term Loan is governed by the Financing Agreement, which provides for (i) a single draw of the Initial Term Loan on the Closing Date and (ii) an uncommitted additional facility in an aggregate principal amount of $100 million (</w:t>
      </w:r>
      <w:r>
        <w:rPr>
          <w:rFonts w:ascii="Times New Roman" w:hAnsi="Times New Roman"/>
          <w:i/>
          <w:caps w:val="false"/>
          <w:smallCaps w:val="false"/>
          <w:sz w:val="20"/>
        </w:rPr>
        <w:t>see</w:t>
      </w:r>
      <w:r>
        <w:rPr>
          <w:rFonts w:ascii="Times New Roman" w:hAnsi="Times New Roman"/>
          <w:caps w:val="false"/>
          <w:smallCaps w:val="false"/>
          <w:sz w:val="20"/>
        </w:rPr>
        <w:t xml:space="preserve"> Note 7 – Loan Payable to our consolidated financial statements for more information).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obligations under the Financing Agreement are secured by a lien on substantially all of assets of our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540"/>
        <w:jc w:val="both"/>
        <w:rPr>
          <w:rFonts w:ascii="Times New Roman" w:hAnsi="Times New Roman"/>
          <w:caps w:val="false"/>
          <w:smallCaps w:val="false"/>
          <w:sz w:val="20"/>
        </w:rPr>
      </w:pPr>
      <w:r>
        <w:rPr>
          <w:rFonts w:ascii="Times New Roman" w:hAnsi="Times New Roman"/>
          <w:caps w:val="false"/>
          <w:smallCaps w:val="false"/>
          <w:sz w:val="20"/>
        </w:rPr>
        <w:t>To the extent additional debt is added to our current debt levels, the risks described above could increase, including in the ways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will need to repay the indebtedness by making payments of interest and principal, which will reduce the amount of money available to finance our operations, our research and development efforts and other general corporate activities;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additional debt is added to our current debt levels, the risks described above could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have cash available in an amount sufficient to enable us to make interest or principal payments on our indebtedness when due.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its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Financing Agreement imposes operating and other restrictions on us. Such restrictions will affect, and in many respects limit or prohibit, our ability and the ability of any future subsidiary to, among other things (subject to the exceptions provided for in the Financing Agreement):</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dispose of certain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 its lines of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mergers, acquisitions, joint ventures or consolidations;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incur additional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create liens on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dividends and make contributions or repurchase our capital stock;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certain transactions with affiliates.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breach of any of these restrictive covenants could have a material adverse effect on our business and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cash and cash equivalents could be adversely affected if the financial institutions in which we hold our cash and cash equivalents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regularly maintain cash balances at third-party financial institutions in excess of the FDIC insurance limit. Any failure of such depository institution to return any of our deposits upon a liquidation of such institution, or any other adverse conditions in the financial or credit markets affecting depository institutions, could impact access to our invested cash or cash equivalents and could adversely impact our operating liquidity and financial performance.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Drug Development and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maintain or obtain regulatory approval for our product and product candidates and ultimately cannot successfully commercialize our product or product candidates, or experience significant delays in doing so, our business will be materially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completion of our clinical programs with positive results that support a finding of effectiveness and an acceptable safety profile of our product candidates in the intended populations within the timeframes we have projected;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Investigational New Drug Applications (INDs) and clinical trial applications (CTAs), being cleared/issued/approved such that our product candidates can commence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initiation and completion of preclinical studies and successful initiation of, enrollment in, and completion of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sufficiency of our financial and other resources to complete the necessary preclinical studies and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regulatory approvals from applicable regulatory authorities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commercially viable arrangements with third-party manufacturers for clinical supply and commercial manufacturing;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patent and trade secret protection or regulatory exclusivity for our product candidates.</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hAnsi="Times New Roman"/>
          <w:caps w:val="false"/>
          <w:smallCaps w:val="false"/>
          <w:sz w:val="20"/>
        </w:rPr>
        <w:t>“</w:t>
      </w:r>
      <w:r>
        <w:rPr>
          <w:rFonts w:ascii="Times New Roman" w:hAnsi="Times New Roman"/>
          <w:b/>
          <w:i/>
          <w:caps w:val="false"/>
          <w:smallCaps w:val="false"/>
          <w:sz w:val="20"/>
        </w:rPr>
        <w:t>top-line,</w:t>
      </w:r>
      <w:r>
        <w:rPr>
          <w:rFonts w:ascii="Times New Roman" w:hAnsi="Times New Roman"/>
          <w:caps w:val="false"/>
          <w:smallCaps w:val="false"/>
          <w:sz w:val="20"/>
        </w:rPr>
        <w:t xml:space="preserve">” </w:t>
      </w:r>
      <w:r>
        <w:rPr>
          <w:rFonts w:ascii="Times New Roman" w:hAnsi="Times New Roman"/>
          <w:b/>
          <w:i/>
          <w:caps w:val="false"/>
          <w:smallCaps w:val="false"/>
          <w:sz w:val="20"/>
        </w:rPr>
        <w:t>and preliminary data from our clinical trials that we announce or publish may change, or the perceived product profile may be negatively impacted, as more patient data or additional endpoints (including efficacy and safety) are analyzed.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Clinical drug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or that even with such replication marketing approval will be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Successful completion of our clinical trials is a prerequisite to submitting a New Drug Application (NDA) or a Biologics License Application (BLA) to the FDA or similar applications for marketing approval to comparable regulatory authorities outside of the U.S. for each product candidate and, consequently, the ultimate approval and commercial marketing of our product candidates. We do not know whether any of our ongoing or future clinical trials for our product candidates will be completed on schedule,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Whether or not, and if so,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may require us to submit additional data or impose other requirements before permitting us to initiate a clinical trial;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or institutional review boards (IRBs) or Data Safety Monitoring Boards (DSMBs) or ethics committees (ECs) may not authorize us or our investigators to commence or continue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of our drug candidates may produce negative or inconclusive results, and we may decide, or regulatory authorities may require us, to conduct additional preclinical studies or clinical trials or we may decide to abandon drug development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elect to or regulatory authorities or IRBs, DSMBs or ECs may require that we or our investigators suspend or terminate clinical research for various reasons, including noncompliance with regulatory requirements or a finding that the participants are being exposed to unacceptable health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clinical trials of our product candidates may be greater than we anticipate;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shifts in the regulatory focus of the U.S. government as a reflection of changing administrations;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in Russia and Ukraine and the Middle East, economic instability, or natural disasters;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revise the requirements applicable to our product candidates, or such requirements may not be as we anticipate;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product candidates may have undesirable side effects or other unexpected characteristics, causing us or our investigators, regulatory authorities, IRBs, DSMBs or ECs to suspend or terminate the trials, or reports may arise from preclinical or clinical testing of other therapies in the same or a similar class that raise safety or efficacy concerns about our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could encounter delays if a clinical trial is suspended or terminated by us, by the IRBs of the institutions in which such trials are being conducted, by the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delayed in obtaining marketing approval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obtain marketing approval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marketing approval in some countries and not others;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marketing approval for indications or patient populations that are not as broad as intended or desired;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post-marketing requirements or post-marketing commitments;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increased pricing pressure;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the drug removed from the market after obtaining marketing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Biologics carry unique risks and uncertainties, which could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product or product candidates may cause undesirable side effects that could delay or prevent their regulatory approval or impact their availability and commercial potential after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regulatory authorities outside of the U.S.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products or product candidates we may advance through clinical development are subject to extensive regulation, which can be costly and time consuming, cause unanticipated delays or prevent the receipt of the required approvals.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regulatory authorities outside of the U.S. in the timelines we project or at all, we may be unable to generate the revenues that we may project or generate revenues at levels sufficient to sustain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and regulatory authorities outside of the U.S.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some of our clinical trials may be conducted as open-label studies, meaning that trial participants, investigators, site staff, some employees of our CROs, and our field-level employees (including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us to withdraw a regulatory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reasons that the FDA or regulatory authorities around the world may delay, limit or deny approval of a product candidate,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demonstrate to the satisfaction of the FDA or comparable regulatory authorities outside of the U.S. that a product candidate is tolerable and effective for an indication;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may not accept clinical data from trials conducted by individual investigators or in countries where the standard of care or the patient population, is potentially different from that of the United States;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clinical trials may not meet the level of statistical significance required by the FDA or comparable regulatory authorities outside of the U.S. for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demonstrate that a product candidate’s clinical and other benefits outweigh its safety risks;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comparable regulatory authorities outside of the U.S. may disagree with our interpretation of data from preclinical studies and/or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data collected from clinical trials of our product candidates may not be sufficient to support the submission of a BLA, NDA or other marketing authorization submission to obtain regulatory approval in the United States or elsewhere;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comparable regulatory authorities outside of the U.S. may identify issues related to the manufacturing processes or facilities of third-party manufacturers with which we or our collaborators currently contract for clinical supplies and plan to contract for commercial supplies; during the course of review, the FDA or regulatory authorities outside of the U.S.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regulatory authorities outside of the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processes of the FDA or comparable regulatory authorities outside of the U.S. may significantly change in a manner rendering our clinical data insufficient for approval;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interruptions or delays in the operations of the FDA and regulatory authorities outside of the U.S. as a result of global health crises, inadequate government funding, political conditions or economic crises, international conflict, or natural disasters may negatively impact review, inspection, and approval timelines.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are currently focusing the majority of our efforts on maintaining approval, improving and commercializing BRIUMVI, developing subcutaneous ublituximab and developing azer-cel for particular indications. As a result, we may fail to capitalize on other indications or product candidates that may ultimately have proven to be more profitable.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focusing the majority of our resources and efforts on maintaining approval, improving and commercializing BRIUMVI and developing subcutaneous ublituximab and azer-cel for particular indications. As a result, we may forego or delay the pursuit of opportunities for other indications or with other product candidates that may have greater commercial potential. Our resource allocation decisions may cause us to fail to capitalize on viable commercial drugs or profitable market opportunities. If we do not accurately evaluate the commercial potential or target markets for BRIUMVI and our other product candidates,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 Breakthrough Therapy or Fast Track designation by the FDA may not actually lead to a faster development or regulatory review or approval process.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seek orphan drug designation for some of our drug candidates. However, we may be unsuccessful in obtaining or may be unable to maintain the benefits associated with orphan drug designation, including the potential for market exclusivity.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Regulatory authorities in some jurisdictions, including the United States,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if a product with an orphan drug designation subsequently receives the first marketing approval for the indication for which it has such designation, the product is entitled to a period of marketing exclusivity, which precludes FDA or other comparable regulatory authorities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our clinical studies with sites outside the United States may be adversely impacted by international conflict, including in Russia and Ukraine and in the Middle East. The conflict in Russia and Ukraine and its impact on neighboring countries may adversely affect clinical trial sites for our programs. While no clinical trials are currently enrolling patients in Russia or Ukraine,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other countries have imposed sanctions against Russia and other restrictions from doing business with certain Russian companies and financial institutions. Our ability to conduct clinical trials in Russia, Ukraine and elsewhere in the region may also become restricted under applicable sanctions laws. Geopolitical conflicts and related government responses have resulted in global economic instability, which could affect our supply chain and commercialization efforts. While we currently do not believe such conflicts will have a material impact on product development or our overall business, given the evolving situation and the related geopolitical and economic uncertainties, the full impact of the conflict remains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FDA and other comparable regulatory authorities outside of the U.S. may not accept data from trials conducted in locations outside of their respective jurisdictions.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been conducting, and may continue to conduct, clinical trials globally. The acceptance of study data by the FDA or other comparable regulatory authorities outside of the U.S.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U.S. or regulatory authority outside of the U.S. would accept data from trials conducted outside of its applicable jurisdiction. If the FDA or any applicable regulatory authority outside of the U.S.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Approval of one of our product candidates in the United States would not assure approval of that candidate in jurisdictions outside of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jurisdictions outside of the U.S.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jurisdiction outside of the U.S. on a timely basis, if at all. Failure to receive approval in certain markets outside of the U.S. could significantly impact the full market potential of our product and product candidates and may negatively impact the regulatory process in other countries. Furthermore, if we obtain regulatory approval for a product or product candidate in a jurisdiction outside of the U.S., we will be subject to the burden of complying with complex regulatory, legal, and other requirements that could be costly and could subject us to additional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limited experience in manufacturing products for clinical or commercial purposes. We currently do not have any manufacturing capabilities of our own. We have established a contract manufacturing relationship with Samsung Biologics for our primary clinical and commercial supply of BRIUMVI, and a secondary contract manufacturing relationship with FUJIFILM Diosynth Biotechnologies. As with any supply program, obtaining materials of sufficient quality and quantity to meet the requirements of the market demand for BRIUMVI and our development programs cannot be guaranteed and we cannot ensure that we will be successful in these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possible and commercially practicable, we plan to develop back-up strategies for raw materials and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the next several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All of these occurrences would be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Contract manufacturers are subject to ongoing periodic and unannounced inspections by the FDA, the Drug Enforcement Administration,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need to change manufacturers either before or after commercialization, the FDA and comparable regulatory authorities outside of the U.S.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w:t>
      </w:r>
      <w:r>
        <w:rPr>
          <w:rFonts w:ascii="Times New Roman" w:hAnsi="Times New Roman"/>
          <w:caps w:val="false"/>
          <w:smallCaps w:val="false"/>
          <w:sz w:val="20"/>
        </w:rPr>
        <w:t> </w:t>
      </w:r>
      <w:r>
        <w:rPr>
          <w:rFonts w:ascii="Times New Roman" w:hAnsi="Times New Roman"/>
          <w:b/>
          <w:i/>
          <w:caps w:val="false"/>
          <w:smallCaps w:val="false"/>
          <w:sz w:val="20"/>
        </w:rPr>
        <w:t>may be unable to successfully develop, obtain regulatory approval for, or commercialize a subcutaneous formulation of our approved intravenous product, which could limit our ability to expand our market opportunity and patient 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commenced patient enrollment in our Phase 3 trial evaluating subcutaneous (SubQ) formulation of ublituximab, which is approved in its intravenous (IV) form for the treatment of RMS. While IV BRIUMVI has demonstrated clinical benefit and gained commercial traction, development and commercialization of a SubQ version of ublituximab presents unique scientific, formulation, clinical, pharmacologic, manufacturing, regulatory, and operational challenges.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rely on the benefit and risk profile established for IV BRIUMVI in previously conducted pivotal clinical trials, the SubQ form of ublituximab requires optimization of pharmacokinetics to attain equivalent exposure to ensure that efficacy and safety are maintained at levels comparable to the approved IV formulation. Pharmacokinetic (PK) and pharmacodynamic (PD) effects may be reduced or altered when administered SubQ, which could create significant challenges in the development of a SubQ formulation of ublituximab. There is also a risk that systemic exposure, tissue distribution or tissue reactions differ in ways that lead to unforeseen efficacy issues, such as reduced clinical benefit or safety or tolerability issues, including injection site reactions or immunogenicity. Clinical development of a new formulation often takes place alongside process and formulation development, such that the form of the product evaluated in early-stage testing may not be the final form of the product evaluated in late-stage testing or intended to be commercialized, as is the case for SubQ ublituximab development. Furthermore, while early phase clinical trials can provide a general understanding of the bioavailability and tolerability of a SubQ product, they are limited in patient number and duration of follow-up, with the pivotal regimen determined through PK/PD modeling and projections. Such differences in safety, efficacy or PK/PD may not be observed until later stage clinical studies with the final formulation of SubQ ublituximab.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the development of a SubQ formulation, including SubQ ublituximab, typically requires additional clinical studies, including bridging studies and the use of delivery devices (e.g., auto-injectors or prefilled syringes), which may introduce new technical, supply chain, or regulatory challenges. Regulatory agencies may not consider bioequivalence sufficient for approval or may require additional data to demonstrate comparable effectiveness or safety, especially if the SubQ formulations have analytical differences. While the primary outcome of the pivotal clinical trial is to establish equivalent exposure, differences in other clinical properties including but not limited to PD effect, safety, tolerability, and immunogenicity may occur. In such cases, while the primary outcome of the clinical study may be met, regulatory agencies may still consider such a product not pharmaceutically equivalent.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SubQ formulation may involve higher concentration of the existing IV product, as in the case of SubQ ublituximab, which presents technical and analytical challenges. Concentrated products will have increased viscosity, which will result in decreased yield in the manufacturing process and may increase the cost of goods compared to that of IV BRIUMVI. The high concentration formulations currently under evaluation may not prove to be as stable as the IV BRIUMVI product. If the SubQ formulation is determined to have a shorter shelf life, we may require more inventory or reassess the commercial feasibility for distribution. and if a shorter shelf life is determined that may require either more inventory or even worse, may not be commercially feasible for distribution. Additionally, new supply chains have been and will continue to need to be developed, which adds complexity and magnifies the concerns around reliance on third parties, including establishing new vendors, their timeliness and quality of performance and potential for future supply constraints, and other limitations. Furthermore, the altered physical properties of the subcutaneous material have resulted in certain analytical differences from IV BRIUMVI that may require the development of new analytical methods for product characterization and release, if the current analytical methods used for IV BRIUMVI prove to be inadequate to characterize SubQ ublituximab. Analytical method development is a complex task that has both technical and regulatory implications, and there can be no assurances given that such development will be successful or be completed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approved, we cannot guarantee that the SubQ formulation of ublituximab will be successfully commercialized or achieve the same level of adoption as the IV formulation. Development, approval, and commercialization of the SubQ formulation of ublituximab will take considerable time and will be subject to completion with existing therapies and new therapies that may become available in the future. Failure to develop or obtain regulatory approval for a SubQ formulation, or to successfully commercialize it if approved, could materially limit our growth in markets that favor self-administration and reduce our competitive positioning relative to other self-administered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Governmental Regulation of Pharmaceutical Industry and Legal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subject to new legislation, regulatory proposals and third-party payor initiatives that may increase our costs of compliance and adversely affect our ability to market our products, obtain collaborators and raise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States, federal and state legislatures, health agencies and third-party payors continue to focus on containing the cost of healthcare and addressing public concern over access and affordability of prescription drugs. The Affordable Care Act (ACA)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Since its enactment, there have been judicial, executive and Congressional challenges to certain aspects of the ACA. The One Big Beautiful Bill Act (OBBBA) has enacted, among others, changes to eligibility requirements for premium tax credits, which is expected to result in less coverage in the ACA’s health insurance marketplace (Marketplace) over the next few years. The ACA premium tax credits will expire at the end of 2025, which is expected to result in an additional loss of coverage for approximately 24 million people currently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uncertain of the impact or outcome of potential executive orders, rescission of rules and policy statements, or new legislation to be enacted, especially with regards to the healthcare regulatory and policy landscape, or the impact they may have on our business. In addition, any significant spending reductions affecting Medicare, Medicaid or other publicly funded or subsidized health programs, or any significant taxes or fees imposed as part of any broader deficit reduction effort could have an adverse impact on our anticipated product revenues. There have been several recent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the Inflation Reduction Act (IRA) included, among other provisions, several measures intended to lower the cost of prescription drugs and related healthcare reforms. Among other things, the IRA requires manufacturers of certain drugs to engage in price negotiations with Medicare, imposes rebates under Medicare Part B and Medicare Part D to penalize price increases that outpace inflation, and replaces the Part D coverage gap discount program with a new discounting program. To date, CMS has selected ten Medicare Part D drugs with prices to go into effect on January 1, 2026 and another 15 Part D drugs with prices to go into effect on January 1, 2027. Another 15 drugs from Medicare Part B or Medicare Part D will be selected by February 1, 2026, for the maximum price to be set and in effect by January 1, 2028.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and letters have been sent to pharmaceutical companies demanding further reduced prices more in line with Most Favored Nation pricing.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continue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Individual states are experiencing significant economic pressure within their respective Medicaid programs and responding to public concern over the cost of healthcare. Several states have responded to these pressures with a range of legislative enactments and policy proposals designed to control prescription drug prices by, for example, allowing importation of pharmaceutical products from jurisdictions outside the U.S., imposing Prescription Drug Affordability Boards, some with the ability to impose price controls on state drug purchases, and imposing transparency measures around prescription drug prices and marketing costs. These measures, which vary by state, could reduce the ultimate demand for our products, if approved, or put pressure on our product net pricing.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also a great degree of uncertainty regarding how the recent U.S. Supreme Court decisions, including Loper Bright Enterprises v. Raimondo and Corner Post, Inc. v. Board of Governors of the Federal Reserve System, will impact FDA’s enforcement and decision-making authority of regulatory agencies, including those of the FDA. Loper Bright explicitly overturned Chevron deference, which previously gave judicial deference to administrative action by agencies in the executive branch. Further, the Supreme Court’s decision in Corner Post may result in challenges to FDA decisions by new litigants long into the future, resulting in greater uncertainty about our continued operations. In February 2025, an executive order was signed asserting greater authority over all federal agencies, including those established by Congress as independent from direct presidential control. The executive order may lead to delays, if not cancellations, of pending and proposed regulations at federal agencies and introduces uncertainty as it subjects all significant regulatory actions by the agencies to the President’s supervision and control. We cannot predict the impact that such executive order, any future executive orders or legislation implementing executive orders may have on our business or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discount program, recent legislative proposals, as well as judicial challenges to policies of the Department of Health and Human Services (HHS),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It is not possible at this time to determine whether changes in the administration may change the regulatory focus and/or implementation of any regulations, policies or reforms.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generate revenues and achieve or maintain profitability;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demand for any products for which we may obtain regulatory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set a price that we believe is fair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level of taxes that we are required to pay;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Significant workforce reductions and reorganizations at several U.S. health agencies, including the FDA, the HHS, the Centers for Disease Control and Prevention and the National Institutes of Health, have impacted, and may continue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Disruptions at the FDA and other agencies may also extend the time necessary for new drugs to be reviewed and/or approved by necessary government agencies, which would adversely affect our business. For example, over the last several years, the U.S. government shut down several times and certain regulatory agencies, such as the FDA and the SEC, had to furlough critical employees and stop critical activities. If a prolonged government shutdown occurs, it could significantly impact the ability of the FDA to review and process our regulatory submissions in a timely matter,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the approval of BRIUMVI in the U.S. and outside the U.S.,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HIPAA, as amended by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wide range of federal and state consumer protection and unfair competition laws, which broadly regulate marketplace activities and activities that potentially harm consumers including those related to privacy;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FDCA and its implementing regulations, which among other things, strictly regulate drug product marketing and prohibit manufacturers from promotion and marketing of products prior to approval or for uses inconsistent with the FDA-required labeling;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Drug Supply Chain Security Act (DSCSA), which imposes obligations on entities in the commercial product supply chain, including manufacturers, to identify and track prescription drugs as they are distributed in the U.S.;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marketing restrictions and state laws governing the privacy and security of health information in certain circumstances, many of which differ from each other in significant ways and often are not preempted by federal laws, thus complicating compliance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violate applicable data privacy and security laws, we may be subject to penalties, including civil and criminal penalties, damages, fines, reputation harm and the curtailment or restructuring of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United States, HIPAA, as amended by HITECH,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and health information more generally, is considered sensitive data that merits stronger safeguards. States may also impose requirements. For example, the California Consumer Privacy Act of 2018 (CCPA) created data privacy obligations for covered companies and provides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Privacy Rights Act of 2020 (CPRA) significantly expanded the CCPA to grant additional rights to California residents and established a new California data protection agency authorized to issue substantive regulations and could result in increased privacy and information security enforcement. Data privacy and cybersecurity are also areas of increasing state legislative focus. Among other things, these state-specific laws create new data privacy obligations for covered companies and provide new privacy rights to state residents, including the right to opt out of certain disclosures of their information. Draft regulations implementing certain of the state statutes have been published, but many questions remain as to how all of the new statutes will be interpreted. These laws are rapidly changing, and tracking, analyzing and complying with such laws require significant time and expenses and can materially impact our business. We cannot predict where new legislation might arise, the scope of such legislation, or the potential impact to our business and operations. New federal and state laws and regulations that may be enacted in the future may require us to modify our data processing practices and policies, incur substantial compliance-related costs and expenses, and otherwise suffer adverse impacts on our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Numerous other jurisdictions regulate the privacy and security of personal data. For example, the processing of personal data in the European Economic Area (EEA), is subject to the General Data Protection Regulation (GDPR).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may lead to increased scrutiny on data transfers from the EEA to the U.S. generally and increase our costs of compliance with data privacy legislation.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experience a reportable data breach that is subject to any data privacy and security laws or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our reputation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directly or through our third-party service providers, may adopt, use or incorporate artificial intelligence (AI) technology and capabilities</w:t>
      </w:r>
      <w:r>
        <w:rPr>
          <w:rFonts w:ascii="Times New Roman" w:hAnsi="Times New Roman"/>
          <w:caps w:val="false"/>
          <w:smallCaps w:val="false"/>
          <w:sz w:val="20"/>
        </w:rPr>
        <w:t> </w:t>
      </w:r>
      <w:r>
        <w:rPr>
          <w:rFonts w:ascii="Times New Roman" w:hAnsi="Times New Roman"/>
          <w:b/>
          <w:i/>
          <w:caps w:val="false"/>
          <w:smallCaps w:val="false"/>
          <w:sz w:val="20"/>
        </w:rPr>
        <w:t>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w:t>
      </w:r>
      <w:r>
        <w:rPr>
          <w:rFonts w:ascii="Times New Roman" w:hAnsi="Times New Roman"/>
          <w:caps w:val="false"/>
          <w:smallCaps w:val="false"/>
          <w:sz w:val="20"/>
        </w:rPr>
        <w:t> </w:t>
      </w:r>
      <w:r>
        <w:rPr>
          <w:rFonts w:ascii="Times New Roman" w:hAnsi="Times New Roman"/>
          <w:b/>
          <w:i/>
          <w:caps w:val="false"/>
          <w:smallCaps w:val="false"/>
          <w:sz w:val="20"/>
        </w:rPr>
        <w:t>technology may adversely affect our business and operations and potentially expose us to increasing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directly or through our third-party service providers, may adopt, use or incorporate AI technology and capabilities into information technology systems or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such requirements may have on our business and may not always be able to anticipate how to respond to these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there is currently no comprehensive federal legislation in the U.S. that regulates the development or use of AI, several governmental agencies in the U.S. and non-U.S. jurisdictions have proposed or enacted laws regulating AI technologies by setting out principles intended to guide AI design and deployment for the public and private sectors and signaling the increase in government involvement and regulation over AI technologies. The significant increase in companies that have incorporated the use of AI in their businesses has also increased the SEC’s focus on AI-washing as a key enforcement priority. In May 2024, the European Union legislators approved the EU Artificial Intelligence Act (EU AI Act), which establishes a comprehensive, risk-based governance framework for AI in the EU market. The majority of the substantive requirements of the EU AI Act are not enforceable yet and are expected to apply from August 2, 2026. In July 2025, the EU published a voluntary AI Code of Practice, which is intended to guide developers of AI systems in complying with the EU AI Act and avoid potential penalties. The EU AI Act, and developing interpretation and application of the GDPR in respect of automated decision making, together with developing guidance and/or decisions in the impact of AI technology on data privacy, may affect our use of AI technologies and our ability to provide, improve or commercialize our business,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use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adequately understand and comply with the local laws and customs as we expand into new international markets, these operations may incur losses or otherwise adversely affect our business and results of operations.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regulatory authorities outside of the U.S.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the EU, including applicable export control regulations (focusing on national security-related technologies, including biotechnology),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may also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 for which we obtain marketing approval, including BRIUMVI, could be subject to restrictions or withdrawal from the market and we may be subject to penalties if we fail to comply with regulatory requirements or if we experience unanticipated problems with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outside of the U.S.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comply with these regulatory requirements or later discovery of previously unknown problems with products, manufacturers, or manufacturing processes, may result in actions such as:</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product manufacturing, distribution or use;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the labeling or marketing of a product;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requirements to conduct post-marketing studies or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warning letters or other advisory actions;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request for withdrawal of the products from the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refusal to approve pending applications or supplements to approved applications that we or our subsidiaries submit;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recalls;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suspension or termination of ongoing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fines, restitutions, or disgorgement of profits or revenues;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refusal to permit the import or export of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seizure or detentions;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injunctions or the imposition of civil or criminal penalties;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or any of our contract manufacturers and suppliers fail to comply with environmental, health and safety laws and regulations, we could become subject to fines or penalties or incur costs that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Dependence on Third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regulatory authorities outside of the U.S.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regulatory authorities outside of the U.S.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within certain timeframes. Failure to do so can result in fines, adverse publicity and civil and criminal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staffing difficulties;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 to comply with contractual obligations;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regulatory compliance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undergo changes in priorities or become financially distressed;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relationships with other entities, some of which may be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facilities used by contract manufacturers to manufacture, test, package, and label our product and product candidates typically undergo periodic inspections by the FDA or a comparable regulatory authority outside of the U.S. to verify compliance with applicable cGMP regulations. Additional inspections may be conducted after we submit our marketing applications to or receive marketing approval from the FDA or a comparable regulatory authority outside of the U.S.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reliance on third-party manufacturers entails additional risks, including:</w:t>
      </w:r>
    </w:p>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60"/>
        <w:gridCol w:w="170"/>
        <w:gridCol w:w="9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reliance on the third party for regulatory compliance and quality assurance;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breach of the manufacturing, supply or quality agreement by the third party;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misappropriation of our proprietary information, including our trade secrets and know-how;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termination or nonrenewal of the agreement by the third party at a time that is costly or inconvenient for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us.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global health crises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Because we have in-licensed BRIUMVI and our product candidates from third parties, any dispute with or non-performance by our licensors will adversely affect our ability to develop and commercialize the applicable product or product candidate.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of rights granted under the license agreement and other interpretation-related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our technology and processes infringe on intellectual property of the licensor that is not subject to the license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sublicensing of patent and other rights under our collaborative development relationships and obligations associated with sublicensing;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diligence obligations under the license agreement and what activities satisfy those diligence obligations;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ownership of inventions and know-how resulting from the joint creation or use of intellectual property by our licensors and us and our partners;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priority of invention of patented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conflicts arise between us and our future collaborators or strategic partners, these parties may act in a manner adverse to us and could limit our ability to implement our strategies.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28, 2023, we entered into a Commercialization Agreement (the Commercialization Agreement) with Neuraxpharm Pharmaceuticals, S.L. (Neuraxpharm), pursuant to which Neuraxpharm has the right to commercialize BRIUMVI in certain markets outside of the U.S. On February 26, 2024, BRIUMVI was first made available in the European market by Neuraxpharm in Germany and is now commercially available in several other countries in the European Union and the United Kingdom. In addition to the Commercialization Agreement, we may enter into collaboration arrangements with other collaboration and commercialization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a number of risks associated with our dependence on our relationships with our collaboration and commercialization partners,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our collaboration and commercialization partners to terminate their collaboration or commercialization agreements with us for reasons specified in the collaboration or commercialization agreements, including our breach;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decisions by a collaboration or commercialization partner regarding the amount and timing of resource expenditures for the commercialization, distribution, and sale of our drug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perform its duties under its agreement with us, including failure to comply with regulatory requirements which may disrupt its performance of its obligations under the agreement with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collaboration or commercialization partners’ and their affiliates’ development and commercialization of products that compete directly or indirectly with our products or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a collaboration or commercialization partner to prioritize others of its current or future products more highly than our drug products or our product candidates when it performs its duties;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disagreements with a collaboration or commercialization partner as to the timing, nature and extent of our development plans or distribution and sales and marketing plans;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 Commercialization Agreement contains provisions that allow for dispute resolution, arbitration, and/or termination of the agreement by us in the event of a breach by Neuraxpharm, there can be no assurance that we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seek to establish additional collaborations, and if we are not able to establish them on commercially reasonable terms, we may have to alter our development and commercialization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or comparable regulatory authority outside of the U.S.,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Risks Related</w:t>
      </w:r>
      <w:r>
        <w:rPr>
          <w:rFonts w:ascii="Times New Roman" w:hAnsi="Times New Roman"/>
          <w:caps w:val="false"/>
          <w:smallCaps w:val="false"/>
          <w:sz w:val="20"/>
          <w:u w:val="single"/>
        </w:rPr>
        <w:t> </w:t>
      </w:r>
      <w:r>
        <w:rPr>
          <w:rFonts w:ascii="Times New Roman" w:hAnsi="Times New Roman"/>
          <w:b/>
          <w:caps w:val="false"/>
          <w:smallCaps w:val="false"/>
          <w:sz w:val="20"/>
          <w:u w:val="single"/>
        </w:rPr>
        <w:t xml:space="preserve">to 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r>
        <w:rPr>
          <w:rFonts w:ascii="Times New Roman" w:hAnsi="Times New Roman"/>
          <w:caps w:val="false"/>
          <w:smallCaps w:val="false"/>
          <w:sz w:val="20"/>
        </w:rPr>
        <w:t xml:space="preserve"> </w:t>
      </w:r>
      <w:r>
        <w:rPr>
          <w:rFonts w:ascii="Times New Roman" w:hAnsi="Times New Roman"/>
          <w:b/>
          <w:i/>
          <w:caps w:val="false"/>
          <w:smallCaps w:val="false"/>
          <w:sz w:val="20"/>
        </w:rPr>
        <w:t>At the same time, if the scope of our patent protection is too broad, our competitors may challenge the validity and enforceability of our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risks and uncertainties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 applications that we or our licensors file may not issue as patent;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patents that may be issued or in-licensed may be challenged, invalidated, modified, revoked or circumvented, or otherwise may not provide any competitive advantage;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of March 16, 2013, the United States converted from a first-to-invent to a first-to-file system. If we do not win the filing race, we will not be entitled to inventive priority;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countries other than the United States may have less restrictive patent laws than those of the United States, allowing foreign competitors to exploit such less restrictive patent laws to make, use, and/or sell competing products in their respective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are not able to obtain patents that protect our product and product candidates, it could have a material adverse effect on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hAnsi="Times New Roman"/>
          <w:caps w:val="false"/>
          <w:smallCaps w:val="false"/>
          <w:sz w:val="20"/>
          <w:u w:val="single"/>
        </w:rPr>
        <w:t>,</w:t>
      </w:r>
      <w:r>
        <w:rPr>
          <w:rFonts w:ascii="Times New Roman" w:hAnsi="Times New Roman"/>
          <w:caps w:val="false"/>
          <w:smallCaps w:val="false"/>
          <w:sz w:val="20"/>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Patent protection and other intellectual property protection are crucial to the success of our business and prospects, and there is a substantial risk that such protections may prove inadequate.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do not obtain patent term extensions under the Hatch-Waxman Act and similar foreign legislation extending the terms of our licensed patents and any future patents we may own, our business may be materially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permits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enforce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involved in lawsuits to protect or enforce our patents or the patents of our licensors, which could be expensive, time consuming and unsuccessful.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or our partners are sued for infringing intellectual property rights of third parties, it will be costly and time consuming, and an unfavorable outcome in that litigation would have a material adverse effect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products or product candidates that we may in-license or acquire could be subject to similar risks and uncertainties.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need to license certain intellectual property from third parties, and such licenses may not be available or may not be available on commercially reasonable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our business and competitive position may be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damages resulting from claims that we or our employees have wrongfully used or disclosed alleged trade secrets of our competitors or are in breach of non-competition or non-solicitation agreements with our competitors.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Business Organization and Governance, Strategy, Employees and Growth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keep key management, commercial, and clinical development personnel, we may be unable to successfully develop or commercialize our product and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will need to develop and expand our business, and we may encounter difficulties in managing this development and expansion, which could disrupt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October 31, 2025, we had 374 employees. To manage our anticipated future growth and focus in the neurological and immunological fields,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the neurological and immunological fields,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anti-takeover provisions in our governing documents and Delaware law could make a third-party acquisition of us difficult. This could limit the price investors might be willing to pay in the future for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a result, if we earn net taxable income, our ability to use our pre-change net operating loss carryforwards to offset our taxable income may be subject to limitations. Similar provisions of state tax law may also apply to limit our use of accumulated state tax attributes. Accordingly, even if we attain profitability, we may be unable to use a material portion of our net operating loss carryforwards and other tax attributes, which could adversely affect our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of our executive officers, directors, principal stockholders and their affiliates maintain the ability to exercise significant influence over our company and all matters submitted to stockholders for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delaying, deferring or preventing a change of control of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impeding a merger, consolidation, takeover or other business combination involving us;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discouraging a potential acquirer from making a tender offer or otherwise attempting to obtain control of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internal information technology systems, or those of our third-party CROs, CMOs, or other contractors or consultants, may fail or suffer security breaches, which could result in a material disruption of our drug candidates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development programs and our commercialization of any products for which we receive regulatory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Despite the implementation of security measures, our internal information technology systems and those of our third-party CROs, CMOs, and other contractors and consultants are vulnerable to damage from unauthorized access, security breach or incidents, natural disasters, terrorism, war and telecommunication and electrical failures. Security breaches include, but are not limited to, deployment of harmful malware, ransomware, denial-of-service attacks, social engineering and other means to affect service reliability and threaten the confidentiality, integrity and availability of our and our third-party service providers’ systems and the information on such systems. Security breaches can also include phishing attempts or e-mail fraud to cause unauthorized payments or information to be transmitted to an unintended recipient, or to permit unauthorized access to systems. Although we have experienced security breaches in the past, the impact on our operations and financial condition has not been material. We expect such cybersecurity threats to continue and become more sophisticated. Threat actors, including nation state attackers, could also use AI for malicious purposes, increasing the frequency and complexity of their attacks. A significant security breach or incident could cause our systems to fail, compromise confidential information, or cause significant business interruptions, which could result in a material disruption of our operations, financial loss, or reputational harm. For example, the loss of clinical trial data for our drug candidates could result in delays in our regulatory approval efforts, violate healthcare privacy laws and regulations and significantly increase the cost of remediation.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Unfavorable global economic conditions could adversely affect our business, financial condition or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high inflation, restricted credit, poor liquidity, reduced corporate profitability, debt, equity and foreign exchange market volatility, bankruptcies, high interest rates, high unemployment rates and overall uncertainty with respect to the economy. In particular, fluctuating and/or high interest rates in the United States to respond to inflationary pressures and market volatility may result in a general economic downturn or recession, which could reduce our ability to raise additional capital when needed on acceptable terms, if at all, and negatively impact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Likewise, the capital and credit markets may be adversely affected by geopolitical conflicts and global sanctions imposed in response thereto. Other international events such as trade disputes, increased tariffs and countermeasures by affected countries, leadership changes and political and military conflicts could also adversely affect global financial activity and markets and could negatively affect the U.S. economy. The U.S. has imposed increased tariffs on certain countries, focusing on those with which it has the largest trade deficits. Other countries have responded, and may continue to respond, by announcing retaliatory tariffs on U.S. imports. In addition, the U.S. announced a 100% tariff, effective October 1, 2025, on any branded or patented pharmaceuticals imported into the U.S., unless the relevant drug manufacturer has or is in the process of building a manufacturing facility in the U.S. The imposition of such tariffs is currently delayed as the U.S. administration seeks to negotiate drug pricing agreements with large drug manufacturers. The outcome of such ongoing negotiations is currently unclear and the final terms and impact remain uncertain. Such tariffs could have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 The tariffs have disrupted, and may continue to disrupt, the global markets and escalate tensions between the U.S. and other countries. The extent of the impact of geopolitical conflicts, sanctions and increased tariffs on our business specifically, or on the U.S. market and global economy generally, are uncertain and unpredictable, and could adversely affect our business, financial condition and results of operations as well as impact our ability to raise capital. The United States may also enact other regulations or policies that affect trade or otherwise impact the pharmaceutical industry by restricting U.S. pharmaceutical companies from contracting with certain countries for the development, research or manufacturing of pharmaceutical products. Further,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While the results of this investigation are currently unknown, the investigation may result in additional tariffs and trade restrictions, which may adversely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For example, we have made a significant investment in direct-to-consumer (DTC) advertising for BRIUMVI, a highly regulated form of marketing subject to significant scrutiny from FDA and other regulatory bodies. Television advertising in particular has undergone increased scrutiny in light of recent political changes, and we, along with all sponsors of marketed drugs, have received notification from the FDA mandating compliance with applicable regulations. To date, while we believe that all of our marketing efforts, including our direct-to-consumer advertising, comply with FDA regulations, regulators may adopt a more conservative viewpoint on advertising or future regulations may be adopted which restrict or prohibit our ability to directly advertise to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acquire businesses or drugs, or form strategic alliances, in the future, and we may not realize the benefits of such acquisitions.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adverse legislative or regulatory tax changes that could negatively impact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For example, beginning in 2022, the Tax Cuts and Jobs Act of 2017 eliminated the option to deduct research and development expenditures in the year incurred and instead requires taxpayers to capitalize and subsequently amortize such expenditures over five years for research activities conducted in the United States and over 15 years for research activities conducted outside the United States.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changes in regulations or policies related to taxation and importation, including as a result of increased tariffs, could adversely impact the global economy and our operating results. To the extent that future U.S. tax policy changes have a negative impact on us, including as a result of related uncertainty, these changes could adversely impact our business, results of operations and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Common Stock and Being a Publicly Traded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stock price is, and we expect it to remain, volatile, which could limit investors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ability to sell our stock at a profit.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price of our common stock has been and is likely to continue to be highly volatile and subject to wide fluctuations in price in response to various factors, many of which are beyond our control. These factors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reception and success of BRIUMVI in the U.S.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reception and success of BRIUMVI in any jurisdiction outside of the U.S. in which it is currently approved, or in any other jurisdiction in which it might be approved or launched;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publicity regarding actual or potential clinical results relating to our product or products under development by our competitors or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 or failure in initiating, completing or analyzing nonclinical or clinical trials or the unsatisfactory design or results of these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achievement or rejection of regulatory approvals by us or our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or new commercial products by our competitors or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concerning proprietary rights, including patents;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concerning our collaborations;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by us or our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variations in our operating results due to the level of development expenses and other factors;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and trends in the pharmaceutical, biotechnology and other industries;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developments in the United States and foreign countries;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or arbitration;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political and market conditions or other crises and other external factors such as the disruptions in the global economy caused by global health crises and geopolitical conflicts in Russia and Ukraine and the Middle East;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period-to-period fluctuations in our revenues and other results of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meet our revenue projections or guidance;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financial estimates by securities analysts;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repurchase of shares of our common stock pursuant to our share repurchase program;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occurrences of any of the other risks described in this Quarterly Report on Form 10-Q.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not be able to control many of these factors, and we believe that period-to-period comparisons of our financial results will not necessarily be indicative of our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related to corporate social responsibility and reputational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reputation and the reputation of our brands, including the perception held by our customers, end-users, business partners, investors, other key stakeholders and the communities in which we do business are influenced by various factors. The impact of environmental, social and governance (ESG) regulations and policies may change customer preferences, demands and requirements, and if we are not able to meet changing expectations, our ability to compete may be adversely affected and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us or our brands could generate adverse publicity that could damage our reputation or the reputation of our brands. If we are unable to effectively manage real or perceived issues, including concerns about product quality, safety, corporate social responsibility or other ESG matters, sentiments toward us or our products could be negatively impacted, and our financial results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Climate change or legal, regulatory or market measures to address climate change may negatively affect our business, supply chain, results of operations, financial condition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climate change has the potential to negatively affect our business, results of operations, financial condition and growth prospects. The adverse impacts of climate change include (i) physical risks such as increased frequency and severity of natural disasters and extreme weather events such as hurricanes, tornados, wildfires (exacerbated by drought), flooding, and extreme heat, (ii) risks in transitioning to a low-carbon economy (such as additional legal or regulatory requirements, changes in technology, market risk and reputational risk) and (iii) social and human effects (such as population dislocations and harm to health and well-being).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we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long-term effects of climate change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may directly or indirectly incur. If the manufacturing facilities of our third-party manufacturers are unable to operate for any reason, even for a short period of time, any or all of our research and development programs or commercialization efforts may be harmed. Any material interruption could have a material and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New legal or regulatory requirements may also be enacted to prevent, mitigate, or adapt to the implications of a changing climate and its effects on the environment. These regulations, which may differ across jurisdictions, could result in our manufacturing partners being subject to new or expanded carbon pricing or taxes, increased compliance costs, restrictions on greenhouse gas emissions, investment in new technologies, increased carbon disclosure and transparency, upgrading of facilities to meet new building codes, and the redesign of utility systems, which could increase our third-party manufacturers’ operating costs, including the cost of electricity and energy used to develop our products. Our supply chain as a whole would likely be subject to these same transitional risks and would likely pass along any increased costs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pay dividends, if any, are limited, and our stockholders may not receive any return on investment unless they sell their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intend to retain all of our future earnings, if any, to finance the growth and development of our business. However, any future determination relating to the use of our future earnings, including the declaration, amount and payment of any future dividends on shares of our common stock,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we are currently restricted from paying cash dividends, and we expect these restrictions to continue in the future. Furthermore, the terms of any future debt agreements may continue to preclude us from paying dividends. As a result, our stockholders may not receive any return on investment unless they sell their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 active trading market for our common stock may not be sustained, and investors may not be able to resell their shares at or above the price they paid.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equity research analysts do not publish research or reports about our business or if they publish negative evaluations of or downgrade our common stock, the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relies in part on the research and reports that equity research analysts publish about us or our business. We do not control these analysts. If one or more of the analysts covering our business downgrade their 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incur significant increased costs as a result of operating as a public company, and our management is required to devote substantial time to compliance initiatives.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material weaknesses will not be identified when we test the effectiveness of our control systems. Our current controls and any new controls that we develop may become inadequate because of changes in conditions in our business. Further, weaknesses in our disclosure controls and internal control over financial reporting may be discovered in the future. 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In addition,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i/>
          <w:caps w:val="false"/>
          <w:smallCaps w:val="false"/>
          <w:sz w:val="20"/>
        </w:rPr>
        <w:t>Volatility in the price of our common stock may subject us to securities and shareholder derivative litigation, which could cause us to incur substantial costs and divert management</w:t>
      </w:r>
      <w:r>
        <w:rPr>
          <w:rFonts w:ascii="Times New Roman" w:hAnsi="Times New Roman"/>
          <w:caps w:val="false"/>
          <w:smallCaps w:val="false"/>
          <w:sz w:val="20"/>
        </w:rPr>
        <w:t>’</w:t>
      </w:r>
      <w:r>
        <w:rPr>
          <w:rFonts w:ascii="Times New Roman" w:hAnsi="Times New Roman"/>
          <w:b/>
          <w:i/>
          <w:caps w:val="false"/>
          <w:smallCaps w:val="false"/>
          <w:sz w:val="20"/>
        </w:rPr>
        <w:t>s attention, financial resources and other company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Future sales of our common stock, including by us or our directors and executive officers or shares issued upon the exercise of currently outstanding options, could cause our stock price to decline.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announced that we completed our previously authorized $100 million share repurchase program and our Board of Directors authorized a new share repurchase program of up to an additional $100 million of our outstanding shares of common stock.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 For more information about our share repurchase activities for the year ended December 31, 2024 and the periods ended March 31, 2025, June 30, 2025 and September 30, 2025, see the sections entitled “Purchases of Equity Securities by the Issuer and Affiliated Purchasers” in Part II, Item 5 of our Annual Report on Form 10-K and “Issuer Purchases of Equity Securities” in Part II, Item 2 of our Quarterly Reports on Form 10-Q.</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of any future share repurchases or share repurchase program authorizations.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unregistered"/>
      <w:bookmarkEnd w:id="18"/>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614"/>
        <w:gridCol w:w="1392"/>
        <w:gridCol w:w="1449"/>
        <w:gridCol w:w="2786"/>
        <w:gridCol w:w="2964"/>
      </w:tblGrid>
      <w:tr>
        <w:trPr/>
        <w:tc>
          <w:tcPr>
            <w:tcW w:w="10205" w:type="dxa"/>
            <w:gridSpan w:val="5"/>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tc>
      </w:tr>
      <w:tr>
        <w:trPr/>
        <w:tc>
          <w:tcPr>
            <w:tcW w:w="1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1392"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44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278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2964"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r>
      <w:tr>
        <w:trPr/>
        <w:tc>
          <w:tcPr>
            <w:tcW w:w="161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39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Number of Shares (or Units) Purchased</w:t>
            </w:r>
          </w:p>
        </w:tc>
        <w:tc>
          <w:tcPr>
            <w:tcW w:w="144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b/>
              </w:rPr>
            </w:pPr>
            <w:r>
              <w:rPr>
                <w:b/>
              </w:rPr>
              <w:t>Average Price Paid per Share (or Unit)</w:t>
            </w:r>
          </w:p>
        </w:tc>
        <w:tc>
          <w:tcPr>
            <w:tcW w:w="27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b/>
              </w:rPr>
            </w:pPr>
            <w:r>
              <w:rPr>
                <w:b/>
              </w:rPr>
              <w:t>Total Number of Shares (or Units) Purchased as Part of Publicly Announced Plans or Programs</w:t>
            </w:r>
          </w:p>
        </w:tc>
        <w:tc>
          <w:tcPr>
            <w:tcW w:w="296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Maximum Number (or Approximate Dollar Value) of Shares (or Units) that May Yet Be Purchased Under the Plans or Programs*</w:t>
            </w:r>
          </w:p>
        </w:tc>
      </w:tr>
      <w:tr>
        <w:trPr/>
        <w:tc>
          <w:tcPr>
            <w:tcW w:w="1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2025</w:t>
            </w:r>
          </w:p>
        </w:tc>
        <w:tc>
          <w:tcPr>
            <w:tcW w:w="1392"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99,000</w:t>
            </w:r>
          </w:p>
        </w:tc>
        <w:tc>
          <w:tcPr>
            <w:tcW w:w="144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$37.22</w:t>
            </w:r>
          </w:p>
        </w:tc>
        <w:tc>
          <w:tcPr>
            <w:tcW w:w="278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99,000</w:t>
            </w:r>
          </w:p>
        </w:tc>
        <w:tc>
          <w:tcPr>
            <w:tcW w:w="2964"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$74,557,178</w:t>
            </w:r>
          </w:p>
        </w:tc>
      </w:tr>
      <w:tr>
        <w:trPr/>
        <w:tc>
          <w:tcPr>
            <w:tcW w:w="161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1st to July 31th, 2025)</w:t>
            </w:r>
          </w:p>
        </w:tc>
        <w:tc>
          <w:tcPr>
            <w:tcW w:w="139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4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964"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2025</w:t>
            </w:r>
          </w:p>
        </w:tc>
        <w:tc>
          <w:tcPr>
            <w:tcW w:w="1392"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2,683,545</w:t>
            </w:r>
          </w:p>
        </w:tc>
        <w:tc>
          <w:tcPr>
            <w:tcW w:w="144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$28.99</w:t>
            </w:r>
          </w:p>
        </w:tc>
        <w:tc>
          <w:tcPr>
            <w:tcW w:w="278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2,683,545</w:t>
            </w:r>
          </w:p>
        </w:tc>
        <w:tc>
          <w:tcPr>
            <w:tcW w:w="2964"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161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1st to August 31st, 2025)</w:t>
            </w:r>
          </w:p>
        </w:tc>
        <w:tc>
          <w:tcPr>
            <w:tcW w:w="139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4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964"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2025</w:t>
            </w:r>
          </w:p>
        </w:tc>
        <w:tc>
          <w:tcPr>
            <w:tcW w:w="1392"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449"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2786"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2964"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$100,000,000</w:t>
            </w:r>
          </w:p>
        </w:tc>
      </w:tr>
      <w:tr>
        <w:trPr/>
        <w:tc>
          <w:tcPr>
            <w:tcW w:w="161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(September 1st to September 30th, 2025)</w:t>
            </w:r>
          </w:p>
        </w:tc>
        <w:tc>
          <w:tcPr>
            <w:tcW w:w="139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t> </w:t>
            </w:r>
          </w:p>
        </w:tc>
        <w:tc>
          <w:tcPr>
            <w:tcW w:w="144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t> </w:t>
            </w:r>
          </w:p>
        </w:tc>
        <w:tc>
          <w:tcPr>
            <w:tcW w:w="278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t> </w:t>
            </w:r>
          </w:p>
        </w:tc>
        <w:tc>
          <w:tcPr>
            <w:tcW w:w="2964" w:type="dxa"/>
            <w:tcBorders>
              <w:bottom w:val="single" w:sz="2" w:space="0" w:color="000000"/>
              <w:right w:val="single" w:sz="2" w:space="0" w:color="000000"/>
            </w:tcBorders>
            <w:tcMar>
              <w:top w:w="0" w:type="dxa"/>
              <w:left w:w="0" w:type="dxa"/>
            </w:tcMar>
            <w:vAlign w:val="center"/>
          </w:tcPr>
          <w:p>
            <w:pPr>
              <w:pStyle w:val="TableContents"/>
              <w:bidi w:val="0"/>
              <w:spacing w:before="0" w:after="0"/>
              <w:jc w:val="left"/>
              <w:rPr/>
            </w:pPr>
            <w:r>
              <w:rPr/>
              <w:t> </w:t>
            </w:r>
          </w:p>
        </w:tc>
      </w:tr>
      <w:tr>
        <w:trPr/>
        <w:tc>
          <w:tcPr>
            <w:tcW w:w="161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139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2,782,545</w:t>
            </w:r>
          </w:p>
        </w:tc>
        <w:tc>
          <w:tcPr>
            <w:tcW w:w="144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$29.28</w:t>
            </w:r>
          </w:p>
        </w:tc>
        <w:tc>
          <w:tcPr>
            <w:tcW w:w="278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2,782,545</w:t>
            </w:r>
          </w:p>
        </w:tc>
        <w:tc>
          <w:tcPr>
            <w:tcW w:w="296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fees are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 2024, the Company announced that its Board of Directors had authorized and approved the Prior Share Repurchase Program for up to $100 million of the currently outstanding shares of the Company’s common stock. Repurchases under the Prior Share Repurchase Program were made using open market purchases, privately negotiated transactions, block purchases or other methods in accordance with applicable federal securities laws, including Rule 10b-18 of the Exchange Act. The Prior Share Repurchase Program did not have a fixed expiration date, may be suspended or discontinued at any time, and did not obligate us to acquire any particular amount of common stock. On September 3, 2025, the Company announced the completion of the Prior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3, 2025, the Company announced that its Board of Directors had authorized and approved the 2025 Share Repurchase Program for up to $100 million of the currently outstanding shares of the Company’s common stock. Repurchases under the 2025 Share Repurchase Program may be made using open market purchases, privately negotiated transactions, block purchases or other methods in accordance with applicable federal securities laws, including Rule 10b-18 of the Exchange Act. The 2025 Share Repurchase Program does not have a fixed expiration date, may be suspended or discontinued at any time, and does not obligate us to acquire any particular amount of our common stock.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9" w:name="defaults"/>
      <w:bookmarkEnd w:id="19"/>
      <w:r>
        <w:rPr>
          <w:rFonts w:ascii="Times New Roman" w:hAnsi="Times New Roman"/>
          <w:b/>
          <w:caps w:val="false"/>
          <w:smallCaps w:val="false"/>
          <w:sz w:val="20"/>
        </w:rPr>
        <w:t>ITEM 3. DEFAULTS OF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0" w:name="mine"/>
      <w:bookmarkEnd w:id="2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otherinfo"/>
      <w:bookmarkEnd w:id="21"/>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Trading Plans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none of our directors or executive officers adopted or terminated any contract, instruction or written plan for the purchase or sale of the Company’s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22" w:name="exhibits"/>
      <w:bookmarkEnd w:id="22"/>
      <w:r>
        <w:rPr>
          <w:rFonts w:ascii="Times New Roman;Times;serif" w:hAnsi="Times New Roman;Times;serif"/>
          <w:b/>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exhibits listed on the Exhibit Index are included with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770" w:type="dxa"/>
            <w:tcBorders/>
            <w:vAlign w:val="center"/>
          </w:tcPr>
          <w:p>
            <w:pPr>
              <w:pStyle w:val="TableContents"/>
              <w:bidi w:val="0"/>
              <w:spacing w:before="0" w:after="283"/>
              <w:jc w:val="both"/>
              <w:rPr/>
            </w:pPr>
            <w:hyperlink w:anchor="ex_856461.htm">
              <w:r>
                <w:rPr>
                  <w:rStyle w:val="InternetLink"/>
                  <w:rFonts w:ascii="Times New Roman;Times;serif" w:hAnsi="Times New Roman;Times;serif"/>
                  <w:sz w:val="20"/>
                </w:rPr>
                <w:t xml:space="preserve">Certification of Chief Executive Officer pursuant to Rule 13a-14(a)/15d-14(a), as adopted pursuant to Section 302 of the Sarbanes-Oxley Act of 2002, dated </w:t>
              </w:r>
            </w:hyperlink>
            <w:hyperlink w:anchor="ex_856461.htm">
              <w:r>
                <w:rPr>
                  <w:rStyle w:val="InternetLink"/>
                  <w:rFonts w:ascii="Times New Roman;Times;serif" w:hAnsi="Times New Roman;Times;serif"/>
                  <w:sz w:val="20"/>
                </w:rPr>
                <w:t>November [5], 2025</w:t>
              </w:r>
            </w:hyperlink>
            <w:r>
              <w:rPr>
                <w:rFonts w:ascii="Times New Roman;Times;serif" w:hAnsi="Times New Roman;Times;serif"/>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770" w:type="dxa"/>
            <w:tcBorders/>
            <w:vAlign w:val="center"/>
          </w:tcPr>
          <w:p>
            <w:pPr>
              <w:pStyle w:val="TableContents"/>
              <w:bidi w:val="0"/>
              <w:spacing w:before="0" w:after="0"/>
              <w:ind w:left="0" w:right="0" w:hanging="0"/>
              <w:jc w:val="both"/>
              <w:rPr/>
            </w:pPr>
            <w:hyperlink w:anchor="ex_856462.htm">
              <w:r>
                <w:rPr>
                  <w:rStyle w:val="InternetLink"/>
                  <w:rFonts w:ascii="Times New Roman;Times;serif" w:hAnsi="Times New Roman;Times;serif"/>
                  <w:caps w:val="false"/>
                  <w:smallCaps w:val="false"/>
                  <w:sz w:val="20"/>
                </w:rPr>
                <w:t xml:space="preserve">Certification of Chief Financial Officer pursuant to Rule 13a-14(a)/15d-14(a), as adopted pursuant to Section 302 of the Sarbanes-Oxley Act of 2002, dated </w:t>
              </w:r>
            </w:hyperlink>
            <w:hyperlink w:anchor="ex_856462.htm">
              <w:r>
                <w:rPr>
                  <w:rStyle w:val="InternetLink"/>
                  <w:rFonts w:ascii="Times New Roman;Times;serif" w:hAnsi="Times New Roman;Times;serif"/>
                  <w:caps w:val="false"/>
                  <w:smallCaps w:val="false"/>
                  <w:sz w:val="20"/>
                </w:rPr>
                <w:t>November [5], 2025</w:t>
              </w:r>
            </w:hyperlink>
            <w:r>
              <w:rPr>
                <w:rFonts w:ascii="Times New Roman;Times;serif" w:hAnsi="Times New Roman;Times;serif"/>
                <w:caps w:val="false"/>
                <w:smallCaps w:val="false"/>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770" w:type="dxa"/>
            <w:tcBorders/>
            <w:vAlign w:val="center"/>
          </w:tcPr>
          <w:p>
            <w:pPr>
              <w:pStyle w:val="TableContents"/>
              <w:bidi w:val="0"/>
              <w:spacing w:before="0" w:after="0"/>
              <w:ind w:left="0" w:right="0" w:hanging="0"/>
              <w:jc w:val="both"/>
              <w:rPr/>
            </w:pPr>
            <w:hyperlink w:anchor="ex_856463.htm">
              <w:r>
                <w:rPr>
                  <w:rStyle w:val="InternetLink"/>
                  <w:rFonts w:ascii="Times New Roman;Times;serif" w:hAnsi="Times New Roman;Times;serif"/>
                  <w:caps w:val="false"/>
                  <w:smallCaps w:val="false"/>
                  <w:sz w:val="20"/>
                </w:rPr>
                <w:t xml:space="preserve">Certification of Chief Executive Officer pursuant to 18 U.S.C. 1350, as adopted pursuant to Section 906 of the Sarbanes-Oxley Act of 2002, dated </w:t>
              </w:r>
            </w:hyperlink>
            <w:hyperlink w:anchor="ex_856463.htm">
              <w:r>
                <w:rPr>
                  <w:rStyle w:val="InternetLink"/>
                  <w:rFonts w:ascii="Times New Roman;Times;serif" w:hAnsi="Times New Roman;Times;serif"/>
                  <w:caps w:val="false"/>
                  <w:smallCaps w:val="false"/>
                  <w:sz w:val="20"/>
                </w:rPr>
                <w:t>November [5], 2025</w:t>
              </w:r>
            </w:hyperlink>
            <w:r>
              <w:rPr>
                <w:rFonts w:ascii="Times New Roman;Times;serif" w:hAnsi="Times New Roman;Times;serif"/>
                <w:caps w:val="false"/>
                <w:smallCaps w:val="false"/>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770" w:type="dxa"/>
            <w:tcBorders/>
            <w:vAlign w:val="center"/>
          </w:tcPr>
          <w:p>
            <w:pPr>
              <w:pStyle w:val="TableContents"/>
              <w:bidi w:val="0"/>
              <w:spacing w:before="0" w:after="283"/>
              <w:jc w:val="both"/>
              <w:rPr/>
            </w:pPr>
            <w:hyperlink w:anchor="ex_856464.htm">
              <w:r>
                <w:rPr>
                  <w:rStyle w:val="InternetLink"/>
                  <w:rFonts w:ascii="Times New Roman;Times;serif" w:hAnsi="Times New Roman;Times;serif"/>
                  <w:sz w:val="20"/>
                </w:rPr>
                <w:t xml:space="preserve">Certification of Chief Financial Officer pursuant to 18 U.S.C. 1350, as adopted pursuant to Section 906 of the Sarbanes-Oxley Act of 2002, dated </w:t>
              </w:r>
            </w:hyperlink>
            <w:hyperlink w:anchor="ex_856464.htm">
              <w:r>
                <w:rPr>
                  <w:rStyle w:val="InternetLink"/>
                  <w:rFonts w:ascii="Times New Roman;Times;serif" w:hAnsi="Times New Roman;Times;serif"/>
                  <w:sz w:val="20"/>
                </w:rPr>
                <w:t>November [5], 2025</w:t>
              </w:r>
            </w:hyperlink>
            <w:r>
              <w:rPr>
                <w:rFonts w:ascii="Times New Roman;Times;serif" w:hAnsi="Times New Roman;Times;serif"/>
                <w:sz w:val="20"/>
              </w:rPr>
              <w:t>.</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financial information from the Company’s Quarterly Report on Form 10-Q for the period ended September 30, 2025, formatted in Inline Extensible Business Reporting Language (iXBRL): (i) 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tc>
      </w:tr>
      <w:tr>
        <w:trPr/>
        <w:tc>
          <w:tcPr>
            <w:tcW w:w="4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2000"/>
        <w:gridCol w:w="320"/>
        <w:gridCol w:w="3515"/>
      </w:tblGrid>
      <w:tr>
        <w:trPr/>
        <w:tc>
          <w:tcPr>
            <w:tcW w:w="2000"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 THERAPEUTICS, INC.</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68 </w:t>
      </w:r>
    </w:p>
    <w:p>
      <w:pPr>
        <w:pStyle w:val="TextBody"/>
        <w:bidi w:val="0"/>
        <w:spacing w:before="0" w:after="0"/>
        <w:ind w:left="0" w:right="0" w:hanging="0"/>
        <w:jc w:val="right"/>
        <w:rPr>
          <w:rFonts w:ascii="Times New Roman" w:hAnsi="Times New Roman"/>
          <w:b/>
          <w:caps w:val="false"/>
          <w:smallCaps w:val="false"/>
          <w:sz w:val="20"/>
        </w:rPr>
      </w:pPr>
      <w:bookmarkStart w:id="23" w:name="ex_856461.htm"/>
      <w:bookmarkStart w:id="24" w:name="ksex_856461"/>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S. Weiss, certify that:</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TG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000"/>
        <w:gridCol w:w="396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67692F20239121697128574157"/>
            <w:bookmarkEnd w:id="25"/>
            <w:r>
              <w:rPr>
                <w:rFonts w:ascii="Times New Roman" w:hAnsi="Times New Roman"/>
                <w:caps w:val="false"/>
                <w:smallCaps w:val="false"/>
                <w:sz w:val="20"/>
              </w:rPr>
              <w:t>November 5, 2025</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856462.htm"/>
      <w:bookmarkStart w:id="27" w:name="ksex_856462"/>
      <w:bookmarkEnd w:id="26"/>
      <w:bookmarkEnd w:id="2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Sean A. Power, certify that:</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TG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000"/>
        <w:gridCol w:w="351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8" w:name="led467692F20239121697128593353"/>
            <w:bookmarkEnd w:id="28"/>
            <w:r>
              <w:rPr>
                <w:rFonts w:ascii="Times New Roman" w:hAnsi="Times New Roman"/>
                <w:caps w:val="false"/>
                <w:smallCaps w:val="false"/>
                <w:sz w:val="20"/>
              </w:rPr>
              <w:t>November 5, 2025</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56463.htm"/>
      <w:bookmarkStart w:id="30" w:name="ksex_856463"/>
      <w:bookmarkEnd w:id="29"/>
      <w:bookmarkEnd w:id="3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EXECUTIVE OFFICER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TG Therapeutics, Inc. (the Company) on Form 10-Q for the period ended </w:t>
      </w:r>
      <w:bookmarkStart w:id="31" w:name="led467692F20239121697128614882"/>
      <w:bookmarkEnd w:id="31"/>
      <w:r>
        <w:rPr>
          <w:rFonts w:ascii="Times New Roman" w:hAnsi="Times New Roman"/>
          <w:caps w:val="false"/>
          <w:smallCaps w:val="false"/>
          <w:sz w:val="20"/>
        </w:rPr>
        <w:t>September 30, 2025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000"/>
        <w:gridCol w:w="396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2" w:name="led467692F20239121697128620838"/>
            <w:bookmarkEnd w:id="32"/>
            <w:r>
              <w:rPr>
                <w:rFonts w:ascii="Times New Roman" w:hAnsi="Times New Roman"/>
                <w:caps w:val="false"/>
                <w:smallCaps w:val="false"/>
                <w:sz w:val="20"/>
              </w:rPr>
              <w:t>November 5, 2025</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856464.htm"/>
      <w:bookmarkStart w:id="34" w:name="ksex_856464"/>
      <w:bookmarkEnd w:id="33"/>
      <w:bookmarkEnd w:id="34"/>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FINANCIAL OFFICER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TG Therapeutics, Inc. (the Company) on Form 10-Q for the period ended </w:t>
      </w:r>
      <w:bookmarkStart w:id="35" w:name="led467692F20239121697128640384"/>
      <w:bookmarkEnd w:id="35"/>
      <w:r>
        <w:rPr>
          <w:rFonts w:ascii="Times New Roman" w:hAnsi="Times New Roman"/>
          <w:caps w:val="false"/>
          <w:smallCaps w:val="false"/>
          <w:sz w:val="20"/>
        </w:rPr>
        <w:t>September 30, 2025 as filed with the Securities and Exchange Commission (the Report), I, Sean A. Power, Chief Financial Officer of the Company, certify, pursuant to 18 U.S.C. §1350, as adopted pursuant to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000"/>
        <w:gridCol w:w="351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6" w:name="led467692F20239121697128646131"/>
            <w:bookmarkEnd w:id="36"/>
            <w:r>
              <w:rPr>
                <w:rFonts w:ascii="Times New Roman" w:hAnsi="Times New Roman"/>
                <w:caps w:val="false"/>
                <w:smallCaps w:val="false"/>
                <w:sz w:val="20"/>
              </w:rPr>
              <w:t>November 5, 2025</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62212</Words>
  <Characters>349480</Characters>
  <CharactersWithSpaces>413435</CharactersWithSpaces>
  <Paragraphs>7199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