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980" w:right="2620" w:hanging="1360"/>
        <w:spacing w:after="0" w:line="282" w:lineRule="auto"/>
        <w:tabs>
          <w:tab w:leader="none" w:pos="283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980" w:right="2600" w:hanging="1366"/>
        <w:spacing w:after="0" w:line="282" w:lineRule="auto"/>
        <w:tabs>
          <w:tab w:leader="none" w:pos="282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1"/>
          <w:szCs w:val="11"/>
          <w:color w:val="auto"/>
        </w:rPr>
        <w:t>​</w:t>
      </w:r>
    </w:p>
    <w:p>
      <w:pPr>
        <w:jc w:val="center"/>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2" w:right="339" w:bottom="1440" w:gutter="0" w:footer="0" w:header="0"/>
        </w:sectPr>
      </w:pPr>
    </w:p>
    <w:p>
      <w:pPr>
        <w:spacing w:after="0" w:line="11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2">
            <w:col w:w="6400" w:space="720"/>
            <w:col w:w="4120"/>
          </w:cols>
          <w:pgMar w:left="320" w:top="692"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3020 Carrington Mill Blvd, Suite 475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38"/>
        </w:trPr>
        <w:tc>
          <w:tcPr>
            <w:tcW w:w="3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spacing w:after="0"/>
              <w:rPr>
                <w:sz w:val="12"/>
                <w:szCs w:val="12"/>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Title of Class</w:t>
            </w:r>
          </w:p>
        </w:tc>
        <w:tc>
          <w:tcPr>
            <w:tcW w:w="56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center"/>
              <w:ind w:right="510"/>
              <w:spacing w:after="0" w:line="189" w:lineRule="exact"/>
              <w:rPr>
                <w:sz w:val="20"/>
                <w:szCs w:val="20"/>
                <w:color w:val="auto"/>
              </w:rPr>
            </w:pPr>
            <w:r>
              <w:rPr>
                <w:rFonts w:ascii="Arial" w:cs="Arial" w:eastAsia="Arial" w:hAnsi="Arial"/>
                <w:sz w:val="18"/>
                <w:szCs w:val="18"/>
                <w:b w:val="1"/>
                <w:bCs w:val="1"/>
                <w:color w:val="auto"/>
                <w:w w:val="91"/>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Exchange Name</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par value $0.001</w:t>
            </w:r>
          </w:p>
        </w:tc>
        <w:tc>
          <w:tcPr>
            <w:tcW w:w="560" w:type="dxa"/>
            <w:vAlign w:val="bottom"/>
            <w:tcBorders>
              <w:bottom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ind w:right="470"/>
              <w:spacing w:after="0" w:line="193" w:lineRule="exact"/>
              <w:rPr>
                <w:sz w:val="20"/>
                <w:szCs w:val="20"/>
                <w:color w:val="auto"/>
              </w:rPr>
            </w:pPr>
            <w:r>
              <w:rPr>
                <w:rFonts w:ascii="Arial" w:cs="Arial" w:eastAsia="Arial" w:hAnsi="Arial"/>
                <w:sz w:val="18"/>
                <w:szCs w:val="18"/>
                <w:color w:val="auto"/>
                <w:w w:val="99"/>
              </w:rPr>
              <w:t>TGTX</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Capital Market</w:t>
            </w:r>
          </w:p>
        </w:tc>
      </w:tr>
    </w:tbl>
    <w:p>
      <w:pPr>
        <w:ind w:left="6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right="240"/>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1"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2" w:right="339" w:bottom="1440" w:gutter="0" w:footer="0" w:header="0"/>
          <w:type w:val="continuous"/>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720"/>
            <w:col w:w="1420"/>
          </w:cols>
          <w:pgMar w:left="320" w:top="692" w:right="3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40" w:space="720"/>
            <w:col w:w="2180"/>
          </w:cols>
          <w:pgMar w:left="320" w:top="692" w:right="339" w:bottom="1440" w:gutter="0" w:footer="0" w:header="0"/>
          <w:type w:val="continuous"/>
        </w:sectPr>
      </w:pPr>
    </w:p>
    <w:p>
      <w:pPr>
        <w:spacing w:after="0" w:line="4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92" w:right="339" w:bottom="1440" w:gutter="0" w:footer="0" w:header="0"/>
          <w:type w:val="continuous"/>
        </w:sectPr>
      </w:pPr>
    </w:p>
    <w:p>
      <w:pPr>
        <w:spacing w:after="0" w:line="100" w:lineRule="exact"/>
        <w:rPr>
          <w:sz w:val="24"/>
          <w:szCs w:val="24"/>
          <w:color w:val="auto"/>
        </w:rPr>
      </w:pPr>
    </w:p>
    <w:p>
      <w:pPr>
        <w:ind w:left="60"/>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There were 151,410,073 shares of the registrant’s common stock, $0.001 par value, outstanding as of November 1, 2023.</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26"/>
          </w:tcPr>
          <w:p>
            <w:pPr>
              <w:spacing w:after="0"/>
              <w:rPr>
                <w:sz w:val="20"/>
                <w:szCs w:val="20"/>
                <w:color w:val="auto"/>
              </w:rPr>
            </w:pPr>
            <w:r>
              <w:rPr>
                <w:rFonts w:ascii="Arial" w:cs="Arial" w:eastAsia="Arial" w:hAnsi="Arial"/>
                <w:sz w:val="18"/>
                <w:szCs w:val="18"/>
                <w:color w:val="0000EE"/>
              </w:rPr>
              <w:t>Table of Contents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gridSpan w:val="9"/>
          </w:tcPr>
          <w:p>
            <w:pPr>
              <w:jc w:val="center"/>
              <w:ind w:right="2180"/>
              <w:spacing w:after="0"/>
              <w:rPr>
                <w:sz w:val="20"/>
                <w:szCs w:val="20"/>
                <w:color w:val="auto"/>
              </w:rPr>
            </w:pPr>
            <w:r>
              <w:rPr>
                <w:rFonts w:ascii="Arial" w:cs="Arial" w:eastAsia="Arial" w:hAnsi="Arial"/>
                <w:sz w:val="18"/>
                <w:szCs w:val="18"/>
                <w:b w:val="1"/>
                <w:bCs w:val="1"/>
                <w:color w:val="auto"/>
              </w:rPr>
              <w:t>TG THERAPEUTICS, INC.</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60" w:type="dxa"/>
            <w:vAlign w:val="bottom"/>
            <w:gridSpan w:val="9"/>
          </w:tcPr>
          <w:p>
            <w:pPr>
              <w:jc w:val="center"/>
              <w:ind w:right="2160"/>
              <w:spacing w:after="0"/>
              <w:rPr>
                <w:sz w:val="20"/>
                <w:szCs w:val="20"/>
                <w:color w:val="auto"/>
              </w:rPr>
            </w:pPr>
            <w:r>
              <w:rPr>
                <w:rFonts w:ascii="Arial" w:cs="Arial" w:eastAsia="Arial" w:hAnsi="Arial"/>
                <w:sz w:val="18"/>
                <w:szCs w:val="18"/>
                <w:b w:val="1"/>
                <w:bCs w:val="1"/>
                <w:color w:val="auto"/>
                <w:w w:val="99"/>
              </w:rPr>
              <w:t>FORM 10-Q</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10"/>
          </w:tcPr>
          <w:p>
            <w:pPr>
              <w:jc w:val="center"/>
              <w:ind w:right="1500"/>
              <w:spacing w:after="0"/>
              <w:rPr>
                <w:sz w:val="20"/>
                <w:szCs w:val="20"/>
                <w:color w:val="auto"/>
              </w:rPr>
            </w:pPr>
            <w:r>
              <w:rPr>
                <w:rFonts w:ascii="Arial" w:cs="Arial" w:eastAsia="Arial" w:hAnsi="Arial"/>
                <w:sz w:val="18"/>
                <w:szCs w:val="18"/>
                <w:b w:val="1"/>
                <w:bCs w:val="1"/>
                <w:color w:val="auto"/>
                <w:w w:val="95"/>
              </w:rPr>
              <w:t>FOR THE QUARTER ENDED September 30, 2023</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gridSpan w:val="9"/>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40" w:type="dxa"/>
            <w:vAlign w:val="bottom"/>
            <w:gridSpan w:val="26"/>
          </w:tcPr>
          <w:p>
            <w:pPr>
              <w:spacing w:after="0"/>
              <w:rPr>
                <w:sz w:val="20"/>
                <w:szCs w:val="20"/>
                <w:color w:val="auto"/>
              </w:rPr>
            </w:pPr>
            <w:r>
              <w:rPr>
                <w:rFonts w:ascii="Arial" w:cs="Arial" w:eastAsia="Arial" w:hAnsi="Arial"/>
                <w:sz w:val="18"/>
                <w:szCs w:val="18"/>
                <w:color w:val="0000EE"/>
              </w:rPr>
              <w:t>SPECIAL CAUTIONARY NOTICE REGARDING FORWARD-LOOKING STATEMENTS</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3"/>
          </w:tcPr>
          <w:p>
            <w:pPr>
              <w:spacing w:after="0"/>
              <w:rPr>
                <w:sz w:val="20"/>
                <w:szCs w:val="20"/>
                <w:color w:val="auto"/>
              </w:rPr>
            </w:pPr>
            <w:r>
              <w:rPr>
                <w:rFonts w:ascii="Arial" w:cs="Arial" w:eastAsia="Arial" w:hAnsi="Arial"/>
                <w:sz w:val="18"/>
                <w:szCs w:val="18"/>
                <w:color w:val="0000EE"/>
              </w:rPr>
              <w:t>SUMMARY RISK FACTORS</w:t>
            </w:r>
          </w:p>
        </w:tc>
        <w:tc>
          <w:tcPr>
            <w:tcW w:w="2600" w:type="dxa"/>
            <w:vAlign w:val="bottom"/>
            <w:gridSpan w:val="3"/>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sz w:val="20"/>
                <w:szCs w:val="20"/>
                <w:color w:val="auto"/>
              </w:rPr>
            </w:pPr>
            <w:r>
              <w:rPr>
                <w:rFonts w:ascii="Arial" w:cs="Arial" w:eastAsia="Arial" w:hAnsi="Arial"/>
                <w:sz w:val="18"/>
                <w:szCs w:val="18"/>
                <w:color w:val="0000EE"/>
              </w:rPr>
              <w:t>PART I</w:t>
            </w:r>
          </w:p>
        </w:tc>
        <w:tc>
          <w:tcPr>
            <w:tcW w:w="8200" w:type="dxa"/>
            <w:vAlign w:val="bottom"/>
            <w:gridSpan w:val="21"/>
          </w:tcPr>
          <w:p>
            <w:pPr>
              <w:spacing w:after="0"/>
              <w:rPr>
                <w:sz w:val="20"/>
                <w:szCs w:val="20"/>
                <w:color w:val="auto"/>
              </w:rPr>
            </w:pPr>
            <w:r>
              <w:rPr>
                <w:rFonts w:ascii="Arial" w:cs="Arial" w:eastAsia="Arial" w:hAnsi="Arial"/>
                <w:sz w:val="18"/>
                <w:szCs w:val="18"/>
                <w:color w:val="0000EE"/>
              </w:rPr>
              <w:t>FINANCIAL INFORMATION</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0000EE"/>
                <w:w w:val="91"/>
              </w:rPr>
              <w:t>Item 1</w:t>
            </w:r>
          </w:p>
        </w:tc>
        <w:tc>
          <w:tcPr>
            <w:tcW w:w="6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1560" w:type="dxa"/>
            <w:vAlign w:val="bottom"/>
            <w:gridSpan w:val="7"/>
          </w:tcPr>
          <w:p>
            <w:pPr>
              <w:spacing w:after="0"/>
              <w:rPr>
                <w:sz w:val="20"/>
                <w:szCs w:val="20"/>
                <w:color w:val="auto"/>
              </w:rPr>
            </w:pPr>
            <w:r>
              <w:rPr>
                <w:rFonts w:ascii="Arial" w:cs="Arial" w:eastAsia="Arial" w:hAnsi="Arial"/>
                <w:sz w:val="18"/>
                <w:szCs w:val="18"/>
                <w:color w:val="0000EE"/>
                <w:w w:val="88"/>
              </w:rPr>
              <w:t>Financial Statements:</w:t>
            </w:r>
          </w:p>
        </w:tc>
        <w:tc>
          <w:tcPr>
            <w:tcW w:w="700" w:type="dxa"/>
            <w:vAlign w:val="bottom"/>
            <w:gridSpan w:val="4"/>
          </w:tcPr>
          <w:p>
            <w:pPr>
              <w:spacing w:after="0"/>
              <w:rPr>
                <w:sz w:val="24"/>
                <w:szCs w:val="24"/>
                <w:color w:val="auto"/>
              </w:rPr>
            </w:pPr>
          </w:p>
        </w:tc>
        <w:tc>
          <w:tcPr>
            <w:tcW w:w="5940" w:type="dxa"/>
            <w:vAlign w:val="bottom"/>
            <w:gridSpan w:val="10"/>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Arial" w:cs="Arial" w:eastAsia="Arial" w:hAnsi="Arial"/>
                <w:sz w:val="18"/>
                <w:szCs w:val="18"/>
                <w:color w:val="0000EE"/>
                <w:w w:val="87"/>
              </w:rPr>
              <w:t>Condensed Consolidated Balance Sheets</w:t>
            </w:r>
          </w:p>
        </w:tc>
        <w:tc>
          <w:tcPr>
            <w:tcW w:w="5260" w:type="dxa"/>
            <w:vAlign w:val="bottom"/>
            <w:gridSpan w:val="9"/>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Arial" w:cs="Arial" w:eastAsia="Arial" w:hAnsi="Arial"/>
                <w:sz w:val="18"/>
                <w:szCs w:val="18"/>
                <w:color w:val="0000EE"/>
                <w:w w:val="89"/>
              </w:rPr>
              <w:t>Condensed Consolidated Statements of Operations (unaudited)</w:t>
            </w:r>
          </w:p>
        </w:tc>
        <w:tc>
          <w:tcPr>
            <w:tcW w:w="3660" w:type="dxa"/>
            <w:vAlign w:val="bottom"/>
            <w:gridSpan w:val="6"/>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19"/>
          </w:tcPr>
          <w:p>
            <w:pPr>
              <w:spacing w:after="0"/>
              <w:rPr>
                <w:sz w:val="20"/>
                <w:szCs w:val="20"/>
                <w:color w:val="auto"/>
              </w:rPr>
            </w:pPr>
            <w:r>
              <w:rPr>
                <w:rFonts w:ascii="Arial" w:cs="Arial" w:eastAsia="Arial" w:hAnsi="Arial"/>
                <w:sz w:val="18"/>
                <w:szCs w:val="18"/>
                <w:color w:val="0000EE"/>
                <w:w w:val="89"/>
              </w:rPr>
              <w:t>Condensed Consolidated Statements of Changes in Stockholders’ Equity (unaudited)</w:t>
            </w:r>
          </w:p>
        </w:tc>
        <w:tc>
          <w:tcPr>
            <w:tcW w:w="2080" w:type="dxa"/>
            <w:vAlign w:val="bottom"/>
            <w:gridSpan w:val="2"/>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19"/>
          </w:tcPr>
          <w:p>
            <w:pPr>
              <w:spacing w:after="0"/>
              <w:rPr>
                <w:sz w:val="20"/>
                <w:szCs w:val="20"/>
                <w:color w:val="auto"/>
              </w:rPr>
            </w:pPr>
            <w:r>
              <w:rPr>
                <w:rFonts w:ascii="Arial" w:cs="Arial" w:eastAsia="Arial" w:hAnsi="Arial"/>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Item 2</w:t>
            </w:r>
          </w:p>
        </w:tc>
        <w:tc>
          <w:tcPr>
            <w:tcW w:w="600" w:type="dxa"/>
            <w:vAlign w:val="bottom"/>
            <w:gridSpan w:val="3"/>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23</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Item 3</w:t>
            </w:r>
          </w:p>
        </w:tc>
        <w:tc>
          <w:tcPr>
            <w:tcW w:w="600" w:type="dxa"/>
            <w:vAlign w:val="bottom"/>
            <w:gridSpan w:val="3"/>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840" w:type="dxa"/>
            <w:vAlign w:val="bottom"/>
            <w:gridSpan w:val="7"/>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Item 4</w:t>
            </w:r>
          </w:p>
        </w:tc>
        <w:tc>
          <w:tcPr>
            <w:tcW w:w="66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Controls and Procedures</w:t>
            </w:r>
          </w:p>
        </w:tc>
        <w:tc>
          <w:tcPr>
            <w:tcW w:w="6420" w:type="dxa"/>
            <w:vAlign w:val="bottom"/>
            <w:gridSpan w:val="13"/>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620" w:type="dxa"/>
            <w:vAlign w:val="bottom"/>
            <w:gridSpan w:val="4"/>
          </w:tcPr>
          <w:p>
            <w:pPr>
              <w:spacing w:after="0"/>
              <w:rPr>
                <w:sz w:val="20"/>
                <w:szCs w:val="20"/>
                <w:color w:val="auto"/>
              </w:rPr>
            </w:pPr>
            <w:r>
              <w:rPr>
                <w:rFonts w:ascii="Arial" w:cs="Arial" w:eastAsia="Arial" w:hAnsi="Arial"/>
                <w:sz w:val="18"/>
                <w:szCs w:val="18"/>
                <w:color w:val="0000EE"/>
                <w:w w:val="95"/>
              </w:rPr>
              <w:t>PART II</w:t>
            </w:r>
          </w:p>
        </w:tc>
        <w:tc>
          <w:tcPr>
            <w:tcW w:w="52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Item 1</w:t>
            </w:r>
          </w:p>
        </w:tc>
        <w:tc>
          <w:tcPr>
            <w:tcW w:w="80" w:type="dxa"/>
            <w:vAlign w:val="bottom"/>
            <w:tcBorders>
              <w:top w:val="single" w:sz="8" w:color="0000EE"/>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Legal Proceedings</w:t>
            </w:r>
          </w:p>
        </w:tc>
        <w:tc>
          <w:tcPr>
            <w:tcW w:w="540" w:type="dxa"/>
            <w:vAlign w:val="bottom"/>
            <w:tcBorders>
              <w:top w:val="single" w:sz="8" w:color="0000EE"/>
            </w:tcBorders>
            <w:gridSpan w:val="3"/>
          </w:tcPr>
          <w:p>
            <w:pPr>
              <w:spacing w:after="0"/>
              <w:rPr>
                <w:sz w:val="24"/>
                <w:szCs w:val="24"/>
                <w:color w:val="auto"/>
              </w:rPr>
            </w:pPr>
          </w:p>
        </w:tc>
        <w:tc>
          <w:tcPr>
            <w:tcW w:w="6320" w:type="dxa"/>
            <w:vAlign w:val="bottom"/>
            <w:gridSpan w:val="12"/>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Arial" w:cs="Arial" w:eastAsia="Arial" w:hAnsi="Arial"/>
                <w:sz w:val="18"/>
                <w:szCs w:val="18"/>
                <w:color w:val="0000EE"/>
              </w:rPr>
              <w:t>Item 1A</w:t>
            </w:r>
          </w:p>
        </w:tc>
        <w:tc>
          <w:tcPr>
            <w:tcW w:w="820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0000EE"/>
                <w:w w:val="99"/>
              </w:rPr>
              <w:t>Item 2</w:t>
            </w:r>
          </w:p>
        </w:tc>
        <w:tc>
          <w:tcPr>
            <w:tcW w:w="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82</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Item 3</w:t>
            </w:r>
          </w:p>
        </w:tc>
        <w:tc>
          <w:tcPr>
            <w:tcW w:w="600" w:type="dxa"/>
            <w:vAlign w:val="bottom"/>
            <w:gridSpan w:val="3"/>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0"/>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60" w:type="dxa"/>
            <w:vAlign w:val="bottom"/>
            <w:gridSpan w:val="8"/>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82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Item 4</w:t>
            </w:r>
          </w:p>
        </w:tc>
        <w:tc>
          <w:tcPr>
            <w:tcW w:w="60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Mine Safety Disclosures</w:t>
            </w:r>
          </w:p>
        </w:tc>
        <w:tc>
          <w:tcPr>
            <w:tcW w:w="6420" w:type="dxa"/>
            <w:vAlign w:val="bottom"/>
            <w:gridSpan w:val="13"/>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82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Item 5</w:t>
            </w:r>
          </w:p>
        </w:tc>
        <w:tc>
          <w:tcPr>
            <w:tcW w:w="600" w:type="dxa"/>
            <w:vAlign w:val="bottom"/>
            <w:gridSpan w:val="3"/>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Other Information</w:t>
            </w:r>
          </w:p>
        </w:tc>
        <w:tc>
          <w:tcPr>
            <w:tcW w:w="6880" w:type="dxa"/>
            <w:vAlign w:val="bottom"/>
            <w:gridSpan w:val="16"/>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82</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0000EE"/>
                <w:w w:val="91"/>
              </w:rPr>
              <w:t>Item 6</w:t>
            </w:r>
          </w:p>
        </w:tc>
        <w:tc>
          <w:tcPr>
            <w:tcW w:w="660" w:type="dxa"/>
            <w:vAlign w:val="bottom"/>
            <w:gridSpan w:val="4"/>
          </w:tcPr>
          <w:p>
            <w:pPr>
              <w:spacing w:after="0"/>
              <w:rPr>
                <w:sz w:val="24"/>
                <w:szCs w:val="24"/>
                <w:color w:val="auto"/>
              </w:rPr>
            </w:pPr>
          </w:p>
        </w:tc>
        <w:tc>
          <w:tcPr>
            <w:tcW w:w="820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1900" w:type="dxa"/>
            <w:vAlign w:val="bottom"/>
            <w:gridSpan w:val="3"/>
          </w:tcPr>
          <w:p>
            <w:pPr>
              <w:jc w:val="right"/>
              <w:spacing w:after="0"/>
              <w:rPr>
                <w:sz w:val="20"/>
                <w:szCs w:val="20"/>
                <w:color w:val="auto"/>
              </w:rPr>
            </w:pPr>
            <w:r>
              <w:rPr>
                <w:rFonts w:ascii="Arial" w:cs="Arial" w:eastAsia="Arial" w:hAnsi="Arial"/>
                <w:sz w:val="18"/>
                <w:szCs w:val="18"/>
                <w:color w:val="0000EE"/>
              </w:rPr>
              <w:t>83</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65" w:lineRule="exact"/>
        <w:rPr>
          <w:sz w:val="20"/>
          <w:szCs w:val="20"/>
          <w:color w:val="auto"/>
        </w:rPr>
      </w:pPr>
    </w:p>
    <w:p>
      <w:pPr>
        <w:jc w:val="both"/>
        <w:ind w:left="500" w:right="20" w:hanging="6"/>
        <w:spacing w:after="0" w:line="255" w:lineRule="auto"/>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including TG-1701 and TG-1801, as well as any other product candidates, and our ability to maintain regulatory approval of BRIUMVI® (ublituximab) in relapsing forms of multiple sclerosis (RMS) in the United States (U.S.) and in the European Union (EU);</w:t>
      </w:r>
    </w:p>
    <w:p>
      <w:pPr>
        <w:spacing w:after="0" w:line="2"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adapt and expand our commercial infrastructure to successfully launch, market and sell BRIUMVI and our other product candidates;</w:t>
      </w:r>
    </w:p>
    <w:p>
      <w:pPr>
        <w:spacing w:after="0" w:line="32" w:lineRule="exact"/>
        <w:rPr>
          <w:rFonts w:ascii="Arial" w:cs="Arial" w:eastAsia="Arial" w:hAnsi="Arial"/>
          <w:sz w:val="16"/>
          <w:szCs w:val="16"/>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w:t>
      </w:r>
    </w:p>
    <w:p>
      <w:pPr>
        <w:spacing w:after="0" w:line="9" w:lineRule="exact"/>
        <w:rPr>
          <w:rFonts w:ascii="Arial" w:cs="Arial" w:eastAsia="Arial" w:hAnsi="Arial"/>
          <w:sz w:val="18"/>
          <w:szCs w:val="18"/>
          <w:color w:val="auto"/>
        </w:rPr>
      </w:pPr>
    </w:p>
    <w:p>
      <w:pPr>
        <w:ind w:left="500" w:hanging="6"/>
        <w:spacing w:after="0" w:line="250"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the ongoing commercialization of BRIUMVI or any future products or combinations of products, including the anticipated rate and degree of market acceptance and pricing and reimbursement;</w:t>
      </w: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formulate, manufacture and commercialize our product candidates;</w:t>
      </w:r>
    </w:p>
    <w:p>
      <w:pPr>
        <w:spacing w:after="0" w:line="9" w:lineRule="exact"/>
        <w:rPr>
          <w:rFonts w:ascii="Arial" w:cs="Arial" w:eastAsia="Arial" w:hAnsi="Arial"/>
          <w:sz w:val="18"/>
          <w:szCs w:val="18"/>
          <w:color w:val="auto"/>
        </w:rPr>
      </w:pPr>
    </w:p>
    <w:p>
      <w:pPr>
        <w:jc w:val="both"/>
        <w:ind w:left="500" w:hanging="6"/>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drug candidates;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and product candidates;</w:t>
      </w:r>
    </w:p>
    <w:p>
      <w:pPr>
        <w:spacing w:after="0" w:line="20" w:lineRule="exact"/>
        <w:rPr>
          <w:rFonts w:ascii="Arial" w:cs="Arial" w:eastAsia="Arial" w:hAnsi="Arial"/>
          <w:sz w:val="17"/>
          <w:szCs w:val="17"/>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500" w:hanging="6"/>
        <w:spacing w:after="0" w:line="250"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sufficient capital to fund our planned operations;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 and</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504"/>
        <w:spacing w:after="0" w:line="286"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520" w:hanging="28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current approval of BRIUMVI our business will be materially harmed.</w:t>
      </w:r>
    </w:p>
    <w:p>
      <w:pPr>
        <w:spacing w:after="0" w:line="9" w:lineRule="exact"/>
        <w:rPr>
          <w:rFonts w:ascii="Arial" w:cs="Arial" w:eastAsia="Arial" w:hAnsi="Arial"/>
          <w:sz w:val="18"/>
          <w:szCs w:val="18"/>
          <w:color w:val="auto"/>
        </w:rPr>
      </w:pPr>
    </w:p>
    <w:p>
      <w:pPr>
        <w:ind w:left="520" w:right="240" w:hanging="283"/>
        <w:spacing w:after="0" w:line="180" w:lineRule="auto"/>
        <w:tabs>
          <w:tab w:leader="none" w:pos="52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We cannot predict when or if we will obtain regulatory approval to commercialize our product candidates, including TG-1701 and TG-1801 in B-cell disorders.</w:t>
      </w:r>
    </w:p>
    <w:p>
      <w:pPr>
        <w:ind w:left="520" w:right="700" w:hanging="283"/>
        <w:spacing w:after="0" w:line="180" w:lineRule="auto"/>
        <w:tabs>
          <w:tab w:leader="none" w:pos="52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We have limited experience operating as a commercial company, and, as a result, the marketing and sale of BRIUMVI in RMS may be less successful than anticipated.</w:t>
      </w:r>
    </w:p>
    <w:p>
      <w:pPr>
        <w:ind w:left="520" w:right="200" w:hanging="283"/>
        <w:spacing w:after="0" w:line="180" w:lineRule="auto"/>
        <w:tabs>
          <w:tab w:leader="none" w:pos="520" w:val="left"/>
        </w:tabs>
        <w:numPr>
          <w:ilvl w:val="0"/>
          <w:numId w:val="5"/>
        </w:numPr>
        <w:rPr>
          <w:rFonts w:ascii="Arial" w:cs="Arial" w:eastAsia="Arial" w:hAnsi="Arial"/>
          <w:sz w:val="33"/>
          <w:szCs w:val="33"/>
          <w:color w:val="auto"/>
          <w:vertAlign w:val="subscript"/>
        </w:rPr>
      </w:pPr>
      <w:r>
        <w:rPr>
          <w:rFonts w:ascii="Arial" w:cs="Arial" w:eastAsia="Arial" w:hAnsi="Arial"/>
          <w:sz w:val="17"/>
          <w:szCs w:val="17"/>
          <w:color w:val="auto"/>
        </w:rPr>
        <w:t>If BRIUMVI or any of our future product candidates (if approved) do not achieve broad market acceptance among physicians, patients, payors, or the medical community, the revenues that we generate from product sales will be limited.</w:t>
      </w:r>
    </w:p>
    <w:p>
      <w:pPr>
        <w:ind w:left="520" w:right="200" w:hanging="283"/>
        <w:spacing w:after="0" w:line="26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market opportunities for BRIUMVI and any future products for which we may receive approval, including TG-1701 or TG-1801 in B-cell disorders, are smaller than we estimate or if any approval we obtain is based on a narrower patient population or the labeling includes warnings or limitations that are not acceptable to patients or healthcare providers, our revenue will be adversely affected.</w:t>
      </w:r>
    </w:p>
    <w:p>
      <w:pPr>
        <w:jc w:val="both"/>
        <w:ind w:left="520" w:right="60" w:hanging="283"/>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p>
      <w:pPr>
        <w:spacing w:after="0" w:line="1" w:lineRule="exact"/>
        <w:rPr>
          <w:rFonts w:ascii="Arial" w:cs="Arial" w:eastAsia="Arial" w:hAnsi="Arial"/>
          <w:sz w:val="18"/>
          <w:szCs w:val="18"/>
          <w:color w:val="auto"/>
        </w:rPr>
      </w:pPr>
    </w:p>
    <w:p>
      <w:pPr>
        <w:ind w:left="520" w:hanging="28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generate sufficient revenue, we may need to raise substantial additional capital to sustain our business.</w:t>
      </w:r>
    </w:p>
    <w:p>
      <w:pPr>
        <w:spacing w:after="0" w:line="9" w:lineRule="exact"/>
        <w:rPr>
          <w:rFonts w:ascii="Arial" w:cs="Arial" w:eastAsia="Arial" w:hAnsi="Arial"/>
          <w:sz w:val="18"/>
          <w:szCs w:val="18"/>
          <w:color w:val="auto"/>
        </w:rPr>
      </w:pPr>
    </w:p>
    <w:p>
      <w:pPr>
        <w:ind w:left="520" w:hanging="28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product commercialization.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7" w:lineRule="exact"/>
        <w:rPr>
          <w:sz w:val="20"/>
          <w:szCs w:val="20"/>
          <w:color w:val="auto"/>
        </w:rPr>
      </w:pPr>
    </w:p>
    <w:p>
      <w:pPr>
        <w:ind w:left="540" w:right="180" w:hanging="276"/>
        <w:spacing w:after="0" w:line="180" w:lineRule="auto"/>
        <w:tabs>
          <w:tab w:leader="none" w:pos="540" w:val="left"/>
        </w:tabs>
        <w:numPr>
          <w:ilvl w:val="0"/>
          <w:numId w:val="6"/>
        </w:numPr>
        <w:rPr>
          <w:rFonts w:ascii="Arial" w:cs="Arial" w:eastAsia="Arial" w:hAnsi="Arial"/>
          <w:sz w:val="33"/>
          <w:szCs w:val="33"/>
          <w:color w:val="auto"/>
          <w:vertAlign w:val="subscript"/>
        </w:rPr>
      </w:pPr>
      <w:r>
        <w:rPr>
          <w:rFonts w:ascii="Arial" w:cs="Arial" w:eastAsia="Arial" w:hAnsi="Arial"/>
          <w:sz w:val="17"/>
          <w:szCs w:val="17"/>
          <w:color w:val="auto"/>
        </w:rPr>
        <w:t>If we are unable to obtain or maintain regulatory approval for our product or product candidates and ultimately cannot commercialize one or more of them, or if we experience significant delays in doing so, our business will be materially harmed.</w:t>
      </w:r>
    </w:p>
    <w:p>
      <w:pPr>
        <w:ind w:left="540" w:right="260" w:hanging="276"/>
        <w:spacing w:after="0" w:line="180" w:lineRule="auto"/>
        <w:tabs>
          <w:tab w:leader="none" w:pos="540" w:val="left"/>
        </w:tabs>
        <w:numPr>
          <w:ilvl w:val="0"/>
          <w:numId w:val="6"/>
        </w:numPr>
        <w:rPr>
          <w:rFonts w:ascii="Arial" w:cs="Arial" w:eastAsia="Arial" w:hAnsi="Arial"/>
          <w:sz w:val="33"/>
          <w:szCs w:val="33"/>
          <w:color w:val="auto"/>
          <w:vertAlign w:val="subscript"/>
        </w:rPr>
      </w:pPr>
      <w:r>
        <w:rPr>
          <w:rFonts w:ascii="Arial" w:cs="Arial" w:eastAsia="Arial" w:hAnsi="Arial"/>
          <w:sz w:val="17"/>
          <w:szCs w:val="17"/>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ind w:left="540" w:right="100" w:hanging="276"/>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6"/>
          <w:szCs w:val="16"/>
          <w:color w:val="auto"/>
        </w:rPr>
      </w:pPr>
    </w:p>
    <w:p>
      <w:pPr>
        <w:ind w:left="540" w:right="60" w:hanging="276"/>
        <w:spacing w:after="0" w:line="180" w:lineRule="auto"/>
        <w:tabs>
          <w:tab w:leader="none" w:pos="540" w:val="left"/>
        </w:tabs>
        <w:numPr>
          <w:ilvl w:val="0"/>
          <w:numId w:val="6"/>
        </w:numPr>
        <w:rPr>
          <w:rFonts w:ascii="Arial" w:cs="Arial" w:eastAsia="Arial" w:hAnsi="Arial"/>
          <w:sz w:val="33"/>
          <w:szCs w:val="33"/>
          <w:color w:val="auto"/>
          <w:vertAlign w:val="subscript"/>
        </w:rPr>
      </w:pPr>
      <w:r>
        <w:rPr>
          <w:rFonts w:ascii="Arial" w:cs="Arial" w:eastAsia="Arial" w:hAnsi="Arial"/>
          <w:sz w:val="17"/>
          <w:szCs w:val="17"/>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ind w:left="540" w:right="340" w:hanging="27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extensive regulation, including new legislative and regulatory proposals, including efforts to control, set or cap pricing for approved drugs, which may increase our compliance costs and adversely affect our ability to market our products, obtain collaborators and raise capital.</w:t>
      </w:r>
    </w:p>
    <w:p>
      <w:pPr>
        <w:spacing w:after="0" w:line="1" w:lineRule="exact"/>
        <w:rPr>
          <w:rFonts w:ascii="Arial" w:cs="Arial" w:eastAsia="Arial" w:hAnsi="Arial"/>
          <w:sz w:val="18"/>
          <w:szCs w:val="18"/>
          <w:color w:val="auto"/>
        </w:rPr>
      </w:pPr>
    </w:p>
    <w:p>
      <w:pPr>
        <w:ind w:left="540" w:hanging="27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various healthcare laws and regulations, we may incur losses or be subject to civil or criminal liability.</w:t>
      </w:r>
    </w:p>
    <w:p>
      <w:pPr>
        <w:spacing w:after="0" w:line="9" w:lineRule="exact"/>
        <w:rPr>
          <w:rFonts w:ascii="Arial" w:cs="Arial" w:eastAsia="Arial" w:hAnsi="Arial"/>
          <w:sz w:val="18"/>
          <w:szCs w:val="18"/>
          <w:color w:val="auto"/>
        </w:rPr>
      </w:pPr>
    </w:p>
    <w:p>
      <w:pPr>
        <w:ind w:left="540" w:right="420" w:hanging="276"/>
        <w:spacing w:after="0" w:line="180" w:lineRule="auto"/>
        <w:tabs>
          <w:tab w:leader="none" w:pos="540" w:val="left"/>
        </w:tabs>
        <w:numPr>
          <w:ilvl w:val="0"/>
          <w:numId w:val="7"/>
        </w:numPr>
        <w:rPr>
          <w:rFonts w:ascii="Arial" w:cs="Arial" w:eastAsia="Arial" w:hAnsi="Arial"/>
          <w:sz w:val="33"/>
          <w:szCs w:val="33"/>
          <w:color w:val="auto"/>
          <w:vertAlign w:val="subscript"/>
        </w:rPr>
      </w:pPr>
      <w:r>
        <w:rPr>
          <w:rFonts w:ascii="Arial" w:cs="Arial" w:eastAsia="Arial" w:hAnsi="Arial"/>
          <w:sz w:val="17"/>
          <w:szCs w:val="17"/>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ind w:left="480" w:right="40" w:hanging="270"/>
        <w:spacing w:after="0" w:line="250"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third parties for commercial and clinical supply of raw materials and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8"/>
          <w:szCs w:val="18"/>
          <w:color w:val="auto"/>
        </w:rPr>
      </w:pPr>
    </w:p>
    <w:p>
      <w:pPr>
        <w:jc w:val="both"/>
        <w:ind w:left="480" w:hanging="270"/>
        <w:spacing w:after="0" w:line="250"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Arial" w:cs="Arial" w:eastAsia="Arial" w:hAnsi="Arial"/>
          <w:sz w:val="18"/>
          <w:szCs w:val="18"/>
          <w:color w:val="auto"/>
        </w:rPr>
      </w:pPr>
    </w:p>
    <w:p>
      <w:pPr>
        <w:ind w:left="480" w:right="440" w:hanging="270"/>
        <w:spacing w:after="0" w:line="180" w:lineRule="auto"/>
        <w:tabs>
          <w:tab w:leader="none" w:pos="480" w:val="left"/>
        </w:tabs>
        <w:numPr>
          <w:ilvl w:val="0"/>
          <w:numId w:val="8"/>
        </w:numPr>
        <w:rPr>
          <w:rFonts w:ascii="Arial" w:cs="Arial" w:eastAsia="Arial" w:hAnsi="Arial"/>
          <w:sz w:val="33"/>
          <w:szCs w:val="33"/>
          <w:color w:val="auto"/>
          <w:vertAlign w:val="subscript"/>
        </w:rPr>
      </w:pPr>
      <w:r>
        <w:rPr>
          <w:rFonts w:ascii="Arial" w:cs="Arial" w:eastAsia="Arial" w:hAnsi="Arial"/>
          <w:sz w:val="17"/>
          <w:szCs w:val="17"/>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ind w:left="480" w:right="660" w:hanging="270"/>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8"/>
          <w:szCs w:val="18"/>
          <w:color w:val="auto"/>
        </w:rPr>
      </w:pPr>
    </w:p>
    <w:p>
      <w:pPr>
        <w:ind w:left="480" w:right="80" w:hanging="270"/>
        <w:spacing w:after="0" w:line="180" w:lineRule="auto"/>
        <w:tabs>
          <w:tab w:leader="none" w:pos="480" w:val="left"/>
        </w:tabs>
        <w:numPr>
          <w:ilvl w:val="0"/>
          <w:numId w:val="9"/>
        </w:numPr>
        <w:rPr>
          <w:rFonts w:ascii="Arial" w:cs="Arial" w:eastAsia="Arial" w:hAnsi="Arial"/>
          <w:sz w:val="33"/>
          <w:szCs w:val="33"/>
          <w:color w:val="auto"/>
          <w:vertAlign w:val="subscript"/>
        </w:rPr>
      </w:pPr>
      <w:r>
        <w:rPr>
          <w:rFonts w:ascii="Arial" w:cs="Arial" w:eastAsia="Arial" w:hAnsi="Arial"/>
          <w:sz w:val="17"/>
          <w:szCs w:val="17"/>
          <w:color w:val="auto"/>
        </w:rPr>
        <w:t>Our patent protection could be reduced or eliminated for non-compliance with various procedural and other requirements imposed by governmental patent agencies.</w:t>
      </w:r>
    </w:p>
    <w:p>
      <w:pPr>
        <w:ind w:left="480" w:right="840" w:hanging="270"/>
        <w:spacing w:after="0" w:line="180" w:lineRule="auto"/>
        <w:tabs>
          <w:tab w:leader="none" w:pos="480" w:val="left"/>
        </w:tabs>
        <w:numPr>
          <w:ilvl w:val="0"/>
          <w:numId w:val="9"/>
        </w:numPr>
        <w:rPr>
          <w:rFonts w:ascii="Arial" w:cs="Arial" w:eastAsia="Arial" w:hAnsi="Arial"/>
          <w:sz w:val="33"/>
          <w:szCs w:val="33"/>
          <w:color w:val="auto"/>
          <w:vertAlign w:val="subscript"/>
        </w:rPr>
      </w:pPr>
      <w:r>
        <w:rPr>
          <w:rFonts w:ascii="Arial" w:cs="Arial" w:eastAsia="Arial" w:hAnsi="Arial"/>
          <w:sz w:val="17"/>
          <w:szCs w:val="17"/>
          <w:color w:val="auto"/>
        </w:rPr>
        <w:t>We may need to license certain intellectual property from third parties, and such licenses may not be available or may not be available on commercially reasonable terms.</w:t>
      </w:r>
    </w:p>
    <w:p>
      <w:pPr>
        <w:ind w:left="480" w:right="160" w:hanging="270"/>
        <w:spacing w:after="0" w:line="180" w:lineRule="auto"/>
        <w:tabs>
          <w:tab w:leader="none" w:pos="480" w:val="left"/>
        </w:tabs>
        <w:numPr>
          <w:ilvl w:val="0"/>
          <w:numId w:val="9"/>
        </w:numPr>
        <w:rPr>
          <w:rFonts w:ascii="Arial" w:cs="Arial" w:eastAsia="Arial" w:hAnsi="Arial"/>
          <w:sz w:val="33"/>
          <w:szCs w:val="33"/>
          <w:color w:val="auto"/>
          <w:vertAlign w:val="subscript"/>
        </w:rPr>
      </w:pPr>
      <w:r>
        <w:rPr>
          <w:rFonts w:ascii="Arial" w:cs="Arial" w:eastAsia="Arial" w:hAnsi="Arial"/>
          <w:sz w:val="17"/>
          <w:szCs w:val="17"/>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ind w:left="480" w:hanging="27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may be significantly harmed.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480" w:hanging="27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we may incur losses in the future.</w:t>
      </w:r>
    </w:p>
    <w:p>
      <w:pPr>
        <w:spacing w:after="0" w:line="9" w:lineRule="exact"/>
        <w:rPr>
          <w:rFonts w:ascii="Arial" w:cs="Arial" w:eastAsia="Arial" w:hAnsi="Arial"/>
          <w:sz w:val="18"/>
          <w:szCs w:val="18"/>
          <w:color w:val="auto"/>
        </w:rPr>
      </w:pPr>
    </w:p>
    <w:p>
      <w:pPr>
        <w:ind w:left="480" w:right="200" w:hanging="270"/>
        <w:spacing w:after="0" w:line="180" w:lineRule="auto"/>
        <w:tabs>
          <w:tab w:leader="none" w:pos="480" w:val="left"/>
        </w:tabs>
        <w:numPr>
          <w:ilvl w:val="0"/>
          <w:numId w:val="10"/>
        </w:numPr>
        <w:rPr>
          <w:rFonts w:ascii="Arial" w:cs="Arial" w:eastAsia="Arial" w:hAnsi="Arial"/>
          <w:sz w:val="33"/>
          <w:szCs w:val="33"/>
          <w:color w:val="auto"/>
          <w:vertAlign w:val="subscript"/>
        </w:rPr>
      </w:pPr>
      <w:r>
        <w:rPr>
          <w:rFonts w:ascii="Arial" w:cs="Arial" w:eastAsia="Arial" w:hAnsi="Arial"/>
          <w:sz w:val="17"/>
          <w:szCs w:val="17"/>
          <w:color w:val="auto"/>
        </w:rPr>
        <w:t>While we don’t expect to need to raise additional capital, we may need to do so. If we are unable to raise capital, if needed, we may be required to delay, limit, reduce, or eliminate some of our drug development programs or commercialization efforts.</w:t>
      </w:r>
    </w:p>
    <w:p>
      <w:pPr>
        <w:ind w:left="480" w:right="200" w:hanging="270"/>
        <w:spacing w:after="0" w:line="180" w:lineRule="auto"/>
        <w:tabs>
          <w:tab w:leader="none" w:pos="480" w:val="left"/>
        </w:tabs>
        <w:numPr>
          <w:ilvl w:val="0"/>
          <w:numId w:val="10"/>
        </w:numPr>
        <w:rPr>
          <w:rFonts w:ascii="Arial" w:cs="Arial" w:eastAsia="Arial" w:hAnsi="Arial"/>
          <w:sz w:val="33"/>
          <w:szCs w:val="33"/>
          <w:color w:val="auto"/>
          <w:vertAlign w:val="subscript"/>
        </w:rPr>
      </w:pPr>
      <w:r>
        <w:rPr>
          <w:rFonts w:ascii="Arial" w:cs="Arial" w:eastAsia="Arial" w:hAnsi="Arial"/>
          <w:sz w:val="17"/>
          <w:szCs w:val="17"/>
          <w:color w:val="auto"/>
        </w:rPr>
        <w:t>Our level of indebtedness and debt service obligations could adversely affect our financial condition and may make it more difficult for us to fund our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460" w:right="18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Public health issues including an epidemic or global pandemic, and specifically the pandemic caused by COVID-19, could have an adverse impact on our financial condition and results of operations and other aspects of our business.</w:t>
      </w:r>
    </w:p>
    <w:p>
      <w:pPr>
        <w:ind w:left="460" w:right="20" w:hanging="263"/>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1" w:lineRule="exact"/>
        <w:rPr>
          <w:rFonts w:ascii="Arial" w:cs="Arial" w:eastAsia="Arial" w:hAnsi="Arial"/>
          <w:sz w:val="18"/>
          <w:szCs w:val="18"/>
          <w:color w:val="auto"/>
        </w:rPr>
      </w:pPr>
    </w:p>
    <w:p>
      <w:pPr>
        <w:ind w:left="460" w:hanging="26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w:t>
      </w:r>
    </w:p>
    <w:p>
      <w:pPr>
        <w:spacing w:after="0" w:line="9" w:lineRule="exact"/>
        <w:rPr>
          <w:rFonts w:ascii="Arial" w:cs="Arial" w:eastAsia="Arial" w:hAnsi="Arial"/>
          <w:sz w:val="18"/>
          <w:szCs w:val="18"/>
          <w:color w:val="auto"/>
        </w:rPr>
      </w:pPr>
    </w:p>
    <w:p>
      <w:pPr>
        <w:ind w:left="460" w:right="6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Our ability to continue our clinical development and commercialization activities will depend on our ability to attract and maintain key management and other personnel.</w:t>
      </w:r>
    </w:p>
    <w:p>
      <w:pPr>
        <w:ind w:left="460" w:right="2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Certain of our executive officers, directors and other stockholders own more than 5% of our outstanding common stock and may be able to influence our management and the outcome of matters submitted to shareholders for approval.</w:t>
      </w:r>
    </w:p>
    <w:p>
      <w:pPr>
        <w:ind w:left="460" w:right="18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Certain anti-takeover provisions in our charter documents and Delaware law could make a third-party acquisition more difficult, which could limit the price investors might be willing to pay for our common stock.</w:t>
      </w:r>
    </w:p>
    <w:p>
      <w:pPr>
        <w:ind w:left="460" w:right="14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Our stock price is, and we expect it to remain, volatile, which could limit investors’ ability to sell stock at a profit and could subject us to securities and shareholder derivative litigation.</w:t>
      </w:r>
    </w:p>
    <w:p>
      <w:pPr>
        <w:ind w:left="460" w:right="260" w:hanging="263"/>
        <w:spacing w:after="0" w:line="180" w:lineRule="auto"/>
        <w:tabs>
          <w:tab w:leader="none" w:pos="460" w:val="left"/>
        </w:tabs>
        <w:numPr>
          <w:ilvl w:val="0"/>
          <w:numId w:val="11"/>
        </w:numPr>
        <w:rPr>
          <w:rFonts w:ascii="Arial" w:cs="Arial" w:eastAsia="Arial" w:hAnsi="Arial"/>
          <w:sz w:val="33"/>
          <w:szCs w:val="33"/>
          <w:color w:val="auto"/>
          <w:vertAlign w:val="subscript"/>
        </w:rPr>
      </w:pPr>
      <w:r>
        <w:rPr>
          <w:rFonts w:ascii="Arial" w:cs="Arial" w:eastAsia="Arial" w:hAnsi="Arial"/>
          <w:sz w:val="17"/>
          <w:szCs w:val="17"/>
          <w:color w:val="auto"/>
        </w:rPr>
        <w:t>Significant disruptions of information technology systems, breaches of data security, or unauthorized disclosures of sensitive data could harm our business and subject us to liability or reputational damage.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IA and elsewhere in this Quarterly Report on Form 10-Q (our Risk Factors).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2"/>
              </w:rPr>
              <w:t>TG Therapeutics, Inc.</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share and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78,257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59,374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33,553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research and development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168,274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8,888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interest,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331,067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193,572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39,741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42,019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Lease liability –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 non-current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payable – non-current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Lease liability – non-current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134,985</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9"/>
              </w:rPr>
              <w:t>Common stock, $0.001 par value per share (175,000,000 shares authorized, 151,490,731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w w:val="90"/>
              </w:rPr>
              <w:t>146,426,697 shares issued, 151,449,422 and 146,385,388 shares outstanding at September 30, 2023</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and December 31, 2022,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1,664,797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1,585,708</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Treasury stock, at cost, 41,309 shares at September 30, 2023 and December 31, 2022</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(1,499,945)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(1,527,033)</w:t>
            </w:r>
          </w:p>
        </w:tc>
      </w:tr>
      <w:tr>
        <w:trPr>
          <w:trHeight w:val="210"/>
        </w:trPr>
        <w:tc>
          <w:tcPr>
            <w:tcW w:w="800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revenue,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25,068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48,868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milestone and other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140,747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165,815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189,691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2,705</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11,838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88,246</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95,717</w:t>
            </w: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3,740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18,386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Total 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32,769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91,553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47,503</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51,031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35,057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156,573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143,482</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114,784</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(34,963)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33,118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(140,777)</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(4,154)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113,930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(145,341)</w:t>
            </w: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(1.08)</w:t>
            </w: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142,871,227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135,327,035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141,571,785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134,839,207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155,871,749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135,327,035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145,952,913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134,839,207</w:t>
            </w: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2040" w:type="dxa"/>
            <w:vAlign w:val="bottom"/>
            <w:gridSpan w:val="5"/>
            <w:vMerge w:val="restart"/>
          </w:tcPr>
          <w:p>
            <w:pPr>
              <w:jc w:val="right"/>
              <w:ind w:right="54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143,292,043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$ 1,565,942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  (1,328,698)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237,153</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30,411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125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1,852,626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(591,746)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(69,013)</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(69,013)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144,583,334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1,568,186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(1,397,711)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170,386</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33,044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135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1,830,320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(1,248,640)</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(975)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(40,510)</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(40,510)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145,198,058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1,567,345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(1,438,221)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129,035</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67,152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275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368,660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(234,726)</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6,989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(35,818)</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145,399,144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1,574,609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(1,474,039)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100,481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146,426,697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$ 1,585,708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  (1,527,033)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58,587</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66,701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363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3,017,736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Warrants issued with debt financing</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595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(73,787)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7,120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7,120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(39,232)</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Arial" w:cs="Arial" w:eastAsia="Arial" w:hAnsi="Arial"/>
                <w:sz w:val="16"/>
                <w:szCs w:val="16"/>
                <w:color w:val="auto"/>
              </w:rPr>
              <w:t>Balance at March 31, 2023</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149,437,347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1,593,783</w:t>
            </w:r>
          </w:p>
        </w:tc>
        <w:tc>
          <w:tcPr>
            <w:tcW w:w="760" w:type="dxa"/>
            <w:vAlign w:val="bottom"/>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(1,566,265)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27,433</w:t>
            </w: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76,955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751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(25,679)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w w:val="99"/>
              </w:rPr>
              <w:t>Issuance of common stock in public offering (net of offering</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costs of $0.8 million)</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1,385,700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46,295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46,297</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13,582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(47,610)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(47,610)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150,969,323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1,654,411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(1,613,875)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40,453</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102,500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420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457,501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(38,593)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9,966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9,966</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Net income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113,930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113,930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151,490,731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1,664,797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(1,499,945)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164,769</w:t>
            </w:r>
          </w:p>
        </w:tc>
        <w:tc>
          <w:tcPr>
            <w:tcW w:w="0" w:type="dxa"/>
            <w:vAlign w:val="bottom"/>
          </w:tcPr>
          <w:p>
            <w:pPr>
              <w:spacing w:after="0"/>
              <w:rPr>
                <w:sz w:val="1"/>
                <w:szCs w:val="1"/>
                <w:color w:val="auto"/>
              </w:rPr>
            </w:pPr>
          </w:p>
        </w:tc>
      </w:tr>
      <w:tr>
        <w:trPr>
          <w:trHeight w:val="182"/>
        </w:trPr>
        <w:tc>
          <w:tcPr>
            <w:tcW w:w="4160" w:type="dxa"/>
            <w:vAlign w:val="bottom"/>
            <w:tcBorders>
              <w:top w:val="single" w:sz="8" w:color="CCEEFF"/>
            </w:tcBorders>
          </w:tcPr>
          <w:p>
            <w:pPr>
              <w:ind w:left="6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i w:val="1"/>
                <w:iCs w:val="1"/>
                <w:color w:val="auto"/>
              </w:rPr>
              <w:t>*Amount less than one thousand dollars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3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25" w:right="339" w:bottom="554"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54"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8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2"/>
              </w:rPr>
              <w:t>TG Therapeutics,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89"/>
              </w:rPr>
              <w:t>Condensed Consolidated 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3"/>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27,088</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compensation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premium (discount) on investment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leasehold interest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Noncash change in lease liability and right of use asset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notes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inventory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(Increase) decrease in other current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(10,365)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7,842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Decrease in accounts payable and accrued expenses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(27,436)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Increase in other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deferred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(18,203)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(152,300)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maturity of short-term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 in held-to-maturity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(78,447)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(103,276)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PPE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(36,282)</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loan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Issuance of common stock,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46,297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debt financings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costs paid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48,607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(189,022)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103,577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300,151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152,184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111,129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Reconciliation to amounts on condensed consolidated balance sheets: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150,902</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109,860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152,184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111,129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paid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6,338</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with debt financing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08" w:right="3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Unless the context requires otherwise, references in this report to </w:t>
      </w:r>
      <w:r>
        <w:rPr>
          <w:rFonts w:ascii="Arial" w:cs="Arial" w:eastAsia="Arial" w:hAnsi="Arial"/>
          <w:sz w:val="18"/>
          <w:szCs w:val="18"/>
          <w:color w:val="auto"/>
        </w:rPr>
        <w:t>“</w:t>
      </w:r>
      <w:r>
        <w:rPr>
          <w:rFonts w:ascii="Arial" w:cs="Arial" w:eastAsia="Arial" w:hAnsi="Arial"/>
          <w:sz w:val="18"/>
          <w:szCs w:val="18"/>
          <w:i w:val="1"/>
          <w:iCs w:val="1"/>
          <w:color w:val="auto"/>
        </w:rPr>
        <w:t>TG,</w:t>
      </w:r>
      <w:r>
        <w:rPr>
          <w:rFonts w:ascii="Arial" w:cs="Arial" w:eastAsia="Arial" w:hAnsi="Arial"/>
          <w:sz w:val="18"/>
          <w:szCs w:val="18"/>
          <w:color w:val="auto"/>
        </w:rPr>
        <w:t>”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TG Therapeutics, Inc. and our subsidiaries.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United States Food and Drug Administration (FDA) for BRIUMVI (ublituximab-xiiy) for the treatment of adult patients with relapsing forms of multiple sclerosis (RMS), to include clinically isolated syndrome, relapsing-remitting disease, and active secondary progressive disease, in adults. TG has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2022. The accompanying condensed December 31, 2022 balance sheet has been derived from these statements. The results of operations for the three and nine months ended September 30, 2023 are not necessarily indicative of the results that may be expected for the entire fiscal year or any other interim period.</w:t>
      </w:r>
    </w:p>
    <w:p>
      <w:pPr>
        <w:spacing w:after="0" w:line="170"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Historically, we have incurred operating losses since our inception; however, the Company experienced a net profit during the three and nine months ended September 30, 2023 due to a $140.0 million non-refundable upfront payment recognized as license revenue in the third quarter of 2023 as part of our ex-U.S. commercialization agreement (the Commercialization Agreement) with Neuraxpharm Pharmaceuticals, S.L. (Neuraxpharm) (see Note 2 for more information). We expect to continue to incur operating losses in the near term and may never become profitable. As of September 30, 2023, we have an accumulated deficit of $1.5 billion.</w:t>
      </w:r>
    </w:p>
    <w:p>
      <w:pPr>
        <w:spacing w:after="0" w:line="188" w:lineRule="exact"/>
        <w:rPr>
          <w:sz w:val="20"/>
          <w:szCs w:val="20"/>
          <w:color w:val="auto"/>
        </w:rPr>
      </w:pPr>
    </w:p>
    <w:p>
      <w:pPr>
        <w:ind w:left="160" w:firstLine="324"/>
        <w:spacing w:after="0" w:line="269" w:lineRule="auto"/>
        <w:rPr>
          <w:sz w:val="20"/>
          <w:szCs w:val="20"/>
          <w:color w:val="auto"/>
        </w:rPr>
      </w:pPr>
      <w:r>
        <w:rPr>
          <w:rFonts w:ascii="Arial" w:cs="Arial" w:eastAsia="Arial" w:hAnsi="Arial"/>
          <w:sz w:val="17"/>
          <w:szCs w:val="17"/>
          <w:color w:val="auto"/>
        </w:rPr>
        <w:t>Our major sources of cash have been proceeds from private placement and public offering of equity securities, from our loan and security agreements executed with Hercules Capital, Inc.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As of September 30, 2023, we had generated $48.9 million in product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17"/>
          <w:szCs w:val="17"/>
          <w:color w:val="auto"/>
        </w:rPr>
        <w:t>As of September 30, 2023, we had $229.2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ind w:left="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504"/>
        <w:spacing w:after="0" w:line="295" w:lineRule="auto"/>
        <w:rPr>
          <w:sz w:val="20"/>
          <w:szCs w:val="20"/>
          <w:color w:val="auto"/>
        </w:rPr>
      </w:pPr>
      <w:r>
        <w:rPr>
          <w:rFonts w:ascii="Arial" w:cs="Arial" w:eastAsia="Arial" w:hAnsi="Arial"/>
          <w:sz w:val="16"/>
          <w:szCs w:val="16"/>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color w:val="auto"/>
        </w:rPr>
        <w:t>Our significant accounting policies are described in Note 1 of Notes to Consolidated Financial Statements included in our 2022 Annual Report on Form 10-K, except updated herein or as it relates to revenue recognition, accounts receivable, inventory, cost of revenue, and the adoption of new accounting standards during the nine months ended September 30, 2023. Management does not believe that any recently issued, but not yet effective, accounting pronouncements, if currently adopted, would have a material effect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8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88"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7"/>
          <w:szCs w:val="17"/>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71"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8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84"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limitations, the Company’s return policy allows for eligible returns of BRIUMVI for credit under the following circumstances:</w:t>
      </w:r>
    </w:p>
    <w:p>
      <w:pPr>
        <w:spacing w:after="0" w:line="237" w:lineRule="exact"/>
        <w:rPr>
          <w:sz w:val="20"/>
          <w:szCs w:val="20"/>
          <w:color w:val="auto"/>
        </w:rPr>
      </w:pPr>
    </w:p>
    <w:p>
      <w:pPr>
        <w:ind w:left="660" w:hanging="14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225" w:lineRule="exact"/>
        <w:rPr>
          <w:rFonts w:ascii="Arial" w:cs="Arial" w:eastAsia="Arial" w:hAnsi="Arial"/>
          <w:sz w:val="18"/>
          <w:szCs w:val="18"/>
          <w:color w:val="auto"/>
        </w:rPr>
      </w:pPr>
    </w:p>
    <w:p>
      <w:pPr>
        <w:ind w:left="660" w:hanging="14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225" w:lineRule="exact"/>
        <w:rPr>
          <w:rFonts w:ascii="Arial" w:cs="Arial" w:eastAsia="Arial" w:hAnsi="Arial"/>
          <w:sz w:val="18"/>
          <w:szCs w:val="18"/>
          <w:color w:val="auto"/>
        </w:rPr>
      </w:pPr>
    </w:p>
    <w:p>
      <w:pPr>
        <w:ind w:right="20" w:firstLine="512"/>
        <w:spacing w:after="0" w:line="277" w:lineRule="auto"/>
        <w:tabs>
          <w:tab w:leader="none" w:pos="7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spacing w:after="0" w:line="170" w:lineRule="exact"/>
        <w:rPr>
          <w:rFonts w:ascii="Arial" w:cs="Arial" w:eastAsia="Arial" w:hAnsi="Arial"/>
          <w:sz w:val="18"/>
          <w:szCs w:val="18"/>
          <w:color w:val="auto"/>
        </w:rPr>
      </w:pPr>
    </w:p>
    <w:p>
      <w:pPr>
        <w:ind w:left="660" w:hanging="14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225" w:lineRule="exact"/>
        <w:rPr>
          <w:rFonts w:ascii="Arial" w:cs="Arial" w:eastAsia="Arial" w:hAnsi="Arial"/>
          <w:sz w:val="18"/>
          <w:szCs w:val="18"/>
          <w:color w:val="auto"/>
        </w:rPr>
      </w:pPr>
    </w:p>
    <w:p>
      <w:pPr>
        <w:ind w:left="660" w:hanging="14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the Company has not received any returns related to sales of BRIUMVI.</w:t>
      </w:r>
    </w:p>
    <w:p>
      <w:pPr>
        <w:spacing w:after="0" w:line="225"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License Agreements</w:t>
      </w:r>
    </w:p>
    <w:p>
      <w:pPr>
        <w:spacing w:after="0" w:line="225" w:lineRule="exact"/>
        <w:rPr>
          <w:sz w:val="20"/>
          <w:szCs w:val="20"/>
          <w:color w:val="auto"/>
        </w:rPr>
      </w:pPr>
    </w:p>
    <w:p>
      <w:pPr>
        <w:ind w:left="160" w:right="160" w:firstLine="324"/>
        <w:spacing w:after="0" w:line="287" w:lineRule="auto"/>
        <w:rPr>
          <w:sz w:val="20"/>
          <w:szCs w:val="20"/>
          <w:color w:val="auto"/>
        </w:rPr>
      </w:pPr>
      <w:r>
        <w:rPr>
          <w:rFonts w:ascii="Arial" w:cs="Arial" w:eastAsia="Arial" w:hAnsi="Arial"/>
          <w:sz w:val="16"/>
          <w:szCs w:val="16"/>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2"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Licenses of intellectual property: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93" w:lineRule="exact"/>
        <w:rPr>
          <w:sz w:val="20"/>
          <w:szCs w:val="20"/>
          <w:color w:val="auto"/>
        </w:rPr>
      </w:pPr>
    </w:p>
    <w:p>
      <w:pPr>
        <w:ind w:left="160" w:right="20" w:firstLine="324"/>
        <w:spacing w:after="0" w:line="271" w:lineRule="auto"/>
        <w:rPr>
          <w:sz w:val="20"/>
          <w:szCs w:val="20"/>
          <w:color w:val="auto"/>
        </w:rPr>
      </w:pPr>
      <w:r>
        <w:rPr>
          <w:rFonts w:ascii="Arial" w:cs="Arial" w:eastAsia="Arial" w:hAnsi="Arial"/>
          <w:sz w:val="17"/>
          <w:szCs w:val="17"/>
          <w:color w:val="auto"/>
        </w:rPr>
        <w:t>Milestone payments: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78" w:lineRule="exact"/>
        <w:rPr>
          <w:sz w:val="20"/>
          <w:szCs w:val="20"/>
          <w:color w:val="auto"/>
        </w:rPr>
      </w:pPr>
    </w:p>
    <w:p>
      <w:pPr>
        <w:jc w:val="both"/>
        <w:ind w:left="160" w:right="20"/>
        <w:spacing w:after="0" w:line="263" w:lineRule="auto"/>
        <w:rPr>
          <w:sz w:val="20"/>
          <w:szCs w:val="20"/>
          <w:color w:val="auto"/>
        </w:rPr>
      </w:pPr>
      <w:r>
        <w:rPr>
          <w:rFonts w:ascii="Arial" w:cs="Arial" w:eastAsia="Arial" w:hAnsi="Arial"/>
          <w:sz w:val="18"/>
          <w:szCs w:val="18"/>
          <w:color w:val="auto"/>
        </w:rPr>
        <w:t>Sales-based 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160"/>
        <w:spacing w:after="0" w:line="277" w:lineRule="auto"/>
        <w:rPr>
          <w:sz w:val="20"/>
          <w:szCs w:val="20"/>
          <w:color w:val="auto"/>
        </w:rPr>
      </w:pPr>
      <w:r>
        <w:rPr>
          <w:rFonts w:ascii="Arial" w:cs="Arial" w:eastAsia="Arial" w:hAnsi="Arial"/>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Product Revenue</w:t>
      </w:r>
    </w:p>
    <w:p>
      <w:pPr>
        <w:spacing w:after="0" w:line="225" w:lineRule="exact"/>
        <w:rPr>
          <w:sz w:val="20"/>
          <w:szCs w:val="20"/>
          <w:color w:val="auto"/>
        </w:rPr>
      </w:pPr>
    </w:p>
    <w:p>
      <w:pPr>
        <w:ind w:left="160" w:right="80"/>
        <w:spacing w:after="0" w:line="279"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ectPr>
          <w:pgSz w:w="11900" w:h="16838" w:orient="portrait"/>
          <w:cols w:equalWidth="0" w:num="1">
            <w:col w:w="11240"/>
          </w:cols>
          <w:pgMar w:left="320" w:top="125" w:right="339" w:bottom="0" w:gutter="0" w:footer="0" w:header="0"/>
        </w:sectPr>
      </w:pPr>
    </w:p>
    <w:bookmarkStart w:id="12" w:name="page13"/>
    <w:bookmarkEnd w:id="12"/>
    <w:p>
      <w:pPr>
        <w:jc w:val="both"/>
        <w:ind w:firstLine="504"/>
        <w:spacing w:after="0" w:line="257" w:lineRule="auto"/>
        <w:rPr>
          <w:sz w:val="20"/>
          <w:szCs w:val="20"/>
          <w:color w:val="auto"/>
        </w:rPr>
      </w:pPr>
      <w:r>
        <w:rPr>
          <w:rFonts w:ascii="Arial" w:cs="Arial" w:eastAsia="Arial" w:hAnsi="Arial"/>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September 30, 2023, we determined an allowance for expected credit losses related to outstanding accounts receivable was currently not required based upon our review of contractual payment terms and individual customer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Cost of revenue consists primarily of third-party manufacturing costs, distribution, overhead and royalties owed to our licensing partner for BRIUMVI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revenue. Our cost of revenue also relates to providing regulatory support &amp; development services to customers.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Inventories are stated at the lower of cost or estimated net realizable value with cost based on the first-in-first-out method (FIFO). 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ind w:left="160" w:right="120" w:firstLine="324"/>
        <w:spacing w:after="0" w:line="268" w:lineRule="auto"/>
        <w:rPr>
          <w:sz w:val="20"/>
          <w:szCs w:val="20"/>
          <w:color w:val="auto"/>
        </w:rPr>
      </w:pPr>
      <w:r>
        <w:rPr>
          <w:rFonts w:ascii="Arial" w:cs="Arial" w:eastAsia="Arial" w:hAnsi="Arial"/>
          <w:sz w:val="17"/>
          <w:szCs w:val="17"/>
          <w:color w:val="auto"/>
        </w:rPr>
        <w:t>Basic net income (loss) per share of our common stock is calculated by dividing net income (loss) applicable to the common stock by the weighted-average number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income (loss) per share were the same for all periods presented in the unaudited condensed consolidated statement of operations, except for the three and nine months ended September 30, 2023, as the Company had net income for those periods.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potentially dilutive securities at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issuable upon note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computation of basic and diluted EPS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r>
      <w:tr>
        <w:trPr>
          <w:trHeight w:val="195"/>
        </w:trPr>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8,454,545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10,901,797</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4,697,029</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5,153,737</w:t>
            </w: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312,272</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262,100</w:t>
            </w:r>
          </w:p>
        </w:tc>
      </w:tr>
      <w:tr>
        <w:trPr>
          <w:trHeight w:val="230"/>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20,646</w:t>
            </w: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20,135</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13,484,492</w:t>
            </w:r>
          </w:p>
        </w:tc>
        <w:tc>
          <w:tcPr>
            <w:tcW w:w="1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16,337,769</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680" w:space="320"/>
            <w:col w:w="3240"/>
          </w:cols>
          <w:pgMar w:left="320" w:top="125"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0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29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5240" w:type="dxa"/>
            <w:vAlign w:val="bottom"/>
            <w:vMerge w:val="restart"/>
          </w:tcPr>
          <w:p>
            <w:pPr>
              <w:spacing w:after="0"/>
              <w:rPr>
                <w:sz w:val="20"/>
                <w:szCs w:val="20"/>
                <w:color w:val="auto"/>
              </w:rPr>
            </w:pPr>
            <w:r>
              <w:rPr>
                <w:rFonts w:ascii="Arial" w:cs="Arial" w:eastAsia="Arial" w:hAnsi="Arial"/>
                <w:sz w:val="18"/>
                <w:szCs w:val="18"/>
                <w:color w:val="auto"/>
              </w:rPr>
              <w:t>(in thousands, except share and per share data)</w:t>
            </w:r>
          </w:p>
        </w:tc>
        <w:tc>
          <w:tcPr>
            <w:tcW w:w="308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rPr>
              <w:t>September 30,</w:t>
            </w:r>
          </w:p>
        </w:tc>
        <w:tc>
          <w:tcPr>
            <w:tcW w:w="20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113,930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(35,818)</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27,088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142,871,227</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135,327,035</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141,571,785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134,839,207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Dilutive effect of potential common shares</w:t>
            </w:r>
          </w:p>
        </w:tc>
        <w:tc>
          <w:tcPr>
            <w:tcW w:w="1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13,000,522</w:t>
            </w:r>
          </w:p>
        </w:tc>
        <w:tc>
          <w:tcPr>
            <w:tcW w:w="176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4,381,128</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Weighted-average common shares outstanding assuming dilution</w:t>
            </w: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155,871,749</w:t>
            </w:r>
          </w:p>
        </w:tc>
        <w:tc>
          <w:tcPr>
            <w:tcW w:w="17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135,327,035</w:t>
            </w:r>
          </w:p>
        </w:tc>
        <w:tc>
          <w:tcPr>
            <w:tcW w:w="1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145,952,913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134,839,207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(0.26)</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line="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and nine months ended September 30, 2023 our only source of product revenue has been from U.S. sales of BRIUMVI which we began shipping to our customers in January 2023. For the three and nine months ended September 30, 2022 our only source of product revenue was from the U.S. sales of UKONIQ, which was voluntarily withdrawn from the U.S. market effective May 31, 2022. ​</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As of September 30, 2023, approximately $6.1 million of gross-to-net accruals have been recorded as a reduction of accounts receivable, net and within accounts payable and accrued expenses on the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Neuraxpharm Commercialization Agreement</w:t>
      </w:r>
    </w:p>
    <w:p>
      <w:pPr>
        <w:spacing w:after="0" w:line="225"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On July 28, 2023, the Company entered into an ex-U.S. commercialization agreement (the Commercialization Agreement) with Neuraxpharm. The Company granted Neuraxpharm the exclusive right to commercialize BRIUMVI in territories outside the United States, Canada, and Mexico, which are retained by the Company, and excluding certain Asian countries previously partnered (the Territory). As part of the overall arrangement, the Company has agreed to supply BRIUMVI to Neuraxpharm throughout the term of the Commercialization Agreement. In addition, the Company will perform certain development and regulatory activities for Neuraxpharm to support its obligations under the Commercialization Agreement to secure and maintain the regulatory approvals required to sell BRIUMVI in the Territory.</w:t>
      </w:r>
    </w:p>
    <w:p>
      <w:pPr>
        <w:spacing w:after="0" w:line="192" w:lineRule="exact"/>
        <w:rPr>
          <w:sz w:val="20"/>
          <w:szCs w:val="20"/>
          <w:color w:val="auto"/>
        </w:rPr>
      </w:pPr>
    </w:p>
    <w:p>
      <w:pPr>
        <w:jc w:val="both"/>
        <w:ind w:firstLine="810"/>
        <w:spacing w:after="0" w:line="301" w:lineRule="auto"/>
        <w:rPr>
          <w:sz w:val="20"/>
          <w:szCs w:val="20"/>
          <w:color w:val="auto"/>
        </w:rPr>
      </w:pPr>
      <w:r>
        <w:rPr>
          <w:rFonts w:ascii="Arial" w:cs="Arial" w:eastAsia="Arial" w:hAnsi="Arial"/>
          <w:sz w:val="16"/>
          <w:szCs w:val="16"/>
          <w:color w:val="auto"/>
        </w:rPr>
        <w:t>In consideration for entering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$505.0 million. The consideration for the supply of BRIUMVI is reimbursement of cost plus a reasonable overhead, which the Company has determined approximates the price that a customer in the Territory would be willing to pay for these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exclusive right to develop, sell, offer to sell and import the Product in the Territory (the “License”); (ii) development and regulatory activities (“Development and Regulatory Activities”); and (iii) the requirement to supply Neuraxpharm with the Licensed Product at certain agreed amounts (the “Supply of Licensed Product”). The Company determined that these three commitments represent distinct performance obligations for purposes of recognizing revenue and will recognize revenue as it fulfills these performance obligations.</w:t>
      </w:r>
    </w:p>
    <w:p>
      <w:pPr>
        <w:spacing w:after="0" w:line="192"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License to the Company’s intellectual property represents a distinct performance obligation, therefore, the $140 million non-refundable upfront payment related to this performance obligation was recognized as License Revenue in the third quarter of 2023.</w:t>
      </w:r>
    </w:p>
    <w:p>
      <w:pPr>
        <w:spacing w:after="0" w:line="170"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The Development and Regulatory Activities performance obligation is satisfied over time because Neuraxpharm simultaneously receives and consumes the benefits provided by the Company’s performance of the services. Therefore, revenue is recognized as the activities are completed by the Company. For the three and nine months ended September 30, 2023, the Company recognized Other Revenue of $0.7 million related to the Development and Regulatory Activities.</w:t>
      </w:r>
    </w:p>
    <w:p>
      <w:pPr>
        <w:spacing w:after="0" w:line="187"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8"/>
          <w:szCs w:val="18"/>
          <w:color w:val="auto"/>
        </w:rPr>
        <w:t>The performance obligation related to the Supply of Licensed Product is met when control of the product passes to Neuraxpharm. The consideration received from Neuraxpharm for the supply of BRIUMVI will be recognized by the Company as a component of product revenue, net. As of September 30, 2023, the Company has an unconditional right to receive $6.8 million in consideration from Neuraxpharm related to the performance obligation to supply BRIUMVI, that is recorded as accounts receivable, net. The related performance obligation to supply BRIUMVI has not yet been satisfied, therefore, as of September 30, 2023, $6.8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95" w:lineRule="exact"/>
        <w:rPr>
          <w:sz w:val="20"/>
          <w:szCs w:val="20"/>
          <w:color w:val="auto"/>
        </w:rPr>
      </w:pPr>
    </w:p>
    <w:p>
      <w:pPr>
        <w:ind w:right="160" w:firstLine="810"/>
        <w:spacing w:after="0" w:line="254" w:lineRule="auto"/>
        <w:rPr>
          <w:sz w:val="20"/>
          <w:szCs w:val="20"/>
          <w:color w:val="auto"/>
        </w:rPr>
      </w:pPr>
      <w:r>
        <w:rPr>
          <w:rFonts w:ascii="Arial" w:cs="Arial" w:eastAsia="Arial" w:hAnsi="Arial"/>
          <w:sz w:val="18"/>
          <w:szCs w:val="18"/>
          <w:color w:val="auto"/>
        </w:rPr>
        <w:t>The remaining forms of consideration are variable because they are dependent on the achievement of sales-based or other milestones. The Company evaluated the constraint on variable consideration and concluded that the milestone payments are highly dependent on factors outside of the Company’s control.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achievement of the underlying milestone is probable. Any consideration related to sales-based royalties will be recognized when the related sales occur. No royalty revenue was recognized during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180" w:firstLine="504"/>
        <w:spacing w:after="0" w:line="277" w:lineRule="auto"/>
        <w:rPr>
          <w:sz w:val="20"/>
          <w:szCs w:val="20"/>
          <w:color w:val="auto"/>
        </w:rPr>
      </w:pPr>
      <w:r>
        <w:rPr>
          <w:rFonts w:ascii="Arial" w:cs="Arial" w:eastAsia="Arial" w:hAnsi="Arial"/>
          <w:sz w:val="18"/>
          <w:szCs w:val="18"/>
          <w:color w:val="auto"/>
        </w:rPr>
        <w:t>Our investments as of September 30, 2023 and December 31, 2022 are classified as held-to-maturity. Held-to-maturity investments are recorded at amortized cost.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our investment securities at September 30, 2023 and December 31, 2022:</w:t>
      </w:r>
    </w:p>
    <w:p>
      <w:pPr>
        <w:spacing w:after="0" w:line="22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40"/>
        <w:spacing w:after="0"/>
        <w:tabs>
          <w:tab w:leader="none" w:pos="7680" w:val="left"/>
          <w:tab w:leader="none" w:pos="9020" w:val="left"/>
        </w:tabs>
        <w:rPr>
          <w:sz w:val="20"/>
          <w:szCs w:val="20"/>
          <w:color w:val="auto"/>
        </w:rPr>
      </w:pPr>
      <w:r>
        <w:rPr>
          <w:rFonts w:ascii="Arial" w:cs="Arial" w:eastAsia="Arial" w:hAnsi="Arial"/>
          <w:sz w:val="18"/>
          <w:szCs w:val="18"/>
          <w:b w:val="1"/>
          <w:bCs w:val="1"/>
          <w:color w:val="auto"/>
        </w:rPr>
        <w:t>Amortized</w:t>
      </w:r>
      <w:r>
        <w:rPr>
          <w:sz w:val="20"/>
          <w:szCs w:val="20"/>
          <w:color w:val="auto"/>
        </w:rPr>
        <w:tab/>
      </w:r>
      <w:r>
        <w:rPr>
          <w:rFonts w:ascii="Arial" w:cs="Arial" w:eastAsia="Arial" w:hAnsi="Arial"/>
          <w:sz w:val="18"/>
          <w:szCs w:val="18"/>
          <w:b w:val="1"/>
          <w:bCs w:val="1"/>
          <w:color w:val="auto"/>
        </w:rPr>
        <w:t>Gross</w:t>
      </w:r>
      <w:r>
        <w:rPr>
          <w:sz w:val="20"/>
          <w:szCs w:val="20"/>
          <w:color w:val="auto"/>
        </w:rPr>
        <w:tab/>
      </w:r>
      <w:r>
        <w:rPr>
          <w:rFonts w:ascii="Arial" w:cs="Arial" w:eastAsia="Arial" w:hAnsi="Arial"/>
          <w:sz w:val="15"/>
          <w:szCs w:val="15"/>
          <w:b w:val="1"/>
          <w:bCs w:val="1"/>
          <w:color w:val="auto"/>
        </w:rPr>
        <w:t>Gross</w:t>
      </w:r>
    </w:p>
    <w:p>
      <w:pPr>
        <w:sectPr>
          <w:pgSz w:w="11900" w:h="16855" w:orient="portrait"/>
          <w:cols w:equalWidth="0" w:num="1">
            <w:col w:w="11240"/>
          </w:cols>
          <w:pgMar w:left="320" w:top="125"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9"/>
              </w:rPr>
              <w:t>Obligations of domestic governmental agencies (maturing between October</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78,257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243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78,024</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2023 and March 2024) (held-to-maturity)</w:t>
            </w:r>
          </w:p>
        </w:tc>
        <w:tc>
          <w:tcPr>
            <w:tcW w:w="1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January 2023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and December 2023) (held-to-maturity)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59,374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Obligations of domestic governmental agencies (maturing between January 2024</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12,404</w:t>
            </w: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11,975</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and February 2024) (held-to-maturity)</w:t>
            </w: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Total short-term and long-term investment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71,778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70,296</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our inventory as of September 30, 2023 (in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hanging="1033"/>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1,228</w:t>
      </w:r>
    </w:p>
    <w:p>
      <w:pPr>
        <w:spacing w:after="0" w:line="45"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31,713</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612</w:t>
      </w:r>
    </w:p>
    <w:p>
      <w:pPr>
        <w:spacing w:after="0" w:line="32" w:lineRule="exact"/>
        <w:rPr>
          <w:sz w:val="20"/>
          <w:szCs w:val="20"/>
          <w:color w:val="auto"/>
        </w:rPr>
      </w:pPr>
    </w:p>
    <w:p>
      <w:pPr>
        <w:ind w:left="960" w:hanging="95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33,553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16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16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8960" w:space="720"/>
            <w:col w:w="1560"/>
          </w:cols>
          <w:pgMar w:left="320" w:top="125" w:right="339" w:bottom="1440" w:gutter="0" w:footer="0" w:header="0"/>
        </w:sectPr>
      </w:pPr>
    </w:p>
    <w:p>
      <w:pPr>
        <w:spacing w:after="0" w:line="25"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17"/>
          <w:szCs w:val="17"/>
          <w:color w:val="auto"/>
        </w:rPr>
        <w:t>Inventory is stated at the lower of cost or net realizable value and consists of raw materials, work-in-process and finished goods. Cost is determined using a standard cost method, which approximates actual cost, and assumes a FIFO flow of goods. At September 30, 2023, all our inventory was related to BRIUMVI, which was approved by the FDA on December 28, 2022, at which time we began to capitalize costs to manufacture BRIUMVI. The Company has not recorded any inventory write downs since that time. Prior to the FDA approval of BRIUMVI, all costs related to the manufacturing of BRIUMVI and related material were charged to research and development expense in the period incurred. No costs related to the manufacturing of BRIUMVI and the related material were incurred between the approval date and year end 2022, therefore, inventory is not included in the December 31, 2022 condensed consolidated balance sheets. Inventory that is used for clinical development purposes is expensed to research and development expense when consumed. At September 30, 2023, we determined that a reserve related to BRIUMVI inventory is not required. We currently use a limited number of third-party contract manufacturing organizations (CMOs) to produce our inventory.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color w:val="auto"/>
        </w:rPr>
        <w:t>The Company’s financial instruments include cash, cash equivalents consisting of money market funds, accounts receivable, accounts payable and loan payable. As of September 30, 2023 and December 31, 2022,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 Level 1 or Level 2 instruments. Our Level 3 instrument amounts represent the fair value of the 5% Notes and related accrued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Level 3 instruments during the nine months ended September 30, 2023:</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2022</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accrued on face value of 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Change in fair value of Level 3 liabilities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Balance at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243</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844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(915)</w:t>
      </w:r>
    </w:p>
    <w:p>
      <w:pPr>
        <w:spacing w:after="0" w:line="9" w:lineRule="exact"/>
        <w:rPr>
          <w:sz w:val="20"/>
          <w:szCs w:val="20"/>
          <w:color w:val="auto"/>
        </w:rPr>
      </w:pPr>
    </w:p>
    <w:p>
      <w:pPr>
        <w:ind w:left="1180" w:hanging="1173"/>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169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960" w:space="720"/>
            <w:col w:w="1560"/>
          </w:cols>
          <w:pgMar w:left="320" w:top="125" w:right="339" w:bottom="1440" w:gutter="0" w:footer="0" w:header="0"/>
          <w:type w:val="continuous"/>
        </w:sectPr>
      </w:pPr>
    </w:p>
    <w:p>
      <w:pPr>
        <w:spacing w:after="0" w:line="2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amended and restated certificate of incorporation authorizes the issuance of up to 175,000,000 shares of $0.001 par value common stock.</w:t>
      </w:r>
    </w:p>
    <w:p>
      <w:pPr>
        <w:spacing w:after="0" w:line="237"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9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7"/>
          <w:szCs w:val="17"/>
          <w:color w:val="auto"/>
        </w:rPr>
        <w:t>During the nine months ended September 30,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6"/>
          <w:szCs w:val="16"/>
          <w:color w:val="auto"/>
        </w:rPr>
        <w:t>The TG Therapeutics, Inc. 2022 Incentive Plan (the 2022 Incentive Plan) was approved by stockholders in June 2022 with 17,000,000 shares available to be issued, of which not more than 10,000,000 shares may be issued pursuant to “full-value awards.” Full-value awards include any award other than an option or stock appreciation right and which is settled by the issuance of stock. As of September 30, 2023, 4,856,672 shares of restricted stock and 2,272,500 options were outstanding and up to an additional 8,742,674 shares were available to be issued under the 2022 Incentive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The TG Therapeutics, Inc. Amended and Restated 2012 Incentive Plan (the 2012 Incentive Plan) was approved by stockholders in June 2020. As of September 30, 2023, 5,097,904 shares of restricted stock and 2,424,529 options were outstanding, and no additional shares were available to be issued under the 2012 Incentive Plan as the 2022 Incentive Plan is now the only active incentive plan.</w:t>
      </w:r>
    </w:p>
    <w:p>
      <w:pPr>
        <w:spacing w:after="0" w:line="184" w:lineRule="exact"/>
        <w:rPr>
          <w:sz w:val="20"/>
          <w:szCs w:val="20"/>
          <w:color w:val="auto"/>
        </w:rPr>
      </w:pPr>
    </w:p>
    <w:p>
      <w:pPr>
        <w:jc w:val="both"/>
        <w:ind w:left="160" w:firstLine="648"/>
        <w:spacing w:after="0" w:line="279" w:lineRule="auto"/>
        <w:rPr>
          <w:sz w:val="20"/>
          <w:szCs w:val="20"/>
          <w:color w:val="auto"/>
        </w:rPr>
      </w:pPr>
      <w:r>
        <w:rPr>
          <w:rFonts w:ascii="Arial" w:cs="Arial" w:eastAsia="Arial" w:hAnsi="Arial"/>
          <w:sz w:val="17"/>
          <w:szCs w:val="17"/>
          <w:color w:val="auto"/>
        </w:rPr>
        <w:t>Stock-based compensation expense included in the condensed consolidated statements of operations was $9.2 million and $7.0 million for the three months ended September 30, 2023 and 2022, respectively, and $28.5 million and $8.1 million for the nine months ended September 30, 2023 and 2022, respectively. The $9.2 million and the $28.5 million for the three and nine months ended September 30, 2023, respectively, is net of $0.8 million and $2.1 million of stock-based compensation expense that was capitalized into inventory,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 and Restricted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for stock options and restricted stock for the nine months ended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Stock Options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Restricted Stock</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5,135,685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8,732,286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3,570,237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Exercised or vested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(246,156)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(2,209,888)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Expired or Forfeited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(138,059)</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Equity awards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4,697,029</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9,954,576</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of September 30, 2023, total compensation cost related to unvested awards not yet recognized and the weighted-average periods over which the awards are expected to be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1"/>
              </w:rPr>
              <w:t>​Stock Options</w:t>
            </w:r>
          </w:p>
        </w:tc>
        <w:tc>
          <w:tcPr>
            <w:tcW w:w="10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7"/>
              </w:rPr>
              <w:t>Restricted Stock</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Unrecognized compensation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The Company’s only outstanding warrants are the warrants issued to Hercules as part of the Loan Agreement, the Amended Loan Agreement and the First Amendment (please refer to Note 7 – Loan Payable) to purchase 147,058, 115,042 and 50,172 shares of our common stock with exercise prices of $4.08, $17.95 and $14.70, respectively. See Note 7 for further details. There will not be any ongoing stock compensation expense volatility associated with these warrants.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LOAN PAYABLE</w:t>
      </w:r>
    </w:p>
    <w:p>
      <w:pPr>
        <w:spacing w:after="0" w:line="229"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On February 28, 2019 (the Closing Date), we entered into a term loan facility with Hercules Capital, Inc. (Hercules or Lender), which provided us with the capacity to borrow up to an aggregate principal amount of $60.0 million (Term Loan).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88"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17"/>
          <w:szCs w:val="17"/>
          <w:color w:val="auto"/>
        </w:rPr>
        <w:t>On December 30, 2021 (the Amended Loan Agreement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In addition to the cash interest rate, the principal balance accrues paid-in-kind interest at a rate of 3.45%, which amount will be capitalized and added to the outstanding principal balance of the Amended Term Loan and payable at the maturity date of the Amended Loan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On March 31, 2023 (the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3A Advance), (ii) formal expiration of Tranche 2,</w:t>
      </w:r>
    </w:p>
    <w:p>
      <w:pPr>
        <w:spacing w:after="0" w:line="2" w:lineRule="exact"/>
        <w:rPr>
          <w:sz w:val="20"/>
          <w:szCs w:val="20"/>
          <w:color w:val="auto"/>
        </w:rPr>
      </w:pPr>
    </w:p>
    <w:p>
      <w:pPr>
        <w:jc w:val="both"/>
        <w:ind w:firstLine="8"/>
        <w:spacing w:after="0" w:line="268" w:lineRule="auto"/>
        <w:tabs>
          <w:tab w:leader="none" w:pos="33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 the draw amounts and dates available under subsequent tranches, including splitting the remaining balance of Tranche 3 into two additional advances in an aggregate principal amount of up to $20.0 million, in increments of $10.0 million (each a Tranche 3B Advance and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The First Amendment contains financial covenants that require the company to maintain certain levels of unrestricted cash and additional financial covenants related to market capitalization. As of September 30, 2023, we are in compliance with all financial covenants.</w:t>
      </w:r>
    </w:p>
    <w:p>
      <w:pPr>
        <w:spacing w:after="0" w:line="181"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The First Amendment also contains warrant coverage of 2.95% of each advance amount funded.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87" w:lineRule="exact"/>
        <w:rPr>
          <w:sz w:val="20"/>
          <w:szCs w:val="20"/>
          <w:color w:val="auto"/>
        </w:rPr>
      </w:pPr>
    </w:p>
    <w:p>
      <w:pPr>
        <w:jc w:val="both"/>
        <w:ind w:right="20" w:firstLine="504"/>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 (as defined in the Loan Agreement) plus 4.95% of the aggregate principal amount of all other advances.</w:t>
      </w:r>
    </w:p>
    <w:p>
      <w:pPr>
        <w:spacing w:after="0" w:line="170"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spacing w:after="0" w:line="184"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6"/>
          <w:szCs w:val="16"/>
          <w:color w:val="auto"/>
        </w:rPr>
        <w:t>The Company evaluated whether the First Amendment represented a debt modification or extinguishment of the Term Loan in accordance with ASC 470-50, Debt – Modifications and Extinguishments. As a result of the modification of terms and no repayment or retirement of the Term Loan, the Term Loan was accounted for by the Company under the modification accounting model. The Company capitalized the facility charge from the First Amendment advance to debt issuance costs and expensed third party fees in the Company’s statement of operations for the nine months ended September 30, 2023.</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estimated the fair value of the First Amendment Warrant using the Black-Scholes model based on the following key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Amended Term Loan</w:t>
            </w:r>
          </w:p>
        </w:tc>
        <w:tc>
          <w:tcPr>
            <w:tcW w:w="160" w:type="dxa"/>
            <w:vAlign w:val="bottom"/>
          </w:tcPr>
          <w:p>
            <w:pPr>
              <w:spacing w:after="0"/>
              <w:rPr>
                <w:sz w:val="20"/>
                <w:szCs w:val="20"/>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Common share price on date of issuance</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15.04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418"/>
        </w:trPr>
        <w:tc>
          <w:tcPr>
            <w:tcW w:w="4240" w:type="dxa"/>
            <w:vAlign w:val="bottom"/>
          </w:tcPr>
          <w:p>
            <w:pPr>
              <w:spacing w:after="0"/>
              <w:rPr>
                <w:sz w:val="24"/>
                <w:szCs w:val="24"/>
                <w:color w:val="auto"/>
              </w:rPr>
            </w:pPr>
          </w:p>
        </w:tc>
        <w:tc>
          <w:tcPr>
            <w:tcW w:w="4940" w:type="dxa"/>
            <w:vAlign w:val="bottom"/>
          </w:tcPr>
          <w:p>
            <w:pPr>
              <w:jc w:val="right"/>
              <w:ind w:right="33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incurred financing expenses of $2.0 million (including the fair value of the First Amendment Warrant) related to the First Amendment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are recorded as debt issuance costs and as an offset to loan payable on the Company’s consolidated balance sheet. The debt issuance costs are being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amortized over the term of the debt using the straight-line method, which approximates the effective interest method, and will be included in interest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in the Company’s consolidated statements of operations. Amortization of debt issuance costs was $0.6 million and $0.5 million for the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2023, and 2022, respectively and $1.7 million and $1.4 million for the nine months ended September 30, 2023 and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September 30, 2022, the remaining unamortized balance of debt issuance costs was $6.0 million. At September 30, 2023,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unamortized balance of debt issuance costs was $5.8 million.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 payable as of September 30, 2023 and December 31, 2022,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Add: Accreted Liability of final payment fee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(5,751)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(5,532)</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principal payments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loan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non-current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9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$0.2 million for the nine months ended September 30, 2023.</w:t>
      </w:r>
    </w:p>
    <w:p>
      <w:pPr>
        <w:spacing w:after="0" w:line="18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$0.1 million for the nine months ended September 30, 2023.</w:t>
      </w:r>
    </w:p>
    <w:p>
      <w:pPr>
        <w:spacing w:after="0" w:line="18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8"/>
          <w:szCs w:val="18"/>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$11.0 million and $8.3 million, respectively, as of September 30, 2023. Our leases have remaining lease terms of 1 year to 8 years. One lease has a renewal option to extend the lease for an additional term of two years. The following components of lease expense are included in the Company’s condensed consolidated statements of operations for the three and nine months ended September 30,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(in thousands)</w:t>
            </w:r>
          </w:p>
        </w:tc>
        <w:tc>
          <w:tcPr>
            <w:tcW w:w="2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7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Net lease cost</w:t>
            </w:r>
          </w:p>
        </w:tc>
        <w:tc>
          <w:tcPr>
            <w:tcW w:w="27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vMerge w:val="restart"/>
          </w:tcPr>
          <w:p>
            <w:pPr>
              <w:jc w:val="right"/>
              <w:ind w:right="17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color w:val="auto"/>
        </w:rPr>
        <w:t>As of September 30, 2023, the weighted-average remaining operating lease term was 6.0 years and the weighted-average discount rate for operating leases was 9.99%. Cash paid for amounts included in the measurement of operating lease liabilities during the nine months ended September 30, 2023 was $1.8 million. The balance sheet classification of lease liabilities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 liability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lease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0"/>
              <w:spacing w:after="0"/>
              <w:rPr>
                <w:sz w:val="20"/>
                <w:szCs w:val="20"/>
                <w:color w:val="auto"/>
              </w:rPr>
            </w:pPr>
            <w:r>
              <w:rPr>
                <w:rFonts w:ascii="Arial" w:cs="Arial" w:eastAsia="Arial" w:hAnsi="Arial"/>
                <w:sz w:val="18"/>
                <w:szCs w:val="18"/>
                <w:color w:val="auto"/>
              </w:rPr>
              <w:t>As of September 30, 2023, the maturities of lease liabilities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6"/>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After 2028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jc w:val="both"/>
        <w:ind w:left="420" w:hanging="412"/>
        <w:spacing w:after="0" w:line="25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BRIUMVI (Ublituximab)</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owned subsidiaries of LFB Group, relating to the development of ublituximab (the LFB License Agreement). Under the terms of the LFB License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we have acquired the exclusive worldwide rights (exclusive of France/Belgium) for the development and commercialization of ublituximab.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September 30, 2023, we have incurred approximately $31.0 million in expense related to the achievement of certain milestones of the LFB License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LFB Group is eligible to receive future payments of up to an aggregate of approximately $12.0 million upon our successful achievement of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regulatory milestones, in addition to royalty payments on net sales of ublituximab at a royalty rate that escalates from mid-single digits to high-single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digits. The license will terminate on a country-by-country basis upon the expiration of the last licensed patent right or 15 years after the first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a product in such country, unless the agreement is earlier terminated (i) by LFB if the Company challenges any of the licensed patent rights, (ii)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party due to a breach of the agreement, or (iii) by either party in the event of the insolvency of the other party. During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2023, the Company recorded $2.4 million and $4.8 million, respectively, related to the worldwide royalty due under the LFB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in cost of revenue based on U.S. sales of BRIUMVI. As of September 30, 2023, $2.4 million in royalties were payable under the LFB License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7" w:lineRule="exact"/>
        <w:rPr>
          <w:sz w:val="20"/>
          <w:szCs w:val="20"/>
          <w:color w:val="auto"/>
        </w:rPr>
      </w:pPr>
    </w:p>
    <w:p>
      <w:pPr>
        <w:jc w:val="both"/>
        <w:ind w:firstLine="504"/>
        <w:spacing w:after="0" w:line="291"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2023 and 2022 and approximately $114,000 for each of the nine months ended September 30, 2023 and 2022. At September 30, 2023 and December 31, 2022, we have deferred revenue of approximately $0.3 million and $0.5 million, respectively, associated with this $2 million payment (approximately $0.2 million of which has been classified in current liabilities at September 30, 2023 and December 31, 2022).</w:t>
      </w:r>
    </w:p>
    <w:p>
      <w:pPr>
        <w:spacing w:after="0" w:line="166"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July 2023, the Company entered into the Commercialization Agreement with Neuraxpharm. The Company granted Neuraxpharm the exclusive right to commercialize BRIUMVI in territories outside the United States, Canada, and Mexico, which are retained by TG, and excluding certain Asian countries previously partnered. Under the terms of the Commercialization Agreement, the Company received a one-time, non-refundable payment of $140.0 million upon contract execution (please refer to Note 2 – Revenue). The Company is eligible to receive an additional $12.5 million upon first key market commercial launch in the EU and up to an additional $492.5 million in milestone-based payments on achievement of certain launch and commercial milestones. In addition, TG will receive tiered double-digit royalties on net product sales up to 30%. In the event of a change of control of the Company (as defined in the Commercialization Agreement), the Company retains an option to buy back all rights under the Commercialization Agreement for a period of two years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UKONIQ (umbralisib)</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September 2014, we exercised our option to license the global rights to umbralisib, thereby entering into an exclusive licensing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Umbralisib License) with Rhizen Pharmaceuticals, SA (Rhizen) for the development and commercialization of umbralisib. Prior to this, we had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jointly developing umbralisib in a 50:50 joint venture with Rhizen. As of September 30, 2023, we have incurred approximately $24.0 million in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achievement of certain milestones of the Umbralisib License.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terms of the Umbralisib License, Rhizen is eligible to receive approval and sales-based milestone payments in the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$175 million payable. Additionally, Rhizen receives tiered royalties that escalate from high single digits to low double digits on any net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umbralisib. During the year ended December 31, 2022, the Company recorded $0.2 million related to the worldwide royalty due under the Umbralisib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in cost of revenue based on U.S. sales of UKONIQ and as of December 31, 2022, approximately $3,000 in royalties were payable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Umbralisib License. As of September 30, 2023,  no royalties were payable under the Umbralisib License and as a result of the withdrawal of UKONIQ</w:t>
      </w:r>
    </w:p>
    <w:p>
      <w:pPr>
        <w:spacing w:after="0" w:line="21"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from the U.S. market and discontinuation of all commercialization activities,</w:t>
      </w:r>
      <w:r>
        <w:rPr>
          <w:sz w:val="20"/>
          <w:szCs w:val="20"/>
          <w:color w:val="auto"/>
        </w:rPr>
        <w:tab/>
      </w:r>
      <w:r>
        <w:rPr>
          <w:rFonts w:ascii="Arial" w:cs="Arial" w:eastAsia="Arial" w:hAnsi="Arial"/>
          <w:sz w:val="17"/>
          <w:szCs w:val="17"/>
          <w:color w:val="auto"/>
        </w:rPr>
        <w:t>we do not expect to incur any additional costs related to this license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$0.7 million and $0.6 million for the nine months ended September 30, 2023 and 2022, respectively, primarily related to shared personnel. Mr. Weiss, our Chairman and Chief Executive Officer, also serves as a director and Executive Vice Chairman, Strategic Development of FBIO.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Note 8 – Leases for details regarding the Office Agreement with FBIO.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are based on a number of assumptions and estimates that are inherently subject to significant risks and uncertainties,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could differ materially from the results anticipated by our forward-looking statements as a result of many known or unknown factors, including,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limited to, those factors discussed in Risk Factors. See also the Special Cautionary Notice Regarding Forward-Looking Statements set forth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beginning of this report.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TG has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Update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BRIUMVI Ex-U.S. Commercialization &amp; Recent UK Approval</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August 1, 2023, we announced an agreement with Neuraxpharm, a leading European specialty pharmaceutical company focused on the treatment of central nervous system (CNS) disorders, for the Ex-U.S. commercialization of BRIUMVI.</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November 1, 2023, we announced that we also received approval by the MHRA for BRIUMVI to treat adult patients with RMS with active disease defined by clinical or imaging features in the UK.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October 2023.</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8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51"/>
        </w:trPr>
        <w:tc>
          <w:tcPr>
            <w:tcW w:w="3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193"/>
        </w:trPr>
        <w:tc>
          <w:tcPr>
            <w:tcW w:w="3880" w:type="dxa"/>
            <w:vAlign w:val="bottom"/>
            <w:tcBorders>
              <w:left w:val="single" w:sz="8" w:color="auto"/>
              <w:bottom w:val="single" w:sz="8" w:color="auto"/>
              <w:right w:val="single" w:sz="8" w:color="auto"/>
            </w:tcBorders>
            <w:gridSpan w:val="2"/>
          </w:tcPr>
          <w:p>
            <w:pPr>
              <w:ind w:left="20"/>
              <w:spacing w:after="0" w:line="193" w:lineRule="exact"/>
              <w:rPr>
                <w:sz w:val="20"/>
                <w:szCs w:val="20"/>
                <w:color w:val="auto"/>
              </w:rPr>
            </w:pPr>
            <w:r>
              <w:rPr>
                <w:rFonts w:ascii="Arial" w:cs="Arial" w:eastAsia="Arial" w:hAnsi="Arial"/>
                <w:sz w:val="18"/>
                <w:szCs w:val="18"/>
                <w:color w:val="auto"/>
              </w:rPr>
              <w:t>Ublituximab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Relapsing Forms of Multiple Sclerosis (RMS) </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APPROVED</w:t>
            </w:r>
          </w:p>
        </w:tc>
      </w:tr>
      <w:tr>
        <w:trPr>
          <w:trHeight w:val="209"/>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(BTK inhibitor)</w:t>
            </w:r>
          </w:p>
        </w:tc>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disorders</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TG-1801</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(anti-CD47/CD19 bispecific mAb)</w:t>
            </w:r>
          </w:p>
        </w:tc>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disorders</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1"/>
        </w:trPr>
        <w:tc>
          <w:tcPr>
            <w:tcW w:w="700" w:type="dxa"/>
            <w:vAlign w:val="bottom"/>
          </w:tcPr>
          <w:p>
            <w:pPr>
              <w:ind w:left="60"/>
              <w:spacing w:after="0"/>
              <w:rPr>
                <w:sz w:val="20"/>
                <w:szCs w:val="20"/>
                <w:color w:val="auto"/>
              </w:rPr>
            </w:pPr>
            <w:r>
              <w:rPr>
                <w:rFonts w:ascii="Arial" w:cs="Arial" w:eastAsia="Arial" w:hAnsi="Arial"/>
                <w:sz w:val="18"/>
                <w:szCs w:val="18"/>
                <w:color w:val="auto"/>
              </w:rPr>
              <w:t>​</w:t>
            </w:r>
          </w:p>
        </w:tc>
        <w:tc>
          <w:tcPr>
            <w:tcW w:w="3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b w:val="1"/>
          <w:bCs w:val="1"/>
          <w:color w:val="auto"/>
        </w:rPr>
        <w:t>BRIUMVI (ublituximab-xiiy) Overview</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BRIUMVI approvals were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 Pediatrics, and Genetics at Stanford University. Full enrollment was completed in October 2018, with approximately 1,100 subjects enrolled in both studies combined.</w:t>
      </w:r>
    </w:p>
    <w:p>
      <w:pPr>
        <w:spacing w:after="0" w:line="195" w:lineRule="exact"/>
        <w:rPr>
          <w:sz w:val="20"/>
          <w:szCs w:val="20"/>
          <w:color w:val="auto"/>
        </w:rPr>
      </w:pPr>
    </w:p>
    <w:p>
      <w:pPr>
        <w:ind w:left="1380" w:right="120" w:hanging="333"/>
        <w:spacing w:after="0" w:line="254"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Arial" w:cs="Arial" w:eastAsia="Arial" w:hAnsi="Arial"/>
          <w:sz w:val="18"/>
          <w:szCs w:val="18"/>
          <w:color w:val="auto"/>
        </w:rPr>
      </w:pPr>
    </w:p>
    <w:p>
      <w:pPr>
        <w:ind w:left="1380" w:hanging="333"/>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22, 2022, the full results from the ULTIMATE I &amp; II trials were published in the New England Journal of Medicine.</w:t>
      </w:r>
    </w:p>
    <w:p>
      <w:pPr>
        <w:spacing w:after="0" w:line="9" w:lineRule="exact"/>
        <w:rPr>
          <w:rFonts w:ascii="Arial" w:cs="Arial" w:eastAsia="Arial" w:hAnsi="Arial"/>
          <w:sz w:val="18"/>
          <w:szCs w:val="18"/>
          <w:color w:val="auto"/>
        </w:rPr>
      </w:pPr>
    </w:p>
    <w:p>
      <w:pPr>
        <w:jc w:val="both"/>
        <w:ind w:left="1380" w:right="40" w:hanging="333"/>
        <w:spacing w:after="0" w:line="277" w:lineRule="auto"/>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addition to presenting various exploratory data sets from the ULTIMATE I &amp; II trials at major medical meetings, on October 11, 2023 we also presented the first data from the ENHANCE Phase 3b trial evaluating RMS patients who switch from a IV anti-CD20 therapy to BRIUMVI at the 2023 European Committee for Treatment and Research in Multiple Sclerosis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Commercialization of BRIUMVI</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w:t>
      </w:r>
    </w:p>
    <w:p>
      <w:pPr>
        <w:spacing w:after="0" w:line="165" w:lineRule="exact"/>
        <w:rPr>
          <w:sz w:val="20"/>
          <w:szCs w:val="20"/>
          <w:color w:val="auto"/>
        </w:rPr>
      </w:pPr>
    </w:p>
    <w:p>
      <w:pPr>
        <w:ind w:left="1380" w:right="300" w:hanging="333"/>
        <w:spacing w:after="0" w:line="255"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commercialization efforts focused on engaging targeted neurology accounts with multi-channel promotional programming, sales engagements, infusion training and education. We also worked closely with payers to begin to secure insurance coverage for BRIUMVI. The first patient received a BRIUMVI infusion on February 1, 2023.</w:t>
      </w:r>
    </w:p>
    <w:p>
      <w:pPr>
        <w:spacing w:after="0" w:line="2" w:lineRule="exact"/>
        <w:rPr>
          <w:rFonts w:ascii="Arial" w:cs="Arial" w:eastAsia="Arial" w:hAnsi="Arial"/>
          <w:sz w:val="18"/>
          <w:szCs w:val="18"/>
          <w:color w:val="auto"/>
        </w:rPr>
      </w:pPr>
    </w:p>
    <w:p>
      <w:pPr>
        <w:ind w:left="1380" w:hanging="333"/>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July 1, 2023, the permanent J-Code for BRIUMVI (J2329) became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Ex-U.S. Commercialization of BRIUMVI</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 2023, we announced an agreement with Neuraxpharm, a leading European specialty pharmaceutical company focused on the treatment of CNS disorders, for the Ex-US commercialization of BRIUMVI. Under the terms of the commercialization agreement, we received an upfront payment of $140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United States, Canada and Mexico, which are retained by TG, and excluding certain Asian countries previously partnered. We retain an option to buy back all rights under the commercialization agreement for a period of two years in the event of a change in control of TG.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2023, we announced that we also received approval by the MHRA for BRIUMVI to treat adult patients with RMS with active disease defined by clinical or imaging features in the UK.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please refer to our Annual Report on Form 10-K for the quarter and year ended December 31, 2022.</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operations for the three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25,068</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License, milestone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165,815</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20,801</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14,254</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35,057</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(35,818)</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Product Revenue,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revenue, net was approximately $25.1 million for the three months ended September 30, 2023, compared to $0.1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three months ended September 30, 2022. Product revenue, net for the three months ended September 30, 2023, consisted of net product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BRIUMVI in the United States. In January 2023, we began commercial sales of BRIUMVI within the U.S. following FDA approval. Product revenue,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for the three months ended September 30, 2022, consisted of net product sales of UKONIQ, which was officially withdrawn from the market in May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License Revenue</w:t>
      </w:r>
      <w:r>
        <w:rPr>
          <w:rFonts w:ascii="Arial" w:cs="Arial" w:eastAsia="Arial" w:hAnsi="Arial"/>
          <w:sz w:val="17"/>
          <w:szCs w:val="17"/>
          <w:color w:val="auto"/>
        </w:rPr>
        <w:t>. License revenue was $140.0 million and less than $0.1 million for the three months ended September 30, 2023 and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2022, respectively. License revenue for the three months ended September 30, 2023 is predominantly comprised of recognition of license revenue from the one-time payment under the Neuraxpharm Commercialization Agreement. License revenue for the three months ended September 30, 2022 is comprised of recognition of a portion of the upfront payment from the ublituximab sublicense agreement with Ildong.</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color w:val="auto"/>
        </w:rPr>
        <w:t>. Other revenue was $0.7 million and zero for the three months ended September 30, 2023 and September 30, 2022,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for the three months ended September 30, 2023 is comprised of consideration received for development and regulatory activities performed on behalf of Neuraxpharm in accordance with the Commercialization Agreement. ​</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for the three months ended September 30, 2023 was $3.5 million compared to approximately $2,000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2022. Cost of revenue for the three months ended September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We expect the cost of revenue for BRIUMVI to increase in relation to product revenues as we deplete these inventories and we expect to use the remaining pre-commercialization inventory for product sales through the end of 2024. A portion of the cost of revenue for the three months ended September 30, 2023 includes costs related to delivering regulatory support &amp; development services to Neuraxpharm in accordance with the Commercialization Agreement. Cost of revenue for the three months ended September 30, 2022 primarily relates to freight and royalties owed to our licensing partner for UKONIQ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Noncash Compensation Expense (Research and Development)</w:t>
      </w:r>
      <w:r>
        <w:rPr>
          <w:rFonts w:ascii="Arial" w:cs="Arial" w:eastAsia="Arial" w:hAnsi="Arial"/>
          <w:sz w:val="18"/>
          <w:szCs w:val="18"/>
          <w:color w:val="auto"/>
        </w:rPr>
        <w:t>. Noncash compensation expense (research and development) related to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grants totaled $2.9 million for the three months ended September 30, 2023, as compared to $3.2 million during the comparable period ended September 30, 2022.</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decreased for the three months ended September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approximately $5.8 million to $11.8 million as compared to the comparable period ended September 30, 2022. The decrease in R&amp;D expense during the three months ended September 30, 2023 was primarily attributable to reduced manufacturing expense and clinical trial related expenses. Prior to the approval of BRIUMVI, manufacturing costs pertaining to BRIUMVI were expensed to research and development expense in the period incurred, and following approval are reflected in inventory.</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Noncash Compensation Expense (Selling, General and Administrative)</w:t>
      </w:r>
      <w:r>
        <w:rPr>
          <w:rFonts w:ascii="Arial" w:cs="Arial" w:eastAsia="Arial" w:hAnsi="Arial"/>
          <w:sz w:val="16"/>
          <w:szCs w:val="16"/>
          <w:color w:val="auto"/>
        </w:rPr>
        <w:t>. Noncash compensation expense (selling, general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equity incentive grants totaled $6.3 million for the three months ended September 30, 2023, as compared to $3.7 million during the comparable period ended September 30, 2022. The increase in noncash compensation expense was primarily due to greater vesting of equity grants and a decrease in forfeitures during the three months ended September 30, 2023 compared to the three months ended September 30, 2022.</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Other Selling, General and Administrative</w:t>
      </w:r>
      <w:r>
        <w:rPr>
          <w:rFonts w:ascii="Arial" w:cs="Arial" w:eastAsia="Arial" w:hAnsi="Arial"/>
          <w:sz w:val="17"/>
          <w:szCs w:val="17"/>
          <w:color w:val="auto"/>
        </w:rPr>
        <w:t>. Other selling, general and administrative expenses totaled $26.5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2023, as compared to $10.5 million during the comparable period ended September 30, 2022. The increase was primarily due to other selling, general and administrative costs, including personnel and consultants, associated with the commercialization of BRIUMVI, as well as increase in advisory fees pertaining to the Commercialization Agreement with Neuraxpharm during the three months ended September, 30, 2023.</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$2.1 million to $3.7 million for the three months ended September 30, 2023, as compared to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2022. The increase is mainly due to greater interest expense related to the First Amendment to the Amended Loan Agreement.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color w:val="auto"/>
        </w:rPr>
        <w:t>. Other income increased by $2.1 million to $2.9 million for the three months ended September 30, 2023 as compared to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2022. The increase is mainly due to higher interest income received from our money market investments, as well as a research</w:t>
      </w: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tax credit refund received by our Australian subsidiary during the three months ended September 30, 2023.</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operations for the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48,868</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License, milestone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189,691</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7,471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58,743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95,717</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47,503</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143,482</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(4,154)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(145,341)</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Product Revenue,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revenue, net was approximately $48.9 million for the nine months ended September 30, 2023,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 million for the nine months ended September 30, 2022. Product revenue, net for the nine months ended September 30, 2023, consisted of net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BRIUMVI in the United States. In January 2023, we began commercial sales of BRIUMVI within the U.S. following FDA approval.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 net for the nine months ended September 30, 2022, consisted of net product sales of UKONIQ, which was officially withdrawn from the market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of 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License Revenue</w:t>
      </w:r>
      <w:r>
        <w:rPr>
          <w:rFonts w:ascii="Arial" w:cs="Arial" w:eastAsia="Arial" w:hAnsi="Arial"/>
          <w:sz w:val="17"/>
          <w:szCs w:val="17"/>
          <w:color w:val="auto"/>
        </w:rPr>
        <w:t>. License revenue was $140.1 million and less than $0.1 million for the nine months ended September 30, 2023 and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2022, respectively. License revenue for the nine months ended September 30, 2023 is predominantly comprised of recognition of license revenue from the one-time payment under the Neuraxpharm Commercialization Agreement. License revenue for the nine months ended September 30, 2022 is comprised of recognition of a portion of the upfront payment from the ublituximab sublicense agreement with Ildong.</w:t>
      </w:r>
    </w:p>
    <w:p>
      <w:pPr>
        <w:spacing w:after="0" w:line="17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color w:val="auto"/>
        </w:rPr>
        <w:t>. Other revenue was $0.7 million and zero for the nine months ended September 30, 2023 and September 30, 2022,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for the nine months ended September 30, 2023 is comprised of consideration received for development and regulatory activities performed on behalf of Neuraxpharm in accordance with the Commercialization Agreement.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for the nine months ended September 30, 2023 was $6.3 million compared to approximately $0.3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2022. Cost of revenue for the nine months ended September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We expect the cost of revenue for BRIUMVI to increase in relation to product revenues as we deplete these inventories and we expect to use the remaining pre-commercialization inventory for product sales through the end of 2024. A portion of the cost of revenue for the nine months ended September 30, 2023 includes costs related to delivering regulatory support &amp; development services to Neuraxpharm in accordance with the Commercialization Agreement. Cost of revenue for the nine months ended September 30, 2022 primarily relates to freight and royalties owed to our licensing partner for UKONIQ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Noncash Compensation Expense (Research and Development)</w:t>
      </w:r>
      <w:r>
        <w:rPr>
          <w:rFonts w:ascii="Arial" w:cs="Arial" w:eastAsia="Arial" w:hAnsi="Arial"/>
          <w:sz w:val="17"/>
          <w:szCs w:val="17"/>
          <w:color w:val="auto"/>
        </w:rPr>
        <w:t>. Noncash compensation expense (research and development) related to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grants totaled $10.2 million for the nine months ended September 30, 2023, as compared to $7.5 million during the comparable period ended September 30, 2022. The increase in noncash compensation expense was primarily due to vesting of milestone-based grants and a decrease in forfeitures during the nine months ended September 30, 2023 compared to the nine months ended September 30, 2022.</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decreased for the nine months ended September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approximately $39.7 million to $48.6 million as compared to the comparable period ended September 30, 2022. The decrease in R&amp;D expense during the nine months ended September 30, 2023 was primarily attributable to reduced manufacturing expense and clinical trial related expenses. Prior to the approval of BRIUMVI, manufacturing costs pertaining to BRIUMVI were expensed to research and development expense in the period incurred, and following approval are reflected in inventory. These decreased costs were offset by license milestones incurred during the nine months ended September 30, 2023.</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Noncash Compensation Expense (Selling, General and Administrative)</w:t>
      </w:r>
      <w:r>
        <w:rPr>
          <w:rFonts w:ascii="Arial" w:cs="Arial" w:eastAsia="Arial" w:hAnsi="Arial"/>
          <w:sz w:val="16"/>
          <w:szCs w:val="16"/>
          <w:color w:val="auto"/>
        </w:rPr>
        <w:t>. Noncash compensation expense (selling, general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equity incentive grants totaled $18.4 million for the nine months ended September 30, 2023, as compared to $0.7 million during the comparable period ended September 30, 2022. The increase in noncash compensation expense was primarily due to vesting of milestone-based grants and a decrease in forfeitures during the nine months ended September 30, 2023 compared to the nine months ended September 30, 2022.</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Other Selling, General and Administrative</w:t>
      </w:r>
      <w:r>
        <w:rPr>
          <w:rFonts w:ascii="Arial" w:cs="Arial" w:eastAsia="Arial" w:hAnsi="Arial"/>
          <w:sz w:val="18"/>
          <w:szCs w:val="18"/>
          <w:color w:val="auto"/>
        </w:rPr>
        <w:t>. Other selling, general and administrative expenses totaled $73.2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as compared to $46.8 million during the comparable period ended September 30, 2022. The increase was primarily due to other selling, general and administrative costs, including personnel and consultants, associated with the approval and commercialization of BRIUMVI, as well as increase in advisory fees pertaining to the Commercialization Agreement with Neuraxpharm Pharmaceuticals, S.L. during the nine months ended September, 30, 2023.</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$2.9 million to $10.2 million for the nine months ended September 30, 2023, as compared to $7.3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2022. The increase is mainly due to greater interest expense related to the First Amendment to the Amended Loan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color w:val="auto"/>
        </w:rPr>
        <w:t>. Other income increased by $1.4 million to $4.2 million for the nine months ended September 30, 2023. The increase is mainly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higher interest income received from our money market investments, as well as a research &amp; development tax credit refund received by our Australian subsidiary during the nine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major sources of cash have been proceeds from private placement and public offering of equity securities, from our loan and security agreements executed with Hercules (see Note 7 for more information), and from our Commercialization Agreement executed with Neuraxpharm (see Note 2 for more information).</w:t>
      </w:r>
    </w:p>
    <w:p>
      <w:pPr>
        <w:spacing w:after="0" w:line="184" w:lineRule="exact"/>
        <w:rPr>
          <w:sz w:val="20"/>
          <w:szCs w:val="20"/>
          <w:color w:val="auto"/>
        </w:rPr>
      </w:pPr>
    </w:p>
    <w:p>
      <w:pPr>
        <w:jc w:val="both"/>
        <w:ind w:left="160" w:firstLine="486"/>
        <w:spacing w:after="0" w:line="269" w:lineRule="auto"/>
        <w:rPr>
          <w:sz w:val="20"/>
          <w:szCs w:val="20"/>
          <w:color w:val="auto"/>
        </w:rPr>
      </w:pPr>
      <w:r>
        <w:rPr>
          <w:rFonts w:ascii="Arial" w:cs="Arial" w:eastAsia="Arial" w:hAnsi="Arial"/>
          <w:sz w:val="17"/>
          <w:szCs w:val="17"/>
          <w:color w:val="auto"/>
        </w:rPr>
        <w:t>Historically, we have incurred operating losses since our inception; however, the Company experienced a net profit during the three and nine months ended September 30, 2023 due to a $140.0 million non-refundable upfront payment recognized as license revenue in the third quarter of 2023 as part of the Commercialization Agreement with Neuraxpharm. Substantially all our operating losses have resulted from costs incurred in connection with our research and development programs and from selling, general and administrative costs associated with our operations, including our commercialization activities. As of September 30, 2023, we had generated $48.9 million in product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obtain regulatory approval for our drug candidates. We may continue to incur operating losses even now that we are generating revenues from BRIUMVI.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As of September 30, 2023, we had $229.2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spacing w:after="0" w:line="165"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6"/>
          <w:szCs w:val="16"/>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(18,203)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(152,300)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(5,896)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(36,282)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72,706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bl>
    <w:p>
      <w:pPr>
        <w:spacing w:after="0" w:line="202"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Cash used in operating activities for the nine months ended September 30, 2023 was $18.2 million as compared to cash used in operating activities of $152.3 million for the nine months ended September 30, 2022. The decrease in net cash used in operating activities was due to the one-time upfront payment of $140.0 million from Neuraxpharm, as part of the Commercialization Agreement during the nine months ended September 30, 2023.</w:t>
      </w:r>
    </w:p>
    <w:p>
      <w:pPr>
        <w:spacing w:after="0" w:line="14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2023, was $5.9 million as compared to $36.3 million for the nine months ended September 30, 2022. The decrease in net cash used in investing activities was primarily due to decreased investment in short-term and long-term securities during the nine months ended September 30, 2023.</w:t>
      </w:r>
    </w:p>
    <w:p>
      <w:pPr>
        <w:spacing w:after="0" w:line="18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2023, was $72.7 million as compared to net cash used in financing activities of $0.4 million for the nine months ended September 30, 2022. The increase in net cash provided by financing activities was primarily due to the advance of $25.0 million drawn as part of the First Amendment entered into with Hercules, and $46.3 million received in net proceeds under the 2022 ATM during the nine months ended September 30,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04"/>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2022 Annual Report on Form 10-K and refer to Note 1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–Revenue”, “Note 5 - Fair Value Measurements” and “Note 6 – Stockholders’ Equity” respectively, for more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18"/>
          <w:szCs w:val="18"/>
          <w:color w:val="auto"/>
        </w:rPr>
        <w:t>Our exposure to market risk has not changed materially since our disclosure in Item 7A, “Quantitative and Qualitative Disclosures About Market Risk” in our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7"/>
          <w:szCs w:val="17"/>
          <w:color w:val="auto"/>
        </w:rPr>
        <w:t>As of September 30, 2023,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2023, our disclosure controls and procedures were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ind w:right="20" w:firstLine="504"/>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2023 that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18"/>
          <w:szCs w:val="18"/>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90"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We currently have one marketed product, BRIUMVI, which received approval from the U.S.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for the treatment of adult patients with RMS who have active disease defined by clinical or imaging features.</w:t>
      </w:r>
    </w:p>
    <w:p>
      <w:pPr>
        <w:spacing w:after="0" w:line="187"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17"/>
          <w:szCs w:val="17"/>
          <w:color w:val="auto"/>
        </w:rPr>
        <w:t>While we have initiated the commercial launch of BRIUMVI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7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our receipt of marketing approvals, the terms of such approvals, and the countries in which such approvals are obtained;</w:t>
      </w:r>
    </w:p>
    <w:p>
      <w:pPr>
        <w:spacing w:after="0" w:line="47"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BRIUMVI and any of our product candidates, as well as competitive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advanced practitioners, major operators of neurology clinics, and patients of our products as safe, tolerable and effective treatments;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or disadvantages of our products compared to alternative treatments;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as well as those of any current or future partners;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COVID-19 pandemic could impact commercialization of BRIUMVI. Patients and healthcare providers have raised concerns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immunosuppressive products like anti-CD20 antibodies and other B-cell targeted agents may increase the risk of acquiring COVID-19 or lead to more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severe complications or outcomes upon infection, including death. These concerns may impact the commercial potential for BRIUMVI and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immunosuppressive products that we have in development.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BRIUMVI, or any future product candidates for which we receive regulatory approval, do not achieve an adequate level of acceptance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physicians, hospitals, healthcare payors and patients, we may not generate sufficient revenue from these products and we may not become or remain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profitable, which would have a material adverse effect on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Regulatory approvals for our product or any of our product candidates may be subject to limitations on the approved indicated uses for which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may be marketed or contain requirements for potentially costly post-marketing testing, including Phase IV clinical trials, and surveillance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monitor the safety and efficacy of the approved product candidate. For example, with respect to the FDA’s approval of BRIUMVI for RMS, maintenance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approval is subject to certain post-marketing requirements and commitments, including long-term safety studies, as well as studies to evaluate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effects of BRIUMVI in pregnant women and pediatric populations, among others. Similar post-approval studies are required by other regulatory authorities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outside of the U.S., including but not limited to, the EMA in the EU and the Medicines and Healthcare products Regulatory Agency (MHRA)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Kingdom (UK). These studies are highly specialized in their design and conduct and are associated with considerable expenses, and based on the outcome,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further labeling restrictions that could impair or restrict the way in which we are able to market BRIUMVI, or negatively impact its overall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profile.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with respect to BRIUMVI and any product candidate that the FDA or a comparable foreign regulatory authority approves,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processes, testing, labeling, packaging, distribution, import, export, adverse event reporting, storage, advertising, promotion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recordkeeping for the product will be subject to extensive and ongoing regulatory requirements. These requirements include submissions of safety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post-marketing information and reports, registration, as well as continued compliance with current Good Manufacturing Practices (cGMPs),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Good Clinical Practices (GCPs), for any clinical trials that we conduct post-approval, and with Good Laboratory Practices (GLPs), for any nonclinical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studies. Later discovery of previously unknown problems with a product or with our third-party manufacturers or manufacturing processes, or failure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comply with regulatory requirements, may result in, among other things, restrictions on the marketing or manufacturing of the product, withdrawal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from the market, mandatory safety labeling changes or product recalls, suspension or revocation of product approvals, product seizure or detention,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refusal to permit the import or export of products, and injunctions or the imposition of civil or criminal penalties, all of which would adversely affect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prospects and ability to achieve or sustain profitability.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 ​</w:t>
      </w:r>
    </w:p>
    <w:p>
      <w:pPr>
        <w:spacing w:after="0" w:line="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1" w:lineRule="exact"/>
        <w:rPr>
          <w:rFonts w:ascii="Arial" w:cs="Arial" w:eastAsia="Arial" w:hAnsi="Arial"/>
          <w:sz w:val="18"/>
          <w:szCs w:val="18"/>
          <w:color w:val="auto"/>
        </w:rPr>
      </w:pPr>
    </w:p>
    <w:p>
      <w:pPr>
        <w:ind w:left="980" w:right="2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or to conduct additional clinical trials;</w:t>
      </w:r>
    </w:p>
    <w:p>
      <w:pPr>
        <w:spacing w:after="0" w:line="33"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 ​</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BRIUMVI and our product candidates, including TG-1701 and TG-1801 in B-cell disorders,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precise incidence and/or prevalence of RMS are unknown. Our projections of BRIUMVI in RMS, are based on estimates and our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knowledge and understanding of the disease. These estimates are typically based on one-on-one and group interactions with target physicians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sources available at the time we make the estimates, including the scientific literature, healthcare utilization databases and market research. Although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our estimates are reasonable many factors may limit their accuracy. For example, the sources we use to make the estimates may prove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incorrect. Further, new studies may change the estimated incidence or prevalence of these diseases and the number of patients may turn out to be lower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neurology and immunology,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more effective,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fewer or less severe side effects, are more convenient or are priced or contracted differently than any drugs that we or our collaborators may develop.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competitors also may obtain FDA or other regulatory approval for their drugs more rapidly than we may obtain approval for ours, which could result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competitors establishing a strong market position before we or our collaborators are able to enter the market. In a competitive environment, a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may also be subject to heightened scrutiny from regulators and competitors, under laws, regulations, and guidance about promotional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(advertising and promotional labeling) and non-promotional communications (e.g., certain educational and scientific exchange); and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 to potential competitor actions under federal law (the Lanham Act) and congruous state law, which protect businesses against the unfair competition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misleading advertising or labeling.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8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As of April 27, 2023, we received a product-specific J-Code for BRIUMVI (J2329), which went effective July 1, 2023 and is expected to help reduce reluctance by physicians to prescribe BRIUMVI based on reimbursement concerns. However, some third-party payors nevertheless may still require documented proof that patients meet certain eligibility criteria in order to be reimbursed for BRIUMVI.</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any revenue.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 ​</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made and continue to make significant investments in our commercial organization and infrastructure. We built processes and systems to support the commercialization of UKONIQ in the U.S. Although we withdrew UKONIQ from sale, we are using and expanding upon many of those systems and processes to market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factors that may inhibit our efforts to commercialize BRIUMVI and our other product candidates on our own, or through partnership, and generate product revenues include:</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w w:val="91"/>
              </w:rPr>
              <w:t>the costs and time associated with the initial and ongoing training of commercialization personnel on the applicable disease states, products,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competitors, and legal and regulatory compliance matters;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w w:val="94"/>
              </w:rPr>
              <w:t>the inability of commercialization personnel to obtain access to physicians or to effectively promote or provide education about BRIUMVI</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and any future approved products;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w w:val="92"/>
              </w:rPr>
              <w:t>the lack of complementary drugs to be offered by the Company, which may put us at a competitive disadvantage relative to companies with</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more extensive product lines;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w w:val="96"/>
              </w:rPr>
              <w:t>decisions by third-party payors to deny reimbursement of or delay coverage decisions regarding BRIUMVI or following approval of any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product candidates;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rPr>
              <w:t>our ability to maintain a healthcare compliance program including effective mechanisms for compliance monitoring;</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360" w:type="dxa"/>
            <w:vAlign w:val="bottom"/>
          </w:tcPr>
          <w:p>
            <w:pPr>
              <w:ind w:left="100"/>
              <w:spacing w:after="0"/>
              <w:rPr>
                <w:sz w:val="20"/>
                <w:szCs w:val="20"/>
                <w:color w:val="auto"/>
              </w:rPr>
            </w:pPr>
            <w:r>
              <w:rPr>
                <w:rFonts w:ascii="Arial" w:cs="Arial" w:eastAsia="Arial" w:hAnsi="Arial"/>
                <w:sz w:val="18"/>
                <w:szCs w:val="18"/>
                <w:color w:val="auto"/>
              </w:rPr>
              <w:t>our inability to establish and maintain commercial partnerships outside the U.S.;</w:t>
            </w:r>
          </w:p>
        </w:tc>
        <w:tc>
          <w:tcPr>
            <w:tcW w:w="0" w:type="dxa"/>
            <w:vAlign w:val="bottom"/>
          </w:tcPr>
          <w:p>
            <w:pPr>
              <w:spacing w:after="0"/>
              <w:rPr>
                <w:sz w:val="1"/>
                <w:szCs w:val="1"/>
                <w:color w:val="auto"/>
              </w:rPr>
            </w:pPr>
          </w:p>
        </w:tc>
      </w:tr>
      <w:tr>
        <w:trPr>
          <w:trHeight w:val="249"/>
        </w:trPr>
        <w:tc>
          <w:tcPr>
            <w:tcW w:w="220" w:type="dxa"/>
            <w:vAlign w:val="bottom"/>
            <w:vMerge w:val="restart"/>
          </w:tcPr>
          <w:p>
            <w:pPr>
              <w:spacing w:after="0"/>
              <w:rPr>
                <w:sz w:val="20"/>
                <w:szCs w:val="20"/>
                <w:color w:val="auto"/>
              </w:rPr>
            </w:pPr>
            <w:r>
              <w:rPr>
                <w:rFonts w:ascii="Arial" w:cs="Arial" w:eastAsia="Arial" w:hAnsi="Arial"/>
                <w:sz w:val="22"/>
                <w:szCs w:val="22"/>
                <w:color w:val="auto"/>
              </w:rPr>
              <w:t>●</w:t>
            </w:r>
          </w:p>
        </w:tc>
        <w:tc>
          <w:tcPr>
            <w:tcW w:w="10360" w:type="dxa"/>
            <w:vAlign w:val="bottom"/>
          </w:tcPr>
          <w:p>
            <w:pPr>
              <w:ind w:left="100"/>
              <w:spacing w:after="0" w:line="248" w:lineRule="exact"/>
              <w:rPr>
                <w:sz w:val="20"/>
                <w:szCs w:val="20"/>
                <w:color w:val="auto"/>
              </w:rPr>
            </w:pPr>
            <w:r>
              <w:rPr>
                <w:rFonts w:ascii="Arial" w:cs="Arial" w:eastAsia="Arial" w:hAnsi="Arial"/>
                <w:sz w:val="22"/>
                <w:szCs w:val="22"/>
                <w:color w:val="auto"/>
                <w:w w:val="91"/>
              </w:rPr>
              <w:t>our inability, or the inability of a third party with whom we have partnered with, to maintain the necessary regulatory</w:t>
            </w:r>
          </w:p>
        </w:tc>
        <w:tc>
          <w:tcPr>
            <w:tcW w:w="0" w:type="dxa"/>
            <w:vAlign w:val="bottom"/>
          </w:tcPr>
          <w:p>
            <w:pPr>
              <w:spacing w:after="0"/>
              <w:rPr>
                <w:sz w:val="1"/>
                <w:szCs w:val="1"/>
                <w:color w:val="auto"/>
              </w:rPr>
            </w:pPr>
          </w:p>
        </w:tc>
      </w:tr>
      <w:tr>
        <w:trPr>
          <w:trHeight w:val="266"/>
        </w:trPr>
        <w:tc>
          <w:tcPr>
            <w:tcW w:w="220" w:type="dxa"/>
            <w:vAlign w:val="bottom"/>
            <w:vMerge w:val="continue"/>
          </w:tcPr>
          <w:p>
            <w:pPr>
              <w:spacing w:after="0"/>
              <w:rPr>
                <w:sz w:val="23"/>
                <w:szCs w:val="23"/>
                <w:color w:val="auto"/>
              </w:rPr>
            </w:pPr>
          </w:p>
        </w:tc>
        <w:tc>
          <w:tcPr>
            <w:tcW w:w="10360" w:type="dxa"/>
            <w:vAlign w:val="bottom"/>
          </w:tcPr>
          <w:p>
            <w:pPr>
              <w:ind w:left="100"/>
              <w:spacing w:after="0"/>
              <w:rPr>
                <w:sz w:val="20"/>
                <w:szCs w:val="20"/>
                <w:color w:val="auto"/>
              </w:rPr>
            </w:pPr>
            <w:r>
              <w:rPr>
                <w:rFonts w:ascii="Arial" w:cs="Arial" w:eastAsia="Arial" w:hAnsi="Arial"/>
                <w:sz w:val="22"/>
                <w:szCs w:val="22"/>
                <w:color w:val="auto"/>
              </w:rPr>
              <w:t>approvals required to operate in markets outside of the U.S.;</w:t>
            </w:r>
          </w:p>
        </w:tc>
        <w:tc>
          <w:tcPr>
            <w:tcW w:w="0" w:type="dxa"/>
            <w:vAlign w:val="bottom"/>
          </w:tcPr>
          <w:p>
            <w:pPr>
              <w:spacing w:after="0"/>
              <w:rPr>
                <w:sz w:val="1"/>
                <w:szCs w:val="1"/>
                <w:color w:val="auto"/>
              </w:rPr>
            </w:pPr>
          </w:p>
        </w:tc>
      </w:tr>
    </w:tbl>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product availability for commercial sale following approval and continued product supply; and</w:t>
      </w:r>
    </w:p>
    <w:p>
      <w:pPr>
        <w:spacing w:after="0" w:line="2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commercialization organization.</w:t>
      </w:r>
    </w:p>
    <w:p>
      <w:pPr>
        <w:spacing w:after="0" w:line="25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 ​</w:t>
      </w:r>
    </w:p>
    <w:p>
      <w:pPr>
        <w:spacing w:after="0" w:line="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there is potential market opportunity for BRIUMVI outside of the U.S., including in the EU. We have entered into a commercialization agreement for the sale of BRIUMVI in territories outside the U.S., Canada, and Mexico, which are retained by TG, and excluding certain Asian countries previously partnered, and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including the risk that any individuals who may face such related litigation may in turn seek to recover from 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or product candidates that we may develop.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Insurance coverage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increasingly expensive. We may not be able to maintain insurance coverage at a reasonable cost or in an amount adequate to satisfy any liability that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arise.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our inception and we may incur losses in the future.</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we withdrew from sale), and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 ​</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inception, we have focused our efforts and financial resources on clinical trials, manufacturing of our product and product candidates,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preparing to support a commercial product. To date, we have financed our operations primarily through public offerings of our common stock and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Since inception, we have incurred significant operating losses. Substantially all our operating losses have resulted from costs incurred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our research and development programs and from selling, general and administrative costs associated with our operations, including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activities. We expect to continue to incur significant expenses and operating losses for the foreseeable future. Our prior losses, combined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expected future losses, have had, and will continue to have an adverse effect on our stockholders’ deficit and working capital. BRIUMVI is currently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only marketed product. We expect to continue to incur significant research and development expenses and we expect to continue to incur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and outsourced-manufacturing expenses as we commercialize BRIUMVI. Because of the numerous risks and uncertainties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developing pharmaceuticals, we are unable to predict the extent of any future losses or when we will become profitable, if at all. Even if we do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 profitable, we may not be able to sustain or increase our profitability on a quarterly or annual basis. Our ability to become profitable depends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generate substantial revenue.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have not generated any significant revenue from the sale of our product. To become and remain profitable, we must succeed in developing (or in-licensing) and commercializing our products or products candidates that generate significant revenue.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product and product candidates. Our ability to generate sustained revenue depends on a number of factors, including, but not limited to, our ability to:</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1"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and product candidates;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and product candidates, and maintain FDA and EMA approvals of BRIUMVI for RMS;</w:t>
      </w: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 on our commercialization infrastructure to commercialize BRIUMVI, and/or entering into collaborations with third parties; and</w:t>
      </w:r>
    </w:p>
    <w:p>
      <w:pPr>
        <w:spacing w:after="0" w:line="3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of BRIUMVI and any other products for which we may receive regulatory approval in the medical community and with third-party payors.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While we don’t expect to need to raise additional capital, we may need to do so. If we are unable to raise capital, if needed, we may be required to delay, limit, reduce, or eliminate some of our drug development programs or commercialization efforts.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development of pharmaceuticals is capital-intensive. We are currently advancing our early-stage drug candidates, TG-1701 and TG-1801 in ongoing Phase 1 studies to identify tolerable and efficacious doses. We are also continuing to generate additional clinical data for BRIUMVI to support and potentially expand commercial adoption, including assessing long-term tolerability in an Open-Label Extension of the Phase 3 ULTIMATE I and II trials and Phase 4 clinical studies necessary to satisfy post-approval commitments for regulatory authorities or those undertaken voluntarily by the Company to evaluate the use of BRIUMVI in alternate settings. Moreover, now that we have launched BRIUMVI, we will need to expend substantial resources on maintaining approvals, continuing commercialization, manufacturing and distribution over the foreseeable future.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the commercialization of BRIUMVI and any other products for which we receive regulatory approval;</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36" w:lineRule="exact"/>
        <w:rPr>
          <w:rFonts w:ascii="Arial" w:cs="Arial" w:eastAsia="Arial" w:hAnsi="Arial"/>
          <w:sz w:val="18"/>
          <w:szCs w:val="18"/>
          <w:color w:val="auto"/>
        </w:rPr>
      </w:pPr>
    </w:p>
    <w:p>
      <w:pPr>
        <w:ind w:left="660" w:right="4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available on favorable terms, if at all. If we do not succeed in raising additional funds on acceptable terms, we could be forced to discontinue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reduce or forego commercialization efforts that are required for successful commercialization of BRIUMVI or any of our product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otherwise forego attractive business opportunities. Any additional sources of financing may involve the issuance of our equity securities, which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a dilutive effect to stockholders. Currently, other than BRIUMVI, our products are investigational and have not been approved by the FDA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foreign regulatory authority for sale. For the foreseeable future, we will have to fund all our operations and capital expenditures from sales of BRIUMVI,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on hand, and amounts raised in future offerings or financings. Accordingly, our prospects must be considered in light of the uncertainties, risks,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and difficulties frequently encountered by companies in the early stages of commercial operations and the competitive environment in which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loan and security agreement that we entered into with Hercules in February 2019, expanded in December 2021, and amended on March 31, 2023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long-term commercialization efforts and the development of our product and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and product candidates as anticipated will have a negative effect on our business, future prospects, and ability to obtain further financing on acceptable terms, if at all, and the value of the enterprise.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February 2019, we entered into a Loan and Security Agreement, with Hercules Capital, Inc., a Maryland corporation (Hercules) and on December 30, 2021 (the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On March 31, 2023 (the First Amendment Effective Date), the Company entered into a First Amendment to the Amended and Restated Loan and Security Agreement (the First Amendment) with Hercules. An advance of $25.0 million was drawn at the First Amendment Effective Date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 to our consolidated financial statements for more information). We have the option to request additional loan advances, in an aggregate principal amount of up to $85.0 million under the First Amendment. ​</w:t>
      </w:r>
    </w:p>
    <w:p>
      <w:pPr>
        <w:spacing w:after="0" w:line="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All obligations under the First Amendment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 ​</w:t>
      </w:r>
    </w:p>
    <w:p>
      <w:pPr>
        <w:spacing w:after="0" w:line="2" w:lineRule="exact"/>
        <w:rPr>
          <w:sz w:val="20"/>
          <w:szCs w:val="20"/>
          <w:color w:val="auto"/>
        </w:rPr>
      </w:pPr>
    </w:p>
    <w:p>
      <w:pPr>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hanging="324"/>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First Amendment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in an amount sufficient to enable us to make interest or principal payments on our indebtedness when due.</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Failure to satisfy our current and future debt obligations under the First Amendment, or the breach of any of its covenants, subject to specified cure periods with respect to certain breaches, could result in an event of default and, as a result, Hercules could accelerate all the amounts due. In the event of an acceleration of amounts due under the First Amendment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First Amendment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 ​</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and maintain regulatory approval for our product and product candidates and ultimately cannot successfully commercialize our product or product candidates, or experience significant delays in doing so, our business will be materially harmed.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ability to generate revenues from product sales will depend largely on the successful commercialization of BRIUMVI. Each of our product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candidates will require additional non-clinical or clinical development, regulatory approval, and sufficient clinical and commercial supply. The success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development programs and achievement of regulatory approval of our product candidates will depend on several factors, including, among others,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Investigational new drugs (INDs) and clinical trial applications (CTAs), being cleared/approved such that our product candidates can commence clinical trials;</w:t>
      </w: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successful initiation and completion of preclinical studies and successful initiation of, enrollment in, and completion of clinical trials;</w:t>
      </w:r>
    </w:p>
    <w:p>
      <w:pPr>
        <w:spacing w:after="0" w:line="33"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establishing commercially viable arrangements with third-party manufacturers for clinical supply and commercial manufacturing; and</w:t>
      </w:r>
    </w:p>
    <w:p>
      <w:pPr>
        <w:spacing w:after="0" w:line="47"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 ​</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Arial" w:cs="Arial" w:eastAsia="Arial" w:hAnsi="Arial"/>
          <w:sz w:val="18"/>
          <w:szCs w:val="18"/>
          <w:color w:val="auto"/>
        </w:rPr>
        <w:t>“</w:t>
      </w:r>
      <w:r>
        <w:rPr>
          <w:rFonts w:ascii="Arial" w:cs="Arial" w:eastAsia="Arial" w:hAnsi="Arial"/>
          <w:sz w:val="18"/>
          <w:szCs w:val="18"/>
          <w:b w:val="1"/>
          <w:bCs w:val="1"/>
          <w:i w:val="1"/>
          <w:iCs w:val="1"/>
          <w:color w:val="auto"/>
        </w:rPr>
        <w:t>top-line,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 ​</w:t>
      </w:r>
    </w:p>
    <w:p>
      <w:pPr>
        <w:spacing w:after="0" w:line="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variability or subjectivity than results assessed in a blinded, independent, centrally reviewed manner, often required of later phase, adequate and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controlled registration-directed clinical trials. If the results from our registration-directed trials are different from the results found in the earlier studies,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need to terminate or revise our clinical development plan, which could extend the time for conducting our development program and could have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conduct extensive clinical trials to demonstrate the safety and efficacy of our product candidates in humans. Clinical testing is expensive, difficult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 and implement, can take many years to complete and is uncertain as to outcome. It is impossible to predict when or if our product candidates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prove effective and safe in humans, will receive regulatory approval or will have a differentiated safety and tolerability profile. A failure of one or more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can occur at any stage of testing. Accordingly, our ongoing trials and future clinical trials may not be successful. Even if our clinical trials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produce positive results, there can be no guarantee that the positive outcomes will be replicated in future studies either within the same indication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previously evaluated or in alternate indications and settings.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Successful completion of our clinical trials is a prerequisite to submitting a New Drug Application (NDA) or a Biologics License Application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(BLA) to the FDA and a Marketing Authorization Application (MAA) to the EMA for each product candidate and, consequently, the ultimate approval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 marketing of our product candidates. We do not know whether any of our ongoing or future clinical trials for our product candidates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completed on schedule, if at all.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Whether or not and how quickly we complete clinical trials depends in part upon the rate at which we are able to engage clinical research/trial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sites and, thereafter, the rate of enrollment of patients, and the rate at which we collect, clean, lock and analyze the clinical trial database. Patient enrollment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function of many factors, including the size of the patient population, the proximity of patients to clinical sites, the eligibility criteria for the study,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existence of competitive clinical trials, and whether existing or new drugs are approved for the indication we are studying. We are aware that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companies are currently conducting or planning clinical trials that seek to enroll patients with the same diseases that we are studying. We may experience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unforeseen events, such as the COVID-19 pandemic, that could delay or prevent our ability to complete current clinical trials, initiate new trials, receive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marketing approval or commercialize our product candidates, including: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980" w:hanging="324"/>
        <w:spacing w:after="0" w:line="265"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ind w:left="980" w:hanging="324"/>
        <w:spacing w:after="0" w:line="265"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980" w:hanging="324"/>
        <w:spacing w:after="0" w:line="287"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economic instability, or natural disasters;</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5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w:t>
      </w:r>
    </w:p>
    <w:p>
      <w:pPr>
        <w:spacing w:after="0" w:line="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Unacceptable or undesirable adverse events caused by BRIUMVI or any of our product candidates that we take into clinical trials could cause either of,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 ​</w:t>
      </w:r>
    </w:p>
    <w:p>
      <w:pPr>
        <w:spacing w:after="0" w:line="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clinical development, manufacturing, labeling, packaging, storage, record-keeping, advertising, promotion, import, export, marketing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and pharmacovigilance and adverse event reporting of our product or product candidates or any future product candidates are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extensive regulation by the FDA in the United States and by comparable regulatory authorities worldwide. In the United States, we are not permitted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a product candidate until we receive approval of a BLA or NDA from the FDA. The process of obtaining a BLA or NDA approval is expensive,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often takes many years, and can vary substantially based upon the type, complexity and novelty of the products involved. In addition, approval policies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regulations may change over time. If we fail to gain approval to commercialize our product candidates from the FDA and other foreign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in the timelines we project or at all, we may be unable to generate the revenues that we may project or generate revenues at levels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sustain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FDA and foreign regulatory authorities have substantial discretion in the pharmaceutical product approval process, including the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delay, limit or deny approval of a product candidate for many reasons. During the regulatory review process, the FDA or other regulatory authorities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disagree with or not accept our clinical trial design, may have questions about the potential impact of our study design on conclusions that can be drawn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data, may interpret results differently than we do, may apply the results of our trials in one disease to the review of a regulatory application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different disease even if the doses and therapeutic areas are distinct, and may change its view on the criteria that must be met for approval. This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happen even for a protocol that has received a Special Protocol Assessment (SPA). There is no guarantee that the FDA will not delay, limit or deny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approval of our product candidates in the future.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 ​</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reasons that the FDA or regulatory authorities around the world may delay, limit or deny approval of a product candidate, include:</w:t>
      </w:r>
    </w:p>
    <w:p>
      <w:pPr>
        <w:spacing w:after="0" w:line="222" w:lineRule="exact"/>
        <w:rPr>
          <w:sz w:val="20"/>
          <w:szCs w:val="20"/>
          <w:color w:val="auto"/>
        </w:rPr>
      </w:pPr>
    </w:p>
    <w:p>
      <w:pPr>
        <w:ind w:left="980" w:hanging="324"/>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1" w:lineRule="exact"/>
        <w:rPr>
          <w:rFonts w:ascii="Arial" w:cs="Arial" w:eastAsia="Arial" w:hAnsi="Arial"/>
          <w:sz w:val="18"/>
          <w:szCs w:val="18"/>
          <w:color w:val="auto"/>
        </w:rPr>
      </w:pPr>
    </w:p>
    <w:p>
      <w:pPr>
        <w:ind w:left="980" w:right="20" w:hanging="324"/>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hanging="324"/>
        <w:spacing w:after="0" w:line="28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3"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ind w:left="980" w:hanging="324"/>
        <w:spacing w:after="0" w:line="28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interruptions or delays in the operations of the FDA and foreign regulatory authorities as a result of global health or economic crises, such as the COVID-19 pandemic, international conflict, or national disasters may negatively impact review, inspection, and approval timelines.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Breakthrough Therapy or Fast Track designation by the FDA may not actually lead to a faster development or regulatory review or approval process.</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Many of our clinical trials utilize international clinical research sites. We work with what we believe are reputable CROs and clinical research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conducting our studies internationally. Nevertheless, there can be heightened challenges to monitoring and oversight of global clinical trials and sponsors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the risk that fraud, misconduct, incompetence, unexpected patient variability and other issues affecting the reliability, quality, and outcome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studies. The geographic variability of the COVID-19 pandemic also introduces increased risk in the conduct of clinical research in certain countries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territories where vaccination rates and available standard of care anti-viral therapy varies significantly. Such problems, if they were to occur, could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trial results, and depending on the circumstances and scope of concerns could potentially even prevent a trial from being useful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acceptable for regulatory approval. If such events were to occur with respect to any of our trials (and in particular with respect to registration-directed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studies), they would have a substantial negative impact on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new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0" w:right="1500" w:hanging="44"/>
        <w:spacing w:after="0" w:line="258" w:lineRule="auto"/>
        <w:rPr>
          <w:sz w:val="20"/>
          <w:szCs w:val="20"/>
          <w:color w:val="auto"/>
        </w:rPr>
      </w:pPr>
      <w:r>
        <w:rPr>
          <w:rFonts w:ascii="Arial" w:cs="Arial" w:eastAsia="Arial" w:hAnsi="Arial"/>
          <w:sz w:val="18"/>
          <w:szCs w:val="18"/>
          <w:b w:val="1"/>
          <w:bCs w:val="1"/>
          <w:i w:val="1"/>
          <w:iCs w:val="1"/>
          <w:color w:val="auto"/>
        </w:rPr>
        <w:t xml:space="preserve">Approval of one of our product candidates in the United States would not assure approval of that candidate in foreign jurisdictions. </w:t>
      </w:r>
      <w:r>
        <w:rPr>
          <w:rFonts w:ascii="Arial" w:cs="Arial" w:eastAsia="Arial" w:hAnsi="Arial"/>
          <w:sz w:val="18"/>
          <w:szCs w:val="18"/>
          <w:color w:val="auto"/>
        </w:rPr>
        <w:t>​</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 ​</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possible and commercially practicable, we plan to develop back-up strategies for raw materials, manufacturing and testing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our commercial products. Given the long lead times and cost of establishing additional commercial manufacturing sites we expect that we will rely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single contract manufacturers to produce our commercial products under current Good Manufacturing Practice, or cGMP, regulations for many years.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manufacturing partners have a limited number of facilities in which our product candidates can be produced and will have limited experience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manufacturing our product candidates in quantities sufficient for commercialization. Our third-party manufacturers will have other clients and may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priorities that could affect their ability to perform the work satisfactorily and/or on a timely basis. Both of these occurrences would be beyond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to similarly rely on contract manufacturing relationships for our development programs and any products that we may in-license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 in the future. However, there can be no assurance that we will be able to successfully contract with such manufacturers on terms acceptable to us,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Contract manufacturers are subject to ongoing periodic and unannounced inspections by the FDA, the Drug Enforcement Administration (DEA)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and corresponding state agencies to ensure strict compliance with cGMP and other state and federal regulations. Where manufactured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globally registered, similar regulatory inspection burdens are applicable from each and every marketed territory. If our manufacturing partners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inspected and deemed out of compliance with cGMPs, product recalls could result, inventory could be destroyed, production could be stopped, and supplies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be delayed or otherwise disrupted.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Further, no assurance can be given that the material manufactured from any future optimized processes, if any, for BRIUMVI or any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will perform comparably to the product or product candidates as manufactured to date which could result in an unexpected safety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efficacy outcome as compared to the data published or presented to date. Similarly, following each round of process improvements, if any, for any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drug candidates, future clinical trial results conducted with the new material will be subject to uncertainty related to the effects, if any, of those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improvements that were made.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or proposed changes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healthcare system, many of which have focused on prescription drug pricing and lowering overall healthcare costs, that could impact our ability to sell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profitably and support future innovation. We expect prescription drug pricing and other healthcare costs to continue to be subject to intense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political and social pressures on a global basis.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the President, federal and state legislatures, health agencies and third-party payors continue to focus on containing the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healthcare and addressing public concern over access and affordability of prescription drugs. The Patient Protection and Affordable Care Act, as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Health Care and Education Reconciliation Act of 2010 (collectively, the ACA) was enacted in 2010 and made significant changes to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healthcare system. ACA changes included expanding healthcare coverage through Medicaid expansion and implementation of the individual health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insurance mandate; changing coverage and reimbursement of drug products under government healthcare programs; imposing an annual fee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of branded drugs; and expanding government enforcement authority. Although the ACA has been the subject of a number of legislative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litigation challenges since it passed, it is expected that the Biden Administration will seek to strengthen and expand the ACA. We cannot predict what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if any, further changes to the ACA would have on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 ​</w:t>
      </w:r>
    </w:p>
    <w:p>
      <w:pPr>
        <w:spacing w:after="0" w:line="2"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 ​</w:t>
      </w:r>
    </w:p>
    <w:p>
      <w:pPr>
        <w:spacing w:after="0" w:line="3"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selected on August 29, 2023, and the first year of maximum price applicability to begin in 2026. On October 3, 2023, the Centers for Medicare &amp; Medicaid Services announced that all manufacturers of the initially selected drugs opted to participate.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state level, individual states are experiencing significant economic pressure within their respective Medicaid programs and responding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concern over the cost of healthcare. States, including California, Florida, Nevada and Maine, among others, have responded to these pressures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of legislative enactments and policy proposals designed to control prescription drug prices by, for example, allowing importation of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from jurisdictions outside the U.S., imposing price controls on state drug purchases, consolidating state drug purchasing to a single purchaser,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imposing transparency measures around prescription drug prices and marketing costs. These measures, which vary by state, could reduce the ultimate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demand for our products, if approved, or put pressure on our product pricing.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candidates’ commercial success. More broadly, the Budget Control Act of 2011, as amended, or the Budget Control Act, includes provisions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 the federal deficit, including reductions in Medicare payments to providers through 2030 (except May 1, 2020 to December 31, 2020).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significant spending reductions affecting Medicare, Medicaid or other publicly funded or subsidized health programs, or any significant taxes or fees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imposed as part of any broader deficit reduction effort or legislative replacement to the Budget Control Act, or otherwise, could have an adverse impact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anticipated product revenues.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make changes the Orphan Drug Act and related guidance,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 ​</w:t>
      </w:r>
    </w:p>
    <w:p>
      <w:pPr>
        <w:spacing w:after="0" w:line="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i w:val="1"/>
          <w:iCs w:val="1"/>
          <w:color w:val="auto"/>
        </w:rPr>
        <w:t>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FDA and EMA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0" w:lineRule="exact"/>
        <w:rPr>
          <w:sz w:val="20"/>
          <w:szCs w:val="20"/>
          <w:color w:val="auto"/>
        </w:rPr>
      </w:pPr>
    </w:p>
    <w:p>
      <w:pPr>
        <w:jc w:val="both"/>
        <w:ind w:left="980" w:hanging="324"/>
        <w:spacing w:after="0" w:line="25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or the Federal Food, Drug, and Cosmetic Act constitutes a false or fraudulent claim for purposes of the False Claims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980" w:hanging="324"/>
        <w:spacing w:after="0" w:line="25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 w:lineRule="exact"/>
        <w:rPr>
          <w:rFonts w:ascii="Arial" w:cs="Arial" w:eastAsia="Arial" w:hAnsi="Arial"/>
          <w:sz w:val="18"/>
          <w:szCs w:val="18"/>
          <w:color w:val="auto"/>
        </w:rPr>
      </w:pPr>
    </w:p>
    <w:p>
      <w:pPr>
        <w:jc w:val="both"/>
        <w:ind w:left="980" w:hanging="324"/>
        <w:spacing w:after="0" w:line="265"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so-called federal “Sunshine Act” under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w:t>
      </w:r>
    </w:p>
    <w:p>
      <w:pPr>
        <w:jc w:val="both"/>
        <w:ind w:left="98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98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980" w:hanging="324"/>
        <w:spacing w:after="0" w:line="25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involves substantial costs. It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possible that governmental authorities will conclude that our business practices do not comply with current or future statutes, regulations or case law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involving applicable fraud and abuse or other healthcare laws and regulations. The compliance and enforcement landscape, and related risk, is informed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enforcement precedent and settlement history, Advisory Opinions, and Special Fraud Alerts. Our approach to compliance may evolve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in light of these types of developments. Additionally, the potential safe harbors available under the Federal Anti-Kickback Statute are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through legislative and regulatory action, and we may decide to adjust our business practices or be subject to heightened scrutiny as a result. If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including activities to be conducted by our sales team, were to be found to be in violation of any of these laws or any other governmental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that may apply to us, we may be subject to significant civil, criminal and administrative penalties, damages, fines, exclusion from government-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healthcare programs, such as Medicare and Medicaid, qui tam actions brought by individual whistleblowers in the name of the government,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curtailment or restructuring of our operations.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be subject to privacy and security laws in the various jurisdictions in which we operate, obtain or store personal information.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legislative and regulatory landscape for privacy and data protection continues to evolve, and there has been an increasing focus on privacy and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protection issues with the potential to affect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example, at the federal level, our operations may be affected by the data privacy and security provisions of HIPAA, as amended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Information Technology for Economic and Clinical Health Act and its implementing regulations. HIPAA affects the ability of healthcare providers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entities with which we may interact, including clinical trial sites, to disclose patient health information to us. Under Section 5(a) of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 Commission Act (the FTCA), the Federal Trade Commission (FTC) expects a company’s data security measures to be reasonable and appropriate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light of the sensitivity and volume of consumer information it holds, the size and complexity of its business, and the cost of available tools to improve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security and reduce vulnerabilities. Medical data is considered sensitive data that merits stronger safeguards. States may also impose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example, the California Consumer Privacy Act (the CCPA), went into effect in January 2020 creating data privacy obligations for covered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providing privacy rights to California residents, including the right to opt out of certain disclosures of their information. Colorado, Connecticut, Utah,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Virginia and Iowa have also enacted data privacy statutes, and both California and Colorado are also undergoing or have undergone rulemaking procedures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finalize regulatory regimes to supplement their privacy statutes.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European Economic Area (the EEA), is subject to the General Data Protection Regulation (GDPR), which took effect in May 2018. The GDPR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with respect to clinical trials conducted in the EEA, such as in relation to the provision of fair processing notices, exercising data subject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reporting certain data breaches to regulators and affected individuals, as well as how we document our relationships with third parties that 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GDPR-covered personal data on our behalf. The GDPR also increases the scrutiny applied to transfers of personal data from the EEA (including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clinical trial sites in the EEA) to countries that are considered by the EC to lack an adequate level of data protection, such as the United States. In July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Court of Justice of the European Union invalidated the EU-U.S. Privacy Shield framework, one of the mechanisms used to legitimize the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personal data from the EEA to the U.S., which decision may lead to increased scrutiny on data transfers from the EEA to the U.S. generally and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costs of compliance with data privacy legislation.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 ​</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 ​</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 ​</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17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generate negative publicity. In addition, the FDA’s or EMA’s regulations, policies or guidance may change and new or additional statutes or government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may be enacted that could prevent or delay regulatory approval of our product candidates or further restrict or regulate post-approval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also cannot predict the likelihood, nature, or extent of adverse government regulation that may arise from pending or future legislation or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either in the United States or abroad.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or our respective suppliers, third-party contractors, clinical investigators or collaborators are slow to adapt, or are unable to adapt,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changes in existing regulatory requirements or adoption of new regulatory requirements or policies, we, our subsidiaries, or our respective collaborators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subject to the actions listed above, including losing marketing approval for products, resulting in decreased revenue from milestones, product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royalties.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third-party manufacturers, suppliers, and we are subject to federal, state, and local laws and regulations governing the use, manufacture,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storage, handling, release, disposal of, and exposure to, hazardous and regulated materials. Violation of these laws and regulations could lead to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fines and penalties. Although we believe that our safety procedures, and those of our third-party manufacturers, for handling and disposing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materials comply with the standards prescribed by these laws and regulations, we cannot eliminate the risk of accidental contamination or injury from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In the event of an accident, state or federal authorities may curtail our use of these materials and interrupt our business operations.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could become subject to potentially material liabilities relating to the investigation and cleanup of any contamination, whether currently unknown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caused by future releases.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8"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 ​</w:t>
      </w:r>
    </w:p>
    <w:p>
      <w:pPr>
        <w:spacing w:after="0" w:line="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5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7"/>
          <w:szCs w:val="17"/>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reliance on third-party manufacturers entails additional risks, including:</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supply or quality agreement by the third party;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rely on other third parties to store and distribute drug supplies for our clinical trials and for commercial demand for BRIUMVI and expect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continue to do so for any other potential commercial products. Any performance failure on the part of our distributors could delay clinical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marketing approval of any future product candidates or commercialization of our products, producing additional losses and depriving us of potential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continually evaluate our supply chains to identify potential risks and needs for additional manufacturers and other suppliers for the production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our products and product candidates. Establishing additional or replacement suppliers for the API/drug substance, drug product, and certain raw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materials, if required, may not be accomplished quickly, or at all, and may involve significant expense. If we are able to find a replacement supplier,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need to evaluate and qualify such replacement supplier and its ability to meet quality and compliance standards. Any change in suppliers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process could require additional regulatory approval and result in operational delays. While we seek to maintain adequate inventory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materials necessary for the production of our products and product candidates, any supply interruption or delay, or our inability to identify alternate sources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acceptable prices in a timely manner could impede, delay, limit or prevent our commercialization and development efforts, which could harm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results of operations, financial condition and prospects.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59"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sublicensing of patent and other rights under our collaborative development relationships and obligations associated with sublicensing;</w:t>
      </w:r>
    </w:p>
    <w:p>
      <w:pPr>
        <w:spacing w:after="0" w:line="59"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36" w:lineRule="exact"/>
        <w:rPr>
          <w:rFonts w:ascii="Arial" w:cs="Arial" w:eastAsia="Arial" w:hAnsi="Arial"/>
          <w:sz w:val="18"/>
          <w:szCs w:val="18"/>
          <w:color w:val="auto"/>
        </w:rPr>
      </w:pPr>
    </w:p>
    <w:p>
      <w:pPr>
        <w:ind w:left="980" w:right="20" w:hanging="324"/>
        <w:spacing w:after="0" w:line="258"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agreements under which we currently license BRIUMVI and our product candidates from third parties are complex, and certain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provisions in such agreements may be susceptible to multiple interpretations, or may conflict in such a way that puts us in breach of one or more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which would make us susceptible to lengthy and expensive disputes with one or more of our licensing partners. The resolution of any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disagreement that may arise could narrow what we believe to be the scope of our rights to the relevant intellectual property or technology,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what we believe to be our financial or other obligations under the relevant agreement, either of which could have a material adverse effect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financial condition, results of operations, and prospects. Moreover, if disputes over intellectual property that we have licensed prevent or impair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maintain our current licensing arrangements on commercially acceptable terms, we may be unable to successfully develop and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affected product or product candidate, which could have a material adverse effect on our business, financial conditions, results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In addition to the Commercialization Agreement, we may enter into collaboration arrangements with other collaboration and commercialization partners.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a number of risks associated with our dependence on our relationships with our collaboration and commercialization partners,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collaboration and commercialization partners may terminate their collaboration or commercialization agreements with us for reasons specified in the collaboration or commercialization agreements, including our breach;</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was to terminate its agreement with us;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decisions by a collaboration or commercialization partner regarding the amount and timing of resource expenditures for the commercialization, distribution, and sale of our drug products;</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 or commercialization partners’ and their affiliates’ development and commercialization of products that compete directly or indirectly with our products or product candidates;</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decisions by a collaboration or commercialization partner to prioritize other of its current or future products more highly than our drug products or our product candidates when it performs its duties;</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disagreements with a collaboration or commercialization partner as to the timing, nature, and extent of our development plans or distribution and sales and marketing plans; and</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financial returns to us, if any, under our collaboration agreement with Neuraxpharm depends in large part on the achievement of milestones and generation of product sales, and if Neuraxpharm fails to perform or satisfy their obligations under the collaboration agreements, the development and commercialization of our drug products could be delayed, hindered or may not occur and our business and prospects could be materially and adversely affected.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While the Commercialization Agreement contains provisions that allow for dispute resolution, arbitration, and/or termination of the agreement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in the event of a breach by Neuraxpharm, there can be no assurance that the Company and Neuraxpharm will agree on a cure for such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breach, and in the event of termination, there can be no assurance that the Company would be appropriately compensated and/or recover any losses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sustained. Due to these factors and other possible disagreements with our collaboration and commercialization partners, we may be delayed or prevented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further developing, manufacturing or commercializing our drug products or our product candidates or we may become involved in litigation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arbitration, which would be time consuming and expensive.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 ​</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cash to fund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For some of our drug candidates, we may decide to collaborate with additional pharmaceutical and biotechnology companies for the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potential commercialization of those drug candidates.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 ​</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issue as patent;</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first-to-invent to a first-to-file system. If we do not win the filing race, we will not be entitled to inventive priority;</w:t>
      </w:r>
    </w:p>
    <w:p>
      <w:pPr>
        <w:jc w:val="both"/>
        <w:ind w:left="980" w:hanging="324"/>
        <w:spacing w:after="0" w:line="281"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Arial" w:cs="Arial" w:eastAsia="Arial" w:hAnsi="Arial"/>
          <w:sz w:val="16"/>
          <w:szCs w:val="16"/>
          <w:color w:val="auto"/>
        </w:rPr>
      </w:pPr>
    </w:p>
    <w:p>
      <w:pPr>
        <w:jc w:val="both"/>
        <w:ind w:left="980" w:hanging="324"/>
        <w:spacing w:after="0" w:line="265"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ind w:left="980" w:hanging="324"/>
        <w:spacing w:after="0" w:line="290"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not able to obtain patents that protect our product and product candidates, it could have a material adverse effect on our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desirable patent applications at a reasonable cost or in a timely manner. Further, with respect to some of the pending patent applications covering our drug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prosecution has yet to commence. Patent prosecution is a lengthy process, during which the scope of the claims initially submitted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examination by the United States Patent and Trademark Office (USPTO) can be significantly narrowed by the time they issue, if at all. It is also possible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will fail to identify any patentable aspects of our research and development output and methodology, and, even if we do, an opportunity to obtain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protection may have passed. Given the uncertain and time-consuming process of filing patent applications and prosecuting them, it is possible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product(s) or process(es) originally covered by the scope of our patent applications may change or be modified throughout the patent prosecution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process, leaving our product(s) or process(es) without patent protection. Moreover, in some circumstances, we do not have the right to control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preparation, filing and prosecution of patent applications, or to maintain the patents, that cover technology licensed from third parties. Therefore,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patents and applications may not be prosecuted and enforced in a manner consistent with the best interests of our business. If our licensors or we fail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appropriately prosecute and maintain patent protection or trade secret protection for one or more products or product candidates, our ability to develop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commercialize such drugs may be adversely affected and we may not be able to prevent competitors from making, using and selling competing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failure to properly protect the intellectual property rights relating to our product and product candidates could impair our ability to compete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and adversely affect our ability to generate revenues and achieve profitability, which would have a material adverse effect on our financial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results of operations. Furthermore, should we enter into other collaborations, including out-licensing, joint development projects, partnerships,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strategic alternatives, we may be required to consult with or cede control to collaborators regarding the prosecution, maintenance and enforcement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patents licensed or developed under such collaborations. Therefore, such patents and patent applications may not be prosecuted and enforced in a manner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best interests of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Patent protection and other intellectual property protection are crucial to the success of our business and prospects, and there is a substantial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such protections will prove inadequate.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Depending on the timing, duration, and specifics of any FDA regulatory approval for our drug candidates, one or more of our licensed U.S.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future U.S. patents that we may license or own may be eligible for limited patent term restoration under the Hatch-Waxman Act. The Hatch-Waxman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permit a patent term extension of up to five years as compensation for patent term lost during the FDA regulatory review process. A patent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extension cannot extend the remaining term of a patent beyond 14 years from the date of product approval by the FDA, and only one patent covering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approved product may be extended.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extension because of, for example, failing to apply within applicable deadlines, failing to apply prior to expiration of relevant patents or otherwise failing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satisfy applicable requirements. Moreover, the applicable time period or the scope of the patent protection afforded could be less than what we request.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are unable to obtain patent term extension or any term of such extension is less than we request, the period during which we will have the right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exclusively market our product will be shortened and our competitors may obtain earlier approval of competing products, and our ability to generate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revenues could be materially adversely affected.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 ​</w:t>
      </w:r>
    </w:p>
    <w:p>
      <w:pPr>
        <w:spacing w:after="0" w:line="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 ​</w:t>
      </w:r>
    </w:p>
    <w:p>
      <w:pPr>
        <w:spacing w:after="0" w:line="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our patents or pending patent applications or those of our collaborators or licensors. An unfavorable outcome could require us to cease using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or to attempt to license rights to it from the prevailing party. The costs of these proceedings could be substantial. As a result,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scope, validity, enforceability and commercial value of our or any of our respective licensors’ patent rights are highly uncertain. Our business could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harmed if the prevailing party does not offer us a license on commercially reasonable terms. Litigation or interference proceedings may fail and, even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 may result in substantial costs and distract our management and other employees. We may not be able to prevent, alone or with our licensors,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misappropriation of our trade secrets or confidential information, particularly in countries where the laws may not protect those rights as fully as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products or product candidates that we may in-license or acquire could be subject to similar risks and uncertainties.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products. It may be necessary for us to use the patented or proprietary technology of third parties to commercialize our products, in which case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required to obtain a license from these third parties, whom may or may not be interested in granting such a license, on commercially reasonable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in which case our business could be harmed, possibly materially. For example, we engage extensively with third parties, including academic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institutions, to conduct non-clinical and clinical research on our product and product candidates. While we seek to ensure all material transfer and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governing this research provide us with favorable terms covering newly generated intellectual property, a general principle under which much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research with academic institutions is conducted provides third-party ownership of newly generated intellectual property, with an exclusive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us to obtain a license to such intellectual property. Through the conduct of this research, it is possible that valuable intellectual property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developed by a third party, which we will then need to license in order to better develop or commercialize our products. No assurance can be given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will be able to successfully negotiate such a license on commercially reasonable terms, or at all. Further, should we fail to successfully negotiate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to such intellectual property, most institutions are then free to license such intellectual property to any other third party, including potentially direct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competitors of ours. Should we fail to adequately secure a license to any newly generated intellectual property, our ability to successfully develop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commercialize our products may be hindered, possibly materially.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Organization and Governance, Strategy, Employees and Growth Management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Recruiting and retaining qualified scientific, clinical, manufacturing and medical affairs, and commercial personnel, particularly in MS, will be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critical to our success. The loss of the services of our chief executive officer or other key employees could impede the achievement of our research,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objectives and seriously harm our ability to successfully implement our business strategy. Furthermore, replacing 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may be difficult and may take an extended period of time because of the limited number of individuals in our industry with the breadth of skills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experience required to successfully develop, gain regulatory approval of and commercialize products. Competition to hire from this limited pool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intense, and we may be unable to hire, train, retain or motivate these key personnel on acceptable terms given the competition among numerous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and biotechnology companies for similar personnel. In January and April 2022, following the withdrawal of the BLA and supplemental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Drug Application (sNDA) for the combination of ublituximab and UKONIQ (combination referred to as U2) and the withdrawal of UKONIQ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 we engaged in streamlining efforts across the Company, reducing headcount and external expenses, primarily related to our oncology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and research and development functions. Those streamlining efforts have made and may continue to make retention of key personnel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difficult. If we are not able to attract and retain the necessary personnel to accomplish our business objectives, we may experience constraints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significantly impede the achievement of our development and commercialization objectives, our ability to raise additional capital, and our ability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implement our business strategy.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 ​</w:t>
      </w:r>
    </w:p>
    <w:p>
      <w:pPr>
        <w:spacing w:after="0" w:line="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November 1, 2023, we had 245 full-time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Additionally, to help manage the evolving needs, we may utilize the services of outside vendors or consultants to perform tasks including clinical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trial management, statistics and analysis, regulatory affairs, formulation development, chemistry, manufacturing, controls, and other pharmaceutical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functions. Our growth strategy may also entail expanding our group of contractors or consultants to implement these tasks going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we rely on a substantial number of consultants, effectively outsourcing many key functions of our business, we will need to be able to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 these consultants to ensure that they successfully carry out their contractual obligations and meet expected deadlines. However, if we are unable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effectively manage our outsourced activities or if the quality or accuracy of the services provided by consultants is compromised for any reason,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may be extended, delayed or terminated, and we may not be able to obtain regulatory approval for our product candidates or otherwise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advance our business. There can be no assurance that we will be able to manage our existing consultants or find other competent outside contractors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consultants on economically reasonable terms, or at all. If we are not able to effectively expand our organization by hiring new employees and expanding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groups of consultants and contractors when needed, we may be unable to successfully implement the tasks necessary to achieve our research,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commercialization goals.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provisions in our amended and restated certificate of incorporation and restated bylaws may make it more difficult for a third party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acquire us or discourage a third party from attempting to acquire or control us and may limit the price that certain investors might be willing to pay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for shares of our common stock. For example, our amended and restated certificate of incorporation allows us to issue preferred stock without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our stockholders, the issuance of which could decrease the amount of earnings and assets available for distribution to, or affect the rights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powers, including voting rights, of our common stockholders. In certain circumstances, such issuance could have the effect of decreasing the market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common stock. In addition, our restated bylaws eliminate the right of stockholders to call a special meeting of stockholders, which could make 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more difficult for stockholders to effect certain corporate actions. Any of these provisions could also have the effect of delaying or preventing a change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 ​</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 ​</w:t>
      </w:r>
    </w:p>
    <w:p>
      <w:pPr>
        <w:spacing w:after="0" w:line="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92"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development programs and our commercialization of any products for which we receive regulatory approval.</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 ​</w:t>
      </w:r>
    </w:p>
    <w:p>
      <w:pPr>
        <w:spacing w:after="0" w:line="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Furthermore, the COVID-19 pandemic has caused extreme volatility and disruptions in the capital and credit markets. Likewise, the capital and credit markets may be adversely affected by the conflict between Russia and Ukraine, the possibility of a wider European or global conflict, and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begun the process of removing or reducing monetary accommodation, increasing the risk of recession and may also negatively impact asset values and credit spreads that were impacted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drugs, or form strategic alliances, in the future, and we may not realize the benefits of such acquisitions.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adverse legislative or regulatory tax changes that could negatively impact our financial condition.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w:t>
      </w:r>
    </w:p>
    <w:p>
      <w:pPr>
        <w:spacing w:after="0" w:line="1"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 ​</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COVID-19 pandemic presented substantial public health challenges and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continues to impact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we may encounter delays in our clinical development program. The majority of our clinical trials involve patients with multiple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sclerosis who may be at higher risk of infection. These patients are thus more likely to be subject to travel restrictions and self-quarantining and may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more likely to withdraw from our clinical trials or unable to complete study assessments, which may affect our ability to meet our projected timelines.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Further, patients and healthcare providers have raised concerns that B-cell targeted agents, like anti-CD20 antibodies, may increase the risk of acquiring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COVID-19 or lead to more severe complications or outcomes upon infection, including death, which could have a material adverse effect on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product candidates by negatively impacting, among other things: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clinical trials;</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regulatory review and approval;</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labeling, if approved, including restrictions on use or other warnings, or</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acceptance of our product among patients, healthcare providers, and payors, if approved.</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pandemic also may adversely affect our ability to complete ongoing clinical trials or conduct new trials. 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 Traded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sell stock at a profit.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 ​</w:t>
      </w:r>
    </w:p>
    <w:p>
      <w:pPr>
        <w:spacing w:after="0" w:line="19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reception and success of BRIUMVI in the U.S. market;</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anticipated launch of BRIUMVI in European markets;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publicity regarding actual or potential clinical results relating to our product or products under development by our competitors or us;</w:t>
      </w:r>
    </w:p>
    <w:p>
      <w:pPr>
        <w:spacing w:after="0" w:line="47"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delay or failure in initiating, completing or analyzing nonclinical or clinical trials or the unsatisfactory design or results of these trials;</w:t>
      </w:r>
    </w:p>
    <w:p>
      <w:pPr>
        <w:spacing w:after="0" w:line="47"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us or our competitors;</w:t>
      </w:r>
    </w:p>
    <w:p>
      <w:pPr>
        <w:spacing w:after="0" w:line="36"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stock market in general, and the market for biotechnology companies in particular, has experienced extreme price and volume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fluctuations that may have been unrelated or disproportionate to the operating performance of individual companies. These broad market and industry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may seriously harm the market price of our common stock, regardless of our operating performance. As a result of this volatility, investors may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able to sell their common stock at or above the price paid for the 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 and reputational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reputation and the reputation of our brands, including the perception held by our customers, end-users, business partners, investors, other key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stakeholders and the communities in which we do business are influenced by various factors. There is an increased focus from our stakeholders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Social, and Governance (ESG) practices and disclosure - and if we fail, or are perceived to have failed, in any number of ESG matters,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environmental stewardship, inclusion and diversity, workplace conduct and support for local communities, or to effectively respond to changes 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legal or regulatory requirements concerning climate change or other sustainability concerns, our reputation or the reputation of our brands may suffer.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damage to our reputation and the reputation of our brands may negatively impact our business, financial condition and results of operations.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negative or inaccurate postings or comments on social media or networking websites about the Company or our brands could generate adverse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publicity that could damage our reputation or the reputation of our brands. If we are unable to effectively manage real or perceived issues,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concerns about product quality, safety, corporate social responsibility or other matters, sentiments toward the Company or our products could be negatively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 and our financial results could suffer.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First Amendment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 ​</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market for our common stock relies in part on the research and reports that equity research analysts publish about us or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do not control these analysts. If one or more of the analysts covering our business downgrade their evaluations of our common stock, the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could decline. If one or more of these analysts cease to cover our common stock, we could lose visibility in the market for our common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 which in turn could cause our common stock price to decline.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 ​</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attention, financial resources and other company assets.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OF SENIOR SECURITIES.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three months ended September 30, 2023,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 ​</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tbl>
      <w:tblPr>
        <w:tblLayout w:type="fixed"/>
        <w:tblInd w:w="600" w:type="dxa"/>
        <w:tblCellMar>
          <w:top w:w="0" w:type="dxa"/>
          <w:left w:w="0" w:type="dxa"/>
          <w:bottom w:w="0" w:type="dxa"/>
          <w:right w:w="0" w:type="dxa"/>
        </w:tblCellMar>
      </w:tblPr>
      <w:tr>
        <w:trPr>
          <w:trHeight w:val="199"/>
        </w:trPr>
        <w:tc>
          <w:tcPr>
            <w:tcW w:w="1100" w:type="dxa"/>
            <w:vAlign w:val="bottom"/>
          </w:tcPr>
          <w:p>
            <w:pPr>
              <w:jc w:val="center"/>
              <w:ind w:right="510"/>
              <w:spacing w:after="0" w:line="199" w:lineRule="exact"/>
              <w:rPr>
                <w:sz w:val="20"/>
                <w:szCs w:val="20"/>
                <w:color w:val="auto"/>
              </w:rPr>
            </w:pPr>
            <w:r>
              <w:rPr>
                <w:rFonts w:ascii="Arial" w:cs="Arial" w:eastAsia="Arial" w:hAnsi="Arial"/>
                <w:sz w:val="18"/>
                <w:szCs w:val="18"/>
                <w:color w:val="auto"/>
                <w:w w:val="99"/>
              </w:rPr>
              <w:t>31.1*</w:t>
            </w:r>
          </w:p>
        </w:tc>
        <w:tc>
          <w:tcPr>
            <w:tcW w:w="9480" w:type="dxa"/>
            <w:vAlign w:val="bottom"/>
            <w:gridSpan w:val="7"/>
          </w:tcPr>
          <w:p>
            <w:pPr>
              <w:spacing w:after="0" w:line="199" w:lineRule="exact"/>
              <w:rPr>
                <w:sz w:val="20"/>
                <w:szCs w:val="20"/>
                <w:color w:val="auto"/>
              </w:rPr>
            </w:pPr>
            <w:r>
              <w:rPr>
                <w:rFonts w:ascii="Arial" w:cs="Arial" w:eastAsia="Arial" w:hAnsi="Arial"/>
                <w:sz w:val="18"/>
                <w:szCs w:val="18"/>
                <w:color w:val="0000EE"/>
                <w:w w:val="91"/>
              </w:rPr>
              <w:t>Certification of Chief Executive Officer pursuant to Rule 13a-14(a)/15d-14(a), as adopted pursuant to Section 302 of the Sarbanes-</w:t>
            </w:r>
          </w:p>
        </w:tc>
      </w:tr>
      <w:tr>
        <w:trPr>
          <w:trHeight w:val="196"/>
        </w:trPr>
        <w:tc>
          <w:tcPr>
            <w:tcW w:w="110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Oxley Act of 2002, dated November 6, 2023.</w:t>
            </w:r>
          </w:p>
        </w:tc>
        <w:tc>
          <w:tcPr>
            <w:tcW w:w="6160" w:type="dxa"/>
            <w:vAlign w:val="bottom"/>
            <w:tcBorders>
              <w:top w:val="single" w:sz="8" w:color="0000EE"/>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Arial" w:cs="Arial" w:eastAsia="Arial" w:hAnsi="Arial"/>
                <w:sz w:val="18"/>
                <w:szCs w:val="18"/>
                <w:color w:val="auto"/>
                <w:w w:val="99"/>
              </w:rPr>
              <w:t>31.2*</w:t>
            </w:r>
          </w:p>
        </w:tc>
        <w:tc>
          <w:tcPr>
            <w:tcW w:w="93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Certification of Chief Financial Officer pursuant to Rule 13a-14(a)/15d-14(a), as adopted pursuant to Section 302 of the Sarbanes-</w:t>
            </w:r>
          </w:p>
        </w:tc>
        <w:tc>
          <w:tcPr>
            <w:tcW w:w="10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2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Oxley Act of 2002, dated November 6, 2023.</w:t>
            </w:r>
          </w:p>
        </w:tc>
        <w:tc>
          <w:tcPr>
            <w:tcW w:w="6220" w:type="dxa"/>
            <w:vAlign w:val="bottom"/>
            <w:gridSpan w:val="5"/>
          </w:tcPr>
          <w:p>
            <w:pPr>
              <w:spacing w:after="0"/>
              <w:rPr>
                <w:sz w:val="17"/>
                <w:szCs w:val="17"/>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Arial" w:cs="Arial" w:eastAsia="Arial" w:hAnsi="Arial"/>
                <w:sz w:val="18"/>
                <w:szCs w:val="18"/>
                <w:color w:val="auto"/>
              </w:rPr>
              <w:t>32.1**</w:t>
            </w:r>
          </w:p>
        </w:tc>
        <w:tc>
          <w:tcPr>
            <w:tcW w:w="9480" w:type="dxa"/>
            <w:vAlign w:val="bottom"/>
            <w:gridSpan w:val="7"/>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1350, as adopted pursuant to Section 906 of the Sarbanes-Oxley Act</w:t>
            </w:r>
          </w:p>
        </w:tc>
      </w:tr>
      <w:tr>
        <w:trPr>
          <w:trHeight w:val="196"/>
        </w:trPr>
        <w:tc>
          <w:tcPr>
            <w:tcW w:w="1100" w:type="dxa"/>
            <w:vAlign w:val="bottom"/>
          </w:tcPr>
          <w:p>
            <w:pPr>
              <w:spacing w:after="0"/>
              <w:rPr>
                <w:sz w:val="17"/>
                <w:szCs w:val="17"/>
                <w:color w:val="auto"/>
              </w:rPr>
            </w:pPr>
          </w:p>
        </w:tc>
        <w:tc>
          <w:tcPr>
            <w:tcW w:w="94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of 2002, dated November 6, 2023.</w:t>
            </w: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Arial" w:cs="Arial" w:eastAsia="Arial" w:hAnsi="Arial"/>
                <w:sz w:val="18"/>
                <w:szCs w:val="18"/>
                <w:color w:val="auto"/>
              </w:rPr>
              <w:t>32.2**</w:t>
            </w:r>
          </w:p>
        </w:tc>
        <w:tc>
          <w:tcPr>
            <w:tcW w:w="94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1350, as adopted pursuant to Section 906 of the Sarbanes-Oxley Act</w:t>
            </w:r>
          </w:p>
        </w:tc>
        <w:tc>
          <w:tcPr>
            <w:tcW w:w="8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480" w:type="dxa"/>
            <w:vAlign w:val="bottom"/>
            <w:gridSpan w:val="7"/>
          </w:tcPr>
          <w:p>
            <w:pPr>
              <w:spacing w:after="0" w:line="196" w:lineRule="exact"/>
              <w:rPr>
                <w:sz w:val="20"/>
                <w:szCs w:val="20"/>
                <w:color w:val="auto"/>
              </w:rPr>
            </w:pPr>
            <w:r>
              <w:rPr>
                <w:rFonts w:ascii="Arial" w:cs="Arial" w:eastAsia="Arial" w:hAnsi="Arial"/>
                <w:sz w:val="18"/>
                <w:szCs w:val="18"/>
                <w:color w:val="0000EE"/>
              </w:rPr>
              <w:t>of 2002, dated November 6, 2023.</w:t>
            </w:r>
          </w:p>
        </w:tc>
      </w:tr>
      <w:tr>
        <w:trPr>
          <w:trHeight w:val="20"/>
        </w:trPr>
        <w:tc>
          <w:tcPr>
            <w:tcW w:w="110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r>
      <w:tr>
        <w:trPr>
          <w:trHeight w:val="222"/>
        </w:trPr>
        <w:tc>
          <w:tcPr>
            <w:tcW w:w="1100" w:type="dxa"/>
            <w:vAlign w:val="bottom"/>
          </w:tcPr>
          <w:p>
            <w:pPr>
              <w:jc w:val="center"/>
              <w:ind w:right="490"/>
              <w:spacing w:after="0"/>
              <w:rPr>
                <w:sz w:val="20"/>
                <w:szCs w:val="20"/>
                <w:color w:val="auto"/>
              </w:rPr>
            </w:pPr>
            <w:r>
              <w:rPr>
                <w:rFonts w:ascii="Arial" w:cs="Arial" w:eastAsia="Arial" w:hAnsi="Arial"/>
                <w:sz w:val="18"/>
                <w:szCs w:val="18"/>
                <w:color w:val="auto"/>
                <w:w w:val="97"/>
              </w:rPr>
              <w:t>101*</w:t>
            </w:r>
          </w:p>
        </w:tc>
        <w:tc>
          <w:tcPr>
            <w:tcW w:w="9480" w:type="dxa"/>
            <w:vAlign w:val="bottom"/>
            <w:gridSpan w:val="7"/>
          </w:tcPr>
          <w:p>
            <w:pPr>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period ended September 30, 2023,</w:t>
            </w:r>
          </w:p>
        </w:tc>
      </w:tr>
      <w:tr>
        <w:trPr>
          <w:trHeight w:val="216"/>
        </w:trPr>
        <w:tc>
          <w:tcPr>
            <w:tcW w:w="110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4"/>
              </w:rPr>
              <w:t>formatted in Inline Extensible Business Reporting Language (iXBRL): (i) the Condensed Consolidated Balance Sheets, (ii) the</w:t>
            </w:r>
          </w:p>
        </w:tc>
      </w:tr>
      <w:tr>
        <w:trPr>
          <w:trHeight w:val="216"/>
        </w:trPr>
        <w:tc>
          <w:tcPr>
            <w:tcW w:w="110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Condensed Consolidated Statements of Operations, (iii) the Condensed Consolidated Statements of Changes in</w:t>
            </w:r>
          </w:p>
        </w:tc>
      </w:tr>
      <w:tr>
        <w:trPr>
          <w:trHeight w:val="216"/>
        </w:trPr>
        <w:tc>
          <w:tcPr>
            <w:tcW w:w="110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w w:val="92"/>
              </w:rPr>
              <w:t>Stockholders’ Equity, (iv) the Condensed Consolidated Statements of Cash Flows, and (v) Notes to the Condensed Consolidated</w:t>
            </w:r>
          </w:p>
        </w:tc>
      </w:tr>
      <w:tr>
        <w:trPr>
          <w:trHeight w:val="216"/>
        </w:trPr>
        <w:tc>
          <w:tcPr>
            <w:tcW w:w="1100" w:type="dxa"/>
            <w:vAlign w:val="bottom"/>
          </w:tcPr>
          <w:p>
            <w:pPr>
              <w:spacing w:after="0"/>
              <w:rPr>
                <w:sz w:val="18"/>
                <w:szCs w:val="18"/>
                <w:color w:val="auto"/>
              </w:rPr>
            </w:pPr>
          </w:p>
        </w:tc>
        <w:tc>
          <w:tcPr>
            <w:tcW w:w="9480" w:type="dxa"/>
            <w:vAlign w:val="bottom"/>
            <w:gridSpan w:val="7"/>
          </w:tcPr>
          <w:p>
            <w:pPr>
              <w:spacing w:after="0"/>
              <w:rPr>
                <w:sz w:val="20"/>
                <w:szCs w:val="20"/>
                <w:color w:val="auto"/>
              </w:rPr>
            </w:pPr>
            <w:r>
              <w:rPr>
                <w:rFonts w:ascii="Arial" w:cs="Arial" w:eastAsia="Arial" w:hAnsi="Arial"/>
                <w:sz w:val="18"/>
                <w:szCs w:val="18"/>
                <w:color w:val="auto"/>
              </w:rPr>
              <w:t>Financial Statements (filed herewith).</w:t>
            </w:r>
          </w:p>
        </w:tc>
      </w:tr>
      <w:tr>
        <w:trPr>
          <w:trHeight w:val="230"/>
        </w:trPr>
        <w:tc>
          <w:tcPr>
            <w:tcW w:w="1100" w:type="dxa"/>
            <w:vAlign w:val="bottom"/>
          </w:tcPr>
          <w:p>
            <w:pPr>
              <w:jc w:val="center"/>
              <w:ind w:right="490"/>
              <w:spacing w:after="0"/>
              <w:rPr>
                <w:sz w:val="20"/>
                <w:szCs w:val="20"/>
                <w:color w:val="auto"/>
              </w:rPr>
            </w:pPr>
            <w:r>
              <w:rPr>
                <w:rFonts w:ascii="Arial" w:cs="Arial" w:eastAsia="Arial" w:hAnsi="Arial"/>
                <w:sz w:val="18"/>
                <w:szCs w:val="18"/>
                <w:color w:val="auto"/>
                <w:w w:val="97"/>
              </w:rPr>
              <w:t>104*</w:t>
            </w:r>
          </w:p>
        </w:tc>
        <w:tc>
          <w:tcPr>
            <w:tcW w:w="948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TG THERAPEUTICS, INC.</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6, 2023</w:t>
            </w:r>
          </w:p>
        </w:tc>
        <w:tc>
          <w:tcPr>
            <w:tcW w:w="7580" w:type="dxa"/>
            <w:vAlign w:val="bottom"/>
            <w:gridSpan w:val="2"/>
          </w:tcPr>
          <w:p>
            <w:pPr>
              <w:ind w:left="1940"/>
              <w:spacing w:after="0"/>
              <w:rPr>
                <w:sz w:val="20"/>
                <w:szCs w:val="20"/>
                <w:color w:val="auto"/>
              </w:rPr>
            </w:pPr>
            <w:r>
              <w:rPr>
                <w:rFonts w:ascii="Arial" w:cs="Arial" w:eastAsia="Arial" w:hAnsi="Arial"/>
                <w:sz w:val="18"/>
                <w:szCs w:val="18"/>
                <w:color w:val="auto"/>
              </w:rPr>
              <w:t>By:  /s/ Sean A. Power</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400" w:type="dxa"/>
            <w:vAlign w:val="bottom"/>
            <w:vMerge w:val="restart"/>
          </w:tcPr>
          <w:p>
            <w:pPr>
              <w:jc w:val="right"/>
              <w:ind w:right="250"/>
              <w:spacing w:after="0"/>
              <w:rPr>
                <w:sz w:val="20"/>
                <w:szCs w:val="20"/>
                <w:color w:val="auto"/>
              </w:rPr>
            </w:pPr>
            <w:r>
              <w:rPr>
                <w:rFonts w:ascii="Arial" w:cs="Arial" w:eastAsia="Arial" w:hAnsi="Arial"/>
                <w:sz w:val="18"/>
                <w:szCs w:val="18"/>
                <w:color w:val="auto"/>
              </w:rPr>
              <w:t>84</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6,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c>
          <w:tcPr>
            <w:tcW w:w="0" w:type="dxa"/>
            <w:vAlign w:val="bottom"/>
          </w:tcPr>
          <w:p>
            <w:pPr>
              <w:spacing w:after="0"/>
              <w:rPr>
                <w:sz w:val="1"/>
                <w:szCs w:val="1"/>
                <w:color w:val="auto"/>
              </w:rPr>
            </w:pPr>
          </w:p>
        </w:tc>
      </w:tr>
      <w:tr>
        <w:trPr>
          <w:trHeight w:val="230"/>
        </w:trPr>
        <w:tc>
          <w:tcPr>
            <w:tcW w:w="56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Sean A.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2">
            <w:col w:w="4900" w:space="720"/>
            <w:col w:w="5620"/>
          </w:cols>
          <w:pgMar w:left="320" w:top="121"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TG Therapeutics, Inc. (the “Company”) on Form 10-Q for the period ended September 30, 2023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6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6,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c>
          <w:tcPr>
            <w:tcW w:w="0" w:type="dxa"/>
            <w:vAlign w:val="bottom"/>
          </w:tcPr>
          <w:p>
            <w:pPr>
              <w:spacing w:after="0"/>
              <w:rPr>
                <w:sz w:val="1"/>
                <w:szCs w:val="1"/>
                <w:color w:val="auto"/>
              </w:rPr>
            </w:pPr>
          </w:p>
        </w:tc>
      </w:tr>
      <w:tr>
        <w:trPr>
          <w:trHeight w:val="230"/>
        </w:trPr>
        <w:tc>
          <w:tcPr>
            <w:tcW w:w="56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2023 as filed with the Securities and Exchange Commission (the “Report”), I, Sean A. Power, Chief Financial Officer of the Company, certify, pursuant to 18 U.S.C. §1350, as adopted pursuant to §906 of the Sarbanes-Oxley Act of 2002, that, based on my knowledge:</w:t>
      </w:r>
    </w:p>
    <w:p>
      <w:pPr>
        <w:spacing w:after="0" w:line="18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Sean A.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2">
        <w:col w:w="4900" w:space="720"/>
        <w:col w:w="562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3"/>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amp;"/>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2023-11-06T16:09:01Z</dcterms:created>
  <dcterms:modified xsi:type="dcterms:W3CDTF">2023-11-06T16:09:01Z</dcterms:modified>
</cp:coreProperties>
</file>