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8" w:lineRule="exact"/>
        <w:rPr>
          <w:sz w:val="24"/>
          <w:szCs w:val="24"/>
          <w:color w:val="auto"/>
        </w:rPr>
      </w:pPr>
    </w:p>
    <w:p>
      <w:pPr>
        <w:ind w:left="4140" w:right="2920" w:hanging="1222"/>
        <w:spacing w:after="0" w:line="301" w:lineRule="auto"/>
        <w:tabs>
          <w:tab w:leader="none" w:pos="310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1" w:lineRule="exact"/>
        <w:rPr>
          <w:sz w:val="24"/>
          <w:szCs w:val="24"/>
          <w:color w:val="auto"/>
        </w:rPr>
      </w:pPr>
    </w:p>
    <w:p>
      <w:pPr>
        <w:ind w:left="4140" w:right="2900" w:hanging="1226"/>
        <w:spacing w:after="0" w:line="301" w:lineRule="auto"/>
        <w:tabs>
          <w:tab w:leader="none" w:pos="3101"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178435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TG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36-3898269</w:t>
      </w:r>
    </w:p>
    <w:p>
      <w:pPr>
        <w:spacing w:after="0" w:line="28"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9" w:lineRule="exact"/>
        <w:rPr>
          <w:sz w:val="24"/>
          <w:szCs w:val="24"/>
          <w:color w:val="auto"/>
        </w:rPr>
      </w:pPr>
    </w:p>
    <w:p>
      <w:pPr>
        <w:sectPr>
          <w:pgSz w:w="11900" w:h="16838" w:orient="portrait"/>
          <w:cols w:equalWidth="0" w:num="2">
            <w:col w:w="6540" w:space="720"/>
            <w:col w:w="3980"/>
          </w:cols>
          <w:pgMar w:left="320" w:top="47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3020 Carrington Mill Blvd, Suite 475</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Morrisville, North Carolina 27560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of principal executive offices)</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(877) 575-8489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6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5"/>
        </w:trPr>
        <w:tc>
          <w:tcPr>
            <w:tcW w:w="39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r>
        <w:trPr>
          <w:trHeight w:val="196"/>
        </w:trPr>
        <w:tc>
          <w:tcPr>
            <w:tcW w:w="396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Title of Class</w:t>
            </w:r>
          </w:p>
        </w:tc>
        <w:tc>
          <w:tcPr>
            <w:tcW w:w="33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92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Exchange Name</w:t>
            </w:r>
          </w:p>
        </w:tc>
      </w:tr>
      <w:tr>
        <w:trPr>
          <w:trHeight w:val="179"/>
        </w:trPr>
        <w:tc>
          <w:tcPr>
            <w:tcW w:w="39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par value $0.001</w:t>
            </w:r>
          </w:p>
        </w:tc>
        <w:tc>
          <w:tcPr>
            <w:tcW w:w="33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TGTX</w:t>
            </w:r>
          </w:p>
        </w:tc>
        <w:tc>
          <w:tcPr>
            <w:tcW w:w="392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Nasdaq Capital Market</w:t>
            </w:r>
          </w:p>
        </w:tc>
      </w:tr>
    </w:tbl>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3"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3"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1440" w:gutter="0" w:footer="0" w:header="0"/>
          <w:type w:val="continuous"/>
        </w:sectPr>
      </w:pPr>
    </w:p>
    <w:p>
      <w:pPr>
        <w:spacing w:after="0" w:line="12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240" w:space="720"/>
            <w:col w:w="1280"/>
          </w:cols>
          <w:pgMar w:left="320" w:top="472" w:right="339" w:bottom="1440" w:gutter="0" w:footer="0" w:header="0"/>
          <w:type w:val="continuous"/>
        </w:sectPr>
      </w:pPr>
    </w:p>
    <w:p>
      <w:pPr>
        <w:spacing w:after="0" w:line="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560" w:space="720"/>
            <w:col w:w="1960"/>
          </w:cols>
          <w:pgMar w:left="320" w:top="472" w:right="339" w:bottom="1440" w:gutter="0" w:footer="0" w:header="0"/>
          <w:type w:val="continuous"/>
        </w:sectPr>
      </w:pPr>
    </w:p>
    <w:p>
      <w:pPr>
        <w:spacing w:after="0" w:line="21" w:lineRule="exact"/>
        <w:rPr>
          <w:sz w:val="24"/>
          <w:szCs w:val="24"/>
          <w:color w:val="auto"/>
        </w:rPr>
      </w:pPr>
    </w:p>
    <w:p>
      <w:pPr>
        <w:ind w:left="92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472" w:right="339" w:bottom="1440" w:gutter="0" w:footer="0" w:header="0"/>
          <w:type w:val="continuous"/>
        </w:sectPr>
      </w:pPr>
    </w:p>
    <w:p>
      <w:pPr>
        <w:spacing w:after="0" w:line="8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158,755,036 shares of the registrant’s common stock, $0.001 par value, outstanding as of May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TG THERAPEUTICS, INC.</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40" w:type="dxa"/>
            <w:vAlign w:val="bottom"/>
            <w:gridSpan w:val="9"/>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gridSpan w:val="10"/>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2025</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SPECIAL CAUTIONARY NOTICE REGARDING FORWARD-LOOKING STATEMENTS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2580" w:type="dxa"/>
            <w:vAlign w:val="bottom"/>
            <w:gridSpan w:val="3"/>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6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00" w:type="dxa"/>
            <w:vAlign w:val="bottom"/>
            <w:gridSpan w:val="4"/>
          </w:tcPr>
          <w:p>
            <w:pPr>
              <w:spacing w:after="0"/>
              <w:rPr>
                <w:sz w:val="24"/>
                <w:szCs w:val="24"/>
                <w:color w:val="auto"/>
              </w:rPr>
            </w:pPr>
          </w:p>
        </w:tc>
        <w:tc>
          <w:tcPr>
            <w:tcW w:w="5920" w:type="dxa"/>
            <w:vAlign w:val="bottom"/>
            <w:gridSpan w:val="10"/>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5240" w:type="dxa"/>
            <w:vAlign w:val="bottom"/>
            <w:gridSpan w:val="9"/>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3640" w:type="dxa"/>
            <w:vAlign w:val="bottom"/>
            <w:gridSpan w:val="6"/>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080" w:type="dxa"/>
            <w:vAlign w:val="bottom"/>
            <w:gridSpan w:val="2"/>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0" w:type="dxa"/>
            <w:vAlign w:val="bottom"/>
            <w:gridSpan w:val="2"/>
          </w:tcPr>
          <w:p>
            <w:pPr>
              <w:spacing w:after="0"/>
              <w:rPr>
                <w:sz w:val="24"/>
                <w:szCs w:val="24"/>
                <w:color w:val="auto"/>
              </w:rPr>
            </w:pP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20" w:type="dxa"/>
            <w:vAlign w:val="bottom"/>
            <w:gridSpan w:val="7"/>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c>
          <w:tcPr>
            <w:tcW w:w="0" w:type="dxa"/>
            <w:vAlign w:val="bottom"/>
          </w:tcPr>
          <w:p>
            <w:pPr>
              <w:spacing w:after="0"/>
              <w:rPr>
                <w:sz w:val="1"/>
                <w:szCs w:val="1"/>
                <w:color w:val="auto"/>
              </w:rPr>
            </w:pPr>
          </w:p>
        </w:tc>
      </w:tr>
      <w:tr>
        <w:trPr>
          <w:trHeight w:val="412"/>
        </w:trPr>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Item 4</w:t>
            </w:r>
          </w:p>
        </w:tc>
        <w:tc>
          <w:tcPr>
            <w:tcW w:w="66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6300" w:type="dxa"/>
            <w:vAlign w:val="bottom"/>
            <w:gridSpan w:val="12"/>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20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3840" w:type="dxa"/>
            <w:vAlign w:val="bottom"/>
            <w:gridSpan w:val="8"/>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81</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60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81</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60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60" w:type="dxa"/>
            <w:vAlign w:val="bottom"/>
            <w:gridSpan w:val="16"/>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81</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660" w:type="dxa"/>
            <w:vAlign w:val="bottom"/>
            <w:gridSpan w:val="3"/>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82</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EE"/>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spacing w:after="0"/>
              <w:rPr>
                <w:sz w:val="24"/>
                <w:szCs w:val="24"/>
                <w:color w:val="auto"/>
              </w:rPr>
            </w:pPr>
          </w:p>
        </w:tc>
        <w:tc>
          <w:tcPr>
            <w:tcW w:w="600" w:type="dxa"/>
            <w:vAlign w:val="bottom"/>
            <w:tcBorders>
              <w:top w:val="single" w:sz="8" w:color="0000EE"/>
            </w:tcBorders>
            <w:gridSpan w:val="2"/>
            <w:vMerge w:val="restart"/>
          </w:tcPr>
          <w:p>
            <w:pPr>
              <w:spacing w:after="0"/>
              <w:rPr>
                <w:sz w:val="24"/>
                <w:szCs w:val="24"/>
                <w:color w:val="auto"/>
              </w:rPr>
            </w:pPr>
          </w:p>
        </w:tc>
        <w:tc>
          <w:tcPr>
            <w:tcW w:w="3940" w:type="dxa"/>
            <w:vAlign w:val="bottom"/>
            <w:gridSpan w:val="13"/>
            <w:vMerge w:val="restart"/>
          </w:tcPr>
          <w:p>
            <w:pPr>
              <w:jc w:val="center"/>
              <w:ind w:left="373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940" w:type="dxa"/>
            <w:vAlign w:val="bottom"/>
            <w:gridSpan w:val="13"/>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captions “Risk Factors” and “Management’s Discussion and Analysis of Financial Condition and Results of Operations,” and statements other than statements of historical facts contained in this Quarterly Report on Form 10-Q may constitute forward-looking statements. We intend such forward-looking statements to be subject to the safe harbor provisions of the Private Securities Litigation Reform Act of 1995, including Section 27A of the Securities Act of 1933, as amended (the “Securities Act”) and Section 21E of the Securities Exchange Act of 1934, as amended (the “Exchange Act”). Forward-looking statements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176" w:lineRule="exact"/>
        <w:rPr>
          <w:sz w:val="20"/>
          <w:szCs w:val="20"/>
          <w:color w:val="auto"/>
        </w:rPr>
      </w:pPr>
    </w:p>
    <w:p>
      <w:pPr>
        <w:jc w:val="both"/>
        <w:ind w:left="460" w:hanging="452"/>
        <w:spacing w:after="0" w:line="257"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 candidates, including azercabtagene zapreleucel (azer-cel), and our ability to maintain regulatory approval of BRIUMVI® (ublituximab-xiiy) 150 mg/6 mL Injection for intravenous therapy for the treatment of relapsing forms of multiple sclerosis (RMS) or any other future indication in the United States (U.S.), the European Union (EU) and the United Kingdom (UK);</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and expand our commercial infrastructure to successfully, or in the timeframe projected, market and sell BRIUMVI and our other product candidates;</w:t>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ongoing commercialization and availability of BRIUMVI or any future products or combinations of products, including the anticipated rate and degree of market acceptance and pricing and reimbursement;</w:t>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formulate, manufacture and commercialize our product candidates;</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drug candidates;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and product candidates;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enter into strategic arrangements, if desired;</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any of our financial projections or guidance, including without limitation short and long-term revenue and operating expense projections or guidance and changes to the assumptions underlying those projections or guidance;</w:t>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capital to fund our planned operations;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cash burn management;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obtain adequate product liability and other insurance coverage;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460" w:hanging="452"/>
        <w:spacing w:after="0" w:line="180" w:lineRule="auto"/>
        <w:tabs>
          <w:tab w:leader="none" w:pos="4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effects on our company of future regulatory developments or legislative actions, including changes in healthcare, environmental and other laws and regulations to which we are subject, including tariffs that may apply to products that we purchase or sell;</w:t>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market and business conditions;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attract and hire key personnel;</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price of our common stock;</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and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RISK FACTORS</w:t>
      </w:r>
    </w:p>
    <w:p>
      <w:pPr>
        <w:spacing w:after="0" w:line="223" w:lineRule="exact"/>
        <w:rPr>
          <w:sz w:val="20"/>
          <w:szCs w:val="20"/>
          <w:color w:val="auto"/>
        </w:rPr>
      </w:pPr>
    </w:p>
    <w:p>
      <w:pPr>
        <w:ind w:right="20" w:firstLine="486"/>
        <w:spacing w:after="0" w:line="275" w:lineRule="auto"/>
        <w:rPr>
          <w:sz w:val="20"/>
          <w:szCs w:val="20"/>
          <w:color w:val="auto"/>
        </w:rPr>
      </w:pPr>
      <w:r>
        <w:rPr>
          <w:rFonts w:ascii="Times New Roman" w:cs="Times New Roman" w:eastAsia="Times New Roman" w:hAnsi="Times New Roman"/>
          <w:sz w:val="16"/>
          <w:szCs w:val="16"/>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discussed in the section entitled “Risk Factors” in Part I, Item 1A of our Annual Report on Form 10-K for the fiscal year ended December 31, 2024, and any other risks described in the other reports and documents that we have filed with the Securities and Exchange Commission (SEC).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Commercialization</w:t>
      </w:r>
    </w:p>
    <w:p>
      <w:pPr>
        <w:spacing w:after="0" w:line="28" w:lineRule="exact"/>
        <w:rPr>
          <w:sz w:val="20"/>
          <w:szCs w:val="20"/>
          <w:color w:val="auto"/>
        </w:rPr>
      </w:pPr>
    </w:p>
    <w:p>
      <w:pPr>
        <w:ind w:left="160" w:right="540" w:hanging="152"/>
        <w:spacing w:after="0" w:line="264" w:lineRule="auto"/>
        <w:tabs>
          <w:tab w:leader="none" w:pos="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ind w:left="160" w:right="60" w:hanging="152"/>
        <w:spacing w:after="0" w:line="264" w:lineRule="auto"/>
        <w:tabs>
          <w:tab w:leader="none" w:pos="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ind w:left="160" w:right="120" w:hanging="152"/>
        <w:spacing w:after="0" w:line="264" w:lineRule="auto"/>
        <w:tabs>
          <w:tab w:leader="none" w:pos="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BRIUMVI, and any of our product candidates for which we in the future obtain approval, may, after approval, be found to cause undesirable side effects that could result in significant negative consequences following commercialization.</w:t>
      </w:r>
    </w:p>
    <w:p>
      <w:pPr>
        <w:ind w:left="160" w:right="20" w:hanging="152"/>
        <w:spacing w:after="0" w:line="264" w:lineRule="auto"/>
        <w:tabs>
          <w:tab w:leader="none" w:pos="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incidence and prevalence for target patient populations of BRIUMVI and our product candidates, including azer-cel in non-oncology indications,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ind w:left="160" w:hanging="152"/>
        <w:spacing w:after="0" w:line="264" w:lineRule="auto"/>
        <w:tabs>
          <w:tab w:leader="none" w:pos="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substantial competition, which may result in others commercializing drugs before or more successfully than we do, resulting in the reduction or elimination of our commercial opportunity.</w:t>
      </w:r>
    </w:p>
    <w:p>
      <w:pPr>
        <w:ind w:left="160" w:hanging="152"/>
        <w:spacing w:after="0"/>
        <w:tabs>
          <w:tab w:leader="none" w:pos="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liability lawsuits against us could cause us to incur substantial liabilities and could limit commercialization of any drug candidates that we may develop.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Need for Additional Capital</w:t>
      </w:r>
    </w:p>
    <w:p>
      <w:pPr>
        <w:spacing w:after="0" w:line="28"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we have recently generated net income, we have incurred significant operating losses since our inception, and we may incur losses in the future.</w:t>
      </w:r>
    </w:p>
    <w:p>
      <w:pPr>
        <w:spacing w:after="0" w:line="18" w:lineRule="exact"/>
        <w:rPr>
          <w:rFonts w:ascii="Times New Roman" w:cs="Times New Roman" w:eastAsia="Times New Roman" w:hAnsi="Times New Roman"/>
          <w:sz w:val="16"/>
          <w:szCs w:val="16"/>
          <w:color w:val="auto"/>
        </w:rPr>
      </w:pPr>
    </w:p>
    <w:p>
      <w:pPr>
        <w:ind w:left="200" w:right="20" w:hanging="192"/>
        <w:spacing w:after="0" w:line="264" w:lineRule="auto"/>
        <w:tabs>
          <w:tab w:leader="none" w:pos="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ind w:left="200" w:hanging="192"/>
        <w:spacing w:after="0"/>
        <w:tabs>
          <w:tab w:leader="none" w:pos="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level of indebtedness and debt service obligations could adversely affect our financial condition and may make it more difficult for us to fund our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Drug Development and Regulatory Approval</w:t>
      </w:r>
    </w:p>
    <w:p>
      <w:pPr>
        <w:spacing w:after="0" w:line="28" w:lineRule="exact"/>
        <w:rPr>
          <w:sz w:val="20"/>
          <w:szCs w:val="20"/>
          <w:color w:val="auto"/>
        </w:rPr>
      </w:pPr>
    </w:p>
    <w:p>
      <w:pPr>
        <w:ind w:left="200" w:hanging="192"/>
        <w:spacing w:after="0" w:line="264" w:lineRule="auto"/>
        <w:tabs>
          <w:tab w:leader="none" w:pos="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maintain or obtain regulatory approval for our product and product candidates and ultimately cannot successfully commercialize our product or product candidates, or experience significant delays in doing so, our business will be materially harmed.</w:t>
      </w:r>
    </w:p>
    <w:p>
      <w:pPr>
        <w:jc w:val="both"/>
        <w:ind w:left="200" w:hanging="192"/>
        <w:spacing w:after="0" w:line="264" w:lineRule="auto"/>
        <w:tabs>
          <w:tab w:leader="none" w:pos="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ind w:left="200" w:hanging="192"/>
        <w:spacing w:after="0" w:line="264" w:lineRule="auto"/>
        <w:tabs>
          <w:tab w:leader="none" w:pos="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or product candidates may cause undesirable side effects that could delay or prevent their regulatory approval or impact their availability and commercial potential after approval.</w:t>
      </w:r>
    </w:p>
    <w:p>
      <w:pPr>
        <w:ind w:left="200" w:hanging="192"/>
        <w:spacing w:after="0" w:line="288" w:lineRule="auto"/>
        <w:tabs>
          <w:tab w:leader="none" w:pos="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Governmental Regulation of the Pharmaceutical Industry and Legal Compliance Matters</w:t>
      </w:r>
    </w:p>
    <w:p>
      <w:pPr>
        <w:spacing w:after="0" w:line="28" w:lineRule="exact"/>
        <w:rPr>
          <w:sz w:val="20"/>
          <w:szCs w:val="20"/>
          <w:color w:val="auto"/>
        </w:rPr>
      </w:pPr>
    </w:p>
    <w:p>
      <w:pPr>
        <w:ind w:left="200" w:hanging="192"/>
        <w:spacing w:after="0" w:line="264" w:lineRule="auto"/>
        <w:tabs>
          <w:tab w:leader="none" w:pos="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new legislation, regulatory proposals and third-party payor initiatives that may increase our costs of compliance and adversely affect our ability to market our products, obtain collaborators and raise capital.</w:t>
      </w:r>
    </w:p>
    <w:p>
      <w:pPr>
        <w:ind w:left="200" w:hanging="192"/>
        <w:spacing w:after="0"/>
        <w:tabs>
          <w:tab w:leader="none" w:pos="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comply with various healthcare laws and regulations, we may incur losses or be subject to liability.</w:t>
      </w:r>
    </w:p>
    <w:p>
      <w:pPr>
        <w:spacing w:after="0" w:line="18" w:lineRule="exact"/>
        <w:rPr>
          <w:rFonts w:ascii="Times New Roman" w:cs="Times New Roman" w:eastAsia="Times New Roman" w:hAnsi="Times New Roman"/>
          <w:sz w:val="16"/>
          <w:szCs w:val="16"/>
          <w:color w:val="auto"/>
        </w:rPr>
      </w:pPr>
    </w:p>
    <w:p>
      <w:pPr>
        <w:jc w:val="both"/>
        <w:ind w:left="200" w:hanging="192"/>
        <w:spacing w:after="0" w:line="264" w:lineRule="auto"/>
        <w:tabs>
          <w:tab w:leader="none" w:pos="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ind w:left="200" w:hanging="192"/>
        <w:spacing w:after="0" w:line="264" w:lineRule="auto"/>
        <w:tabs>
          <w:tab w:leader="none" w:pos="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adequately understand and comply with the local laws and customs as we expand into new international markets, these operations may incur losses or otherwise adversely affect our business and results of operations.</w:t>
      </w:r>
    </w:p>
    <w:p>
      <w:pPr>
        <w:ind w:left="200" w:right="20" w:hanging="192"/>
        <w:spacing w:after="0" w:line="264" w:lineRule="auto"/>
        <w:tabs>
          <w:tab w:leader="none" w:pos="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ind w:left="200" w:hanging="192"/>
        <w:spacing w:after="0" w:line="288" w:lineRule="auto"/>
        <w:tabs>
          <w:tab w:leader="none" w:pos="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political and economic environment could materially impact our business operations and financial performance, and uncertainty surrounding the potential legal, regulatory and policy changes by a new U.S. presidential administration may directly affect us and the global economy.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Dependence on Third Parties</w:t>
      </w:r>
    </w:p>
    <w:p>
      <w:pPr>
        <w:spacing w:after="0" w:line="28" w:lineRule="exact"/>
        <w:rPr>
          <w:sz w:val="20"/>
          <w:szCs w:val="20"/>
          <w:color w:val="auto"/>
        </w:rPr>
      </w:pPr>
    </w:p>
    <w:p>
      <w:pPr>
        <w:jc w:val="both"/>
        <w:ind w:left="200" w:hanging="192"/>
        <w:spacing w:after="0" w:line="264" w:lineRule="auto"/>
        <w:tabs>
          <w:tab w:leader="none" w:pos="2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jc w:val="both"/>
        <w:ind w:left="200" w:right="20" w:hanging="192"/>
        <w:spacing w:after="0" w:line="264" w:lineRule="auto"/>
        <w:tabs>
          <w:tab w:leader="none" w:pos="2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ind w:left="200" w:hanging="192"/>
        <w:spacing w:after="0" w:line="264" w:lineRule="auto"/>
        <w:tabs>
          <w:tab w:leader="none" w:pos="2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ind w:left="200" w:right="20" w:hanging="192"/>
        <w:spacing w:after="0" w:line="264" w:lineRule="auto"/>
        <w:tabs>
          <w:tab w:leader="none" w:pos="2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jc w:val="both"/>
        <w:ind w:left="200" w:hanging="192"/>
        <w:spacing w:after="0" w:line="272" w:lineRule="auto"/>
        <w:tabs>
          <w:tab w:leader="none" w:pos="2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28" w:lineRule="exact"/>
        <w:rPr>
          <w:sz w:val="20"/>
          <w:szCs w:val="20"/>
          <w:color w:val="auto"/>
        </w:rPr>
      </w:pPr>
    </w:p>
    <w:p>
      <w:pPr>
        <w:jc w:val="both"/>
        <w:ind w:left="200" w:hanging="192"/>
        <w:spacing w:after="0" w:line="264" w:lineRule="auto"/>
        <w:tabs>
          <w:tab w:leader="none" w:pos="2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p>
      <w:pPr>
        <w:ind w:left="200" w:hanging="192"/>
        <w:spacing w:after="0" w:line="264" w:lineRule="auto"/>
        <w:tabs>
          <w:tab w:leader="none" w:pos="2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ind w:left="200" w:hanging="192"/>
        <w:spacing w:after="0"/>
        <w:tabs>
          <w:tab w:leader="none" w:pos="2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enforce our intellectual property rights throughout the world.</w:t>
      </w:r>
    </w:p>
    <w:p>
      <w:pPr>
        <w:spacing w:after="0" w:line="18" w:lineRule="exact"/>
        <w:rPr>
          <w:rFonts w:ascii="Times New Roman" w:cs="Times New Roman" w:eastAsia="Times New Roman" w:hAnsi="Times New Roman"/>
          <w:sz w:val="16"/>
          <w:szCs w:val="16"/>
          <w:color w:val="auto"/>
        </w:rPr>
      </w:pPr>
    </w:p>
    <w:p>
      <w:pPr>
        <w:ind w:left="200" w:hanging="192"/>
        <w:spacing w:after="0" w:line="264" w:lineRule="auto"/>
        <w:tabs>
          <w:tab w:leader="none" w:pos="2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or our partners are sued for infringing intellectual property rights of third parties, it will be costly and time consuming, and an unfavorable outcome in that litigation would have a material adverse effect on our business.</w:t>
      </w:r>
    </w:p>
    <w:p>
      <w:pPr>
        <w:ind w:left="200" w:hanging="192"/>
        <w:spacing w:after="0"/>
        <w:tabs>
          <w:tab w:leader="none" w:pos="2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license certain intellectual property from third parties, and such licenses may not be available or may not be available on commercially reasonable terms.</w:t>
      </w:r>
    </w:p>
    <w:p>
      <w:pPr>
        <w:spacing w:after="0" w:line="18" w:lineRule="exact"/>
        <w:rPr>
          <w:rFonts w:ascii="Times New Roman" w:cs="Times New Roman" w:eastAsia="Times New Roman" w:hAnsi="Times New Roman"/>
          <w:sz w:val="16"/>
          <w:szCs w:val="16"/>
          <w:color w:val="auto"/>
        </w:rPr>
      </w:pPr>
    </w:p>
    <w:p>
      <w:pPr>
        <w:ind w:left="200" w:hanging="192"/>
        <w:spacing w:after="0"/>
        <w:tabs>
          <w:tab w:leader="none" w:pos="2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protect the confidentiality of our trade secrets, our business and competitive position may be harmed.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Organization and Governance, Strategy, Employees and Growth Management</w:t>
      </w:r>
    </w:p>
    <w:p>
      <w:pPr>
        <w:spacing w:after="0" w:line="28" w:lineRule="exact"/>
        <w:rPr>
          <w:sz w:val="20"/>
          <w:szCs w:val="20"/>
          <w:color w:val="auto"/>
        </w:rPr>
      </w:pPr>
    </w:p>
    <w:p>
      <w:pPr>
        <w:ind w:left="200" w:right="20" w:hanging="192"/>
        <w:spacing w:after="0" w:line="264" w:lineRule="auto"/>
        <w:tabs>
          <w:tab w:leader="none" w:pos="2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attract and keep key management, commercial, and clinical development personnel, we may be unable to successfully develop or commercialize our product and product candidates.</w:t>
      </w:r>
    </w:p>
    <w:p>
      <w:pPr>
        <w:ind w:left="200" w:hanging="192"/>
        <w:spacing w:after="0"/>
        <w:tabs>
          <w:tab w:leader="none" w:pos="2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to develop and expand our business, and we may encounter difficulties in managing this development and expansion, which could disrupt our operations.</w:t>
      </w:r>
    </w:p>
    <w:p>
      <w:pPr>
        <w:spacing w:after="0" w:line="18" w:lineRule="exact"/>
        <w:rPr>
          <w:rFonts w:ascii="Times New Roman" w:cs="Times New Roman" w:eastAsia="Times New Roman" w:hAnsi="Times New Roman"/>
          <w:sz w:val="16"/>
          <w:szCs w:val="16"/>
          <w:color w:val="auto"/>
        </w:rPr>
      </w:pPr>
    </w:p>
    <w:p>
      <w:pPr>
        <w:ind w:left="200" w:hanging="192"/>
        <w:spacing w:after="0" w:line="264" w:lineRule="auto"/>
        <w:tabs>
          <w:tab w:leader="none" w:pos="2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executive officers, directors, principal stockholders and their affiliates maintain the ability to exercise significant influence over our company and all matters submitted to stockholders for approval.</w:t>
      </w:r>
    </w:p>
    <w:p>
      <w:pPr>
        <w:ind w:left="200" w:hanging="192"/>
        <w:spacing w:after="0" w:line="264" w:lineRule="auto"/>
        <w:tabs>
          <w:tab w:leader="none" w:pos="2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ind w:left="200" w:hanging="192"/>
        <w:spacing w:after="0"/>
        <w:tabs>
          <w:tab w:leader="none" w:pos="2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global economic conditions could adversely affect our business, financial condition or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 and Being a Publicly Traded Company</w:t>
      </w:r>
    </w:p>
    <w:p>
      <w:pPr>
        <w:spacing w:after="0" w:line="28"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is, and we expect it to remain, volatile, which could limit investors’ ability to sell our stock at a profit.</w:t>
      </w:r>
    </w:p>
    <w:p>
      <w:pPr>
        <w:spacing w:after="0" w:line="18" w:lineRule="exact"/>
        <w:rPr>
          <w:rFonts w:ascii="Times New Roman" w:cs="Times New Roman" w:eastAsia="Times New Roman" w:hAnsi="Times New Roman"/>
          <w:sz w:val="16"/>
          <w:szCs w:val="16"/>
          <w:color w:val="auto"/>
        </w:rPr>
      </w:pPr>
    </w:p>
    <w:p>
      <w:pPr>
        <w:ind w:left="200" w:hanging="192"/>
        <w:spacing w:after="0"/>
        <w:tabs>
          <w:tab w:leader="none" w:pos="2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 significant increased costs as a result of operating as a public company, and our management is required to devote substantial time to compliance initiatives.</w:t>
      </w:r>
    </w:p>
    <w:p>
      <w:pPr>
        <w:spacing w:after="0" w:line="21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6"/>
          <w:szCs w:val="16"/>
          <w:color w:val="auto"/>
        </w:rPr>
        <w:t>The foregoing is only a summary of some of our risks. These and other risks are discussed more fully in the section entitled “Risk Factors” in Part II, Item 1A and elsewhere in this Quarterly Report on Form 10-Q (our Risk Factors).</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132,139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179,894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131,106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190,121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157,759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110,458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15,716</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644,510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566,359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656,689</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577,690</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133,932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58,296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15,185</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160,209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90,679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payable – non-current</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244,733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244,429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355,326</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(190,000,000 and 175,000,000 shares authorized, 158,736,286</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156,204,159 shares issued, 158,168,688 and 155,836,256 shares outstanding at March 31, 2025 and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1,776,381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1,760,396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567,598 and 367,903 shares at March 31, 2025 and December 31, 2024, respectively</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(1,524,134)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(1,529,194)</w:t>
            </w:r>
          </w:p>
        </w:tc>
      </w:tr>
      <w:tr>
        <w:trPr>
          <w:trHeight w:val="216"/>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237,289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656,689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577,690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119,655</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50,488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63,474</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32,722</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72,744</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(9,270)</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expense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before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per common share: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0"/>
        </w:trPr>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Pr>
          <w:p>
            <w:pPr>
              <w:spacing w:after="0"/>
              <w:rPr>
                <w:sz w:val="24"/>
                <w:szCs w:val="24"/>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408</w:t>
            </w:r>
          </w:p>
        </w:tc>
        <w:tc>
          <w:tcPr>
            <w:tcW w:w="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29</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20"/>
                <w:szCs w:val="20"/>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-1002665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-436880</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-136525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137160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(0.07)</w:t>
            </w:r>
          </w:p>
        </w:tc>
      </w:tr>
      <w:tr>
        <w:trPr>
          <w:trHeight w:val="196"/>
        </w:trPr>
        <w:tc>
          <w:tcPr>
            <w:tcW w:w="80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146,677,783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146,209,213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162,769,202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146,209,213</w:t>
            </w: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202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0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151,465,598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$ 1,713,162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(1,552,577)</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160,502</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3,304,468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(165,514)</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10,304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10,304</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(10,707)</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(10,707)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154,607,052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1,723,472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(1,563,284)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160,109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90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156,204,159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$ 1,760,396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(8,994)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(1,529,194)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222,364</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2,547,179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(20,052)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199,695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(6,123)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(6,123)</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15,967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15,967</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5,060</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158,736,286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1,776,381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567,598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(15,117)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(1,524,134)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237,289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 less than one thousand dollars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324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2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5,060</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(10,707)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14,972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(discount) on investment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leasehold interest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change in lease liability and right of use asset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equity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inventory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(46,305)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(60,936)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40,222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lease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(28,715)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(8,207)</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maturity of short-term securities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80,400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73,401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held-to-maturity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(92,059)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(81,531)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long-term securities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(12,934)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exercise of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08"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(17,452)</w:t>
            </w:r>
          </w:p>
        </w:tc>
      </w:tr>
      <w:tr>
        <w:trPr>
          <w:trHeight w:val="216"/>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181,192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94,218</w:t>
            </w:r>
          </w:p>
        </w:tc>
      </w:tr>
      <w:tr>
        <w:trPr>
          <w:trHeight w:val="216"/>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133,441</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76,766</w:t>
            </w:r>
          </w:p>
        </w:tc>
      </w:tr>
      <w:tr>
        <w:trPr>
          <w:trHeight w:val="197"/>
        </w:trPr>
        <w:tc>
          <w:tcPr>
            <w:tcW w:w="80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to amounts on condensed consolidated balance sheets: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132,139</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133,441</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76,766</w:t>
            </w:r>
          </w:p>
        </w:tc>
      </w:tr>
      <w:tr>
        <w:trPr>
          <w:trHeight w:val="196"/>
        </w:trPr>
        <w:tc>
          <w:tcPr>
            <w:tcW w:w="80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80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Interest</w:t>
            </w:r>
          </w:p>
        </w:tc>
        <w:tc>
          <w:tcPr>
            <w:tcW w:w="480" w:type="dxa"/>
            <w:vAlign w:val="bottom"/>
          </w:tcPr>
          <w:p>
            <w:pPr>
              <w:jc w:val="right"/>
              <w:ind w:right="29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6,143</w:t>
            </w:r>
          </w:p>
        </w:tc>
        <w:tc>
          <w:tcPr>
            <w:tcW w:w="580" w:type="dxa"/>
            <w:vAlign w:val="bottom"/>
            <w:gridSpan w:val="2"/>
          </w:tcPr>
          <w:p>
            <w:pPr>
              <w:jc w:val="right"/>
              <w:ind w:right="4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2,448</w:t>
            </w:r>
          </w:p>
        </w:tc>
      </w:tr>
      <w:tr>
        <w:trPr>
          <w:trHeight w:val="236"/>
        </w:trPr>
        <w:tc>
          <w:tcPr>
            <w:tcW w:w="9600" w:type="dxa"/>
            <w:vAlign w:val="bottom"/>
            <w:gridSpan w:val="4"/>
          </w:tcPr>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requires otherwise, references in this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TG,</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TG Therapeutics, Inc.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relapsing forms of multiple sclerosis (RMS), to include clinically isolated syndrome, relapsing-remitting disease, and active secondary progressive disease, in adults, as well as approval by the European Commission (EC) and the Medicines and Healthcare Products Regulatory Agency (MHRA) for BRIUMVI to treat adult patients with RMS who have active disease defined by clinical or imaging features. We also actively evaluate complementary products, technologies and companies for in-licensing, partnership, acquisition and/or investment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2024. The accompanying condensed balance sheet as of December 31, 2024 has been derived from these statements. The results of operations for the three months ended March 31, 2025 are not necessarily indicative of the results that may be expected for the entire fiscal year or any other interim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recently began generating net income, we have incurred significant operating losses since our inception. BRIUMVI first became commercially available in the United States in January of 2023, and ex-US through our partner Neuraxpharm, in November 2023. Even with the commercialization of BRIUMVI and the possible future commercialization of our other drug candidates, we may not realize continued profitability. During the three months ended March 31, 2025, we generated $119.7 million in product revenue from product sales of BRIUMVI. Historically, substantially all our operating losses have resulted from costs incurred in connection with our research and development programs and from selling, general and administrative costs associated with our operations, including our commercialization activities to date. Our future operating results, profitability and other financial results may fluctuate from period to period, and we will need to generate significant revenues to maintain profitability and/or positive cash flow on a sustained basis. As of March 31, 2025, we have an accumulated deficit of approximately $1.5 billion.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we had $276.2 million in cash and cash equivalents, and short-term investment securities. We anticipate that our cash, cash equivalents, and investment securities, combined with projected revenues from BRIUMVI in the U.S. and ex-U.S., will provide sufficient liquidity for more than a twelve-month period from the date of filing this Quarterly Report on Form 10-Q. The actual amount of cash that we will need to operate is subject to many factors, including, but not limited to, our commercialization efforts for BRIUMVI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and trades under the symbol “TGTX.”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 Organization and Summary of Significant Accounting Policies to the audited consolidated financial statements included in our Annual Report on Form 10-K for the year ended December 31, 2024, except as updated herein or as it relates to revenue recognition, accounts receivable, inventory, cost of revenue, equity securities, and the adoption of new accounting standards during the three months ended March 31, 2025. Management does not believe that any recently issued, but not yet effective, accounting pronouncements, if currently adopted, would have a material effect on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Topic 606, we recognize revenue to depict the transfer of promised goods or services to customers in an amount that reflects the consideration to which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Product Revenue, Net:</w:t>
      </w:r>
      <w:r>
        <w:rPr>
          <w:rFonts w:ascii="Times New Roman" w:cs="Times New Roman" w:eastAsia="Times New Roman" w:hAnsi="Times New Roman"/>
          <w:sz w:val="18"/>
          <w:szCs w:val="18"/>
          <w:color w:val="auto"/>
        </w:rPr>
        <w:t xml:space="preserve">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commercial payer rebates, trade discounts and allowances, product returns, and co-payment assistance.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Chargebacks</w:t>
      </w:r>
      <w:r>
        <w:rPr>
          <w:rFonts w:ascii="Times New Roman" w:cs="Times New Roman" w:eastAsia="Times New Roman" w:hAnsi="Times New Roman"/>
          <w:sz w:val="18"/>
          <w:szCs w:val="18"/>
          <w:color w:val="auto"/>
        </w:rPr>
        <w:t>: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Government Rebates</w:t>
      </w:r>
      <w:r>
        <w:rPr>
          <w:rFonts w:ascii="Times New Roman" w:cs="Times New Roman" w:eastAsia="Times New Roman" w:hAnsi="Times New Roman"/>
          <w:sz w:val="18"/>
          <w:szCs w:val="18"/>
          <w:color w:val="auto"/>
        </w:rPr>
        <w:t>: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Commercial Payer Rebates</w:t>
      </w:r>
      <w:r>
        <w:rPr>
          <w:rFonts w:ascii="Times New Roman" w:cs="Times New Roman" w:eastAsia="Times New Roman" w:hAnsi="Times New Roman"/>
          <w:sz w:val="18"/>
          <w:szCs w:val="18"/>
          <w:color w:val="auto"/>
        </w:rPr>
        <w:t>: The Company contracts with various private payer organizations, primarily insurance companies and pharmacy benefit managers, for the payment of rebates with respect to utilization of our product and contracted formulary status. The Company estimates these rebates and records such estimates in the same period the related revenue is recognized, resulting in a reduction of product revenue and the establishment of a current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Trade Discounts and Allowances</w:t>
      </w:r>
      <w:r>
        <w:rPr>
          <w:rFonts w:ascii="Times New Roman" w:cs="Times New Roman" w:eastAsia="Times New Roman" w:hAnsi="Times New Roman"/>
          <w:sz w:val="18"/>
          <w:szCs w:val="18"/>
          <w:color w:val="auto"/>
        </w:rPr>
        <w:t>: The Company provides its customers with discounts that are explicitly stated in the applicable contracts and are recorded in the period the related product revenue is recognized. In addition, the Company also receives sales order management, inventory management, and data services from its customers in exchange for certain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Product Returns</w:t>
      </w:r>
      <w:r>
        <w:rPr>
          <w:rFonts w:ascii="Times New Roman" w:cs="Times New Roman" w:eastAsia="Times New Roman" w:hAnsi="Times New Roman"/>
          <w:sz w:val="18"/>
          <w:szCs w:val="18"/>
          <w:color w:val="auto"/>
        </w:rPr>
        <w:t>: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Company’s return policy allows for eligible returns of commercial products sold for credit under the following circumstances:</w:t>
      </w:r>
    </w:p>
    <w:p>
      <w:pPr>
        <w:spacing w:after="0" w:line="162" w:lineRule="exact"/>
        <w:rPr>
          <w:sz w:val="20"/>
          <w:szCs w:val="20"/>
          <w:color w:val="auto"/>
        </w:rPr>
      </w:pPr>
    </w:p>
    <w:p>
      <w:pPr>
        <w:ind w:left="820" w:hanging="14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damaged product;</w:t>
      </w:r>
    </w:p>
    <w:p>
      <w:pPr>
        <w:spacing w:after="0" w:line="225" w:lineRule="exact"/>
        <w:rPr>
          <w:rFonts w:ascii="Times New Roman" w:cs="Times New Roman" w:eastAsia="Times New Roman" w:hAnsi="Times New Roman"/>
          <w:sz w:val="18"/>
          <w:szCs w:val="18"/>
          <w:color w:val="auto"/>
        </w:rPr>
      </w:pPr>
    </w:p>
    <w:p>
      <w:pPr>
        <w:ind w:left="820" w:hanging="14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errors that were a result of an error by the Company;</w:t>
      </w:r>
    </w:p>
    <w:p>
      <w:pPr>
        <w:spacing w:after="0" w:line="225" w:lineRule="exact"/>
        <w:rPr>
          <w:rFonts w:ascii="Times New Roman" w:cs="Times New Roman" w:eastAsia="Times New Roman" w:hAnsi="Times New Roman"/>
          <w:sz w:val="18"/>
          <w:szCs w:val="18"/>
          <w:color w:val="auto"/>
        </w:rPr>
      </w:pPr>
    </w:p>
    <w:p>
      <w:pPr>
        <w:ind w:left="180" w:right="20" w:firstLine="494"/>
        <w:spacing w:after="0" w:line="282" w:lineRule="auto"/>
        <w:tabs>
          <w:tab w:leader="none" w:pos="8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expired product that is returned during the period beginning three months prior to the product’s expiration and ending six months after the expiration date;</w:t>
      </w:r>
    </w:p>
    <w:p>
      <w:pPr>
        <w:spacing w:after="0" w:line="161" w:lineRule="exact"/>
        <w:rPr>
          <w:rFonts w:ascii="Times New Roman" w:cs="Times New Roman" w:eastAsia="Times New Roman" w:hAnsi="Times New Roman"/>
          <w:sz w:val="18"/>
          <w:szCs w:val="18"/>
          <w:color w:val="auto"/>
        </w:rPr>
      </w:pPr>
    </w:p>
    <w:p>
      <w:pPr>
        <w:ind w:left="820" w:hanging="14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subject to a recall; and</w:t>
      </w:r>
    </w:p>
    <w:p>
      <w:pPr>
        <w:spacing w:after="0" w:line="225" w:lineRule="exact"/>
        <w:rPr>
          <w:rFonts w:ascii="Times New Roman" w:cs="Times New Roman" w:eastAsia="Times New Roman" w:hAnsi="Times New Roman"/>
          <w:sz w:val="18"/>
          <w:szCs w:val="18"/>
          <w:color w:val="auto"/>
        </w:rPr>
      </w:pPr>
    </w:p>
    <w:p>
      <w:pPr>
        <w:ind w:left="820" w:hanging="14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the Company, at its sole discretion, has specified can be returned for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date, the Company has experienced an immaterial amount of product returns related to sales of BRIUMVI.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Co-Payment Assistance Programs</w:t>
      </w:r>
      <w:r>
        <w:rPr>
          <w:rFonts w:ascii="Times New Roman" w:cs="Times New Roman" w:eastAsia="Times New Roman" w:hAnsi="Times New Roman"/>
          <w:sz w:val="18"/>
          <w:szCs w:val="18"/>
          <w:color w:val="auto"/>
        </w:rPr>
        <w:t>: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Licenses of intellectual property</w:t>
      </w:r>
      <w:r>
        <w:rPr>
          <w:rFonts w:ascii="Times New Roman" w:cs="Times New Roman" w:eastAsia="Times New Roman" w:hAnsi="Times New Roman"/>
          <w:sz w:val="18"/>
          <w:szCs w:val="18"/>
          <w:color w:val="auto"/>
        </w:rPr>
        <w:t>: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 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Sales-based royalties:</w:t>
      </w:r>
      <w:r>
        <w:rPr>
          <w:rFonts w:ascii="Times New Roman" w:cs="Times New Roman" w:eastAsia="Times New Roman" w:hAnsi="Times New Roman"/>
          <w:sz w:val="18"/>
          <w:szCs w:val="18"/>
          <w:color w:val="auto"/>
        </w:rPr>
        <w:t xml:space="preserve">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Optional Purchases:</w:t>
      </w:r>
      <w:r>
        <w:rPr>
          <w:rFonts w:ascii="Times New Roman" w:cs="Times New Roman" w:eastAsia="Times New Roman" w:hAnsi="Times New Roman"/>
          <w:sz w:val="18"/>
          <w:szCs w:val="18"/>
          <w:color w:val="auto"/>
        </w:rPr>
        <w:t xml:space="preserve"> The Company’s arrangements may provide the licensee the right to make optional purchases of the licensed product. These optional purchases are accounted for as separate contracts when the licensee determines that it will make such a purchase, unless the option conveys a material right. Optional purchases are recorded as product revenue, net.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is also generated from service-based fees recognized for providing regulatory support &amp; development services to customers. Service fee revenue is recognized overtime as the services are transferred to the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Product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the Company completing its performance obligation to the customer under the terms of a contract, a contract liability is recorded as deferred revenue. Deferred revenues expected to be recognized as revenue within the 12 months following the balance sheet date are classified as current liabilities. Deferred revenues not expected to be recognized as revenue within the 12 months following the balance sheet date are classified as long-term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March 31, 2025, we determined an allowance for expected credit losses related to outstanding accounts receivable was currently not required based upon historical collections, contractual payment terms and individual customer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revenue consists primarily of royalties owed to our licensing partner for BRIUMVI sales, third-party manufacturing costs, distribution and overhead. Cost of revenue may also include costs related to excess or obsolete inventory adjustment charges, abnormal costs, unabsorbed manufacturing and overhead costs, and manufacturing variances. All manufacturing costs incurred to produce BRIUMVI prior to the approval of BRIUMVI by the FDA were expensed to research and development and therefore are not reflected in the cost of revenue. Therefore, a portion of costs incurred to produce BRIUMVI that was sold through the middle of the quarter ended March 31, 2025 were previously expensed as research and development and are not reflected in our cost of revenue. Cost as it relates to providing regulatory support and development services to our ex-US commercialization partner Neuraxpharm is included in our cost of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first-in-first-out method (FIFO). We will classify inventory costs as long-term, in other assets in our consolidated balance sheets, when we expect to utilize the inventory beyond our normal operating cycle. Prior to regulatory approval, we expense costs relating to the production of inventory as research and development expense in the period incurred. Following regulatory approval, costs to manufacture those approved products will be capitalized. Inventory that can be used in either the production of clinical or commercial products is expensed as research and development costs when identified for use in clinical trials.</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Prior to the approval of BRIUMVI, all manufacturing and other potential costs related to the commercial launch of BRIUMVI were expensed to research and development expense in the period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equity securities consist of common stock of Precision BioSciences, Inc. (Precision). Equity securities are recognized at their fair value in accordance with ASC 321, Investments – Equity Securities. Forward contracts to purchase equity securities that do not qualify as derivatives under ASC 815 are accounted for in accordance with ASC 321. These forward contracts are recorded at fair value at the balance sheet date. See Note 5 - Fair Value Measures for further details.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net income (loss) per share of our common stock is calculated by dividing net income (loss) applicable to the common stock by the weighted-average number of shares of our common stock outstanding for the period. Diluted net income (loss) per share of common stock includes the effect, if any, from the potential exercise or conversion of securities, such as warrants, stock options, and restricted stock, which would result in the issuance of incremental shares of common stock. The impact of these items is anti-dilutive during periods of net loss. Therefore, as a result of the Company’s net loss in the condensed consolidated statement of operations during the period ended March 31, 2024, basic and diluted net loss per share were the same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During the period ended March 31, 2025, the Company had net income in the condensed consolidated statement of operations and as such presents the dilutive effect of potential common shares in the computation of basic and diluted earnings per share in the table below.</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our potentially dilutive securities at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issuable upon note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r>
      <w:tr>
        <w:trPr>
          <w:trHeight w:val="191"/>
        </w:trPr>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11,439,016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9,898,448</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4,465,216</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4,694,529</w:t>
            </w: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165,214</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312,272</w:t>
            </w:r>
          </w:p>
        </w:tc>
      </w:tr>
      <w:tr>
        <w:trPr>
          <w:trHeight w:val="234"/>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21,973</w:t>
            </w:r>
          </w:p>
        </w:tc>
        <w:tc>
          <w:tcPr>
            <w:tcW w:w="18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21,167</w:t>
            </w:r>
          </w:p>
        </w:tc>
      </w:tr>
      <w:tr>
        <w:trPr>
          <w:trHeight w:val="209"/>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16,091,419</w:t>
            </w:r>
          </w:p>
        </w:tc>
        <w:tc>
          <w:tcPr>
            <w:tcW w:w="1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14,926,416</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520" w:space="480"/>
            <w:col w:w="3240"/>
          </w:cols>
          <w:pgMar w:left="320" w:top="121"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00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146,677,783</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146,209,213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potential common shares</w:t>
            </w:r>
          </w:p>
        </w:tc>
        <w:tc>
          <w:tcPr>
            <w:tcW w:w="16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16,091,419</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162,769,202</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146,209,213</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0.03</w:t>
            </w: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(0.07</w:t>
            </w: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0.03</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(0.07</w:t>
            </w: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that engage in business activities from which it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recognize revenues and incur expenses, and for which discrete financial information is available that is evaluated regularly by the chief operating decision maker (“CODM”) to allocate resources and assess performance.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in one reportable segment, B-cell mediated disease therapy, which includes all activities related to the development and commercialization of novel treatments, including BRIUMVI, to address unmet medical needs and improve the lives of patients. The determination of a single reportable segment is consistent with the consolidated financial information regularly provided to the Company’s chief operating decision maker (CODM), which is its chief executive officer, who reviews and evaluates consolidated net income (loss) for purposes of assessing performance, making operating decisions, allocating resources and planning and forecasting for future periods. The measure of segment assets is reported on the condensed consolidated balance sheet as total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in Note 1 - Organization and Summary of Significant Accounting Policies, revenues are recognized under guidance within ASC 606.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disaggregated revenue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119,655</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Revenue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120,856</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63,474</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our only source of product revenue has been from U.S. sales of BRIUMVI, which we began shipping to our customers in January 2023. As of March 31, 2025, approximately $41.5 million of gross-to-net accruals are included within accounts receivable, net, accounts payable and accrued expenses on the condensed consolidated balance sheets.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gross-to-net accruals of approximately $13.4 million and $28.1 million are included on the condensed consolidated balance sheets within accounts receivable, net, and accounts payable and accrued expenses,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Milestone, Royalty and Other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License, milestone, royalty and other revenue consist of recognition of consideration received under the ex-U.S. commercialization agreement (the Commercialization Agreement) with Neuraxpharm. Refer to Note 9 - License Agreements for a description of the Commercialization Agreement and for further information of the accounting in accordance with ASC 606.</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short-term investments as of March 31, 2025 and December 31, 2024 are classified as held-to-maturity. Held-to-maturity investments are recorded at amortized cost.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short-term investment securities at March 31, 2025 and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Obligations of domestic governmental agencies (maturing between April 2025 and January 2026)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Total short-term investments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144,101</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144,122</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5660" w:space="320"/>
            <w:col w:w="5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 January 2025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131,106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131,170</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2025) (held-to-maturity)</w:t>
            </w:r>
          </w:p>
        </w:tc>
        <w:tc>
          <w:tcPr>
            <w:tcW w:w="12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131,106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131,170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long-term investments as of March 31, 2025 include shares of common stock of Precision. The fair market value of the equity securities as of March 31, 2025 was $1.5 million. For the three months ended March 31, 2025, we recorded an unrealized gain of $0.3 million to other income, based on the change in fair value of Precision’s common stock during the period. See Note 5 - Fair Value Measurements for further details.</w:t>
      </w:r>
    </w:p>
    <w:p>
      <w:pPr>
        <w:sectPr>
          <w:pgSz w:w="11900" w:h="16838" w:orient="portrait"/>
          <w:cols w:equalWidth="0" w:num="1">
            <w:col w:w="11240"/>
          </w:cols>
          <w:pgMar w:left="320" w:top="121" w:right="339" w:bottom="144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inventory as of March 31, 2025 and December 31, 2024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142,923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68,369</w:t>
            </w:r>
          </w:p>
        </w:tc>
        <w:tc>
          <w:tcPr>
            <w:tcW w:w="80" w:type="dxa"/>
            <w:vAlign w:val="bottom"/>
          </w:tcPr>
          <w:p>
            <w:pPr>
              <w:spacing w:after="0"/>
              <w:rPr>
                <w:sz w:val="18"/>
                <w:szCs w:val="18"/>
                <w:color w:val="auto"/>
              </w:rPr>
            </w:pPr>
          </w:p>
        </w:tc>
      </w:tr>
      <w:tr>
        <w:trPr>
          <w:trHeight w:val="23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10,717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13,938</w:t>
            </w:r>
          </w:p>
        </w:tc>
        <w:tc>
          <w:tcPr>
            <w:tcW w:w="80" w:type="dxa"/>
            <w:vAlign w:val="bottom"/>
            <w:shd w:val="clear" w:color="auto" w:fill="CCEEFF"/>
          </w:tcPr>
          <w:p>
            <w:pPr>
              <w:spacing w:after="0"/>
              <w:rPr>
                <w:sz w:val="20"/>
                <w:szCs w:val="20"/>
                <w:color w:val="auto"/>
              </w:rPr>
            </w:pPr>
          </w:p>
        </w:tc>
      </w:tr>
      <w:tr>
        <w:trPr>
          <w:trHeight w:val="216"/>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157,759</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expense when consumed.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2025, all our inventory was solely related to BRIUMVI, which was approved by the FDA on December 28, 2022, at which time we began to capitalize costs to manufacture BRIUMVI. Prior to the FDA approval of BRIUMVI, all costs related to the manufacturing of BRIUMVI and related material were charged to research and development expense in the period incurred.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work in process materials consist primarily of bulk drug substance, which has a multi-year shelf life. When the bulk drug substance is manufactured into BRIUMVI finished goods, those finished goods have a shelf life of three years from the date of manufacture. Our expectation is to sell finished goods at least twelve months prior to expiration. Due to our long manufacturing lead time, it was necessary to build inventory levels to support BRIUMVI forecasted sales, to ensure appropriate safety stock levels, and meet our commitment to supply BRIUMVI to Neuraxpharm related to the Commercialization Agreement. As a result of being in the early stages of the BRIUMVI product launch, the Company is continuing to evaluate the length of its operating cycle.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analyzes our inventory levels for excess quantities and obsolescence (expiration), taking into account factors such as historical and anticipated future sales compared to quantities on hand and the remaining shelf-life. At March 31, 2025, we determined that a reserve related to BRIUMVI inventory for excess quantities and obsolescence is not required. In addition, since FDA approval of BRIUMVI, the Company has not recorded any inventory write downs.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United States and other countries have recently imposed, and may continue to impose, new tariffs. Tariffs are an inventoriable cost, and our sole supplier of bulk drug substance is located outside of the U.S. While the tariffs imposed to date have not resulted in a material impact on our business and the results of operations, we continue to evaluate their impact on our business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quoted prices that are directly or indirectly observable;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and Forward Contract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the Company and its wholly-owned subsidiary, TG Cell Therapy, Inc., (TG Cell) entered into a License Agreement (the Precision License Agreement) with Precision, pursuant to which Precision granted the Company certain exclusive and non-exclusive license rights to develop, manufacture, and commercialize Precision’s allogeneic CAR T therapy, azer-cel, for the treatment of autoimmune and other non-oncology diseases and conditions.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execution of the Precision License Agreement, the Company made an upfront payment to Precision of $7.5 million, consisting of (i) $5.25 million in cash and (ii) $2.25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had a 30-to-1 reverse stock split in February 2024. The shares purchased with the Upfront Precision Stock Payment are classified as an equity investment and are recognized at fair market value as of March 31, 2025.</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7, 2025, the Company made a one-time payment to Precision equal to $2.5 million (the Deferred Precision Stock Payment), as an equity investment, for the purchase of 220,712 shares of Precision common stock calculated by dividing the Deferred Precision Stock Payment by 200% of the weighted average share price of the Precision common stock for the thirty (30) trading days preceding the payment date. The Deferred Precision Stock Payment which was classified as a forward contract liability in Other Current Liabilities as of December 31, 2024 was then reclassed to equity investments at its fair market value of $1.4 million on the date the payment was made to Precision. The shares purchased with the Deferred Precision Stock Payment are classified as an equity investment and are recognized at fair market value as of as of March 31, 2025. The shares purchased with the Upfront Precision Stock Payment and the Deferred Precision Stock Payment are classified as an equity investment and are recognized at fair market value as of March 31, 2025, and are collectively known as (the Precision Shares).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Precision License Agreement also includes a milestone payment upon the achievement of a clinical and regulatory milestone event (Milestone Event 1). Milestone Event 1 requires the Company to make a one-time payment to Precision equal to $2.3 million (the Milestone 1 Precision Stock Payment). Upon receipt of the payment, Precision will issue to the Company shares of Precision common stock (rounded down to the nearest whole share) calculated by dividing the Milestone 1 Precision Stock Payment by 200% of the weighted average share price of the Precision common stock for the thirty</w:t>
      </w:r>
    </w:p>
    <w:p>
      <w:pPr>
        <w:spacing w:after="0" w:line="3" w:lineRule="exact"/>
        <w:rPr>
          <w:sz w:val="20"/>
          <w:szCs w:val="20"/>
          <w:color w:val="auto"/>
        </w:rPr>
      </w:pPr>
    </w:p>
    <w:p>
      <w:pPr>
        <w:jc w:val="both"/>
        <w:ind w:firstLine="8"/>
        <w:spacing w:after="0" w:line="253" w:lineRule="auto"/>
        <w:tabs>
          <w:tab w:leader="none" w:pos="3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preceding the achievement of Milestone Event 1. While Milestone Event 1 has not been achieved to date, it was recorded to research and development License Fees as part of the cost of executing the Precision License Agreement, and is classified as a forward contract liability recognized at its fair market value of $1.3 million in Other Current Liabilities on the Company's consolidated balance sheet as of March 31, 2025, in accordance with ASC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consisting of money market funds, accounts receivable, accounts payable and loan payable. As of March 31, 2025 and December 31, 2024, the fair values of cash and cash equivalents, restricted cash, accounts receivable, and loan and interest payable approximate their carrying value. The carrying value of loan payable on the Company’s balance sheet is estimated to approximate its fair value as the interest rate approximates the market rate for loans with similar terms and risk characteristics.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equity investments classified as Level 1 were valued using their respective closing stock price on the Nasdaq Stock Market. We did not experience any transfers of financial instruments between the fair value hierarchy levels during the three months ended March 31, 2025. Our forward contract liabilities classified as Level 2 were valued using Precision's closing stock price on the Nasdaq Stock Market and our assessment of the probability of achieving Milestone Event 1. Our Level 3 instrument amounts represent the fair value of the 5% Notes and related accrued interest.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the fair value measurements of applicable financial assets and liabilities as of March 31, 2025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11"/>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March 31, 2025</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Stock Payment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Forward Contract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11"/>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December 31,</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Precision Stock Payment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Contract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3,129</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5%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1 assets and Level 2 and Level 3 liabilities is reported in other (income) expense in the accompanying condensed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190,000,000 shares of $0.001 par value common stock.</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no activity on the 2022 ATM during the three months ended March 31, 2025 or 2024. The 2022 WKSI Shelf is currently our only active shelf 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 registration statements in the future to provide us with the flexibility to raise additional capital to finance our operations as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 and Treasury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2024, we announced that our Board of Directors (the Board) had authorized and approved a share repurchase program for up to $100 million of the currently outstanding shares of the Company’s common stock. Under the share repurchase program, we intend to repurchase shares through open market purchases, privately-negotiated transactions, block purchases or other methods in accordance with applicable federal securities laws, including Rule 10b-18 of the Securities Exchange Act of 1934, as amended (the Exchange Act). For the three months ended March 31, 2025, the Company repurchased 199,965 shares of common stock at a cost of $6.1 million. As of March 31, 2025, 567,598 shares of common stock are being held in Treasury, at a cost of approximately $15.1 million, representing the fair market value on the date the shares were surrendered to the Company, mainly as part of our share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(the 2012 Incentive Plan) was approved by stockholders in June 2020. As of March 31, 2025, 3,466,191 shares of restricted stock and 2,197,716 options were outstanding, and no additional shares were available to be issued under the 2012 Incentive Plan.</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TG Therapeutics, Inc. 2022 Incentive Plan (the 2022 Incentive Plan) was approved by stockholders in June 2022 with 17,000,000 shares available to be issued. As of March 31, 2025, 9,472,856 shares of restricted stock and 2,267,500 options were outstanding, and up to an additional 1,705,982 shares were available to be issued under the 2022 Incentive Plan. The 2022 Incentive Plan is currently the Company's only active incentive plan.</w:t>
      </w:r>
    </w:p>
    <w:p>
      <w:pPr>
        <w:spacing w:after="0" w:line="4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was $15.0 million and $9.3 million for the three months ended March 31, 2025 and 2024, respectively. For each of the three months ended March 31, 2025 and 2024, stock-based compensation expense is net of $1.0 million of stock-based compensation expense that was capitalized into inventory.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for restricted stock for the three months ended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Restricted Stock</w:t>
            </w:r>
          </w:p>
        </w:tc>
      </w:tr>
      <w:tr>
        <w:trPr>
          <w:trHeight w:val="201"/>
        </w:trPr>
        <w:tc>
          <w:tcPr>
            <w:tcW w:w="8000" w:type="dxa"/>
            <w:vAlign w:val="bottom"/>
          </w:tcPr>
          <w:p>
            <w:pPr>
              <w:spacing w:after="0"/>
              <w:rPr>
                <w:sz w:val="17"/>
                <w:szCs w:val="17"/>
                <w:color w:val="auto"/>
              </w:rPr>
            </w:pPr>
          </w:p>
        </w:tc>
        <w:tc>
          <w:tcPr>
            <w:tcW w:w="168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7"/>
                <w:szCs w:val="17"/>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11,843,586</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9,639,068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2,547,179</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3,304,468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Exercised or vested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(1,431,666)</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(1,379,543)</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(20,052)</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(165,514)</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outstanding, end of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12,939,047</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11,398,479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Total stock based compensation expense associated with restricted stock grants was $14.6 million and $8.5 million during the three months ended March 31, 2025 and 2024, respectively. As of March 31, 2025 there was approximately $75.1 million of total unrecognized compensation expense related to unvested time-based restricted stock, which is expected to be recognized over a weighted-average period of 3.3 years. This amount does not include, as of March 31, 2025, 1,185,000 shares of restricted stock outstanding which are milestone-based and vest upon certain corporate milestones, and 3,817,678 shares of restricted stock that vest based on market conditions. Milestone-based noncash compensation expense will be measured and recorded if and when a milestone becomes probable. Equity awards with market conditions are valued using advanced option-pricing models, such as a Monte Carlo simulation. The effect of a market condition is reflected in the award’s fair value on the grant date. Stock-based compensation expense for an award that has a market condition is recognized over the requisite service period derived from the award valuation on the grant date, even if the market condition is never satisfied. As of March 31, 2025, there was approximately $22.7 million of total unrecognized compensation expense related to unvested milestone-based restricted stock. As of March 31, 2025, there was approximately $49.7 million of total unrecognized compensation expense related to restricted stock with market conditions, which is expected to be recognized over a weighted-average period of 3.5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for stock options for the three months ended March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gridSpan w:val="4"/>
            <w:vMerge w:val="restart"/>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198"/>
        </w:trPr>
        <w:tc>
          <w:tcPr>
            <w:tcW w:w="8000" w:type="dxa"/>
            <w:vAlign w:val="bottom"/>
          </w:tcPr>
          <w:p>
            <w:pPr>
              <w:spacing w:after="0"/>
              <w:rPr>
                <w:sz w:val="17"/>
                <w:szCs w:val="17"/>
                <w:color w:val="auto"/>
              </w:rPr>
            </w:pPr>
          </w:p>
        </w:tc>
        <w:tc>
          <w:tcPr>
            <w:tcW w:w="32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1680" w:type="dxa"/>
            <w:vAlign w:val="bottom"/>
            <w:tcBorders>
              <w:top w:val="single" w:sz="8" w:color="auto"/>
            </w:tcBorders>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vested and unvested outstanding,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4,470,216</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4,697,029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vested and unvested outstanding, end of 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4,465,216</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4,694,529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stock based compensation expense associated with stock options was approximately $0.4 million and $0.8 million during the three months ended March 31, 2025 and 2024, respectively. As of March 31, 2025, there was approximately $1.5 million of total unrecognized compensation cost related to unvested time-based stock options, which is expected to be recognized over a weighted-average period of 1.3 years. As of March 31, 2025, the stock options outstanding include options granted to both employees and non-employees which are both time-based and milestone-based. Stock-based compensation for milestone-based options will be recorded if and when a milestone becomes probable.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outstanding warrants as of March 31, 2025, are warrants issued to Hercules Capital, Inc. (Hercules) as part of the prior loan agreements to purchase 115,042 and 50,172 shares of our common stock with exercise prices of $17.95 and $14.70, respectively. Please see Note 7 for more information on our loan agreement with Hercules.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LOAN PAYABLE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31, 2023, the Company entered into a First Amendment to the Amended Loan Agreement (the First Amendment) with Hercules. The First Amendment amended the terms of the Amended and Restated Loan and Security Agreement (Amended Loan Agreement) with Hercules that closed on December 30, 2021.</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 2024 (the New Closing Date), the Company entered into a term loan facility of $250 million (the Initial Term Loan) with Blue Owl Capital Corporation, as administrative agent (the Administrative Agent), HealthCare Royalty and Blue Owl Capital under the Financing Agreement (as defined below). The Company repaid all outstanding principal and accrued interest and fees under the First Amendment with Hercules (such repayment, the Refinancing), which Refinancing was funded with the proceeds of the Initial Term Loan. The existing Amended Loan Agreement with Hercules was effectively terminated, and all guarantees and liens granted thereunder were released upon the consummation of the Refinancing.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Initial Term Loan is governed by a financing agreement, dated as of the New Closing Date (the Financing Agreement), which provides for (i) a single draw of the Initial Term Loan on the New Closing Date and (ii) an uncommitted additional facility in an aggregate principal amount of up to $100 million. The Initial Term Loan will mature on August 2, 2029 (the Term Loan Maturity Date). The Initial Term Loan accrues interest at a per annum rate of interest equal to an applicable margin plus, at the Company’s option, either (a) at a base rate determined by reference to the highest of (1) the prime rate published by the Wall Street Journal, (2) the federal funds effective rate plus 0.50% and (3) Term SOFR, plus 1.00% or (b) Term SOFR, which, shall be no less than 1.00%. The applicable margin for borrowings of the Initial Term Loan is determined on a quarterly basis by reference to a pricing grid based on the achievement of US Net Sales (as defined in the Financing Agreement) for the most recently completed four consecutive fiscal quarters of the Company and its Subsidiaries (as defined in the Financing Agreement). The pricing grid commences at 5.50% for SOFR borrowings and 4.50% for base rate borrowings and is subject to a 25 basis point step-down upon achievement of a specified US Net Sales threshold. The Initial Term Loan requires scheduled quarterly amortization payments, commencing with the fiscal quarter ending June 30, 2028, in an amount equal to $12.5 million, with the balance due and payable on the Term Loan Maturity Date; provided that such amortization payments may be deferred to the Term Loan Maturity Date upon the achievement of a Total Net Leverage Ratio (as defined in the Financing Agreement) that is less than or equal to an agreed threshold.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Term Loan is secured by a lien on substantially all of the assets of the Company and certain subsidiaries of the Company as guarantors and contains customary covenants and representations. The events of default under the Financing Agreement are customary for financings of this type. If an event of default occurs, the Administrative Agent is entitled to take enforcement action, including acceleration of amounts due under the Financing Agreement. The Company capitalized third party fees from the Initial Term Loan to debt issuance costs and capitalized the facility fee incurred with the Administrative Agent as part of the Initial Term Loan to debt discount.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incurred total financing and upfront costs of $6.0 million related to the Initial Term Loan which are recorded as debt issuance costs and debt discount costs and as an offset to loan payable on the Company’s consolidated balance sheet. The debt issuance and debt discount costs are being amortized over the term of the debt using the straight-line method, which approximates the effective interest method, and will be included in interest expense in the Company’s consolidated statements of operations. Amortization of debt issuance and debt discount costs was $0.3 million and $0.6 million for the three months ended March 31, 2025 and 2024, respectively. At March 31, 2025, the remaining unamortized balance of debt issuance and discount costs was $5.3 million.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loan payable balance of the Initial Term Loan as of March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The Initial Term</w:t>
            </w: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The Initial Term</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and debt discount costs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principal payments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 payable</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 non-current</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4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In connection with the Office Agreement, we have pledged $1.3 million to secure a line of credit as a security deposit for the Office Agreement, which has been recorded as restricted cash in the accompanying condensed consolidated balance sheets.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2021, we finalized a five-year lease for office space in North Carolina (the NC Lease). We approximate an average annual rental obligation of $0.2 million under the NC Lease. We incurred rental expense of less than $0.1 million for the three months ended March 31, 2025.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present values of our lease liability and corresponding Right-of-Use (ROU) asset are $9.0 million and $6.9 million, respectively, as of March 31, 2025. Our leases have remaining lease terms of two to six years. One lease has a renewal option to extend the lease for an additional term of two years. The following components of lease expense are included in the Company’s condensed consolidated statements of operations for the three months ended March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8000" w:type="dxa"/>
            <w:vAlign w:val="bottom"/>
          </w:tcPr>
          <w:p>
            <w:pPr>
              <w:spacing w:after="0"/>
              <w:rPr>
                <w:sz w:val="16"/>
                <w:szCs w:val="16"/>
                <w:color w:val="auto"/>
              </w:rPr>
            </w:pP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3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0"/>
        </w:trPr>
        <w:tc>
          <w:tcPr>
            <w:tcW w:w="8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 weighted-average remaining operating lease term was 5.4 years and the weighted-average discount rate for operating leases was 10.04%. Cash paid for amounts included in the measurement of operating lease liabilities during the three months ended March 31, 2025 was $0.5 million. The balance sheet classification of lease liabilities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As of March 31, 2025, the maturities of lease liabilities were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After 2030</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2,888</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12,091</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(3,115)</w:t>
            </w:r>
          </w:p>
        </w:tc>
      </w:tr>
      <w:tr>
        <w:trPr>
          <w:trHeight w:val="25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jc w:val="both"/>
        <w:ind w:left="66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(Ublituximab)</w:t>
      </w:r>
    </w:p>
    <w:p>
      <w:pPr>
        <w:spacing w:after="0" w:line="22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From the inception of the LFB License Agreement, we have incurred expenses of approximately $31.0 million related to the achievement of certain milestones of the LFB License Agreement. No further milestone payments remain payable under the LFB License Agreement. ​</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LFB Group is eligible to receive royalty payments on net sales of ublituximab at a royalty rate that escalates from mid-single digits to high-single digits. The license will terminate on a country-by-country basis upon the expiration of the last licensed patent right or fifteen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three months ended March 31, 2025, the Company recorded $12.0 million, related to the worldwide royalty due under the LFB License Agreement in cost of revenue, which amount remains outstanding in accounts payable and accrued expenses as of March 31, 2025.</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fifteen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2025 and 2024. At March 31, 2025 and December 31, 2024, we have deferred revenue of approximately $0.1 million and $0.2 million, respectively, associated with this $2.0 million payment.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Neuraxpharm Commercialization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2023, 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thus, and excluding certain Asian countries subject to previously existing partnerships. Under the terms of the Commercialization Agreement, the Company received a one-time, non-refundable payment of $140.0 million upon contract execution and a $12.5 million milestone payment upon the first key market commercial launch in the EU. The Company is eligible to receive up to an additional $492.5 million in milestone-based payments on achievement of certain launch and commercial milestones. In addition, TG will receive tiered double-digit royalties on net product sales up to 30%. Royalty revenue of $0.6 million and less than $0.1 million was recognized during the three months ended March 31, 2025 and March 31, 2024, respectively. In the event of a change of control of the Company (as defined in the Commercialization Agreement), the Company retains an option to buy back all rights under the Commercialization Agreement for a period of two years thereafter.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the Commercialization Agreement under ASC 606 and concluded that Neuraxpharm represents a customer in the transaction. In accordance with this guidance, the Company identified the following commitments under the arrangement: (i) the exclusive right to develop, sell, offer to sell and import the Product in the Territory (the License); (ii) certain development and regulatory activities (Development and Regulatory Activities).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of BRIUMVI by Neuraxpharm approximates the price that a customer in the Territory would be willing to pay for these goods. The performance obligation related to the Supply of Licensed Product is met when control of the product passes to Neuraxpharm. The consideration received from Neuraxpharm for the supply of BRIUMVI will be recognized by the Company as a component of product revenue, net. As of March 31, 2025, the Company has an unconditional right to receive $0.3 million in consideration from Neuraxpharm related to the performance obligation to supply BRIUMVI, that is recorded as accounts receivable, net. The related performance obligation to supply BRIUMVI has not yet been satisfied, and therefore, as of March 31, 2025, $23.7 million has been recorded as deferred revenue. The Company will reevaluate the consideration received, and performance obligations satisfied, at the end of each reporting period. Such reevaluations may result in a change to the amount of product revenue, net, recognized and deferred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Azer-cel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7, 2024, the Company and its wholly-owned subsidiary, TG Cell Therapy, Inc., entered into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Precision License Agreement, the Company made an upfront payment to Precision of $7.5 million, consisting of (i) $5.25 million in cash and (ii) $2.25 million, as an equity investment, for the purchase of 2,920,816 shares of Precision’s common stock at a price of $0.77 per share. In January 2025, within 12 months of the Precision License Agreement, the Company made a deferred payment of $2.5 million to Precision consisting of an equity investment in Precision’s common stock at a 100% premium to the 30-day volume-weighted average price (the 30-day VWAP) prior to purchase. Upon receipt of such payment, Precision issued to the Company 220,712 shares of Precision common stock. Upon achievement of certain near-term clinical or time-based milestones, the Company will make a $7.5 million payment to Precision, a portion of which will also be an equity investment in Precision’s common stock at a 100% premium to the 30-day VWAP prior to purchase. Precision will be eligible to receive up to $288 million in additional</w:t>
      </w:r>
    </w:p>
    <w:p>
      <w:pPr>
        <w:sectPr>
          <w:pgSz w:w="11900" w:h="16838" w:orient="portrait"/>
          <w:cols w:equalWidth="0" w:num="1">
            <w:col w:w="11240"/>
          </w:cols>
          <w:pgMar w:left="320" w:top="121" w:right="339" w:bottom="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ten years following the first commercial sale of the licensed product in such country. As of March 31, 2025 none of the near-term clinical milestones have been achieved.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MaxCyte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10, 2025, the Company entered into the Strategic Platform License Agreement with MaxCyte, Inc. which granted a non-exclusive, non-transferable license for the Company to use MaxCyte’s cell loading technology (“licensed technology”) to develop and commercialize products for the treatment of autoimmune and other non-oncology diseases and conditions, including azer-cel, which was licensed by the Company from Precision in January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MaxCyte, Inc. is eligible to receive royalty payments on net sales of approved products developed with the licensed technology at a royalty rate in the low-single digits. Upon the achievement of the first dosing of a human subject in a pivotal trial for a product developed with the licensed technology the Company will make a $1.0 million payment to MaxCyte, Inc. MaxCyte, Inc. will also be eligible to receive up to $13 million in additional milestone payments based on the achievement of certain regulatory marketing approvals. The Company is also required to pay an annual licensing fee of approximately $0.2 million for access to the licensed technology.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Strategic Platform License Agreement will expire on the ten-year anniversary if the Company has not achieved at least one of the milestone events prior to that date. The Company will have the option, at its sole discretion, to extend the term of the Strategic Platform License Agreement beyond the initial ten years for successive renewal terms of five years each, as long as all applicable licensing fees and milestone payments have been paid timely and the Company provides MaxCyte, Inc. at least ninety days written notice prior to the expiration of the then-current term.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$0.3 million and $0.6 million for the three months ended March 31, 2025 and 2024, respectively, primarily related to shared personnel. Mr. Weiss, our Chairman and Chief Executive Officer, also serves as a director and Executive Vice Chairman, Strategic Development of FBIO.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8 – Leases for details regarding the Office Agreement with FBIO.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relapsing forms of multiple sclerosis (RMS), to include clinically isolated syndrome, relapsing-remitting disease, and active secondary progressive disease, in adults, as well as approval by the European Commission (EC) and the Medicines and Healthcare Products Regulatory Agency (MHRA) for BRIUMVI to treat adult patients with RMS who have active disease defined by clinical or imaging features. We also actively evaluate complementary products, technologies and companies for in-licensing, partnership, acquisition and/or investment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April 2025.</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Clinical Drug Candidate:</w:t>
            </w:r>
          </w:p>
        </w:tc>
        <w:tc>
          <w:tcPr>
            <w:tcW w:w="4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Target Disease</w:t>
            </w:r>
          </w:p>
        </w:tc>
        <w:tc>
          <w:tcPr>
            <w:tcW w:w="2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Stage/Status of Development</w:t>
            </w:r>
          </w:p>
        </w:tc>
      </w:tr>
      <w:tr>
        <w:trPr>
          <w:trHeight w:val="255"/>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(molecular target)</w:t>
            </w:r>
          </w:p>
        </w:tc>
        <w:tc>
          <w:tcPr>
            <w:tcW w:w="4420" w:type="dxa"/>
            <w:vAlign w:val="bottom"/>
            <w:tcBorders>
              <w:bottom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spacing w:after="0"/>
              <w:rPr>
                <w:sz w:val="22"/>
                <w:szCs w:val="22"/>
                <w:color w:val="auto"/>
              </w:rPr>
            </w:pPr>
          </w:p>
        </w:tc>
      </w:tr>
      <w:tr>
        <w:trPr>
          <w:trHeight w:val="193"/>
        </w:trPr>
        <w:tc>
          <w:tcPr>
            <w:tcW w:w="388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Ublituximab IV (anti-CD20 mAb) </w:t>
            </w:r>
          </w:p>
        </w:tc>
        <w:tc>
          <w:tcPr>
            <w:tcW w:w="44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RMS</w:t>
            </w:r>
          </w:p>
        </w:tc>
        <w:tc>
          <w:tcPr>
            <w:tcW w:w="24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APPROVED</w:t>
            </w: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Ublituximab Subcutaneous (anti-CD20 mAb)</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RMS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w:t>
            </w: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Azer-cel</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Progressive Forms of Multiple Sclerosis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w:t>
            </w:r>
          </w:p>
        </w:tc>
      </w:tr>
      <w:tr>
        <w:trPr>
          <w:trHeight w:val="187"/>
        </w:trPr>
        <w:tc>
          <w:tcPr>
            <w:tcW w:w="38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BRIUMVI (ublituximab-xiiy) Overview</w:t>
            </w:r>
          </w:p>
        </w:tc>
        <w:tc>
          <w:tcPr>
            <w:tcW w:w="442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BRIUMVI is an anti-CD20 monoclonal antibody that can be administered to adults with RMS in a one-hour infusion every 24 weeks, following the starting dose.  BRIUMVI received approval from the FDA primarily based on results from the ULTIMATE I and ULTIMATE II Phase 3 trials. Each trial was an independent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w:t>
      </w:r>
    </w:p>
    <w:p>
      <w:pPr>
        <w:spacing w:after="0" w:line="183" w:lineRule="exact"/>
        <w:rPr>
          <w:sz w:val="20"/>
          <w:szCs w:val="20"/>
          <w:color w:val="auto"/>
        </w:rPr>
      </w:pPr>
    </w:p>
    <w:p>
      <w:pPr>
        <w:jc w:val="both"/>
        <w:ind w:left="940" w:hanging="325"/>
        <w:spacing w:after="0" w:line="255"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p>
      <w:pPr>
        <w:spacing w:after="0" w:line="2"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22, 2022, the full results from the ULTIMATE I &amp; II trials were published in the New England Journal of Medicine.</w:t>
      </w:r>
    </w:p>
    <w:p>
      <w:pPr>
        <w:spacing w:after="0" w:line="9" w:lineRule="exact"/>
        <w:rPr>
          <w:rFonts w:ascii="Times New Roman" w:cs="Times New Roman" w:eastAsia="Times New Roman" w:hAnsi="Times New Roman"/>
          <w:sz w:val="18"/>
          <w:szCs w:val="18"/>
          <w:color w:val="auto"/>
        </w:rPr>
      </w:pPr>
    </w:p>
    <w:p>
      <w:pPr>
        <w:ind w:left="940" w:hanging="325"/>
        <w:spacing w:after="0" w:line="250"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2024, we announced the issuance of three additional patents by the United States Patent and Trademark Office (USPTO) for BRIUMVI, which extended patent protection through 2042.</w:t>
      </w:r>
    </w:p>
    <w:p>
      <w:pPr>
        <w:jc w:val="both"/>
        <w:ind w:left="940" w:hanging="325"/>
        <w:spacing w:after="0" w:line="253"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data sets from the ULTIMATE I &amp; II Phase 3 trials continue to be presented at major medical meetings, including five year long term data which was presented for the first time at the 2024 ECTRIMS meeting in September 2024, and updated data from the ENHANCE Phase 3b trial evaluating RMS patients who switch from an IV anti-CD20 therapy to BRIUMVI and evaluating a shorter infusion time of as low as 30 minutes for BRIUMVI.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Commercialization of BRIUMVI</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28, 2022, we announced the FDA approval of BRIUMVI for the treatment of RMS, to include clinically isolated syndrome, relapsing-remitting disease, and active secondary progressive disease, in adults, primarily based on results from the ULTIMATE I &amp; II Phase 3 trials. On January 26, 2023, we announced the U.S. commercial launch of BRIUMVI, making it available to physicians and patients and the first RMS patient received a BRIUMVI infusion on February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Ex-U.S. Commercialization of BRIUMVI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 2023, we announced that the EC granted approval of BRIUMVI for the treatment of adult patients with RMS who have active disease defined by clinical or imaging features. With this approval, the centralized marketing authorization is valid in all EU member states, Iceland, Norway and Liechtenstein.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 2023, we announced an agreement with Neuraxpharm Pharmaceuticals, S.L. (Neuraxpharm), a leading European specialty pharmaceutical company focused on the treatment of CNS disorders, for the Ex-U.S. commercialization of BRIUMVI (Commercialization Agreement). Under the terms of the Commercialization Agreement, we received an upfront payment of $140 million, and $12.5 million upon launch in the first EU country (February 2024)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U.S., Canada and Mexico, which are retained by TG, and excluding certain Asian countries of which the Company previously partnered. We retain an option to buy back all rights under the Commercialization Agreement for a period of two years in the event of a change in control of TG.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 2023, we announced that we also received approval by the MHRA for BRIUMVI to treat adult patients with RMS with active disease defined by clinical or imaging features in the UK.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26, 2024, we announced the commercial launch of BRIUMVI in the EU by Neuraxpharm, with BRIUMVI made available for commercial sale in Germany, and is now commercially available in several other countries in the European Union, United Kingdom and Switzerland.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Subcutaneous Ublituximab Overview</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2024, we announced the initiation of a Phase 1 clinical trial evaluating subcutaneous ublituximab in patients with RMS. In January 2025, at the Annual J.P. Morgan Healthcare Conference we announced our plans to commence a pivotal program in 2025 evaluating subcutaneous ublituximab with an expected dosing frequency of at least every other month. </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2025, we announced the first patients with myasthenia gravis (MG) have been enrolled in a clinical trial evaluating ublituximab.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Azercabtagene Zapreleucel (azer-cel)</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Azer-cel is an allogeneic (off-the-shelf) CD19-directed CAR T cell therapy under development by the Company for autoimmune diseases. Made from donor-derived T cells modified using a proprietary ARCUS genome editing technology, azer-cel recognizes the well characterized B-cell surface protein CD19, an important and validated target in several B-cell cancers and autoimmune diseases. Azer-cel is designed to avoid graft-versus-host disease (GvHD), a significant complication associated with other donor-derived, cell-based therapies. In August 2024, we announced FDA clearance of the IND for azer-cel for the treatment of progressive forms of 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refer to our Annual Report on Form 10-K for the quarter and year ended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119,655</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50,488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120,856</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63,474</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32,722</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34,581</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before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2,288</w:t>
            </w:r>
          </w:p>
        </w:tc>
      </w:tr>
      <w:tr>
        <w:trPr>
          <w:trHeight w:val="234"/>
        </w:trPr>
        <w:tc>
          <w:tcPr>
            <w:tcW w:w="5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09"/>
        </w:trPr>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60" w:type="dxa"/>
            <w:vAlign w:val="bottom"/>
          </w:tcPr>
          <w:p>
            <w:pPr>
              <w:spacing w:after="0"/>
              <w:rPr>
                <w:sz w:val="18"/>
                <w:szCs w:val="18"/>
                <w:color w:val="auto"/>
              </w:rPr>
            </w:pPr>
          </w:p>
        </w:tc>
      </w:tr>
      <w:tr>
        <w:trPr>
          <w:trHeight w:val="407"/>
        </w:trPr>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(10,678)</w:t>
            </w:r>
          </w:p>
        </w:tc>
      </w:tr>
      <w:tr>
        <w:trPr>
          <w:trHeight w:val="234"/>
        </w:trPr>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6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-1010920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-728345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$119.7 million for the three months ended March 31, 2025, compared to $50.5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2024. Product revenue, net for both the three months ended March 31, 2025 and March 31, 2024 consisted of net product sales of BRIUMVI in the United States. The increase in product revenue, net is a result of greater market penetration.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License, Milestone, Royalty and Other Revenue</w:t>
      </w:r>
      <w:r>
        <w:rPr>
          <w:rFonts w:ascii="Times New Roman" w:cs="Times New Roman" w:eastAsia="Times New Roman" w:hAnsi="Times New Roman"/>
          <w:sz w:val="18"/>
          <w:szCs w:val="18"/>
          <w:color w:val="auto"/>
        </w:rPr>
        <w:t>. License, milestone, royalty and other revenue was $1.2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and $13.0 million for the three months ended March 31, 2024. License, milestone, royalty and other revenue for the three months ended March 31, 2025 is primarily comprised of consideration received for development and regulatory activities performed on behalf of Neuraxpharm in accordance with the Commercialization Agreement (see Note 2 - Revenue for more information). License, milestone, royalty and other revenue for the three months ended March 31, 2024 is predominantly comprised of recognition of the one-time $12.5 million milestone payment under the Commercialization Agreement for the first key market commercial launch of BRIUMVI in the EU.</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for the three months ended March 31, 2025 was $15.5 million compared to approximately $5.4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2024. Cost of revenue for both the three months ended March 31, 2025 and March 31, 2024 consists primarily of royalties owed to our licensing partner for BRIUMVI sales, third-party manufacturing, distribution and overhead costs. A portion of the manufacturing costs of BRIUMVI sold through the middle of the quarter ending March 31, 2025 was expensed as research and development prior to the FDA approval of BRIUMVI and therefore it is not reflected in the cost of revenue. We expect the cost of revenue for BRIUMVI to increase modestly in relation to product revenues now that we have depleted these inventories. As a result, we expect that beginning in the second quarter of 2025 our product gross margin as a percentage of product revenue, net is anticipated to decrease modestly by approximately one to two percentage points.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(Research and Development)</w:t>
      </w:r>
      <w:r>
        <w:rPr>
          <w:rFonts w:ascii="Times New Roman" w:cs="Times New Roman" w:eastAsia="Times New Roman" w:hAnsi="Times New Roman"/>
          <w:sz w:val="18"/>
          <w:szCs w:val="18"/>
          <w:color w:val="auto"/>
        </w:rPr>
        <w:t>. Noncash compensation expense (research and development) related to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grants totaled $3.3 million for the three months ended March 31, 2025, as compared to $2.5 million during the comparable period ended March 31, 2024. The modest increase in noncash compensation expense was primarily due to an increase in headcount and stock price at which equity awards were granted during the three months ended March 31, 2025, as compared to the three months ended March 31,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was $43.0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as compared to $30.3 million during the three months ended March 31, 2024. The increase in research and development expense during the three months ended March 31, 2025 was primarily due to an increase in manufacturing expense in connection with our ublituximab subcutaneous development work during the period ended March 31, 2025.</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(Selling, General and Administrative)</w:t>
      </w:r>
      <w:r>
        <w:rPr>
          <w:rFonts w:ascii="Times New Roman" w:cs="Times New Roman" w:eastAsia="Times New Roman" w:hAnsi="Times New Roman"/>
          <w:sz w:val="18"/>
          <w:szCs w:val="18"/>
          <w:color w:val="auto"/>
        </w:rPr>
        <w:t>. Noncash compensation expense (selling,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equity incentive grants totaled $11.7 million for the three months ended March 31, 2025, as compared to $6.9 million during the comparable period ended March 31, 2024. The increase in noncash compensation expense was primarily due to greater recognition of noncash compensation expense for market based awards during the three months ended March 31, 2025.</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r>
        <w:rPr>
          <w:rFonts w:ascii="Times New Roman" w:cs="Times New Roman" w:eastAsia="Times New Roman" w:hAnsi="Times New Roman"/>
          <w:sz w:val="18"/>
          <w:szCs w:val="18"/>
          <w:color w:val="auto"/>
        </w:rPr>
        <w:t>. Other selling, general and administrative expenses totaled $38.7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2025, as compared to $27.7 million during the comparable period ended March 31, 2024. The increase was primarily due to other selling, general and administrative costs, including personnel, consultants, and third parties associated with the commercialization of BRIUMVI during the three months ended March 31, 2025.</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totaled $6.8 million for the three months ended March 31, 2025, as compared to $2.3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2024. The increase is mainly due to increased interest expense pertaining to the Initial Term Loan with Blue Owl during the period ended March 31, 2025 (see Note 7 - Loan Payable for more information).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totaled $3.6 million for the three months ended March 31, 2025, as compared to $0.9 million during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ended March 31, 2024. The increase is mainly due to higher interest income received from our investments during the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recently began generating net income, we have incurred significant operating losses since our inception. BRIUMVI first became commercially available in the United States in January of 2023, and ex-US through our partner Neuraxpharm, in November 2023. Even with the commercialization of BRIUMVI and the possible future commercialization of our other drug candidates, we may not realize continued profitability. During the three months ended March 31, 2025, we generated $119.7 million in product revenue from product sales of BRIUMVI. Historically, substantially all our operating losses have resulted from costs incurred in connection with our research and development programs and from selling, general and administrative costs associated with our operations, including our commercialization activities to date. Our future operating results, profitability and other financial results may fluctuate from period to period, and we will need to generate significant revenues to maintain profitability and/or positive cash flow on a sustained basis. As of March 31, 2025, we have an accumulated deficit of approximately $1.5 billion.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we had $276.2 million in cash and cash equivalents, and short-term investment securities. We anticipate that our cash, cash equivalents, and investment securities, combined with projected revenues from BRIUMVI in the U.S. and ex-U.S., will provide sufficient liquidity for more than a twelve-month period from the date of filing this Quarterly Report on Form 10-Q. The actual amount of cash that we will need to operate is subject to many factors, including, but not limited to, our commercialization efforts for BRIUMVI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(28,715)</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(12,934)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(6,102)</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2025 was $28.7 million as compared to cash used in operating activities of $8.2 million for the three months ended March 31, 2024. The increase in net cash used in operating activities was due to an increase in accounts receivable during the three months ended March 31, 2025, and an increase in cash used for inventory purchases during the same period, partially offset by lower operating expenditures.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$12.9 million as compared to $9.3 million used in investing activities for the three months ended March 31, 2024. The increase in net cash used in investing activities was primarily due to increased investment in short-term securities during the three months ended March 31,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was approximately $6.1 million as compared to net cash provided by financing activities of approximately zero for the three months ended March 31, 2024. The increase in net cash used in financing activities during the three months ended March 31, 2025 is mainly due to the repurchase of stock under our share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Annual Report on Form 10-K for the year ended December 31, 2024, and refer to Note 1 - Organization and Summary of Significant Accounting Policies in this Quarterly Report on Form 10-Q for significant accounting policies due to commercialization for revenue recognition, gross-to-net sales adjustments, accounts receivable, inventory, and cost of revenue. Of these policies, the following are considered critical to an understanding of our condensed consolidated financial statements as they require the application of the most difficult, subjective and complex judgments: revenue recognition and stock-based compensation expenses. Refer to Note 2 – Revenue and Note 6 – Stockholders’ Equity respectively, in this Quarterly Report on Form 10-Q for more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our disclosure in Item 7A, “Quantitative and Qualitative Disclosures About Market Risk”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2025, our disclosure controls and procedures were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2025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the other information contained elsewhere in this Quarterly Report on Form 10-Q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Investors should also refer to the other information contained or incorporated by reference in this Quarterly Report on Form 10-Q, including our financial statements and related notes, and our other filings from time to time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one marketed product, BRIUMVI, which received approval from the FDA on December 28, 2022, for the treatment of relapsing forms of multiple sclerosis (RMS), to include clinically isolated syndrome, relapsing-remitting disease, and active secondary progressive disease, in adults. Additionally, BRIUMVI received approval from the European Commission (EC) on June 1, 2023, and later in 2023, from the Medicines and Healthcare products Regulatory Agency (MHRA) for the treatment of adult patients with RMS who have active disease defined by clinical or imaging features in the EU and UK, respectively.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and operating expenses projections or guidance and may not become profitable. The degree of market acceptance of BRIUMVI, as well as any future product candidates for which we may receive marketing approval, will depend on a number of factors, including:</w:t>
      </w:r>
    </w:p>
    <w:p>
      <w:pPr>
        <w:spacing w:after="0" w:line="18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marketing approvals, the terms of such approvals, and the countries in which such approvals are obtained;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as demonstrated in clinical trials and as compared to alternative treatments;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BRIUMVI and any of our product candidates, as well as competitive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products are approved, and other aspects of the approved labeling for such products;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advanced practitioners, major operators of neurology clinics, and patients of our products as safe, tolerable and effective treatments;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or disadvantages of our products compared to alternative treatments;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by third-party payors and government authorities;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patient cost-sharing obligations, including copays and deductibles;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our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as well as those of any current or future partners;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or unfavorable publicity relating to our products or relating to the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global health concerns could impact commercialization of BRIUMVI. Patients and healthcare providers have raised concerns that immunosuppressive products like anti-CD20 antibodies and other B-cell targeted agents may increase the risk of acquiring viruses or lead to more severe complications or outcomes upon infection, including death. These or other similar concerns may impact the commercial potential for BRIUMVI and other immunosuppressive products that we have in development.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Regulatory approvals for our product or any of our product candidates may be subject to conditions and limitations on the approved indicated uses for which the product may be marketed or contain requirements or commitments for potentially costly post-marketing testing, including Phase 4 clinical trials, and surveillance and pharmacovigilance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including but not limited to, the EMA in the EU and the MHRA in the UK.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 On September 18, 2024, we announced updated and long-term data from the Open-Label Extension of our ULTIMATE I &amp; II Phase 3 studies demonstrating a consistent safety profile, but the ultimate outcome of these and other studies remains uncertain.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BRIUMVI or any future approved products are used more widely or for a longer duration after being brought to market, data may emerge from clinical studies, including confirmatory or other post-marketing studies, or from adverse event reporting or pharmacovigilance,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other products or product candidates within the RMS space following introduction into the market, a number of potentially significant negative consequences could result, including:</w:t>
      </w:r>
    </w:p>
    <w:p>
      <w:pPr>
        <w:spacing w:after="0" w:line="18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or limit the approved indications for use of such products;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or to conduct additional clinical trials;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maintaining regulatory approval and achieving or maintaining market acceptance of the affected product and/ or other products or could substantially increase the costs and expenses of commercializing the affected product and/or other products, which in turn could significantly impact our ability to successfully commercialize our drug candidates and generate revenues.</w:t>
      </w:r>
    </w:p>
    <w:p>
      <w:pPr>
        <w:spacing w:after="0" w:line="17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BRIUMVI and our product candidates, including azer-cel in non-oncology indications,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affected may turn out to be lower than expected.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within the neurological and immunological fields,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(such as the Lanham Act) and congruous state law, which protect businesses against the unfair competition of misleading advertising or labeling.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However, some third-party payors may nevertheless still require documented proof that patients meet certain eligibility criteria in order to be reimbursed for BRIUMVI.</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revenue.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Commercialization of pharmaceutical products is an extremely complex and highly capital and resource-intensive process. Even for established companies with existing infrastructure and significantly greater resources than we have, challenges have occurred.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made and continue to make significant investments in our commercial organization and infrastructure. We have developed and expanded our processes and systems to support the ongoing commercialization of BRIUMVI following its commercial launch in the U.S. on January 26, 2023. There are risks involved with developing and expanding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factors that may inhibit our efforts to support the ongoing commercialization of BRIUMVI and our other product candidates on our own, or through partnership, and generate product revenues include:</w:t>
      </w:r>
    </w:p>
    <w:p>
      <w:pPr>
        <w:spacing w:after="0" w:line="162"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commercialization personnel on the applicable disease states, products, competitors, and legal and regulatory compliance matters;</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commercialization personnel to obtain access to physicians or to effectively promote or provide education about BRIUMVI and any future approved products;</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the Company, which may put us at a competitive disadvantage relative to companies with more extensive product lines;</w:t>
      </w:r>
    </w:p>
    <w:p>
      <w:pPr>
        <w:ind w:left="660" w:right="2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payors to deny reimbursement of or delay coverage decisions regarding BRIUMVI or following approval of any product candidates;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 healthcare compliance program including effective mechanisms for compliance monitoring;</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and maintain commercial partnerships outside the U.S.;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inability of a third party with whom we have partnered, to maintain the necessary regulatory approvals required to operate in markets outside of the U.S.;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availability for commercial sale following approval and continued product supply; and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commercialization organization.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entered into a Commercialization Agreement, and may enter into additional agreements in the future, that facilitate commercialization of BRIUMVI and/or future products that receive approval in markets outside the U.S. through partnerships. On February 26, 2024, BRIUMVI was first made available in the European market by Neuraxpharm in Germany and is now commercially available in several other countries in the European Union and the United Kingdom.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commercialize;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including the risk that any individuals who may face such related litigation may in turn seek to recover from us;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or product candidates that we may develop.</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Insurance coverage is increasingly expensive and difficult to obtain and maintain. We may not be able to maintain insurance coverage at a reasonable cost or in an amount adequate to satisfy any liability that may arise.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contracts that we enter into with government entities may involve future funding and compliance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addition, the future volume of products or services purchased by a government customer is often uncertain. Any of our government contracts might not be renewed or might be terminated for convenience with little prior notice. Contracts with government entities are typically subject to procurement laws that include socio-economic impacts, employment practices, environmental protection, recordkeeping and accounting obligations, and other requirements. These contractual and legal requirements could complicate our business and increase our compliance burden. The occurrence of any of these risks could harm our reputation and might have a materially adverse impact on our business operations, financial position and/or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we may incur losses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(withdrawn from sale) and launching and commercializing BRIUMVI. We are transitioning from a company with a research and development focus and commercialization capabilities in oncology to a company capable of supporting commercial activities in the U.S. and outside the U.S. This transition involves a wide variety of risks, and we may not be successful in such transition.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inception, we have focused our efforts and financial resources on clinical trials, manufacturing of our products and product candidates, establishing a commercial infrastructure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BRIUMVI is currently our only marketed product. We expect to continue to incur significant research and development expenses, as well as significant commercialization and outsourced manufacturing expenses as we continue to commercialize BRIUMVI. Because of the numerous risks and uncertainties associated with developing and commercializing pharmaceutical products, we are unable to predict the extent of any future losses, or for how long we may continue to experience a net profit. We may not be able to sustain or increase our profitability on a quarterly or annual basis. Our ability to become profitable depends upon our ability to generate substantial revenue. Our prior losses have had and will continue to have an adverse effect on our stockholders’ deficit and working capital should we be unable to maintain profitability in future periods.</w:t>
      </w:r>
    </w:p>
    <w:p>
      <w:pPr>
        <w:spacing w:after="0" w:line="19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our products or product candidates, and continue to successfully commercialize BRIUMVI. It is uncertain when and if we will generate or continue to generate any significant revenue from the sale of our product or any product candidates, if approved, in the future. Furthermore, no assurance can be given that we will meet revenue and operating expenses projections or guidance with respect to BRIUMVI or our product candidates, if approved. To obtain significant and sustained revenues and meet our revenue and operating expenses projections or guidance, we must succeed, either alone or with others, in (i) obtaining and maintaining regulatory approval for our products and product candidates; and (ii) manufacturing, marketing and selling our product and product candidates. Our ability to generate sustained revenue depends on a number of factors, including, but not limited to, our ability to:</w:t>
      </w:r>
    </w:p>
    <w:p>
      <w:pPr>
        <w:spacing w:after="0" w:line="18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and non-clinical studies required to obtain U.S. and foreign marketing approval for our product and product candidates;</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and foreign equivalents to market and sell our product and product candidates, and maintain FDA, MHRA and EMA approvals of BRIUMVI for RMS;</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commercial manufacturing capabilities with third parties that are satisfactory to the regulatory authorities, cost effective, and that are capable of providing commercial supply of our product and product candidates;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on our commercialization infrastructure to commercialize BRIUMVI, and/or entering into collaborations with third parties;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develop, maintain, protect, and defend our intellectual property portfolio; and</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BRIUMVI and any other products for which we may receive regulatory approval in the medical community and with third-party payors.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and sustained revenues, we will not become or remain profitable and we will be unable to continue our operations without continued funding.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also continuing to generate additional clinical data for BRIUMVI to support and potentially expand commercial adoption, including assessing long-term tolerability in our Open-Label Extension of the Phase 3 ULTIMATE I and II trials and Phase 4 clinical studies necessary to satisfy post-approval commitments for regulatory authorities or those undertaken voluntarily by the Company to evaluate the use of BRIUMVI in alternate settings or with alternate methods of administration. Moreover, we expect to continue to incur significant research and development expenses, as well as significant commercialization and outsourced manufacturing expenses as we continue to commercialize BRIUMVI and continue to advance our clinical trials to improve our self-administered BRIUMVI product, optimize intravenous BRIUMVI for patients with RMS, and evaluate BRIUMVI in other autoimmune diseases and azer-cel for the treatment of primary progressive 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ongoing commercialization of BRIUMVI and any other products for which we receive regulatory approval;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and product candidate;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distribution, and other commercialization capabilities;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significant additional funding may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our term loan facility of $250 million pursuant to the financing agreement, dated August 2, 2024, that we entered into with Blue Owl Capital Corporation, as administrative agent, HealthCare Royalty and Blue Owl Capital (the Financing Agreement)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 Loan Payable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2, 2024, the Company entered into a term loan facility of $250 million (the Initial Term Loan) with Blue Owl Capital Corporation, as administrative agent, HealthCare Royalty and Blue Owl Capital. The Initial Term Loan is governed by the Financing Agreement, which provides for (i) a single draw of the Initial Term Loan on the Closing Date and (ii) an uncommitted additional facility in an aggregate principal amount of $100 million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 Loan Payable to our consolidated financial statements for more information).</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obligations under the Financing Agreement are secured by a lien on substantially all of assets of the Company and certain of our subsidiaries as guarantors.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 including in the ways described below:</w:t>
      </w:r>
    </w:p>
    <w:p>
      <w:pPr>
        <w:spacing w:after="0" w:line="225" w:lineRule="exact"/>
        <w:rPr>
          <w:sz w:val="20"/>
          <w:szCs w:val="20"/>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660" w:hanging="328"/>
        <w:spacing w:after="0" w:line="25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Financing Agreement could result in an event of default that, if not cured or waived, would accelerate our obligation to repay this indebtedness, and the creditors under the Financing Agreement could seek to enforce its security interest in the assets securing such indebtedness.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Financing Agreement, or the breach of any of its covenants, subject to specified cure periods with respect to certain breaches, could result in an event of default and, as a result, Blue Owl Capital and HealthCare Royalty could accelerate all the amounts due. In the event of an acceleration of amounts due under the Financing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Blue Owl Capital Corporation could also exercise its rights as the Administrative Agent to take possession and dispose of the collateral securing the term loan for its benefit, which collateral includes substantially all of our assets and certain of our subsidiaries as guarantors. Our business, financial condition and results of operations could be materially adversely affected as a result of any of these events.</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the Financing Agreement imposes operating and other restrictions on the Company. Such restrictions will affect, and in many respects limit or prohibit, our ability and the ability of any future subsidiary to, among other things (subject to the exceptions provided for in the Financing Agreement):</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joint ventures or consolidations;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breach of any of these restrictive covenants could have a material adverse effect on our business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FDIC insurance limit. Any failure of such depository institution to return any of our deposits upon a liquidation of such institution, or any other adverse conditions in the financial or credit markets affecting depository institutions, could impact access to our invested cash or cash equivalents and could adversely impact our operating liquidity and financial performance.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obtain regulatory approval for our product and product candidates and ultimately cannot successfully commercialize our product or product candidates, or experience significant delays in doing so, our business will be materially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spacing w:after="0" w:line="180" w:lineRule="exact"/>
        <w:rPr>
          <w:sz w:val="20"/>
          <w:szCs w:val="20"/>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660" w:right="2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Applications (INDs) and clinical trial applications (CTAs), being cleared/issued/approved such that our product candidates can commence clinical trials;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and successful initiation of, enrollment in, and completion of clinical trials;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product candidates;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commercially viable arrangements with third-party manufacturers for clinical supply and commercial manufacturing;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data from our clinical trials that we announce or publish may change, or the perceived product profile may be negatively impacted, as more patient data or additional endpoints (including efficacy and safety) are analyzed.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or pivotal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such as later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 or that even with such replication marketing approval will be granted.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 New Drug Application (NDA) or a Biologics License Application (BLA) to the FDA and a Marketing Authorization Application (MAA) to the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or not, and if so,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that could delay or prevent our ability to complete current clinical trials, initiate new trials, receive marketing approval or commercialize our product candidates, including:</w:t>
      </w:r>
    </w:p>
    <w:p>
      <w:pPr>
        <w:spacing w:after="0" w:line="189" w:lineRule="exact"/>
        <w:rPr>
          <w:sz w:val="20"/>
          <w:szCs w:val="20"/>
          <w:color w:val="auto"/>
        </w:rPr>
      </w:pPr>
    </w:p>
    <w:p>
      <w:pPr>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jc w:val="both"/>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or institutional review boards (IRBs) or Data Safety Monitoring Boards (DSMBs) or ethics committees (ECs) may not authorize us or our investigators to commence or continue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regulatory authorities or IRBs, DSMBs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shifts in the regulatory focus of the U.S. government as a reflection of changing administrations;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international conflicts in Russia and Ukraine and the Middle East, economic instability, or natural disasters;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applicable to our product candidates, or such requirements may not be as we anticipate; and</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regulatory authorities, IRBs, DSMBs or ECs to suspend or terminate the trials, or reports may arise from preclinical or clinical testing of other therapies in the same or a similar class that raise safety or efficacy concerns about our product candidates.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clinical hold, suspension or termination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failure to demonstrate a benefit from using a drug, changes in governmental regulations or administrative actions or lack of adequate funding to continue the clinical trial. In addition to the FDA, the IRB and/or the DSMB for our clinical trials may recommend modification to the study design or closure of the study entirely based on the IRB's and/or DSMB’s interpretation of the benefit-risk of the study. While we develop charters that guide the nature of the IRB and DSMB meetings, their analysis and interpretation of study data occurs independently from us and is wholly within their control. Even if the IRB or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others;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 post-marketing commitments;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carry unique risks and uncertainties, which could have a negative impact on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Unexpected or undesirable adverse events caused by BRIUMVI or any of our product candidates that we take into clinical trials could cause either a DSMB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new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and foreign regulatory authorities exercise extensive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reasons that the FDA or regulatory authorities around the world may delay, limit or deny approval of a product candidate, include:</w:t>
      </w:r>
    </w:p>
    <w:p>
      <w:pPr>
        <w:spacing w:after="0" w:line="225" w:lineRule="exact"/>
        <w:rPr>
          <w:sz w:val="20"/>
          <w:szCs w:val="20"/>
          <w:color w:val="auto"/>
        </w:rPr>
      </w:pPr>
    </w:p>
    <w:p>
      <w:pPr>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tolerable and effective for an indication;</w:t>
      </w:r>
    </w:p>
    <w:p>
      <w:pPr>
        <w:ind w:left="660" w:right="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or the patient population, is potentially different from that of the United States;</w:t>
      </w: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and/or clinical trials;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660" w:right="2220" w:hanging="328"/>
        <w:spacing w:after="0" w:line="265"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identify issues related to the manufacturing processes or facilities of third-party manufacturers with which we or our collaborators currently contract for clinical supplies and</w:t>
      </w:r>
    </w:p>
    <w:p>
      <w:pPr>
        <w:jc w:val="both"/>
        <w:ind w:left="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foreign regulatory authorities;</w:t>
      </w:r>
    </w:p>
    <w:p>
      <w:pPr>
        <w:spacing w:after="0" w:line="1" w:lineRule="exact"/>
        <w:rPr>
          <w:rFonts w:ascii="Times New Roman" w:cs="Times New Roman" w:eastAsia="Times New Roman" w:hAnsi="Times New Roman"/>
          <w:sz w:val="17"/>
          <w:szCs w:val="17"/>
          <w:color w:val="auto"/>
        </w:rPr>
      </w:pP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processes of the FDA or comparable foreign regulatory authorities may significantly change in a manner rendering our clinical data insufficient for approval; or</w:t>
      </w:r>
    </w:p>
    <w:p>
      <w:pPr>
        <w:jc w:val="both"/>
        <w:ind w:left="660" w:hanging="328"/>
        <w:spacing w:after="0" w:line="25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and foreign regulatory authorities as a result of global health crises, inadequate government funding, political conditions or economic crises, international conflict, or natural disasters may negatively impact review, inspection, and approval timelines.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we succeed in obtaining regulatory approval for a product candidate, the FDA may require, or we may commit to,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focusing the majority of our efforts on maintaining approval, improving and commercializing BRIUMVI and developing azer-cel for particular indications. As a result, we may fail to capitalize on other indications or product candidates that may ultimately have proven to be more profitable.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currently focusing the majority of our resources and efforts on maintaining approval, improving and commercializing BRIUMVI and developing azer-cel for particular indications. As a result, we may forego or delay the pursuit of opportunities for other indications or with other product candidates that may have greater commercial potential. Our resource allocation decisions may cause us to fail to capitalize on viable commercial drugs or profitable market opportunities. If we do not accurately evaluate the commercial potential or target markets for BRIUMVI and azer-cel, we may relinquish valuable rights to our product candidates or programs through collaboration, licensing or other strategic arrangements in cases in which it would have been more advantageous for us to retain sole development and commercialization rights to such product candidate(s) or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Breakthrough Therapy or Fast Track designation by the FDA may not actually lead to a faster development or regulatory review or approval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and anticipate conducting additional clinical trials for our product and product candidates at sites outside the United States, and trials conducted in such locations or clinical trial activities in such locations may be impacted by political conditions, including international conflict.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challenges,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clinical studies with sites outside the United States may be adversely impacted by international conflict. The conflict in Russia and Ukraine and its impact on neighboring countries (e.g. Poland, Slovakia, Belarus, Georgia) may adversely affect clinical trial sites for our programs. While no clinical trials are currently enrolling patients in Russia or Ukraine,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certain Russian financial institutions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currently do not believe this conflict will have a material impact on product development or our overall business, given the evolving situation and the related geopolitical and economic uncertainties, the full impact of the conflict remains uncertain.</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respective jurisdictions.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conducting, and may continue to conduct, clinical trials globally. The acceptance of study data by the FDA, EMA or other comparable foreign regulatory authorities from clinical trials conducted outside of their respective jurisdictions may be subject to certain conditions, which may include conditions related to the applicability and verifiability of the data and cooperation with foreign regulatory agencies. In cases where data from United States clinical trials are intended to serve as the basis for marketing approval in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may result in our product candidates not receiving approval or clearance for commercialization in the applicable jurisdiction.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one of our product candidates in the United States would not assure approval of that candidate in foreign jurisdictions.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possible and commercially practicable, we plan to develop back-up strategies for raw materials and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the next several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All of these occurrences would be beyond our control.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Contract manufacturers are subject to ongoing periodic and unannounced inspections by the FDA, the Drug Enforcement Administration,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Regulation of Pharmaceutical Industry and Legal Compliance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the President, federal and state legislatures, health agencies and third-party payors continue to focus on containing the cost of healthcare and addressing public concern over access and affordability of prescription drugs. The Affordable Care Act, made significant changes to the U.S. healthcare system, which included expanding healthcare coverage through Medicaid and implementation of the individual health insurance mandate; changing coverage and reimbursement of drug products under Medicare, Medicaid and 340B government programs; imposing an annual fee on manufacturers of branded drugs; and expanding government enforcement authority. The ACA has been the subject of legislative and litigation challenges. We cannot predict whether the new U.S. administration would impose any further changes to the ACA and what effect, if any, such changes to the ACA would have on our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uncertain of the impact or outcome of potential Executive Orders, rescission of rules and policy statements, or new legislation that the new U.S. administration may impose, especially with regards to the healthcare regulatory and policy landscape, or the impact they may have on our business. In April 2025, the U.S. administration imposed increased tariffs on all countries and individualized higher tariffs on certain countries, most notably China, for which other countries responded by announcing retaliatory tariffs on U.S. imports. The tariff increases have significantly disrupted the global markets and may significantly escalate geopolitical tensions between the U.S. and other countries, especially China. Further, in April 2025,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The extent of the impact of such tariffs and proposed regulations on our business specifically, or on the U.S. market and global economy generally, are uncertain and unpredictable, and could adversely affect our business, financial condition and results of operations. Further,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have been several recent U.S. Congressional inquiries and proposed and enacted legislation designed to bring more transparency to drug pricing, reduce the cost of prescription drugs and reform government health care program reimbursement methodologies for prescription drugs. In September 2024, CMS issued a final rule titled “Medicaid Program; Misclassification of Drugs, Program Integrity Updates Under the Medicaid Drug Rebate Program” which may impact our reimbursement and rebate strategy. We expect that healthcare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continue to be efforts to lower drug prices through increased competition, with policy proposals seeking to facilitate generic and biosimilar approval and marketing authorization. For example, the FDA’s Biosimilar Action Plan and current Biosimilar User Fee Amendments provide a detailed account of the agency’s strategic priorities to improve the efficiency of the biosimilar and interchangeable product development and approval process and support robust competition. In the event there is a modification to the biologic exclusivity period, other applicable regulatory exclusivity periods or other steps taken to facilitate biosimilar approvals, we could experience competition to any products for which we receive FDA approval at an earlier time than currently anticipated.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IRA included, among other provisions, several measures intended to lower the cost of prescription drugs and related healthcare reforms. Among other things, the IRA requires manufacturers of certain drugs to engage in price negotiations with Medicare beginning in 2026, imposes rebates under Medicare Part B and Medicare Part D to penalize price increases that outpace inflation, and replaces the Part D coverage gap discount program with a new discounting program beginning in 2025. In April 2025, an executive order was issued announcing the current U.S. administration’s plans to lower prescription drug prices by improving the Medicare Drug Pricing Negotiation Program, standardizing payments for certain prescription drugs and increasing the availability of generics and biosimilars. The details of such proposed policies are unclear and the final terms and impact remain uncertain.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Individual states are experiencing significant economic pressure within their respective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Prescription Drug Affordability Boards, some with the ability to impose price controls on state drug purchases, and imposing transparency measures around prescription drug prices and marketing costs. These measures, which vary by state, could reduce the ultimate demand for our products, if approved, or put pressure on our product net pricing.</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Pricing Program, recent legislative proposals, as well as judicial challenges to DHHS’s policies, present both opportunities and challenges for drug manufacturers participating in the program. Further,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It is not possible at this time to determine whether changes in the administration may change the regulatory focus and/or implementation of any regulations, policies or reforms.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For example, in April 2025, significant workforce reductions occurred at several U.S. health agencies, including the FDA, the Department of Health and Human Services (the “HHS”), the Centers for Disease Control and Prevention and the National Institutes of Health, which is expected to impact the FDA’s ability to review and approve new medicines and conduct necessary inspections. The HHS has also proposed a potential major reorganization of the FDA by consolidating product centers for drugs, biologics, devices, tobacco and veterinary medicine, which regulates different product types under distinct rules and regulations and operates under different review processes and timelines for product approval. In addition, government funding of the FDA,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extend the time necessary for new drugs to be reviewed and/or approved by necessary government agencies, which would adversely affect our business. For example, over the last several years, the U.S. government shut down several times and certain regulatory agencies, such as the FDA and the SEC, had to furlough critical employees and stop critical activities. If a prolonged government shutdown occurs, it could significantly impact the ability of the FDA to review and process our regulatory submissions in a timely matter, which could have a material adverse effect on our business. Further, future government shutdowns could impact our ability to access the public markets and obtain necessary capital in order to properly capitalize and continue our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the FDA, EMA and MHRA approval of BRIUMVI,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89" w:lineRule="exact"/>
        <w:rPr>
          <w:sz w:val="20"/>
          <w:szCs w:val="20"/>
          <w:color w:val="auto"/>
        </w:rPr>
      </w:pPr>
    </w:p>
    <w:p>
      <w:pPr>
        <w:jc w:val="both"/>
        <w:ind w:left="660" w:hanging="328"/>
        <w:spacing w:after="0" w:line="25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This law applies to our marketing practices, educational programs, pricing policies and relationships with healthcare providers. We continue to evaluate what effect, if any, these rules will have on our business;</w:t>
      </w:r>
    </w:p>
    <w:p>
      <w:pPr>
        <w:spacing w:after="0" w:line="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and services resulting from a violation of the federal Anti-Kickback Statute or the Federal Food, Drug, and Cosmetic Act (FDCA) constitutes a false or fraudulent claim for purposes of the False Claims Act;</w:t>
      </w:r>
    </w:p>
    <w:p>
      <w:pPr>
        <w:spacing w:after="0" w:line="3" w:lineRule="exact"/>
        <w:rPr>
          <w:rFonts w:ascii="Times New Roman" w:cs="Times New Roman" w:eastAsia="Times New Roman" w:hAnsi="Times New Roman"/>
          <w:sz w:val="18"/>
          <w:szCs w:val="18"/>
          <w:color w:val="auto"/>
        </w:rPr>
      </w:pPr>
    </w:p>
    <w:p>
      <w:pPr>
        <w:ind w:left="660" w:right="240" w:hanging="328"/>
        <w:spacing w:after="0" w:line="25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its implementing regulations, has fraud provisions that impose criminal and civil liability for knowingly and willingly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under section 6002 of the Affordable Care Act requires manufacturers of drugs, devices, biologics and</w:t>
      </w:r>
    </w:p>
    <w:p>
      <w:pPr>
        <w:spacing w:after="0" w:line="2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 CMS has the potential to impose penalties for violations of the Physician Payments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p>
      <w:pPr>
        <w:spacing w:after="0" w:line="2" w:lineRule="exact"/>
        <w:rPr>
          <w:sz w:val="20"/>
          <w:szCs w:val="20"/>
          <w:color w:val="auto"/>
        </w:rPr>
      </w:pP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other amendments,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created new tiers of civil monetary penalties, made civil and criminal penalties directly applicable to business associates, and gave state attorneys authority to file civil actions for damages or injunctions in federal courts to enforce HIPAA laws and seek attorneys’ fees and costs;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 range of federal and state consumer protection and unfair competition laws, which broadly regulate marketplace activities and activities that potentially harm consumers including those related to privacy;</w:t>
      </w:r>
    </w:p>
    <w:p>
      <w:pPr>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and its implementing regulations, which among other things, strictly regulate drug product marketing and prohibit manufacturers from promotion and marketing of products prior to approval or for uses inconsistent with the FDA-required labeling;</w:t>
      </w: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Supply Chain Security Act (DSCSA), which imposes obligations on entities in the commercial product supply chain, including manufacturers, to identify and track prescription drugs as they are distributed in the U.S.; and</w:t>
      </w:r>
    </w:p>
    <w:p>
      <w:pPr>
        <w:jc w:val="both"/>
        <w:ind w:left="660" w:hanging="328"/>
        <w:spacing w:after="0" w:line="253"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marketing restrictions and state laws governing the privacy and security of health information in certain circumstances, many of which differ from each other in significant ways and often are not preempted by federal laws, thus complicating compliance efforts.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scrutiny by government enforcement agencies, including, by the U.S. Department of Health and Human Services Office of Inspector General (OIG) and the U.S. Department of Justice (DOJ) in drug manufacturers’ product and patient assistance programs and the operation of such programs, including reimbursement support services, and investigations into these programs have resulted in significant civil and criminal settlements.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Within the United States, HIPAA, as amended by HITECH, establishes a federal “floor” with respect to privacy, security, and breach notification requirements as it pertains to protected health information subject to HIPAA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asserted authority and issued enforcement actions in response to actual or perceived unfair or deceptive practices by a company in the handling of consumer information. Medical data, and health information more generally, is considered sensitive data that merits stronger safeguards. States may also impose requirements. For example, the California Consumer Privacy Act of 2018 (CCPA) created data privacy obligations for covered companies and provides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Privacy Rights Act of 2020 (CPRA) significantly expanded the CCPA to grant additional rights to California residents and established a new California data protection agency authorized to issue substantive regulations and could result in increased privacy and information security enforcement. Data privacy and cybersecurity are also areas of increasing state legislative focus. Among other things, these state-specific laws create new data privacy obligations for covered companies and provide new privacy rights to state residents, including the right to opt out of certain disclosures of their information. Draft regulations implementing certain of the state statutes have been published, but many questions remain as to how all of the new statutes will be interpreted. These laws are rapidly changing, and tracking, analyzing and complying with such laws require significant time and expenses and can materially impact our business. We cannot predict where new legislation might arise, the scope of such legislation, or the potential impact to our business and operations. New federal and state laws and regulations that may be enacted in the future may require us to modify our data processing practices and policies, incur substantial compliance-related costs and expenses, and otherwise suffer adverse impacts on our business.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other jurisdictions regulate the privacy and security of personal data. For example, the processing of personal data in the European Economic Area (EEA), is subject to the General Data Protection Regulation (GDPR).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may lead to increased scrutiny on data transfers from the EEA to the U.S. generally and increase our costs of compliance with data privacy legislation.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experience a reportable data breach that is subject to any data privacy and security laws or if our operations are found to otherwise be in violation of any data privacy and security laws, rules or regulations that apply to us, we may be subject to penalties, including civil and criminal penalties, damages, fines, litigation and the curtailment or restructuring of our operations, which could adversely affect our ability to operate our business, our reputation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the EU, including applicable export control regulations,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may also suspend or bar issuers from trading securities on U.S. exchanges, including the Nasdaq Stock Market, for violations of the FCPA’s accounting provisions. Likewise, any investigation of any potential violations of the FCPA, other anti-corruption laws or Trade Control Laws by the U.S. or other authorities, could also have an adverse impact on our reputation, our business, results of operations and financial condition.</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EMA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these regulatory requirements or later discovery of previously unknown problems with products, manufacturers, or manufacturing processes, may result in actions such as:</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other advisory actions;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withdrawal of the products from the market;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or disgorgement of profits or revenues;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incidents.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shortages in animal availability or possible restrictions on animal testing. Compliance with governmental regulations regarding the treatment of animals used in research could increase our operating costs, which would adversely affect the commercialization of our products.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laws and regulations may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which result in significant harm to our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 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obligations exist in many foreign jurisdictions. If we or our contractors fail to comply with regulations concerning the treatment of animals used in research, we may be subject to fines, penalties and adverse publicity, and our operations could be adversely affected.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3"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reliance on third-party manufacturers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supply or quality agreement by the third party;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global health crises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80"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28, 2023, we entered into a Commercialization Agreement (the Commercialization Agreement) with Neuraxpharm Pharmaceuticals, S.L. (Neuraxpharm), pursuant to which Neuraxpharm has the right to commercialize BRIUMVI in certain markets outside of the U.S. On February 26, 2024, BRIUMVI was first made available in the European market by Neuraxpharm in Germany and is now commercially available in several other countries in the European Union and the United Kingdom. In addition to the Commercialization Agreement, we may enter into collaboration arrangements with other collaboration and commercialization partners.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and commercialization partners, including:</w:t>
      </w:r>
    </w:p>
    <w:p>
      <w:pPr>
        <w:spacing w:after="0" w:line="162" w:lineRule="exact"/>
        <w:rPr>
          <w:sz w:val="20"/>
          <w:szCs w:val="20"/>
          <w:color w:val="auto"/>
        </w:rPr>
      </w:pPr>
    </w:p>
    <w:p>
      <w:pPr>
        <w:ind w:left="660" w:right="2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our collaboration and commercialization partners to terminate their collaboration or commercialization agreements with us for reasons specified in the collaboration or commercialization agreements, including our breach;</w:t>
      </w:r>
    </w:p>
    <w:p>
      <w:pPr>
        <w:jc w:val="both"/>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or commercialization partner regarding the amount and timing of resource expenditures for the commercialization, distribution, and sale of our drug products;</w:t>
      </w:r>
    </w:p>
    <w:p>
      <w:pPr>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jc w:val="both"/>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or commercialization partners’ and their affiliates’ development and commercialization of products that compete directly or indirectly with our products or product candidates;</w:t>
      </w:r>
    </w:p>
    <w:p>
      <w:pPr>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or commercialization partner to prioritize others of its current or future products more highly than our drug products or our product candidates when it performs its duties;</w:t>
      </w:r>
    </w:p>
    <w:p>
      <w:pPr>
        <w:ind w:left="660" w:right="2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or commercialization partner as to the timing, nature and extent of our development plans or distribution and sales and marketing plans; and</w:t>
      </w:r>
    </w:p>
    <w:p>
      <w:pPr>
        <w:jc w:val="both"/>
        <w:ind w:left="660" w:hanging="328"/>
        <w:spacing w:after="0" w:line="253"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Commercialization Agreement contains provisions that allow for dispute resolution, arbitration, and/or termination of the agreement by the Company in the event of a breach by Neuraxpharm, there can be no assurance that the Company and Neuraxpharm will agree on a cure for such a breach, and in the event of termination, there can be no assurance that the Company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related expenses. Therefore, for some of our drug candidates, we may decide to collaborate with additional pharmaceutical and biotechnology companies for the development and potential commercialization of those drug candidates. ​</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proposed collaborator’s resources and expertise, the terms and conditions of the proposed collaboration with a third party, and the proposed collaborator’s evaluation of a number of factors. Those factors may include the design or results of our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favorable terms to us,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we may ultimately not be able to generate revenue from their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issue as patent;</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first-to-invent to a first-to-file system. If we do not win the filing race, we will not be entitled to inventive priority;</w:t>
      </w:r>
    </w:p>
    <w:p>
      <w:pPr>
        <w:jc w:val="both"/>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not able to obtain patents that protect our product and product candidates, it could have a material adverse effect on our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may prove inadequate.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methods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permits a patent term extension of up to five years as compensation for patent term lost during the FDA regulatory review process. A patent term extension cannot extend the remaining term of a patent beyond fourteen years from the date of product approval by the FDA, and only one patent covering the approved product may be extended.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products or product candidates that we may in-license or acquire could be subject to similar risks and uncertainties.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Organization and Governance, Strategy, Employees and Growth Management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May 5, 2025, we had 352 employees. To manage our anticipated future growth and focus in the neurological and immunological fields,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the neurological and immunological fields,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a result, if we earn net taxable income, our ability to use our pre-change net operating loss carryforwards to offset our taxable income may be subject to limitations. Similar provisions of state tax law may also apply to limit our use of accumulated state tax attributes. Accordingly, even if we attain profitability, we may be unable to use a material portion of our net operating loss carryforwards and other tax attributes, which could adversely affect our future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development programs and our commercialization of any products for which we receive regulatory approval.</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our third-party CROs, CMOs, and other contractors and consultants are vulnerable to damage from unauthorized access, security breach or incidents, natural disasters, terrorism, war and telecommunication and electrical failures. Security breaches include, but are not limited to, deployment of harmful malware, ransomware, denial-of-service attacks, social engineering and other means to affect service reliability and threaten the confidentiality, integrity and availability of our and our third-party service providers’ systems and the information on such systems. Security breaches can also include phishing attempts or e-mail fraud to cause unauthorized payments or information to be transmitted to an unintended recipient, or to permit unauthorized access to systems. Although we have experienced security breaches in the past, the impact on our operations and financial condition has not been material. We expect such cybersecurity threats to continue and become more sophisticated. Threat actors, including nation state attackers, could also use artificial intelligence for malicious purposes, increasing the frequency and complexity of their attacks. A significant security breach or incident could cause our systems to fail, compromise confidential information, or cause significant business interruptions, which could result in a material disruption of our operations, financial loss, or reputational harm. For example, the loss of clinical trial data for our drug candidates could result in delays in our regulatory approval efforts, violate healthcare privacy laws and regulations and significantly increase the cost of remediation.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high inflation, restricted credit, poor liquidity, reduced corporate profitability, debt, equity and foreign exchange market volatility, bankruptcies, high interest rates, high unemployment rates and overall uncertainty with respect to the economy. In particular, fluctuating and/or high interest rates in the United States to respond to inflationary pressures and market volatility may result in a general economic downturn or recession, which could reduce our ability to raise additional capital when needed on acceptable terms, if at all, and negatively impact our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Likewise, the capital and credit markets may be adversely affected by geopolitical conflicts and global sanctions imposed in response thereto. Other international events such as trade disputes, increased tariffs or retaliatory tariffs, leadership changes and political and military conflicts could also adversely affect global financial activity and markets and could negatively affect the U.S. economy. These conditions could result in decreased economic activity, heightened risk of cyberattacks and inflation, as well as impact our ability to raise capital. 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change in U.S. administration, there is uncertainty regarding future U.S. policies and legislative and regulatory changes related to taxation and importation, including the imposition of tarrifs, which could adversely impact the global economy and our operating results. To the extent that future U.S. tax policy changes have a negative impact on us, including as a result of related uncertainty, these changes could adversely impact our business, results of operations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 Traded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sell our stock at a profit.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subject to wide fluctuations in price in response to various factors, many of which are beyond our control. These factors include, among others:</w:t>
      </w:r>
    </w:p>
    <w:p>
      <w:pPr>
        <w:spacing w:after="0" w:line="16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U.S. market;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German market and the anticipated launch of BRIUMVI in additional European markets;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our product or products under development by our competitors or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us or our competitors;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or other crises and other external factors such as the disruptions in the global economy caused by global health crises and geopolitical conflicts in Russia and Ukraine and the Middle East;</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revenue projections or guidance;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repurchase of shares of our common stock pursuant to our share repurchase program;</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occurrences of any of the other risks described in this Quarterly Report on Form 10-Q.</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 and reputational matters.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reputation and the reputation of our brands, including the perception held by our customers, end-users, business partners, investors, other key stakeholders and the communities in which we do business are influenced by various factors. The impact of environmental, social and governance (“ESG”) regulations and policies may change customer preferences, demands and requirements, and if we are not able to meet changing expectations, our ability to compete may be adversely affected and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the Company or our brands could generate adverse publicity that could damage our reputation or the reputation of our brands. If we are unable to effectively manage real or perceived issues, including concerns about product quality, safety, corporate social responsibility or other ESG matters, sentiments toward the Company or our products could be negatively impacted, and our financial results could suffer.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supply chain, results of operations, financial condition and growth prospects.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results of operations, financial condition and growth prospects. The adverse impacts of climate change include (i) physical risks such as increased frequency and severity of natural disasters and extreme weather events such as hurricanes, tornados, wildfires (exacerbated by drought), flooding, and extreme heat, (ii) risks in transitioning to a low-carbon economy (such as additional legal or regulatory requirements, changes in technology, market risk and reputational risk) and (iii) social and human effects (such as population dislocations and harm to health and well-being).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we currently rely on single contract manufacturers to produce our commercial products, extreme weather and sea level rise pose physical risks to the facilities of our manufacturing partners. Such risks include losses incurred as a result of physical damage to facilities, loss or spoilage of inventory, and operational disruptions caused by such natural disasters and extreme weather events. Loss of access to the facilities of our manufacturing partners may result in increased costs, delays in the development of our products or interruption of our business operations. Any disaster recovery and business continuity plans that our we or our third-party manufacturers have in place may prove inadequate in the event of a serious natural disaster or similar event. We may incur substantial expenses as a result of the limited nature of these disaster recovery and business continuity plans, which could have a material adverse effect on our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long-term effects of climate change on general economic conditions and the pharmaceutical industry in particular are unclear and may heighten or intensify the existing risk of natural disasters. As part of our risk management policy, we maintain insurance coverage at levels that we believe are appropriate for our business. However, we cannot assure you that such insurance coverage will be sufficient to satisfy any damages and losses we may directly or indirectly incur. If the manufacturing facilities of our third-party manufacturers are unable to operate for any reason, even for a short period of time, any or all of our research and development programs or commercialization efforts may be harmed. Any material interruption could have a material and adverse effect on our business.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also be enacted to prevent, mitigate, or adapt to the implications of a changing climate and its effects on the environment. These regulations, which may differ across jurisdictions, could result in our manufacturing partners being subject to new or expanded carbon pricing or taxes, increased compliance costs, restrictions on greenhouse gas emissions, investment in new technologies, increased carbon disclosure and transparency, upgrading of facilities to meet new building codes, and the redesign of utility systems, which could increase our third-party manufacturers’ operating costs, including the cost of electricity and energy used to develop our products. Our supply chain as a whole would likely be subject to these same transitional risks and would likely pass along any increased costs to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if any, are limited, and our stockholders may not receive any return on investment unless they sell their 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intend to retain all of our future earnings, if any, to finance the growth and development of our business. However, any future determination relating to the use of our future earnings, including the declaration, amount and payment of any future dividends on shares of our common stock,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Financing Agreement, we are currently restricted from paying cash dividends, and we expect these restrictions to continue in the future. Furthermore, the terms of any future debt agreements may continue to preclude us from paying dividends. As a result, our stockholders may not receive any return on investment unless they sell their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material weaknesses will not be identified when we test the effectiveness of our control systems. Our current controls and any new controls that we develop may become inadequate because of changes in conditions in our business. Further, weaknesses in our disclosure controls and internal control over financial reporting may be discovered in the future. 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In addition,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and shareholder derivative litigation, which could cause us to incur substantial costs and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financial resources and other company assets.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further consummated or will enhance stockholder value, our share repurchase program could affect the price of our common stock and increase volatility and may be suspended or terminated at any time, which may result in a decrease in the trading price of our common stock.</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2024, we announced that our Board of Directors had authorized a share repurchase program of up to $100 million of our outstanding shares of common stock. We intend to repurchase shares of our common stock from time to time, as authorized by our Board of Directors, through open market purchases, in privately negotiated transactions or by other means, including through the use of trading plans intended to qualify under Rule 10b5-1 under the Exchange Act, in accordance with applicable securities laws and other restrictions. The timing and the amount of stock repurchases in the share repurchase program will be determined by our management, based on its evaluation of factors including business and market conditions, corporate and regulatory requirements, and other considerations. The share repurchase program does not have a fixed expiration date, may be suspended or discontinued at any time, and does not obligate us to acquire any amount of our common stock. For more information about our share repurchase activities for the year ended December 31, 2024, see the section entitled “Purchases of Equity Securities by the Issuer and Affiliated Purchasers” in Part II, Item 5.</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of any future share repurchases or share repurchase program authorizations. The timing and manner of any share repurchases will depend upon, among other factors, our cash balances and potential future capital requirements, results of operations and financial condition, alternative investment opportunities, restrictions under any of our agreements, business economic and market conditions, corporate and regulatory requirements the price of our Common Stock on the NASDAQ Capital Market, and other factors that we may deem relevant. We can provide no assurance that we will repurchase shares of our Common Stock at favorable prices, if at all.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Repurchases pursuant to our share repurchase program could affect our stock price and increase its volatility or diminish our cash reserves, which may impact our ability to finance our future operations. The existence of a share repurchase program could also cause our stock price to be higher than it would be in the absence of such a program and could potentially reduce the market liquidity for our common stock. There can be no assurance that any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share repurchase program’s effectiveness.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52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33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w:t>
            </w:r>
          </w:p>
        </w:tc>
        <w:tc>
          <w:tcPr>
            <w:tcW w:w="170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(b)</w:t>
            </w:r>
          </w:p>
        </w:tc>
        <w:tc>
          <w:tcPr>
            <w:tcW w:w="166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w:t>
            </w:r>
          </w:p>
        </w:tc>
        <w:tc>
          <w:tcPr>
            <w:tcW w:w="338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Maximum Number (or Approximate</w:t>
            </w: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7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3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660" w:type="dxa"/>
            <w:vAlign w:val="bottom"/>
            <w:tcBorders>
              <w:right w:val="single" w:sz="8" w:color="auto"/>
            </w:tcBorders>
            <w:vMerge w:val="continue"/>
          </w:tcPr>
          <w:p>
            <w:pPr>
              <w:spacing w:after="0"/>
              <w:rPr>
                <w:sz w:val="9"/>
                <w:szCs w:val="9"/>
                <w:color w:val="auto"/>
              </w:rPr>
            </w:pPr>
          </w:p>
        </w:tc>
        <w:tc>
          <w:tcPr>
            <w:tcW w:w="3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Dollar Value) of Shares (or Units) that May</w:t>
            </w: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70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3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vMerge w:val="continue"/>
          </w:tcPr>
          <w:p>
            <w:pPr>
              <w:spacing w:after="0"/>
              <w:rPr>
                <w:sz w:val="16"/>
                <w:szCs w:val="16"/>
                <w:color w:val="auto"/>
              </w:rPr>
            </w:pPr>
          </w:p>
        </w:tc>
        <w:tc>
          <w:tcPr>
            <w:tcW w:w="17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per Share (or Unit)</w:t>
            </w:r>
          </w:p>
        </w:tc>
        <w:tc>
          <w:tcPr>
            <w:tcW w:w="1660" w:type="dxa"/>
            <w:vAlign w:val="bottom"/>
            <w:tcBorders>
              <w:right w:val="single" w:sz="8" w:color="auto"/>
            </w:tcBorders>
            <w:vMerge w:val="continue"/>
          </w:tcPr>
          <w:p>
            <w:pPr>
              <w:spacing w:after="0"/>
              <w:rPr>
                <w:sz w:val="16"/>
                <w:szCs w:val="16"/>
                <w:color w:val="auto"/>
              </w:rPr>
            </w:pPr>
          </w:p>
        </w:tc>
        <w:tc>
          <w:tcPr>
            <w:tcW w:w="338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Yet Be Purchased Under the Plans or</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Plans or Programs</w:t>
            </w:r>
          </w:p>
        </w:tc>
        <w:tc>
          <w:tcPr>
            <w:tcW w:w="3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January 2025</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99,835</w:t>
            </w:r>
          </w:p>
        </w:tc>
        <w:tc>
          <w:tcPr>
            <w:tcW w:w="1700" w:type="dxa"/>
            <w:vAlign w:val="bottom"/>
            <w:tcBorders>
              <w:right w:val="single" w:sz="8" w:color="auto"/>
            </w:tcBorders>
          </w:tcPr>
          <w:p>
            <w:pPr>
              <w:jc w:val="right"/>
              <w:ind w:right="530"/>
              <w:spacing w:after="0" w:line="191" w:lineRule="exact"/>
              <w:rPr>
                <w:sz w:val="20"/>
                <w:szCs w:val="20"/>
                <w:color w:val="auto"/>
              </w:rPr>
            </w:pPr>
            <w:r>
              <w:rPr>
                <w:rFonts w:ascii="Times New Roman" w:cs="Times New Roman" w:eastAsia="Times New Roman" w:hAnsi="Times New Roman"/>
                <w:sz w:val="18"/>
                <w:szCs w:val="18"/>
                <w:color w:val="auto"/>
              </w:rPr>
              <w:t>$30.13</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99,835</w:t>
            </w:r>
          </w:p>
        </w:tc>
        <w:tc>
          <w:tcPr>
            <w:tcW w:w="3380" w:type="dxa"/>
            <w:vAlign w:val="bottom"/>
            <w:tcBorders>
              <w:right w:val="single" w:sz="8" w:color="auto"/>
            </w:tcBorders>
          </w:tcPr>
          <w:p>
            <w:pPr>
              <w:ind w:left="1220"/>
              <w:spacing w:after="0" w:line="191" w:lineRule="exact"/>
              <w:rPr>
                <w:sz w:val="20"/>
                <w:szCs w:val="20"/>
                <w:color w:val="auto"/>
              </w:rPr>
            </w:pPr>
            <w:r>
              <w:rPr>
                <w:rFonts w:ascii="Times New Roman" w:cs="Times New Roman" w:eastAsia="Times New Roman" w:hAnsi="Times New Roman"/>
                <w:sz w:val="18"/>
                <w:szCs w:val="18"/>
                <w:color w:val="auto"/>
              </w:rPr>
              <w:t>$88,231,912</w:t>
            </w: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1st to January 31st, 2025)</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February 2025</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94,860</w:t>
            </w:r>
          </w:p>
        </w:tc>
        <w:tc>
          <w:tcPr>
            <w:tcW w:w="1700" w:type="dxa"/>
            <w:vAlign w:val="bottom"/>
            <w:tcBorders>
              <w:right w:val="single" w:sz="8" w:color="auto"/>
            </w:tcBorders>
          </w:tcPr>
          <w:p>
            <w:pPr>
              <w:jc w:val="right"/>
              <w:ind w:right="530"/>
              <w:spacing w:after="0" w:line="191" w:lineRule="exact"/>
              <w:rPr>
                <w:sz w:val="20"/>
                <w:szCs w:val="20"/>
                <w:color w:val="auto"/>
              </w:rPr>
            </w:pPr>
            <w:r>
              <w:rPr>
                <w:rFonts w:ascii="Times New Roman" w:cs="Times New Roman" w:eastAsia="Times New Roman" w:hAnsi="Times New Roman"/>
                <w:sz w:val="18"/>
                <w:szCs w:val="18"/>
                <w:color w:val="auto"/>
              </w:rPr>
              <w:t>$31.28</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94,860</w:t>
            </w:r>
          </w:p>
        </w:tc>
        <w:tc>
          <w:tcPr>
            <w:tcW w:w="3380" w:type="dxa"/>
            <w:vAlign w:val="bottom"/>
            <w:tcBorders>
              <w:right w:val="single" w:sz="8" w:color="auto"/>
            </w:tcBorders>
          </w:tcPr>
          <w:p>
            <w:pPr>
              <w:ind w:left="1220"/>
              <w:spacing w:after="0" w:line="191" w:lineRule="exact"/>
              <w:rPr>
                <w:sz w:val="20"/>
                <w:szCs w:val="20"/>
                <w:color w:val="auto"/>
              </w:rPr>
            </w:pPr>
            <w:r>
              <w:rPr>
                <w:rFonts w:ascii="Times New Roman" w:cs="Times New Roman" w:eastAsia="Times New Roman" w:hAnsi="Times New Roman"/>
                <w:sz w:val="18"/>
                <w:szCs w:val="18"/>
                <w:color w:val="auto"/>
              </w:rPr>
              <w:t>$85,264,191</w:t>
            </w: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1st to February 28th, 2025)</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March 2025</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5,000</w:t>
            </w:r>
          </w:p>
        </w:tc>
        <w:tc>
          <w:tcPr>
            <w:tcW w:w="1700" w:type="dxa"/>
            <w:vAlign w:val="bottom"/>
            <w:tcBorders>
              <w:right w:val="single" w:sz="8" w:color="auto"/>
            </w:tcBorders>
          </w:tcPr>
          <w:p>
            <w:pPr>
              <w:jc w:val="right"/>
              <w:ind w:right="530"/>
              <w:spacing w:after="0" w:line="191" w:lineRule="exact"/>
              <w:rPr>
                <w:sz w:val="20"/>
                <w:szCs w:val="20"/>
                <w:color w:val="auto"/>
              </w:rPr>
            </w:pPr>
            <w:r>
              <w:rPr>
                <w:rFonts w:ascii="Times New Roman" w:cs="Times New Roman" w:eastAsia="Times New Roman" w:hAnsi="Times New Roman"/>
                <w:sz w:val="18"/>
                <w:szCs w:val="18"/>
                <w:color w:val="auto"/>
              </w:rPr>
              <w:t>$29.28</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5,000</w:t>
            </w:r>
          </w:p>
        </w:tc>
        <w:tc>
          <w:tcPr>
            <w:tcW w:w="3380" w:type="dxa"/>
            <w:vAlign w:val="bottom"/>
            <w:tcBorders>
              <w:right w:val="single" w:sz="8" w:color="auto"/>
            </w:tcBorders>
          </w:tcPr>
          <w:p>
            <w:pPr>
              <w:ind w:left="1220"/>
              <w:spacing w:after="0" w:line="191" w:lineRule="exact"/>
              <w:rPr>
                <w:sz w:val="20"/>
                <w:szCs w:val="20"/>
                <w:color w:val="auto"/>
              </w:rPr>
            </w:pPr>
            <w:r>
              <w:rPr>
                <w:rFonts w:ascii="Times New Roman" w:cs="Times New Roman" w:eastAsia="Times New Roman" w:hAnsi="Times New Roman"/>
                <w:sz w:val="18"/>
                <w:szCs w:val="18"/>
                <w:color w:val="auto"/>
              </w:rPr>
              <w:t>$85,117,780</w:t>
            </w: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1st to March 31st, 2025)</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199,695</w:t>
            </w:r>
          </w:p>
        </w:tc>
        <w:tc>
          <w:tcPr>
            <w:tcW w:w="17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$30.23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199,695</w:t>
            </w:r>
          </w:p>
        </w:tc>
        <w:tc>
          <w:tcPr>
            <w:tcW w:w="338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$85,117,780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fees are excluded.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 2024, the Company announced that its Board of Directors had authorized and approved a share repurchase program for up to $100 million of the currently outstanding shares of the Company’s common stock. Repurchases under the program may be made using open market purchases, privately negotiated transactions, block purchases or other methods in accordance with applicable federal securities laws, including Rule 10b-18 of the Exchange Act. The share repurchase program does not have a fixed expiration date, may be suspended or discontinued at any time, and does not obligate us to acquire any particular amount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OF SENIOR SECURITIES.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each term is defined in Item 408(a) of Regulation S-K. ​</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tbl>
      <w:tblPr>
        <w:tblLayout w:type="fixed"/>
        <w:tblInd w:w="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720" w:type="dxa"/>
            <w:vAlign w:val="bottom"/>
          </w:tcPr>
          <w:p>
            <w:pPr>
              <w:spacing w:after="0"/>
              <w:rPr>
                <w:sz w:val="17"/>
                <w:szCs w:val="17"/>
                <w:color w:val="auto"/>
              </w:rPr>
            </w:pPr>
          </w:p>
        </w:tc>
      </w:tr>
      <w:tr>
        <w:trPr>
          <w:trHeight w:val="194"/>
        </w:trPr>
        <w:tc>
          <w:tcPr>
            <w:tcW w:w="1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954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as adopted pursuant to Section 302 of the Sarbanes-</w:t>
            </w:r>
          </w:p>
        </w:tc>
      </w:tr>
      <w:tr>
        <w:trPr>
          <w:trHeight w:val="196"/>
        </w:trPr>
        <w:tc>
          <w:tcPr>
            <w:tcW w:w="1640" w:type="dxa"/>
            <w:vAlign w:val="bottom"/>
          </w:tcPr>
          <w:p>
            <w:pPr>
              <w:spacing w:after="0"/>
              <w:rPr>
                <w:sz w:val="17"/>
                <w:szCs w:val="17"/>
                <w:color w:val="auto"/>
              </w:rPr>
            </w:pPr>
          </w:p>
        </w:tc>
        <w:tc>
          <w:tcPr>
            <w:tcW w:w="9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dated May 9, 2025.</w:t>
            </w:r>
          </w:p>
        </w:tc>
      </w:tr>
      <w:tr>
        <w:trPr>
          <w:trHeight w:val="20"/>
        </w:trPr>
        <w:tc>
          <w:tcPr>
            <w:tcW w:w="16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13a-14(a)/15d-14(a), as adopted pursuant to Section 302 of the Sarbanes-</w:t>
            </w:r>
          </w:p>
        </w:tc>
      </w:tr>
      <w:tr>
        <w:trPr>
          <w:trHeight w:val="196"/>
        </w:trPr>
        <w:tc>
          <w:tcPr>
            <w:tcW w:w="1640" w:type="dxa"/>
            <w:vAlign w:val="bottom"/>
          </w:tcPr>
          <w:p>
            <w:pPr>
              <w:spacing w:after="0"/>
              <w:rPr>
                <w:sz w:val="17"/>
                <w:szCs w:val="17"/>
                <w:color w:val="auto"/>
              </w:rPr>
            </w:pPr>
          </w:p>
        </w:tc>
        <w:tc>
          <w:tcPr>
            <w:tcW w:w="9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dated May 9, 2025.</w:t>
            </w:r>
          </w:p>
        </w:tc>
      </w:tr>
      <w:tr>
        <w:trPr>
          <w:trHeight w:val="20"/>
        </w:trPr>
        <w:tc>
          <w:tcPr>
            <w:tcW w:w="16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1350, as adopted pursuant to Section 906 of the Sarbanes-Oxley Act</w:t>
            </w:r>
          </w:p>
        </w:tc>
      </w:tr>
      <w:tr>
        <w:trPr>
          <w:trHeight w:val="196"/>
        </w:trPr>
        <w:tc>
          <w:tcPr>
            <w:tcW w:w="16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of 2002, dated May 9, 2025.</w:t>
            </w:r>
          </w:p>
        </w:tc>
        <w:tc>
          <w:tcPr>
            <w:tcW w:w="7500" w:type="dxa"/>
            <w:vAlign w:val="bottom"/>
            <w:gridSpan w:val="2"/>
          </w:tcPr>
          <w:p>
            <w:pPr>
              <w:spacing w:after="0"/>
              <w:rPr>
                <w:sz w:val="17"/>
                <w:szCs w:val="17"/>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1350, as adopted pursuant to Section 906 of the Sarbanes-Oxley Act</w:t>
            </w:r>
          </w:p>
        </w:tc>
      </w:tr>
      <w:tr>
        <w:trPr>
          <w:trHeight w:val="196"/>
        </w:trPr>
        <w:tc>
          <w:tcPr>
            <w:tcW w:w="16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of 2002, dated May 9, 2025.</w:t>
            </w:r>
          </w:p>
        </w:tc>
        <w:tc>
          <w:tcPr>
            <w:tcW w:w="7500" w:type="dxa"/>
            <w:vAlign w:val="bottom"/>
            <w:gridSpan w:val="2"/>
          </w:tcPr>
          <w:p>
            <w:pPr>
              <w:spacing w:after="0"/>
              <w:rPr>
                <w:sz w:val="17"/>
                <w:szCs w:val="17"/>
                <w:color w:val="auto"/>
              </w:rPr>
            </w:pPr>
          </w:p>
        </w:tc>
      </w:tr>
      <w:tr>
        <w:trPr>
          <w:trHeight w:val="218"/>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March 31, 2025,</w:t>
            </w:r>
          </w:p>
        </w:tc>
      </w:tr>
      <w:tr>
        <w:trPr>
          <w:trHeight w:val="216"/>
        </w:trPr>
        <w:tc>
          <w:tcPr>
            <w:tcW w:w="1640" w:type="dxa"/>
            <w:vAlign w:val="bottom"/>
          </w:tcPr>
          <w:p>
            <w:pPr>
              <w:spacing w:after="0"/>
              <w:rPr>
                <w:sz w:val="18"/>
                <w:szCs w:val="18"/>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 (i) the Condensed Consolidated Balance Sheets, (ii) the</w:t>
            </w:r>
          </w:p>
        </w:tc>
      </w:tr>
      <w:tr>
        <w:trPr>
          <w:trHeight w:val="216"/>
        </w:trPr>
        <w:tc>
          <w:tcPr>
            <w:tcW w:w="1640" w:type="dxa"/>
            <w:vAlign w:val="bottom"/>
          </w:tcPr>
          <w:p>
            <w:pPr>
              <w:spacing w:after="0"/>
              <w:rPr>
                <w:sz w:val="18"/>
                <w:szCs w:val="18"/>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(iii)  the  Condensed  Consolidated  Statements  of  Changes  in</w:t>
            </w:r>
          </w:p>
        </w:tc>
      </w:tr>
      <w:tr>
        <w:trPr>
          <w:trHeight w:val="216"/>
        </w:trPr>
        <w:tc>
          <w:tcPr>
            <w:tcW w:w="1640" w:type="dxa"/>
            <w:vAlign w:val="bottom"/>
          </w:tcPr>
          <w:p>
            <w:pPr>
              <w:spacing w:after="0"/>
              <w:rPr>
                <w:sz w:val="18"/>
                <w:szCs w:val="18"/>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 (iv) the Condensed Consolidated Statements of Cash Flows, and (v) Notes to the Condensed Consolidated</w:t>
            </w:r>
          </w:p>
        </w:tc>
      </w:tr>
      <w:tr>
        <w:trPr>
          <w:trHeight w:val="216"/>
        </w:trPr>
        <w:tc>
          <w:tcPr>
            <w:tcW w:w="1640" w:type="dxa"/>
            <w:vAlign w:val="bottom"/>
          </w:tcPr>
          <w:p>
            <w:pPr>
              <w:spacing w:after="0"/>
              <w:rPr>
                <w:sz w:val="18"/>
                <w:szCs w:val="18"/>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Statements (filed herewith).</w:t>
            </w:r>
          </w:p>
        </w:tc>
      </w:tr>
      <w:tr>
        <w:trPr>
          <w:trHeight w:val="234"/>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40" w:hanging="232"/>
        <w:spacing w:after="0"/>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TG THERAPEUTICS, INC.</w:t>
            </w: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78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Sean A. Power</w:t>
            </w:r>
          </w:p>
        </w:tc>
        <w:tc>
          <w:tcPr>
            <w:tcW w:w="0" w:type="dxa"/>
            <w:vAlign w:val="bottom"/>
          </w:tcPr>
          <w:p>
            <w:pPr>
              <w:spacing w:after="0"/>
              <w:rPr>
                <w:sz w:val="1"/>
                <w:szCs w:val="1"/>
                <w:color w:val="auto"/>
              </w:rPr>
            </w:pPr>
          </w:p>
        </w:tc>
      </w:tr>
      <w:tr>
        <w:trPr>
          <w:trHeight w:val="191"/>
        </w:trPr>
        <w:tc>
          <w:tcPr>
            <w:tcW w:w="34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26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83</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2">
            <w:col w:w="4900" w:space="720"/>
            <w:col w:w="5620"/>
          </w:cols>
          <w:pgMar w:left="320" w:top="117" w:right="339" w:bottom="1440" w:gutter="0" w:footer="0" w:header="0"/>
          <w:type w:val="continuous"/>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March 31, 2025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March 31, 2025 as filed with the Securities and Exchange Commission (the “Report”), I, Sean A. Power, Chief Financial Officer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2">
        <w:col w:w="4900" w:space="720"/>
        <w:col w:w="56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30"/>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2025-05-09T15:45:01Z</dcterms:created>
  <dcterms:modified xsi:type="dcterms:W3CDTF">2025-05-09T15:45:01Z</dcterms:modified>
</cp:coreProperties>
</file>