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4" w:lineRule="exact"/>
        <w:rPr>
          <w:sz w:val="24"/>
          <w:szCs w:val="24"/>
          <w:color w:val="auto"/>
        </w:rPr>
      </w:pPr>
    </w:p>
    <w:p>
      <w:pPr>
        <w:ind w:left="4100" w:right="2780" w:hanging="1314"/>
        <w:spacing w:after="0" w:line="275" w:lineRule="auto"/>
        <w:tabs>
          <w:tab w:leader="none" w:pos="298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00" w:right="2780" w:hanging="1321"/>
        <w:spacing w:after="0" w:line="275" w:lineRule="auto"/>
        <w:tabs>
          <w:tab w:leader="none" w:pos="298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1"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071" w:right="239" w:bottom="1440" w:gutter="0" w:footer="0" w:header="0"/>
        </w:sectPr>
      </w:pP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36-3898269</w:t>
      </w:r>
    </w:p>
    <w:p>
      <w:pPr>
        <w:spacing w:after="0" w:line="21" w:lineRule="exact"/>
        <w:rPr>
          <w:sz w:val="24"/>
          <w:szCs w:val="24"/>
          <w:color w:val="auto"/>
        </w:rPr>
      </w:pPr>
    </w:p>
    <w:p>
      <w:pPr>
        <w:jc w:val="center"/>
        <w:ind w:right="1580"/>
        <w:spacing w:after="0"/>
        <w:rPr>
          <w:sz w:val="20"/>
          <w:szCs w:val="20"/>
          <w:color w:val="auto"/>
        </w:rPr>
      </w:pPr>
      <w:r>
        <w:rPr>
          <w:rFonts w:ascii="Arial" w:cs="Arial" w:eastAsia="Arial" w:hAnsi="Arial"/>
          <w:sz w:val="16"/>
          <w:szCs w:val="16"/>
          <w:color w:val="auto"/>
        </w:rPr>
        <w:t>(I.R.S. Employer Identification No.)</w:t>
      </w:r>
    </w:p>
    <w:p>
      <w:pPr>
        <w:spacing w:after="0" w:line="196" w:lineRule="exact"/>
        <w:rPr>
          <w:sz w:val="24"/>
          <w:szCs w:val="24"/>
          <w:color w:val="auto"/>
        </w:rPr>
      </w:pPr>
    </w:p>
    <w:p>
      <w:pPr>
        <w:sectPr>
          <w:pgSz w:w="11900" w:h="16838" w:orient="portrait"/>
          <w:cols w:equalWidth="0" w:num="2">
            <w:col w:w="6580" w:space="720"/>
            <w:col w:w="4120"/>
          </w:cols>
          <w:pgMar w:left="240" w:top="107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 Gansevoort Street, 9</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ind w:right="18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6"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9"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1071" w:right="239" w:bottom="1440" w:gutter="0" w:footer="0" w:header="0"/>
          <w:type w:val="continuous"/>
        </w:sectPr>
      </w:pPr>
    </w:p>
    <w:p>
      <w:pPr>
        <w:spacing w:after="0" w:line="16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320" w:space="720"/>
            <w:col w:w="1380"/>
          </w:cols>
          <w:pgMar w:left="240" w:top="1071"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700" w:space="40"/>
            <w:col w:w="6840" w:space="720"/>
            <w:col w:w="2120"/>
          </w:cols>
          <w:pgMar w:left="240" w:top="1071" w:right="239" w:bottom="1440" w:gutter="0" w:footer="0" w:header="0"/>
          <w:type w:val="continuous"/>
        </w:sectPr>
      </w:pPr>
    </w:p>
    <w:p>
      <w:pPr>
        <w:spacing w:after="0" w:line="16" w:lineRule="exact"/>
        <w:rPr>
          <w:sz w:val="24"/>
          <w:szCs w:val="24"/>
          <w:color w:val="auto"/>
        </w:rPr>
      </w:pPr>
    </w:p>
    <w:p>
      <w:pPr>
        <w:ind w:left="9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1071" w:right="23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There were 68,835,893 shares of the registrant’s common stock, $0.001 par value, outstanding as of August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2017</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FINANCIAL INFORMATION</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Financial Statements:</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Condensed Consolidated Balance Sheets as of June 30, 2017 (unaudited) and December 31, 2016</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Condensed Consolidated Statements of Operations for the three and six months ended June 30, 2017 and 2016 (unaudited)</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Condensed Consolidated Statement of Stockholders’ Equity for the six months ended June 30, 2017 (unaudited)</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Condensed Consolidated Statements of Cash Flows for the six months ended June 30, 2017 and 2016 (unaudited)</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Notes to Condensed Consolidated Financial Statements (unaudited)</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Controls and Procedures</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OTHER INFORMATION</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Legal Proceedings</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Risk Factors</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Exhibits</w:t>
            </w:r>
          </w:p>
        </w:tc>
        <w:tc>
          <w:tcPr>
            <w:tcW w:w="11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47</w:t>
            </w: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300" w:type="dxa"/>
            <w:vAlign w:val="bottom"/>
          </w:tcPr>
          <w:p>
            <w:pPr>
              <w:ind w:left="472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31" w:lineRule="exact"/>
        <w:rPr>
          <w:sz w:val="20"/>
          <w:szCs w:val="20"/>
          <w:color w:val="auto"/>
        </w:rPr>
      </w:pPr>
    </w:p>
    <w:p>
      <w:pPr>
        <w:ind w:firstLine="648"/>
        <w:spacing w:after="0" w:line="308"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“plan,” “intend”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63" w:lineRule="exact"/>
        <w:rPr>
          <w:sz w:val="20"/>
          <w:szCs w:val="20"/>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15" w:lineRule="exact"/>
        <w:rPr>
          <w:rFonts w:ascii="Arial" w:cs="Arial" w:eastAsia="Arial" w:hAnsi="Arial"/>
          <w:sz w:val="18"/>
          <w:szCs w:val="18"/>
          <w:color w:val="auto"/>
        </w:rPr>
      </w:pPr>
    </w:p>
    <w:p>
      <w:pPr>
        <w:ind w:left="1140" w:right="380" w:hanging="160"/>
        <w:spacing w:after="0" w:line="250" w:lineRule="auto"/>
        <w:tabs>
          <w:tab w:leader="none" w:pos="11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as to the timing of commencing or completing pre-clinical and clinical trials and the expected outcomes of those trials;</w:t>
      </w:r>
    </w:p>
    <w:p>
      <w:pPr>
        <w:spacing w:after="0" w:line="32" w:lineRule="exact"/>
        <w:rPr>
          <w:rFonts w:ascii="Arial" w:cs="Arial" w:eastAsia="Arial" w:hAnsi="Arial"/>
          <w:sz w:val="16"/>
          <w:szCs w:val="16"/>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acceptance of our products by doctors, patients or payors;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obtain reimbursement for our products;</w:t>
      </w:r>
    </w:p>
    <w:p>
      <w:pPr>
        <w:spacing w:after="0" w:line="9" w:lineRule="exact"/>
        <w:rPr>
          <w:rFonts w:ascii="Arial" w:cs="Arial" w:eastAsia="Arial" w:hAnsi="Arial"/>
          <w:sz w:val="18"/>
          <w:szCs w:val="18"/>
          <w:color w:val="auto"/>
        </w:rPr>
      </w:pPr>
    </w:p>
    <w:p>
      <w:pPr>
        <w:ind w:left="1140" w:right="800" w:hanging="160"/>
        <w:spacing w:after="0" w:line="250" w:lineRule="auto"/>
        <w:tabs>
          <w:tab w:leader="none" w:pos="11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 and</w:t>
      </w:r>
    </w:p>
    <w:p>
      <w:pPr>
        <w:spacing w:after="0" w:line="29" w:lineRule="exact"/>
        <w:rPr>
          <w:rFonts w:ascii="Arial" w:cs="Arial" w:eastAsia="Arial" w:hAnsi="Arial"/>
          <w:sz w:val="18"/>
          <w:szCs w:val="18"/>
          <w:color w:val="auto"/>
        </w:rPr>
      </w:pPr>
    </w:p>
    <w:p>
      <w:pPr>
        <w:ind w:left="1140" w:hanging="160"/>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86" w:lineRule="exact"/>
        <w:rPr>
          <w:sz w:val="20"/>
          <w:szCs w:val="20"/>
          <w:color w:val="auto"/>
        </w:rPr>
      </w:pPr>
    </w:p>
    <w:p>
      <w:pPr>
        <w:ind w:right="180" w:firstLine="648"/>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June 30</w:t>
            </w:r>
            <w:r>
              <w:rPr>
                <w:rFonts w:ascii="Arial" w:cs="Arial" w:eastAsia="Arial" w:hAnsi="Arial"/>
                <w:sz w:val="18"/>
                <w:szCs w:val="18"/>
                <w:color w:val="auto"/>
                <w:w w:val="87"/>
              </w:rPr>
              <w:t>,</w:t>
            </w:r>
            <w:r>
              <w:rPr>
                <w:rFonts w:ascii="Arial" w:cs="Arial" w:eastAsia="Arial" w:hAnsi="Arial"/>
                <w:sz w:val="18"/>
                <w:szCs w:val="18"/>
                <w:b w:val="1"/>
                <w:bCs w:val="1"/>
                <w:color w:val="auto"/>
                <w:w w:val="87"/>
              </w:rPr>
              <w:t xml:space="preserve"> 2017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7"/>
              </w:rPr>
              <w:t>(Unaudited)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(Note 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77,602,363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25,031,280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Short-term investment securities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8,808,930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19,853,860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Prepaid research and development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9,662,237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5,678,755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927,657</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216,397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97,044,477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50,864,144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Leasehold interest, net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2,479,349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2,042,281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799,391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799,391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164,375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101,197,751</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54,781,547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19,556,942</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15,267,668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1,389,516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152,381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152,568</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68,875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20,758,696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16,878,440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1,321,180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816,257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1,142,857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1,219,048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23,222,733</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18,913,745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88"/>
              </w:rPr>
              <w:t>Preferred stock, $0.001 par value per share (10,000,000 shares authorized, none issued and outstanding as of June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30, 2017 and December 31, 2016)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$0.001 par value per share (150,000,000 shares authorized, 68,127,202 and 56,820,422 shares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w w:val="91"/>
              </w:rPr>
              <w:t>issued, 68,085,893 and 56,779,113 shares outstanding at June 30, 2017 and December 31, 2016, respectively)</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370,608,641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272,432,139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41,309 shares at June 30, 2017 and December 31, 2016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(234,337)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(292,467,413)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(236,386,820)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77,975,018</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35,867,802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101,197,751</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54,781,547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License revenue</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38,095</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38,095</w:t>
            </w:r>
          </w:p>
        </w:tc>
        <w:tc>
          <w:tcPr>
            <w:tcW w:w="240" w:type="dxa"/>
            <w:vAlign w:val="bottom"/>
          </w:tcPr>
          <w:p>
            <w:pPr>
              <w:spacing w:after="0"/>
              <w:rPr>
                <w:sz w:val="21"/>
                <w:szCs w:val="2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76,190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76,190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1,266,322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567,157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3,572,421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954,082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25,439,477</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12,966,574</w:t>
            </w:r>
          </w:p>
        </w:tc>
        <w:tc>
          <w:tcPr>
            <w:tcW w:w="24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45,815,271</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24,196,989</w:t>
            </w:r>
          </w:p>
        </w:tc>
        <w:tc>
          <w:tcPr>
            <w:tcW w:w="24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26,705,799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13,533,731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49,387,692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25,151,071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223,406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1,081,240</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3,912,762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2,393,280</w:t>
            </w: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1,534,261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1,446,567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2,867,529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2,547,438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1,757,667</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2,527,807</w:t>
            </w:r>
          </w:p>
        </w:tc>
        <w:tc>
          <w:tcPr>
            <w:tcW w:w="24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6,780,291</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4,940,718</w:t>
            </w:r>
          </w:p>
        </w:tc>
        <w:tc>
          <w:tcPr>
            <w:tcW w:w="24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28,463,466</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16,061,538</w:t>
            </w:r>
          </w:p>
        </w:tc>
        <w:tc>
          <w:tcPr>
            <w:tcW w:w="24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56,167,983</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30,091,789</w:t>
            </w:r>
          </w:p>
        </w:tc>
        <w:tc>
          <w:tcPr>
            <w:tcW w:w="24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(28,425,371)</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(16,023,443)</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(56,091,793)</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(30,015,599)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(50,197)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(92,629)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(94,893)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(177,491)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(22,090)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(31,752)</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83,693</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(90,384)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(72,287)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(124,381)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(11,200)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(267,875)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(28,353,084)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(15,899,062)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(56,080,593)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(29,747,724)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(0.96)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88"/>
              </w:rPr>
              <w:t>Weighted average shares used in computing basic and diluted net loss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per common share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63,288,269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48,769,948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58,251,045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48,838,731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740" w:type="dxa"/>
            <w:vAlign w:val="bottom"/>
            <w:tcBorders>
              <w:right w:val="single" w:sz="8" w:color="CCEEFF"/>
            </w:tcBorders>
            <w:shd w:val="clear" w:color="auto" w:fill="CCEEFF"/>
          </w:tcPr>
          <w:p>
            <w:pPr>
              <w:spacing w:after="0"/>
              <w:rPr>
                <w:sz w:val="19"/>
                <w:szCs w:val="19"/>
                <w:color w:val="auto"/>
              </w:rPr>
            </w:pPr>
          </w:p>
        </w:tc>
        <w:tc>
          <w:tcPr>
            <w:tcW w:w="2080" w:type="dxa"/>
            <w:vAlign w:val="bottom"/>
            <w:gridSpan w:val="6"/>
            <w:shd w:val="clear" w:color="auto" w:fill="CCEEFF"/>
          </w:tcPr>
          <w:p>
            <w:pPr>
              <w:jc w:val="right"/>
              <w:ind w:right="640"/>
              <w:spacing w:after="0"/>
              <w:rPr>
                <w:sz w:val="20"/>
                <w:szCs w:val="20"/>
                <w:color w:val="auto"/>
              </w:rPr>
            </w:pPr>
            <w:r>
              <w:rPr>
                <w:rFonts w:ascii="Arial" w:cs="Arial" w:eastAsia="Arial" w:hAnsi="Arial"/>
                <w:sz w:val="15"/>
                <w:szCs w:val="15"/>
                <w:b w:val="1"/>
                <w:bCs w:val="1"/>
                <w:color w:val="auto"/>
              </w:rPr>
              <w:t>Common Stock</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80" w:type="dxa"/>
            <w:vAlign w:val="bottom"/>
            <w:gridSpan w:val="5"/>
            <w:shd w:val="clear" w:color="auto" w:fill="CCEEFF"/>
          </w:tcPr>
          <w:p>
            <w:pPr>
              <w:jc w:val="right"/>
              <w:ind w:right="600"/>
              <w:spacing w:after="0"/>
              <w:rPr>
                <w:sz w:val="20"/>
                <w:szCs w:val="20"/>
                <w:color w:val="auto"/>
              </w:rPr>
            </w:pPr>
            <w:r>
              <w:rPr>
                <w:rFonts w:ascii="Arial" w:cs="Arial" w:eastAsia="Arial" w:hAnsi="Arial"/>
                <w:sz w:val="15"/>
                <w:szCs w:val="15"/>
                <w:b w:val="1"/>
                <w:bCs w:val="1"/>
                <w:color w:val="auto"/>
              </w:rPr>
              <w:t>Treasury Stock</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20" w:type="dxa"/>
            <w:vAlign w:val="bottom"/>
            <w:tcBorders>
              <w:top w:val="single" w:sz="8" w:color="CCEEFF"/>
            </w:tcBorders>
            <w:gridSpan w:val="4"/>
          </w:tcPr>
          <w:p>
            <w:pPr>
              <w:jc w:val="right"/>
              <w:ind w:right="340"/>
              <w:spacing w:after="0" w:line="149" w:lineRule="exact"/>
              <w:rPr>
                <w:sz w:val="20"/>
                <w:szCs w:val="20"/>
                <w:color w:val="auto"/>
              </w:rPr>
            </w:pPr>
            <w:r>
              <w:rPr>
                <w:rFonts w:ascii="Arial" w:cs="Arial" w:eastAsia="Arial" w:hAnsi="Arial"/>
                <w:sz w:val="15"/>
                <w:szCs w:val="15"/>
                <w:b w:val="1"/>
                <w:bCs w:val="1"/>
                <w:color w:val="auto"/>
                <w:w w:val="93"/>
              </w:rPr>
              <w:t>Additional paid-</w:t>
            </w: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80" w:type="dxa"/>
            <w:vAlign w:val="bottom"/>
            <w:tcBorders>
              <w:top w:val="single" w:sz="8" w:color="CCEEFF"/>
            </w:tcBorders>
            <w:gridSpan w:val="2"/>
          </w:tcPr>
          <w:p>
            <w:pPr>
              <w:jc w:val="right"/>
              <w:ind w:right="380"/>
              <w:spacing w:after="0" w:line="149" w:lineRule="exact"/>
              <w:rPr>
                <w:sz w:val="20"/>
                <w:szCs w:val="20"/>
                <w:color w:val="auto"/>
              </w:rPr>
            </w:pPr>
            <w:r>
              <w:rPr>
                <w:rFonts w:ascii="Arial" w:cs="Arial" w:eastAsia="Arial" w:hAnsi="Arial"/>
                <w:sz w:val="15"/>
                <w:szCs w:val="15"/>
                <w:b w:val="1"/>
                <w:bCs w:val="1"/>
                <w:color w:val="auto"/>
                <w:w w:val="93"/>
              </w:rPr>
              <w:t>Accumulated</w:t>
            </w:r>
          </w:p>
        </w:tc>
        <w:tc>
          <w:tcPr>
            <w:tcW w:w="1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91"/>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b w:val="1"/>
                <w:bCs w:val="1"/>
                <w:color w:val="auto"/>
              </w:rPr>
              <w:t>in capital</w:t>
            </w:r>
          </w:p>
        </w:tc>
        <w:tc>
          <w:tcPr>
            <w:tcW w:w="320" w:type="dxa"/>
            <w:vAlign w:val="bottom"/>
          </w:tcPr>
          <w:p>
            <w:pPr>
              <w:spacing w:after="0"/>
              <w:rPr>
                <w:sz w:val="15"/>
                <w:szCs w:val="15"/>
                <w:color w:val="auto"/>
              </w:rPr>
            </w:pPr>
          </w:p>
        </w:tc>
        <w:tc>
          <w:tcPr>
            <w:tcW w:w="7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Shares</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91"/>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Deficit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Borders>
              <w:right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Balance at January 1, 2017</w:t>
            </w:r>
          </w:p>
        </w:tc>
        <w:tc>
          <w:tcPr>
            <w:tcW w:w="10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56,820,422</w:t>
            </w:r>
          </w:p>
        </w:tc>
        <w:tc>
          <w:tcPr>
            <w:tcW w:w="22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56,820</w:t>
            </w:r>
          </w:p>
        </w:tc>
        <w:tc>
          <w:tcPr>
            <w:tcW w:w="220" w:type="dxa"/>
            <w:vAlign w:val="bottom"/>
            <w:tcBorders>
              <w:left w:val="single" w:sz="8" w:color="CCEEFF"/>
            </w:tcBorders>
            <w:shd w:val="clear" w:color="auto" w:fill="CCEEFF"/>
          </w:tcPr>
          <w:p>
            <w:pPr>
              <w:spacing w:after="0"/>
              <w:rPr>
                <w:sz w:val="14"/>
                <w:szCs w:val="14"/>
                <w:color w:val="auto"/>
              </w:rPr>
            </w:pPr>
          </w:p>
        </w:tc>
        <w:tc>
          <w:tcPr>
            <w:tcW w:w="300" w:type="dxa"/>
            <w:vAlign w:val="bottom"/>
            <w:gridSpan w:val="2"/>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272,432,139</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41,309</w:t>
            </w:r>
          </w:p>
        </w:tc>
        <w:tc>
          <w:tcPr>
            <w:tcW w:w="420" w:type="dxa"/>
            <w:vAlign w:val="bottom"/>
            <w:tcBorders>
              <w:left w:val="single" w:sz="8" w:color="CCEEFF"/>
            </w:tcBorders>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(234,337)</w:t>
            </w:r>
          </w:p>
        </w:tc>
        <w:tc>
          <w:tcPr>
            <w:tcW w:w="2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(236,386,820)</w:t>
            </w:r>
          </w:p>
        </w:tc>
        <w:tc>
          <w:tcPr>
            <w:tcW w:w="4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35,867,802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tcPr>
          <w:p>
            <w:pPr>
              <w:spacing w:after="0" w:line="153" w:lineRule="exact"/>
              <w:rPr>
                <w:sz w:val="20"/>
                <w:szCs w:val="20"/>
                <w:color w:val="auto"/>
              </w:rPr>
            </w:pPr>
            <w:r>
              <w:rPr>
                <w:rFonts w:ascii="Arial" w:cs="Arial" w:eastAsia="Arial" w:hAnsi="Arial"/>
                <w:sz w:val="15"/>
                <w:szCs w:val="15"/>
                <w:color w:val="auto"/>
                <w:w w:val="99"/>
              </w:rPr>
              <w:t>Issuance of common stock in connection</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60" w:type="dxa"/>
            <w:vAlign w:val="bottom"/>
            <w:gridSpan w:val="2"/>
          </w:tcPr>
          <w:p>
            <w:pPr>
              <w:spacing w:after="0" w:line="172" w:lineRule="exact"/>
              <w:rPr>
                <w:sz w:val="20"/>
                <w:szCs w:val="20"/>
                <w:color w:val="auto"/>
              </w:rPr>
            </w:pPr>
            <w:r>
              <w:rPr>
                <w:rFonts w:ascii="Arial" w:cs="Arial" w:eastAsia="Arial" w:hAnsi="Arial"/>
                <w:sz w:val="15"/>
                <w:szCs w:val="15"/>
                <w:color w:val="auto"/>
              </w:rPr>
              <w:t>with exercise of warrants</w:t>
            </w:r>
          </w:p>
        </w:tc>
        <w:tc>
          <w:tcPr>
            <w:tcW w:w="1020" w:type="dxa"/>
            <w:vAlign w:val="bottom"/>
            <w:gridSpan w:val="2"/>
          </w:tcPr>
          <w:p>
            <w:pPr>
              <w:jc w:val="right"/>
              <w:ind w:right="160"/>
              <w:spacing w:after="0" w:line="172" w:lineRule="exact"/>
              <w:rPr>
                <w:sz w:val="20"/>
                <w:szCs w:val="20"/>
                <w:color w:val="auto"/>
              </w:rPr>
            </w:pPr>
            <w:r>
              <w:rPr>
                <w:rFonts w:ascii="Arial" w:cs="Arial" w:eastAsia="Arial" w:hAnsi="Arial"/>
                <w:sz w:val="15"/>
                <w:szCs w:val="15"/>
                <w:color w:val="auto"/>
              </w:rPr>
              <w:t>887,585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72" w:lineRule="exact"/>
              <w:rPr>
                <w:sz w:val="20"/>
                <w:szCs w:val="20"/>
                <w:color w:val="auto"/>
              </w:rPr>
            </w:pPr>
            <w:r>
              <w:rPr>
                <w:rFonts w:ascii="Arial" w:cs="Arial" w:eastAsia="Arial" w:hAnsi="Arial"/>
                <w:sz w:val="15"/>
                <w:szCs w:val="15"/>
                <w:color w:val="auto"/>
              </w:rPr>
              <w:t>888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2,142,195</w:t>
            </w:r>
          </w:p>
        </w:tc>
        <w:tc>
          <w:tcPr>
            <w:tcW w:w="32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Arial" w:cs="Arial" w:eastAsia="Arial" w:hAnsi="Arial"/>
                <w:sz w:val="15"/>
                <w:szCs w:val="15"/>
                <w:color w:val="auto"/>
              </w:rPr>
              <w:t>2,143,083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Borders>
              <w:right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10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1,088,131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1,088</w:t>
            </w: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(1,088)</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line="162" w:lineRule="exact"/>
              <w:rPr>
                <w:sz w:val="20"/>
                <w:szCs w:val="20"/>
                <w:color w:val="auto"/>
              </w:rPr>
            </w:pPr>
            <w:r>
              <w:rPr>
                <w:rFonts w:ascii="Arial" w:cs="Arial" w:eastAsia="Arial" w:hAnsi="Arial"/>
                <w:sz w:val="15"/>
                <w:szCs w:val="15"/>
                <w:color w:val="auto"/>
              </w:rPr>
              <w:t>Forfeiture of restricted stock</w:t>
            </w:r>
          </w:p>
        </w:tc>
        <w:tc>
          <w:tcPr>
            <w:tcW w:w="10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(20,625)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w:t>
            </w:r>
          </w:p>
        </w:tc>
        <w:tc>
          <w:tcPr>
            <w:tcW w:w="3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tcBorders>
              <w:right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Issuance of common stock in public</w:t>
            </w:r>
          </w:p>
        </w:tc>
        <w:tc>
          <w:tcPr>
            <w:tcW w:w="80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Borders>
              <w:right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offering (net of offering costs of $3.6</w:t>
            </w:r>
          </w:p>
        </w:tc>
        <w:tc>
          <w:tcPr>
            <w:tcW w:w="80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Borders>
              <w:right w:val="single" w:sz="8" w:color="CCEEFF"/>
            </w:tcBorders>
            <w:shd w:val="clear" w:color="auto" w:fill="CCEEFF"/>
          </w:tcPr>
          <w:p>
            <w:pPr>
              <w:spacing w:after="0" w:line="172" w:lineRule="exact"/>
              <w:rPr>
                <w:sz w:val="20"/>
                <w:szCs w:val="20"/>
                <w:color w:val="auto"/>
              </w:rPr>
            </w:pPr>
            <w:r>
              <w:rPr>
                <w:rFonts w:ascii="Arial" w:cs="Arial" w:eastAsia="Arial" w:hAnsi="Arial"/>
                <w:sz w:val="15"/>
                <w:szCs w:val="15"/>
                <w:color w:val="auto"/>
              </w:rPr>
              <w:t>million)</w:t>
            </w:r>
          </w:p>
        </w:tc>
        <w:tc>
          <w:tcPr>
            <w:tcW w:w="10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5,897,436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5,898</w:t>
            </w: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53,634,115</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53,640,013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tcPr>
          <w:p>
            <w:pPr>
              <w:spacing w:after="0" w:line="153" w:lineRule="exact"/>
              <w:rPr>
                <w:sz w:val="20"/>
                <w:szCs w:val="20"/>
                <w:color w:val="auto"/>
              </w:rPr>
            </w:pPr>
            <w:r>
              <w:rPr>
                <w:rFonts w:ascii="Arial" w:cs="Arial" w:eastAsia="Arial" w:hAnsi="Arial"/>
                <w:sz w:val="15"/>
                <w:szCs w:val="15"/>
                <w:color w:val="auto"/>
                <w:w w:val="93"/>
              </w:rPr>
              <w:t>Issuance of common stock in At-the-Market</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line="162" w:lineRule="exact"/>
              <w:rPr>
                <w:sz w:val="20"/>
                <w:szCs w:val="20"/>
                <w:color w:val="auto"/>
              </w:rPr>
            </w:pPr>
            <w:r>
              <w:rPr>
                <w:rFonts w:ascii="Arial" w:cs="Arial" w:eastAsia="Arial" w:hAnsi="Arial"/>
                <w:sz w:val="15"/>
                <w:szCs w:val="15"/>
                <w:color w:val="auto"/>
              </w:rPr>
              <w:t>offerings (net of offering costs of $0.6</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gridSpan w:val="2"/>
          </w:tcPr>
          <w:p>
            <w:pPr>
              <w:spacing w:after="0" w:line="172" w:lineRule="exact"/>
              <w:rPr>
                <w:sz w:val="20"/>
                <w:szCs w:val="20"/>
                <w:color w:val="auto"/>
              </w:rPr>
            </w:pPr>
            <w:r>
              <w:rPr>
                <w:rFonts w:ascii="Arial" w:cs="Arial" w:eastAsia="Arial" w:hAnsi="Arial"/>
                <w:sz w:val="15"/>
                <w:szCs w:val="15"/>
                <w:color w:val="auto"/>
              </w:rPr>
              <w:t>million)</w:t>
            </w:r>
          </w:p>
        </w:tc>
        <w:tc>
          <w:tcPr>
            <w:tcW w:w="1020" w:type="dxa"/>
            <w:vAlign w:val="bottom"/>
            <w:gridSpan w:val="2"/>
          </w:tcPr>
          <w:p>
            <w:pPr>
              <w:jc w:val="right"/>
              <w:ind w:right="160"/>
              <w:spacing w:after="0" w:line="172" w:lineRule="exact"/>
              <w:rPr>
                <w:sz w:val="20"/>
                <w:szCs w:val="20"/>
                <w:color w:val="auto"/>
              </w:rPr>
            </w:pPr>
            <w:r>
              <w:rPr>
                <w:rFonts w:ascii="Arial" w:cs="Arial" w:eastAsia="Arial" w:hAnsi="Arial"/>
                <w:sz w:val="15"/>
                <w:szCs w:val="15"/>
                <w:color w:val="auto"/>
              </w:rPr>
              <w:t>3,454,253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72" w:lineRule="exact"/>
              <w:rPr>
                <w:sz w:val="20"/>
                <w:szCs w:val="20"/>
                <w:color w:val="auto"/>
              </w:rPr>
            </w:pPr>
            <w:r>
              <w:rPr>
                <w:rFonts w:ascii="Arial" w:cs="Arial" w:eastAsia="Arial" w:hAnsi="Arial"/>
                <w:sz w:val="15"/>
                <w:szCs w:val="15"/>
                <w:color w:val="auto"/>
              </w:rPr>
              <w:t>3,454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34,916,076</w:t>
            </w:r>
          </w:p>
        </w:tc>
        <w:tc>
          <w:tcPr>
            <w:tcW w:w="32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Arial" w:cs="Arial" w:eastAsia="Arial" w:hAnsi="Arial"/>
                <w:sz w:val="15"/>
                <w:szCs w:val="15"/>
                <w:color w:val="auto"/>
              </w:rPr>
              <w:t>34,919,530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tcBorders>
              <w:right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w w:val="93"/>
              </w:rPr>
              <w:t>Compensation in respect of restricted stock</w:t>
            </w:r>
          </w:p>
        </w:tc>
        <w:tc>
          <w:tcPr>
            <w:tcW w:w="80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Borders>
              <w:right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granted to employees, directors and</w:t>
            </w:r>
          </w:p>
        </w:tc>
        <w:tc>
          <w:tcPr>
            <w:tcW w:w="80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Borders>
              <w:right w:val="single" w:sz="8" w:color="CCEEFF"/>
            </w:tcBorders>
            <w:shd w:val="clear" w:color="auto" w:fill="CCEEFF"/>
          </w:tcPr>
          <w:p>
            <w:pPr>
              <w:spacing w:after="0" w:line="172" w:lineRule="exact"/>
              <w:rPr>
                <w:sz w:val="20"/>
                <w:szCs w:val="20"/>
                <w:color w:val="auto"/>
              </w:rPr>
            </w:pPr>
            <w:r>
              <w:rPr>
                <w:rFonts w:ascii="Arial" w:cs="Arial" w:eastAsia="Arial" w:hAnsi="Arial"/>
                <w:sz w:val="15"/>
                <w:szCs w:val="15"/>
                <w:color w:val="auto"/>
              </w:rPr>
              <w:t>consultants</w:t>
            </w: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7,485,183</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7,485,183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(56,080,593)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(56,080,593)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740" w:type="dxa"/>
            <w:vAlign w:val="bottom"/>
            <w:tcBorders>
              <w:right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Balance at June 30, 2017</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68,127,202</w:t>
            </w:r>
          </w:p>
        </w:tc>
        <w:tc>
          <w:tcPr>
            <w:tcW w:w="220" w:type="dxa"/>
            <w:vAlign w:val="bottom"/>
            <w:tcBorders>
              <w:left w:val="single" w:sz="8" w:color="CCEEFF"/>
            </w:tcBorders>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68,127</w:t>
            </w:r>
          </w:p>
        </w:tc>
        <w:tc>
          <w:tcPr>
            <w:tcW w:w="220" w:type="dxa"/>
            <w:vAlign w:val="bottom"/>
            <w:tcBorders>
              <w:left w:val="single" w:sz="8" w:color="CCEEFF"/>
            </w:tcBorders>
            <w:shd w:val="clear" w:color="auto" w:fill="CCEEFF"/>
          </w:tcPr>
          <w:p>
            <w:pPr>
              <w:spacing w:after="0"/>
              <w:rPr>
                <w:sz w:val="15"/>
                <w:szCs w:val="15"/>
                <w:color w:val="auto"/>
              </w:rPr>
            </w:pPr>
          </w:p>
        </w:tc>
        <w:tc>
          <w:tcPr>
            <w:tcW w:w="300" w:type="dxa"/>
            <w:vAlign w:val="bottom"/>
            <w:gridSpan w:val="2"/>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370,608,641</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41,309</w:t>
            </w:r>
          </w:p>
        </w:tc>
        <w:tc>
          <w:tcPr>
            <w:tcW w:w="420" w:type="dxa"/>
            <w:vAlign w:val="bottom"/>
            <w:tcBorders>
              <w:left w:val="single" w:sz="8" w:color="CCEEFF"/>
            </w:tcBorders>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(234,337)</w:t>
            </w:r>
          </w:p>
        </w:tc>
        <w:tc>
          <w:tcPr>
            <w:tcW w:w="2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(292,467,413)</w:t>
            </w:r>
          </w:p>
        </w:tc>
        <w:tc>
          <w:tcPr>
            <w:tcW w:w="4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77,975,018</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87"/>
              </w:rPr>
              <w:t>Six months ended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(56,080,593)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(29,747,724)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7,485,183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3,347,362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Amortization of premium on investment securities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254,132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notes payable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restricted cash</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Increase in other current assets</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(4,251,493)</w:t>
            </w:r>
          </w:p>
        </w:tc>
        <w:tc>
          <w:tcPr>
            <w:tcW w:w="1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(5,700,293)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leasehold interest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(1,968,734)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Decrease (increase) in accrued interest receivable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40,562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395,375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Increase in accounts payable and accrued expenses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3,067,915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3,712,012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deferred rent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Decrease in deferred revenue</w:t>
            </w:r>
          </w:p>
        </w:tc>
        <w:tc>
          <w:tcPr>
            <w:tcW w:w="14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(76,191)</w:t>
            </w:r>
          </w:p>
        </w:tc>
        <w:tc>
          <w:tcPr>
            <w:tcW w:w="12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(76,191)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(49,131,960)</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(29,524,062)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(310,056)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held-to-maturity securities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(15,199,922)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maturity of short-term securities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11,000,000</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15,000,000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10,997,773</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(509,978)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2,143,083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88,562,187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3,504,261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Financing costs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90,705,270</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3,550,543</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52,571,083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(26,483,497)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25,031,280</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55,061,329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77,602,363</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28,577,832</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financing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233,646</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deferred financing costs to additional paid-in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(56,988)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Conversion of convertible notes payable to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30,601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(formerly known as Manhattan Pharmaceuticals, Inc., or Manhattan)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specific and unique epitope on the CD20 antigen found on mature B-lymphocytes. We are also developing TGR-1202 (umbralisib),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with TG-1101 also in clinical development for autoimmune disorders. The Company also has pre-clinical programs to develop IRAK4 (interleukin-1 receptor-associated kinase 4) inhibitors, BET (Bromodomain and Extra Terminal) inhibitors, and anti-PD-L1 and anti-GITR antibodies.</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2016. The accompanying condensed December 31, 2016 balance sheet has been derived from these statements. The results of operations for the three and six months ended June 30, 2017 are not necessarily indicative of the results that may be expected for the entire fiscal year or any other interim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June 30, 2017, we have an accumulated deficit of approximately $292.5 million.</w:t>
      </w:r>
    </w:p>
    <w:p>
      <w:pPr>
        <w:spacing w:after="0" w:line="186"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completing any post-approval regulatory obligations; and successfully commercializing our drug candidates alone or in partnership. We may continue to incur substantial operating losses even if we begin to generate revenues from our drug candidates.</w:t>
      </w:r>
    </w:p>
    <w:p>
      <w:pPr>
        <w:spacing w:after="0" w:line="170" w:lineRule="exact"/>
        <w:rPr>
          <w:sz w:val="20"/>
          <w:szCs w:val="20"/>
          <w:color w:val="auto"/>
        </w:rPr>
      </w:pPr>
    </w:p>
    <w:p>
      <w:pPr>
        <w:ind w:right="40" w:firstLine="648"/>
        <w:spacing w:after="0" w:line="318" w:lineRule="auto"/>
        <w:rPr>
          <w:sz w:val="20"/>
          <w:szCs w:val="20"/>
          <w:color w:val="auto"/>
        </w:rPr>
      </w:pPr>
      <w:r>
        <w:rPr>
          <w:rFonts w:ascii="Arial" w:cs="Arial" w:eastAsia="Arial" w:hAnsi="Arial"/>
          <w:sz w:val="15"/>
          <w:szCs w:val="15"/>
          <w:color w:val="auto"/>
        </w:rPr>
        <w:t>As of June 30, 2017, we had approximately $86.5 million in cash, cash equivalents, investment securities, and interest receivable. The Company believes its cash, cash equivalents, investment securities, and interest receivable on hand as of June 30, 2017 combined with the proceeds raised subsequent to the quarter end will be sufficient to fund the Company’s planned operations through 2018.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strategic plan, including the commercialization of any of our drug candidates (see Note 5 for further details).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May 2017, the Financial Accounting Standards Board ("FASB") issued Accounting Standards Update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1" w:lineRule="exact"/>
        <w:rPr>
          <w:sz w:val="20"/>
          <w:szCs w:val="20"/>
          <w:color w:val="auto"/>
        </w:rPr>
      </w:pPr>
    </w:p>
    <w:p>
      <w:pPr>
        <w:jc w:val="both"/>
        <w:ind w:left="980" w:hanging="324"/>
        <w:spacing w:after="0" w:line="28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980" w:hanging="32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9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We are currently evaluating the impact the adoption of ASU 2017-09 will have on our consolidated financial statements.</w:t>
      </w:r>
    </w:p>
    <w:p>
      <w:pPr>
        <w:spacing w:after="0" w:line="16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January 2017, the FASB issued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2" w:lineRule="exact"/>
        <w:rPr>
          <w:sz w:val="20"/>
          <w:szCs w:val="20"/>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Clarifies the requirements for excluding and allocating foreign currency translation adjustments to reporting units in connection with an entity’s testing of reporting units for goodwill impairment.</w:t>
      </w: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Clarifies that an entity should consider income tax effects from any tax deductible goodwill on the carrying amount of the reporting unit when measuring the goodwill impairment loss, if applicable.</w:t>
      </w:r>
    </w:p>
    <w:p>
      <w:pPr>
        <w:ind w:left="98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Makes minor changes to the overview and background sections of certain Accounting Standards Codification (“ASC” or “Codification”) subtopics and topics as part of the Board’s initiative to unify and improve those sections throughout the Codification.</w:t>
      </w:r>
    </w:p>
    <w:p>
      <w:pPr>
        <w:spacing w:after="0" w:line="192"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ASU 2017-04 is effective prospectively for annual and interim periods beginning on or after December 15, 2019, and early adoption is permitted on testing dates after January 1, 2017. We are currently evaluating the impact the adoption of ASU 2017-04 will have on our consolidated financial statements.</w:t>
      </w:r>
    </w:p>
    <w:p>
      <w:pPr>
        <w:spacing w:after="0" w:line="139" w:lineRule="exact"/>
        <w:rPr>
          <w:sz w:val="20"/>
          <w:szCs w:val="20"/>
          <w:color w:val="auto"/>
        </w:rPr>
      </w:pPr>
    </w:p>
    <w:p>
      <w:pPr>
        <w:ind w:right="60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three months or less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We record cash pledged or held in trust as restricted cash. As of June 30, 2017 and December 31, 2016, we have approximately $0.6 million of restricted cash pledged to secure a line of credit as a security deposit for an Office Agreement (see Note 8).</w:t>
      </w:r>
    </w:p>
    <w:p>
      <w:pPr>
        <w:spacing w:after="0" w:line="18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Investment securities at June 30, 2017 and December 31, 2016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67" w:lineRule="exact"/>
        <w:rPr>
          <w:sz w:val="20"/>
          <w:szCs w:val="20"/>
          <w:color w:val="auto"/>
        </w:rPr>
      </w:pPr>
    </w:p>
    <w:p>
      <w:pPr>
        <w:jc w:val="both"/>
        <w:ind w:right="380" w:firstLine="648"/>
        <w:spacing w:after="0" w:line="306" w:lineRule="auto"/>
        <w:rPr>
          <w:sz w:val="20"/>
          <w:szCs w:val="20"/>
          <w:color w:val="auto"/>
        </w:rPr>
      </w:pPr>
      <w:r>
        <w:rPr>
          <w:rFonts w:ascii="Arial" w:cs="Arial" w:eastAsia="Arial" w:hAnsi="Arial"/>
          <w:sz w:val="16"/>
          <w:szCs w:val="16"/>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would be included in interest and other (income) expense, net. Dividend and interest income are recognized when earned.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Prepaid research and development in our consolidated balance sheets includes, among other things, costs related to agreements with CRO’s, certain costs to third party service providers related to development and manufacturing services as well as clinical development. These agreements often require payments in advance of services performed or goods received. Accordingly, as of June 30, 2017 and December 31, 2016, we recorded approximately $9.7 million and $5.7 million, respectively, in prepaid research and development related to such advance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8"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if any, related to uncertain income tax positions in income tax expense.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We recognize all share-based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9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 addition, because some of the restricted stock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4,290,943 and 6,449,737 for the three and six months ended June 30, 2017 and 2016, respectively. The following outstanding shares of common stock equivalents were excluded from the computation of net loss per share attributable to common stockholders for the periods presented because including them would have been antidilutive:</w:t>
      </w:r>
    </w:p>
    <w:p>
      <w:pPr>
        <w:spacing w:after="0" w:line="166"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Three and Six Months Ended June 30,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78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Unvested restricted shares</w:t>
            </w:r>
          </w:p>
        </w:tc>
        <w:tc>
          <w:tcPr>
            <w:tcW w:w="1720" w:type="dxa"/>
            <w:vAlign w:val="bottom"/>
          </w:tcPr>
          <w:p>
            <w:pPr>
              <w:jc w:val="right"/>
              <w:spacing w:after="0"/>
              <w:rPr>
                <w:sz w:val="20"/>
                <w:szCs w:val="20"/>
                <w:color w:val="auto"/>
              </w:rPr>
            </w:pPr>
            <w:r>
              <w:rPr>
                <w:rFonts w:ascii="Arial" w:cs="Arial" w:eastAsia="Arial" w:hAnsi="Arial"/>
                <w:sz w:val="18"/>
                <w:szCs w:val="18"/>
                <w:color w:val="auto"/>
              </w:rPr>
              <w:t>4,275,762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5,270,084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note conversion</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14,945</w:t>
            </w:r>
          </w:p>
        </w:tc>
        <w:tc>
          <w:tcPr>
            <w:tcW w:w="20" w:type="dxa"/>
            <w:vAlign w:val="bottom"/>
          </w:tcPr>
          <w:p>
            <w:pPr>
              <w:spacing w:after="0"/>
              <w:rPr>
                <w:sz w:val="18"/>
                <w:szCs w:val="18"/>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1,164,708</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4,290,943</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6,449,737</w:t>
            </w: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80" w:firstLine="648"/>
        <w:spacing w:after="0" w:line="323" w:lineRule="auto"/>
        <w:rPr>
          <w:sz w:val="20"/>
          <w:szCs w:val="20"/>
          <w:color w:val="auto"/>
        </w:rPr>
      </w:pPr>
      <w:r>
        <w:rPr>
          <w:rFonts w:ascii="Arial" w:cs="Arial" w:eastAsia="Arial" w:hAnsi="Arial"/>
          <w:sz w:val="15"/>
          <w:szCs w:val="15"/>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 Expense and Deferred Rent</w:t>
      </w:r>
    </w:p>
    <w:p>
      <w:pPr>
        <w:spacing w:after="0" w:line="225" w:lineRule="exact"/>
        <w:rPr>
          <w:sz w:val="20"/>
          <w:szCs w:val="20"/>
          <w:color w:val="auto"/>
        </w:rPr>
      </w:pPr>
    </w:p>
    <w:p>
      <w:pPr>
        <w:ind w:right="140" w:firstLine="648"/>
        <w:spacing w:after="0" w:line="335" w:lineRule="auto"/>
        <w:rPr>
          <w:sz w:val="20"/>
          <w:szCs w:val="20"/>
          <w:color w:val="auto"/>
        </w:rPr>
      </w:pPr>
      <w:r>
        <w:rPr>
          <w:rFonts w:ascii="Arial" w:cs="Arial" w:eastAsia="Arial" w:hAnsi="Arial"/>
          <w:sz w:val="15"/>
          <w:szCs w:val="15"/>
          <w:color w:val="auto"/>
        </w:rPr>
        <w:t>Rent expense and lease incentives, including landlord construction allowances, are recognized on a straight-line basis over the lease term, commencing generally on the date the Company takes possession of the leased property. The Company records lease incentives as deferred rent and recognizes the lease incentives as reductions of rental expense. The unamortized portion of deferred rent is included in deferred rent in the condensed consolidated balance sheets.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5"/>
              </w:rPr>
              <w:t>NOTE 2</w:t>
            </w:r>
          </w:p>
        </w:tc>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 CASH AND CASH EQUIVALENTS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60" w:type="dxa"/>
            <w:vAlign w:val="bottom"/>
            <w:gridSpan w:val="4"/>
          </w:tcPr>
          <w:p>
            <w:pPr>
              <w:ind w:left="20"/>
              <w:spacing w:after="0"/>
              <w:rPr>
                <w:sz w:val="20"/>
                <w:szCs w:val="20"/>
                <w:color w:val="auto"/>
              </w:rPr>
            </w:pPr>
            <w:r>
              <w:rPr>
                <w:rFonts w:ascii="Arial" w:cs="Arial" w:eastAsia="Arial" w:hAnsi="Arial"/>
                <w:sz w:val="18"/>
                <w:szCs w:val="18"/>
                <w:color w:val="auto"/>
                <w:w w:val="96"/>
              </w:rPr>
              <w:t>The following tables summarize our cash and cash equivalents at June 30, 2017 and December 31, 2016:</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b w:val="1"/>
                <w:bCs w:val="1"/>
                <w:color w:val="auto"/>
                <w:w w:val="95"/>
              </w:rPr>
              <w:t>June 30, 2017</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20,145,411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20,978,947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Checking and bank deposits</w:t>
            </w:r>
          </w:p>
        </w:tc>
        <w:tc>
          <w:tcPr>
            <w:tcW w:w="1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57,456,952</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4,052,333</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Total</w:t>
            </w:r>
          </w:p>
        </w:tc>
        <w:tc>
          <w:tcPr>
            <w:tcW w:w="46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77,602,363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25,031,280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NOTE 3</w:t>
            </w:r>
          </w:p>
        </w:tc>
        <w:tc>
          <w:tcPr>
            <w:tcW w:w="46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INVESTMENT SECURITIES</w:t>
            </w:r>
          </w:p>
        </w:tc>
        <w:tc>
          <w:tcPr>
            <w:tcW w:w="1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40" w:type="dxa"/>
            <w:vAlign w:val="bottom"/>
            <w:gridSpan w:val="2"/>
            <w:vMerge w:val="continue"/>
          </w:tcPr>
          <w:p>
            <w:pPr>
              <w:spacing w:after="0"/>
              <w:rPr>
                <w:sz w:val="24"/>
                <w:szCs w:val="24"/>
                <w:color w:val="auto"/>
              </w:rPr>
            </w:pPr>
          </w:p>
        </w:tc>
        <w:tc>
          <w:tcPr>
            <w:tcW w:w="468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investments as of June 30, 2017 and December 31, 2016 are classified as held-to-maturity. Held-to-maturity investments are recorded at amortized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June 30, 2017 and December 31,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8"/>
                <w:szCs w:val="18"/>
                <w:b w:val="1"/>
                <w:bCs w:val="1"/>
                <w:color w:val="auto"/>
              </w:rPr>
              <w:t>June 30, 2017</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Amortized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unrealized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0"/>
              </w:rPr>
              <w:t>cost, as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holding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34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w w:val="83"/>
              </w:rPr>
              <w:t>holding gains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71"/>
              </w:rPr>
              <w:t>losses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2"/>
              </w:rPr>
              <w:t>Obligations of domestic governmental agencies (maturing between July 2017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September 2017) (held-to-maturity)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8,808,930</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8,805,925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8,808,930</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8,805,925</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December 31, 2016</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Amortized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unrealized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0"/>
              </w:rPr>
              <w:t>cost, as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holding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34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w w:val="83"/>
              </w:rPr>
              <w:t>holding gains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71"/>
              </w:rPr>
              <w:t>losses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2"/>
              </w:rPr>
              <w:t>Obligations of domestic governmental agencies (maturing between February 2017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and September 2017) (held-to-maturity)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19,853,860</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3,270</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19,854,638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19,853,860</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19,854,638</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22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right="500" w:firstLine="648"/>
        <w:spacing w:after="0" w:line="268" w:lineRule="auto"/>
        <w:rPr>
          <w:sz w:val="20"/>
          <w:szCs w:val="20"/>
          <w:color w:val="auto"/>
        </w:rPr>
      </w:pPr>
      <w:r>
        <w:rPr>
          <w:rFonts w:ascii="Arial" w:cs="Arial" w:eastAsia="Arial" w:hAnsi="Arial"/>
          <w:sz w:val="18"/>
          <w:szCs w:val="18"/>
          <w:color w:val="auto"/>
        </w:rPr>
        <w:t>As of June 30, 2017 and December 31, 2016, the fair values of cash and cash equivalents, restricted cash, accounts payable, and notes and interest payable, current portion approximate their carrying value.</w:t>
      </w:r>
    </w:p>
    <w:p>
      <w:pPr>
        <w:spacing w:after="0" w:line="186"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4"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 5% Notes was approximately $17.1 million at June 30, 2017 and $16.7 million at December 31, 2016. No payments have been made on the 5% Notes as of June 30, 2017.</w:t>
      </w:r>
    </w:p>
    <w:p>
      <w:pPr>
        <w:spacing w:after="0" w:line="186"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86"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June 30, 2017 and December 31, 2016.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the fair value measurements of applicable financial liabilities as of June 30, 2017 and December 31,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5140" w:type="dxa"/>
            <w:vAlign w:val="bottom"/>
            <w:tcBorders>
              <w:bottom w:val="single" w:sz="8" w:color="auto"/>
            </w:tcBorders>
            <w:gridSpan w:val="11"/>
          </w:tcPr>
          <w:p>
            <w:pPr>
              <w:jc w:val="right"/>
              <w:ind w:right="552"/>
              <w:spacing w:after="0"/>
              <w:rPr>
                <w:sz w:val="20"/>
                <w:szCs w:val="20"/>
                <w:color w:val="auto"/>
              </w:rPr>
            </w:pPr>
            <w:r>
              <w:rPr>
                <w:rFonts w:ascii="Arial" w:cs="Arial" w:eastAsia="Arial" w:hAnsi="Arial"/>
                <w:sz w:val="18"/>
                <w:szCs w:val="18"/>
                <w:b w:val="1"/>
                <w:bCs w:val="1"/>
                <w:color w:val="auto"/>
              </w:rPr>
              <w:t>Financial liabilities at fair value as of June 30, 2017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152,568</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152,568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152,568</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140" w:type="dxa"/>
            <w:vAlign w:val="bottom"/>
            <w:tcBorders>
              <w:bottom w:val="single" w:sz="8" w:color="auto"/>
            </w:tcBorders>
            <w:gridSpan w:val="11"/>
          </w:tcPr>
          <w:p>
            <w:pPr>
              <w:jc w:val="right"/>
              <w:ind w:right="352"/>
              <w:spacing w:after="0"/>
              <w:rPr>
                <w:sz w:val="20"/>
                <w:szCs w:val="20"/>
                <w:color w:val="auto"/>
              </w:rPr>
            </w:pPr>
            <w:r>
              <w:rPr>
                <w:rFonts w:ascii="Arial" w:cs="Arial" w:eastAsia="Arial" w:hAnsi="Arial"/>
                <w:sz w:val="18"/>
                <w:szCs w:val="18"/>
                <w:b w:val="1"/>
                <w:bCs w:val="1"/>
                <w:color w:val="auto"/>
                <w:w w:val="97"/>
              </w:rPr>
              <w:t>Financial liabilities at fair value as of December 31, 2016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68,875</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68,875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180" w:type="dxa"/>
            <w:vAlign w:val="bottom"/>
          </w:tcPr>
          <w:p>
            <w:pPr>
              <w:ind w:left="640"/>
              <w:spacing w:after="0"/>
              <w:rPr>
                <w:sz w:val="20"/>
                <w:szCs w:val="20"/>
                <w:color w:val="auto"/>
              </w:rPr>
            </w:pPr>
            <w:r>
              <w:rPr>
                <w:rFonts w:ascii="Arial" w:cs="Arial" w:eastAsia="Arial" w:hAnsi="Arial"/>
                <w:sz w:val="18"/>
                <w:szCs w:val="18"/>
                <w:color w:val="auto"/>
              </w:rPr>
              <w:t>The following table summarizes the changes in Level 3 instruments during the six months ended June 30, 2017: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415,208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5% notes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Change in fair value of Level 3 liabilities</w:t>
            </w: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(331,515)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June 30, 2017</w:t>
            </w: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152,568</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0" w:firstLine="648"/>
        <w:spacing w:after="0" w:line="323" w:lineRule="auto"/>
        <w:rPr>
          <w:sz w:val="20"/>
          <w:szCs w:val="20"/>
          <w:color w:val="auto"/>
        </w:rPr>
      </w:pPr>
      <w:r>
        <w:rPr>
          <w:rFonts w:ascii="Arial" w:cs="Arial" w:eastAsia="Arial" w:hAnsi="Arial"/>
          <w:sz w:val="15"/>
          <w:szCs w:val="15"/>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 stock.</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&amp; Co. LLC (the "2015 ATM") such that we may issue and sell additional shares of our common stock, having an aggregate offering price of up to $175.0 million, from time to time through MLV &amp; Co. LLC ("MLV") and FBR Capital Markets &amp; Co. ("FBR", each of MLV and FBR individually an "Agent" and collectively the "Agents"), acting as the sales agents. Under the 2015 ATM we pay the Agents a commission rate of up to 3.0% of the gross proceeds from the sale of any shares of common stock sold through the Agents.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2017, we sold a total of 3,104,253 shares of common stock under the 2015 ATM for total gross proceeds of approximately $31.6 million at an average selling price of $10.18 per share, resulting in net proceeds of approximately $31.0 million after deducting commissions and other transaction costs.</w:t>
      </w:r>
    </w:p>
    <w:p>
      <w:pPr>
        <w:spacing w:after="0" w:line="194" w:lineRule="exact"/>
        <w:rPr>
          <w:sz w:val="20"/>
          <w:szCs w:val="20"/>
          <w:color w:val="auto"/>
        </w:rPr>
      </w:pPr>
    </w:p>
    <w:p>
      <w:pPr>
        <w:jc w:val="both"/>
        <w:ind w:right="20" w:firstLine="648"/>
        <w:spacing w:after="0" w:line="306" w:lineRule="auto"/>
        <w:rPr>
          <w:sz w:val="20"/>
          <w:szCs w:val="20"/>
          <w:color w:val="auto"/>
        </w:rPr>
      </w:pPr>
      <w:r>
        <w:rPr>
          <w:rFonts w:ascii="Arial" w:cs="Arial" w:eastAsia="Arial" w:hAnsi="Arial"/>
          <w:sz w:val="16"/>
          <w:szCs w:val="16"/>
          <w:color w:val="auto"/>
        </w:rPr>
        <w:t>In March 2017, we completed an underwritten public offering of 5,128,206 shares of our common stock (plus a 30-day underwriter option to purchase up to an additional 769,230 shares of common stock, which was exercised) at a price of $9.75 per share. Net proceeds from this offering, including the overallotment, were approximately $54 million, net of underwriting discounts and offering expenses of approximately $3.6 million.</w:t>
      </w:r>
    </w:p>
    <w:p>
      <w:pPr>
        <w:spacing w:after="0" w:line="16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9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During the second quarter ended June 30, 2017, we sold a total of 350,000 shares of common stock under the 2017 ATM for aggregate total gross proceeds of approximately $4.0 million at an average selling price of $11.49 per share, resulting in net proceeds of approximately $4.0 million after deducting commissions and other transactions costs.</w:t>
      </w:r>
    </w:p>
    <w:p>
      <w:pPr>
        <w:spacing w:after="0" w:line="1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Subsequent to the second quarter, from July 1, 2017 through August 7, 2017, we sold an aggregate of 1,048,374 shares of common stock pursuant to the 2017 ATM for total gross proceeds of approximately $11.2 million at an average selling price of $10.66 per share, resulting in net proceeds of approximately $10.9 million after deducting commissions and other transactions costs.</w:t>
      </w:r>
    </w:p>
    <w:p>
      <w:pPr>
        <w:spacing w:after="0" w:line="194"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The 2017 S-3 is currently our only active shelf registration statement. After deducting shares already sold there is approximately $284.8 million of common stock that remains available for sale under the 2017 S-3. We may offer the securities under the 2017 S-3 from time to time in response to market conditions or other circumstances if we believe such a plan of financing is in the best interests of our stockholders. We believe that the 2017 S-3 provides us with the flexibility to raise additional capital to finance our operations as needed.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The TG Therapeutics, Inc. Amended and Restated 2012 Incentive Plan (“2012 Incentive Plan”) was approved by stockholders in June 2015. As of June 30, 2017, no options were outstanding and up to an additional 1,219,258 shares may be issued under the 2012 Incentive Plan.</w:t>
      </w:r>
    </w:p>
    <w:p>
      <w:pPr>
        <w:spacing w:after="0" w:line="13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Effective as of January 1, 2017, we entered into an amendment (the “Amendment”) to the employment agreement entered as of December 15, 2011 (together with the Amendment, the “Employment Agreement”) with Michael S. Weiss, our Executive Chairman and Chief Executive Officer and President of the Company.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vested on market capitalization thresholds ranging from $375 million to $750 million. In accordance with GAAP, there was no incremental stock compensation expense recognition as a result of the modification.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 The following table summarizes restricted share activity for the six months ended June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4"/>
              </w:rPr>
              <w:t>Average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9"/>
              </w:rPr>
              <w:t>Number of</w:t>
            </w:r>
          </w:p>
        </w:tc>
        <w:tc>
          <w:tcPr>
            <w:tcW w:w="1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3"/>
              </w:rPr>
              <w:t>Grant Date</w:t>
            </w: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8,642,055</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1,088,131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(3,933,798)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(20,625)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June 30, 2017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5,775,763</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Total expense associated with restricted stock grants was approximately $1.5 million and $1.6 million during the three months ended June 30, 2017 and 2016, respectively, and $7.5 million, and $3.3 million during the six months ended June 30, 2017 and 2016, respectively. As of June 30, 2017, there was approximately $9.2 million of total unrecognized compensation cost related to unvested time-based restricted stock, which is expected to be recognized over a weighted-average period of 1.4 years. The unrecognized compensation amount does not include, as of June 30, 2017, 1,094,877 shares of restricted stock outstanding which are milestone-based and vest upon certain corporate milestones; and 2,314,250 shares of restricted stock outstanding issued to non-employees, the expense for which is determined each reporting period at the measurement date. The expense for non-employee awards is recognized over the vesting period of the award. Until the measurement date is reached, the total amount of compensation expense remains uncertain. We record compensation expense based on the fair value of the award at the reporting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six months ended June 30, 2017: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87"/>
              </w:rPr>
              <w:t>Weighted-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5"/>
              </w:rPr>
              <w:t>Aggregate</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average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1"/>
              </w:rPr>
              <w:t>Intrinsic</w:t>
            </w:r>
          </w:p>
        </w:tc>
      </w:tr>
      <w:tr>
        <w:trPr>
          <w:trHeight w:val="237"/>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Warrants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3"/>
              </w:rPr>
              <w:t>exercise price</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right="12"/>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69"/>
        </w:trPr>
        <w:tc>
          <w:tcPr>
            <w:tcW w:w="20" w:type="dxa"/>
            <w:vAlign w:val="bottom"/>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913,381</w:t>
            </w:r>
          </w:p>
        </w:tc>
        <w:tc>
          <w:tcPr>
            <w:tcW w:w="34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1,961,403</w:t>
            </w:r>
          </w:p>
        </w:tc>
        <w:tc>
          <w:tcPr>
            <w:tcW w:w="200" w:type="dxa"/>
            <w:vAlign w:val="bottom"/>
          </w:tcPr>
          <w:p>
            <w:pPr>
              <w:spacing w:after="0"/>
              <w:rPr>
                <w:sz w:val="23"/>
                <w:szCs w:val="23"/>
                <w:color w:val="auto"/>
              </w:rPr>
            </w:pPr>
          </w:p>
        </w:tc>
      </w:tr>
      <w:tr>
        <w:trPr>
          <w:trHeight w:val="22"/>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(887,585)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(25,796)</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June 30, 2017</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any stock options during the six months ended June 30, 2017 and 2016.</w:t>
      </w:r>
    </w:p>
    <w:p>
      <w:pPr>
        <w:spacing w:after="0" w:line="225"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The following table summarizes stock-based compensation expense information about restricted stock and stock options for the three and six months ended June 30, 2017 and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7"/>
              </w:rPr>
              <w:t>Three months ended June 30,</w:t>
            </w:r>
          </w:p>
        </w:tc>
        <w:tc>
          <w:tcPr>
            <w:tcW w:w="38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20" w:type="dxa"/>
            <w:vAlign w:val="bottom"/>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Six months ended June 30,</w:t>
            </w:r>
          </w:p>
        </w:tc>
      </w:tr>
      <w:tr>
        <w:trPr>
          <w:trHeight w:val="250"/>
        </w:trPr>
        <w:tc>
          <w:tcPr>
            <w:tcW w:w="20" w:type="dxa"/>
            <w:vAlign w:val="bottom"/>
          </w:tcPr>
          <w:p>
            <w:pPr>
              <w:spacing w:after="0"/>
              <w:rPr>
                <w:sz w:val="21"/>
                <w:szCs w:val="21"/>
                <w:color w:val="auto"/>
              </w:rPr>
            </w:pPr>
          </w:p>
        </w:tc>
        <w:tc>
          <w:tcPr>
            <w:tcW w:w="516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CCEEFF"/>
            </w:tcBorders>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4"/>
              </w:rPr>
              <w:t>Stock-based compensation expense associated with restricted stock</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1,489,728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1,648,397</w:t>
            </w:r>
          </w:p>
        </w:tc>
        <w:tc>
          <w:tcPr>
            <w:tcW w:w="56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7,485,183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3,347,362</w:t>
            </w:r>
          </w:p>
        </w:tc>
        <w:tc>
          <w:tcPr>
            <w:tcW w:w="220" w:type="dxa"/>
            <w:vAlign w:val="bottom"/>
            <w:tcBorders>
              <w:left w:val="single" w:sz="8" w:color="CCEEFF"/>
            </w:tcBorders>
            <w:shd w:val="clear" w:color="auto" w:fill="CCEEFF"/>
          </w:tcPr>
          <w:p>
            <w:pPr>
              <w:spacing w:after="0"/>
              <w:rPr>
                <w:sz w:val="21"/>
                <w:szCs w:val="21"/>
                <w:color w:val="auto"/>
              </w:rPr>
            </w:pPr>
          </w:p>
        </w:tc>
      </w:tr>
      <w:tr>
        <w:trPr>
          <w:trHeight w:val="28"/>
        </w:trPr>
        <w:tc>
          <w:tcPr>
            <w:tcW w:w="20" w:type="dxa"/>
            <w:vAlign w:val="bottom"/>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r>
      <w:tr>
        <w:trPr>
          <w:trHeight w:val="242"/>
        </w:trPr>
        <w:tc>
          <w:tcPr>
            <w:tcW w:w="20" w:type="dxa"/>
            <w:vAlign w:val="bottom"/>
          </w:tcPr>
          <w:p>
            <w:pPr>
              <w:spacing w:after="0"/>
              <w:rPr>
                <w:sz w:val="21"/>
                <w:szCs w:val="21"/>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1,489,728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1,648,397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7,485,183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3,347,362</w:t>
            </w:r>
          </w:p>
        </w:tc>
        <w:tc>
          <w:tcPr>
            <w:tcW w:w="220" w:type="dxa"/>
            <w:vAlign w:val="bottom"/>
          </w:tcPr>
          <w:p>
            <w:pPr>
              <w:spacing w:after="0"/>
              <w:rPr>
                <w:sz w:val="21"/>
                <w:szCs w:val="21"/>
                <w:color w:val="auto"/>
              </w:rPr>
            </w:pPr>
          </w:p>
        </w:tc>
      </w:tr>
      <w:tr>
        <w:trPr>
          <w:trHeight w:val="28"/>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430"/>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640" w:type="dxa"/>
            <w:vAlign w:val="bottom"/>
            <w:gridSpan w:val="2"/>
          </w:tcPr>
          <w:p>
            <w:pPr>
              <w:ind w:left="440"/>
              <w:spacing w:after="0"/>
              <w:rPr>
                <w:sz w:val="20"/>
                <w:szCs w:val="20"/>
                <w:color w:val="auto"/>
              </w:rPr>
            </w:pPr>
            <w:r>
              <w:rPr>
                <w:rFonts w:ascii="Arial" w:cs="Arial" w:eastAsia="Arial" w:hAnsi="Arial"/>
                <w:sz w:val="18"/>
                <w:szCs w:val="18"/>
                <w:color w:val="auto"/>
                <w:w w:val="89"/>
              </w:rPr>
              <w:t>15</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4"/>
        </w:trPr>
        <w:tc>
          <w:tcPr>
            <w:tcW w:w="2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0" w:right="239" w:bottom="616"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NOTES PAYABLE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notes payable: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June 30, 2017</w:t>
            </w: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gridSpan w:val="5"/>
            <w:shd w:val="clear" w:color="auto" w:fill="CCEEFF"/>
          </w:tcPr>
          <w:p>
            <w:pPr>
              <w:jc w:val="center"/>
              <w:ind w:left="652"/>
              <w:spacing w:after="0"/>
              <w:rPr>
                <w:sz w:val="20"/>
                <w:szCs w:val="20"/>
                <w:color w:val="auto"/>
              </w:rPr>
            </w:pPr>
            <w:r>
              <w:rPr>
                <w:rFonts w:ascii="Arial" w:cs="Arial" w:eastAsia="Arial" w:hAnsi="Arial"/>
                <w:sz w:val="18"/>
                <w:szCs w:val="18"/>
                <w:b w:val="1"/>
                <w:bCs w:val="1"/>
                <w:color w:val="auto"/>
                <w:w w:val="87"/>
              </w:rPr>
              <w:t>December 31</w:t>
            </w:r>
            <w:r>
              <w:rPr>
                <w:rFonts w:ascii="Arial" w:cs="Arial" w:eastAsia="Arial" w:hAnsi="Arial"/>
                <w:sz w:val="18"/>
                <w:szCs w:val="18"/>
                <w:color w:val="auto"/>
                <w:w w:val="87"/>
              </w:rPr>
              <w:t>,</w:t>
            </w:r>
            <w:r>
              <w:rPr>
                <w:rFonts w:ascii="Arial" w:cs="Arial" w:eastAsia="Arial" w:hAnsi="Arial"/>
                <w:sz w:val="18"/>
                <w:szCs w:val="18"/>
                <w:b w:val="1"/>
                <w:bCs w:val="1"/>
                <w:color w:val="auto"/>
                <w:w w:val="87"/>
              </w:rPr>
              <w:t xml:space="preserve"> 2016</w:t>
            </w: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400"/>
              <w:spacing w:after="0" w:line="201" w:lineRule="exact"/>
              <w:rPr>
                <w:sz w:val="20"/>
                <w:szCs w:val="20"/>
                <w:color w:val="auto"/>
              </w:rPr>
            </w:pPr>
            <w:r>
              <w:rPr>
                <w:rFonts w:ascii="Arial" w:cs="Arial" w:eastAsia="Arial" w:hAnsi="Arial"/>
                <w:sz w:val="18"/>
                <w:szCs w:val="18"/>
                <w:b w:val="1"/>
                <w:bCs w:val="1"/>
                <w:color w:val="auto"/>
                <w:w w:val="87"/>
              </w:rPr>
              <w:t>Non-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0"/>
              <w:spacing w:after="0" w:line="201"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2"/>
              <w:spacing w:after="0"/>
              <w:rPr>
                <w:sz w:val="20"/>
                <w:szCs w:val="20"/>
                <w:color w:val="auto"/>
              </w:rPr>
            </w:pPr>
            <w:r>
              <w:rPr>
                <w:rFonts w:ascii="Arial" w:cs="Arial" w:eastAsia="Arial" w:hAnsi="Arial"/>
                <w:sz w:val="18"/>
                <w:szCs w:val="18"/>
                <w:b w:val="1"/>
                <w:bCs w:val="1"/>
                <w:color w:val="auto"/>
                <w:w w:val="95"/>
              </w:rPr>
              <w:t>Current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current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current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portion,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portion,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portion,</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portion,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net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8"/>
              </w:rPr>
              <w:t>net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8"/>
              </w:rPr>
              <w:t>net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net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152,568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68,875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152,568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152,568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68,875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68,875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these notes was approximately $17.1 million at June 30, 2017 and $16.7 million at December 31, 2016. No payments have been made on the 5% Notes as of June 30, 2017.</w:t>
      </w:r>
    </w:p>
    <w:p>
      <w:pPr>
        <w:spacing w:after="0" w:line="186" w:lineRule="exact"/>
        <w:rPr>
          <w:sz w:val="20"/>
          <w:szCs w:val="20"/>
          <w:color w:val="auto"/>
        </w:rPr>
      </w:pPr>
    </w:p>
    <w:p>
      <w:pPr>
        <w:ind w:right="560" w:firstLine="648"/>
        <w:spacing w:after="0" w:line="332"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(see Note 8) for the development and commercialization of Jubilant’s novel BET inhibitor program in the field of hematological malignancies.</w:t>
      </w:r>
    </w:p>
    <w:p>
      <w:pPr>
        <w:spacing w:after="0" w:line="19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480" w:firstLine="648"/>
        <w:spacing w:after="0" w:line="256"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June 30, 2017 and 2016, and $76,000 for each of the six months ended June 30, 2017 and 2016 and, at June 30, 2017 and December 31, 2016, have deferred revenue of approximately $1.3 million and $1.4 million, respectively, associated with this $2.0 million payment (approximately $0.2 million of which has been classified in current liabilities at June 30, 2017 and December 31, 2016).</w:t>
      </w:r>
    </w:p>
    <w:p>
      <w:pPr>
        <w:spacing w:after="0" w:line="17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terms of the LFB License Agreement, we utilize LFB Group for certain development and manufacturing services. We incurred expenses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$2.3 million during the three months ended June 30, 2017 and 2016, respectively, and $0.5 million and $2.3 million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2017 and 2016, respectively, which have been included in other research and development expenses in the accompanying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As of June 30, 2017 and December 31, 2016, we had approximately $0 and $0.4 million, respectively, recorded in accounts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LFB License Agreement. In conjunction with the development and manufacturing services discussed above, certain agreements between us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LFB Group require payments in advance of services performed or goods delivered. Accordingly, as of June 30, 2017 and December 31, 2016, we recorded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$1.8 million and $1.3 million, respectively, in prepaid research and development for such advance payments.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right="260" w:firstLine="648"/>
        <w:spacing w:after="0" w:line="294" w:lineRule="auto"/>
        <w:rPr>
          <w:sz w:val="20"/>
          <w:szCs w:val="20"/>
          <w:color w:val="auto"/>
        </w:rPr>
      </w:pPr>
      <w:r>
        <w:rPr>
          <w:rFonts w:ascii="Arial" w:cs="Arial" w:eastAsia="Arial" w:hAnsi="Arial"/>
          <w:sz w:val="16"/>
          <w:szCs w:val="16"/>
          <w:color w:val="auto"/>
        </w:rPr>
        <w:t>In March 2014, we entered into a shared services agreement (the “Opus Shared Services Agreement”) with Opus Point Partners Management, LLC (“Opus”) in which the parties agreed to share the costs of a rented facility and certain other services. Our Executive Chairman and Chief Executive Officer is a Managing Member of Opus. During the three and six months ended June 30, 2017, we incurred no expenses related to this agreement, as compared to incurred expenses of approximately $0.02 million and $0.1 million during the three and six months ended June 30, 2016, respectively. The Opus Shared Services Agreement is no longer in effect as we began occupying new space in April 2016.</w:t>
      </w:r>
    </w:p>
    <w:p>
      <w:pPr>
        <w:spacing w:after="0" w:line="170" w:lineRule="exact"/>
        <w:rPr>
          <w:sz w:val="20"/>
          <w:szCs w:val="20"/>
          <w:color w:val="auto"/>
        </w:rPr>
      </w:pPr>
    </w:p>
    <w:p>
      <w:pPr>
        <w:ind w:right="120" w:firstLine="648"/>
        <w:spacing w:after="0" w:line="260" w:lineRule="auto"/>
        <w:rPr>
          <w:sz w:val="20"/>
          <w:szCs w:val="20"/>
          <w:color w:val="auto"/>
        </w:rPr>
      </w:pPr>
      <w:r>
        <w:rPr>
          <w:rFonts w:ascii="Arial" w:cs="Arial" w:eastAsia="Arial" w:hAnsi="Arial"/>
          <w:sz w:val="18"/>
          <w:szCs w:val="18"/>
          <w:color w:val="auto"/>
        </w:rPr>
        <w:t>In October 2014, we entered into an agreement (the “Office Agreement”) with Fortress Biotech, Inc. (“Fortress”), to occupy approximately 45% of the 24,000 square feet of New York City office space leased by Fortress,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six months ended June 30, 2017, we recorded rent expense of approximately $0.7 million and at June 30, 2017, have deferred rent of approximately $1.3 million. Mr. Weiss is also Executive Vice Chairman of Fortress.</w:t>
      </w:r>
    </w:p>
    <w:p>
      <w:pPr>
        <w:spacing w:after="0" w:line="194" w:lineRule="exact"/>
        <w:rPr>
          <w:sz w:val="20"/>
          <w:szCs w:val="20"/>
          <w:color w:val="auto"/>
        </w:rPr>
      </w:pPr>
    </w:p>
    <w:p>
      <w:pPr>
        <w:ind w:right="100" w:firstLine="648"/>
        <w:spacing w:after="0" w:line="283" w:lineRule="auto"/>
        <w:rPr>
          <w:sz w:val="20"/>
          <w:szCs w:val="20"/>
          <w:color w:val="auto"/>
        </w:rPr>
      </w:pPr>
      <w:r>
        <w:rPr>
          <w:rFonts w:ascii="Arial" w:cs="Arial" w:eastAsia="Arial" w:hAnsi="Arial"/>
          <w:sz w:val="16"/>
          <w:szCs w:val="16"/>
          <w:color w:val="auto"/>
        </w:rPr>
        <w:t>Under the Office Agreement, we agreed to pay Fortress our portion of the build out costs, which have been allocated to us at the 45% rate mentioned above. The allocated build-out costs have been recorded in Leasehold Interest and will be amortized over the 15-year term of the Office Agreement. After an initial commitment period of the 45% rate for a period of three (3) years, we and Fortress will determine actual office space utilization annually and if our utilization differs from the amount we have been billed, we will either receive credits or be assessed incremental utilization charges. As of June 30, 2017, we had approximately $0.5 million recorded in accounts payable of which $0.1 million related to rent and build-out costs.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7" w:name="page18"/>
    <w:bookmarkEnd w:id="17"/>
    <w:p>
      <w:pPr>
        <w:ind w:right="60" w:firstLine="648"/>
        <w:spacing w:after="0" w:line="255" w:lineRule="auto"/>
        <w:rPr>
          <w:sz w:val="20"/>
          <w:szCs w:val="20"/>
          <w:color w:val="auto"/>
        </w:rPr>
      </w:pPr>
      <w:r>
        <w:rPr>
          <w:rFonts w:ascii="Arial" w:cs="Arial" w:eastAsia="Arial" w:hAnsi="Arial"/>
          <w:sz w:val="18"/>
          <w:szCs w:val="18"/>
          <w:color w:val="auto"/>
        </w:rPr>
        <w:t>In July 2015, we entered into a Shared Services Agreement (the “Shared Services Agreement”) with Fortress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$0.7 million and $0.4 million for shared services for the six months ended June 30, 2017 and 2016, respectively, and expenses of approximately $0.4 million and $0.2 million for the three months ended June 30, 2017 and 2016, primarily related to shared personnel.</w:t>
      </w:r>
    </w:p>
    <w:p>
      <w:pPr>
        <w:spacing w:after="0" w:line="197"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In May 2016, as part of a broader agreement with Jubilant, an India-based biotechnology company, we entered into the JBET Agreement with Checkpoint, a subsidiary of Fortress, for the development and commercialization of Jubilant’s novel BET inhibitor program in the field of hematological malignancies. We paid Checkpoint an up-front licensing fee of $1.0 million and incurred expenses of $0.2 million for the first milestone achievement as part of the JBET Agreement recorded in other research and development. As of both June 30, 2017 and December 31, 2016, we had approximately $0.8 million recorded in accounts payable, related mostly to the JBET Agreement. Mr. Weiss is also the Executive Chairman of Checkpoint.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LITIGATION</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On January 6, 2017, a purported securities class action complaint was filed in New York federal court against the Company and certain of its directors, officers or consultants on behalf of all shareholders who purchased or otherwise acquired TG Therapeutics common stock between September 15, 2014 and October 12, 2016 (the “Class Period”). The case was captioned </w:t>
      </w:r>
      <w:r>
        <w:rPr>
          <w:rFonts w:ascii="Arial" w:cs="Arial" w:eastAsia="Arial" w:hAnsi="Arial"/>
          <w:sz w:val="16"/>
          <w:szCs w:val="16"/>
          <w:i w:val="1"/>
          <w:iCs w:val="1"/>
          <w:color w:val="auto"/>
        </w:rPr>
        <w:t>John Lyon v. TG Therapeutics, Michael S. Weiss, Sean A. Power and Robert Niecestro</w:t>
      </w:r>
      <w:r>
        <w:rPr>
          <w:rFonts w:ascii="Arial" w:cs="Arial" w:eastAsia="Arial" w:hAnsi="Arial"/>
          <w:sz w:val="16"/>
          <w:szCs w:val="16"/>
          <w:color w:val="auto"/>
        </w:rPr>
        <w:t xml:space="preserve">, Case No. 1:17-cv-00112-VM (S.D.N.Y.). The complaint alleged that, throughout the Class Period various statements made by the Company regarding its GENUINE Phase 3 trial were materially false or misleading when made in violation of the Securities Exchange Act of 1934 and Rule 10b-5 promulgated thereunder. On January 24, 2017, a second purported class action complaint was filed in New York federal court against the Company and certain of its directors, officers or consultants on behalf of all shareholders who purchased or otherwise acquired TG Therapeutics common stock between September 15, 2014 and October 12, 2016. The case was captioned </w:t>
      </w:r>
      <w:r>
        <w:rPr>
          <w:rFonts w:ascii="Arial" w:cs="Arial" w:eastAsia="Arial" w:hAnsi="Arial"/>
          <w:sz w:val="16"/>
          <w:szCs w:val="16"/>
          <w:i w:val="1"/>
          <w:iCs w:val="1"/>
          <w:color w:val="auto"/>
        </w:rPr>
        <w:t>Kenneth C. Wyzgoski v. TG Therapeutics, Michael S. Weiss, Sean A. Power and Robert Niecestro</w:t>
      </w:r>
      <w:r>
        <w:rPr>
          <w:rFonts w:ascii="Arial" w:cs="Arial" w:eastAsia="Arial" w:hAnsi="Arial"/>
          <w:sz w:val="16"/>
          <w:szCs w:val="16"/>
          <w:color w:val="auto"/>
        </w:rPr>
        <w:t xml:space="preserve">, Case No. 1:17-cv-00508-VM (S.D.N.Y.). The claims and allegations in the Wyzgoski complaint were substantially identical to those in the Lyon case. By order dated March 23, 2017, the court consolidated the Lyon and Wyzgoski cases into one action, captioned </w:t>
      </w:r>
      <w:r>
        <w:rPr>
          <w:rFonts w:ascii="Arial" w:cs="Arial" w:eastAsia="Arial" w:hAnsi="Arial"/>
          <w:sz w:val="16"/>
          <w:szCs w:val="16"/>
          <w:i w:val="1"/>
          <w:iCs w:val="1"/>
          <w:color w:val="auto"/>
        </w:rPr>
        <w:t>In re TG Therapeutics Securities Litigation</w:t>
      </w:r>
      <w:r>
        <w:rPr>
          <w:rFonts w:ascii="Arial" w:cs="Arial" w:eastAsia="Arial" w:hAnsi="Arial"/>
          <w:sz w:val="16"/>
          <w:szCs w:val="16"/>
          <w:color w:val="auto"/>
        </w:rPr>
        <w:t>, Case No. 1:17-cv-00112-VM (S.D.N.Y.), appointed lead plaintiffs in the case, and approved lead plaintiffs’ selection of lead counsel. On April 5, 2017 the Court so ordered a stipulation pursuant to which lead plaintiffs voluntarily dismissed the consolidated action in its entirety without prejudice. The Company denies the allegations and claims made in the above-referenced actions and no consideration was given by the Company in connection with lead plaintiffs’ voluntary dismissal of the consolidated action.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20" w:firstLine="648"/>
        <w:spacing w:after="0" w:line="323" w:lineRule="auto"/>
        <w:rPr>
          <w:sz w:val="20"/>
          <w:szCs w:val="20"/>
          <w:color w:val="auto"/>
        </w:rPr>
      </w:pPr>
      <w:r>
        <w:rPr>
          <w:rFonts w:ascii="Arial" w:cs="Arial" w:eastAsia="Arial" w:hAnsi="Arial"/>
          <w:sz w:val="15"/>
          <w:szCs w:val="15"/>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52" w:lineRule="exact"/>
        <w:rPr>
          <w:sz w:val="20"/>
          <w:szCs w:val="20"/>
          <w:color w:val="auto"/>
        </w:rPr>
      </w:pPr>
    </w:p>
    <w:p>
      <w:pPr>
        <w:ind w:right="260" w:firstLine="648"/>
        <w:spacing w:after="0" w:line="306" w:lineRule="auto"/>
        <w:rPr>
          <w:sz w:val="20"/>
          <w:szCs w:val="20"/>
          <w:color w:val="auto"/>
        </w:rPr>
      </w:pPr>
      <w:r>
        <w:rPr>
          <w:rFonts w:ascii="Arial" w:cs="Arial" w:eastAsia="Arial" w:hAnsi="Arial"/>
          <w:sz w:val="16"/>
          <w:szCs w:val="16"/>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specific and unique epitope on the CD20 antigen found on mature B-lymphocytes. We are also developing TGR-1202 (umbralisib),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with TG-1101 also in clinical development for autoimmune disorders. The Company also has pre-clinical programs to develop IRAK4 (interleukin-1 receptor-associated kinase 4) inhibitors, BET (Bromodomain and Extra Terminal) inhibitors, and anti-PD-L1 and anti-GITR antibodies.</w:t>
      </w:r>
    </w:p>
    <w:p>
      <w:pPr>
        <w:spacing w:after="0" w:line="17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by us to Ildong in November 2012.</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 the leading anti-CD20 monoclonal antibody, which had worldwide sales in 2016 of more than $7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Subsequently, a single-agent Phase I study was undertaken in the US enrolling patients with both NHL and CLL. In both studies, single agent therapy with TG-1101 was deemed well tolerated by treating investigators and displayed promising clinical activity in relapsed and refractory patients.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221" w:lineRule="exact"/>
        <w:rPr>
          <w:sz w:val="20"/>
          <w:szCs w:val="20"/>
          <w:color w:val="auto"/>
        </w:rPr>
      </w:pPr>
    </w:p>
    <w:p>
      <w:pPr>
        <w:ind w:left="500" w:right="180" w:hanging="168"/>
        <w:spacing w:after="0" w:line="268" w:lineRule="auto"/>
        <w:tabs>
          <w:tab w:leader="none" w:pos="4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GENUINE Trial – a randomized controlled Phase 3 trial evaluating TG-1101 in combination with ibrutinib, for previously treated CLL patients with high risk cytogenetics;</w:t>
      </w:r>
    </w:p>
    <w:p>
      <w:pPr>
        <w:spacing w:after="0" w:line="212" w:lineRule="exact"/>
        <w:rPr>
          <w:rFonts w:ascii="Arial" w:cs="Arial" w:eastAsia="Arial" w:hAnsi="Arial"/>
          <w:sz w:val="18"/>
          <w:szCs w:val="18"/>
          <w:color w:val="auto"/>
        </w:rPr>
      </w:pPr>
    </w:p>
    <w:p>
      <w:pPr>
        <w:ind w:left="500" w:right="300" w:hanging="168"/>
        <w:spacing w:after="0" w:line="268" w:lineRule="auto"/>
        <w:tabs>
          <w:tab w:leader="none" w:pos="4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UNITY-CLL Trial – a randomized controlled Phase 3 trial evaluating TG-1101 in combination with TGR-1202, the Company’s development stage PI3K delta inhibitor, for patients with front line and previously treated CLL;</w:t>
      </w:r>
    </w:p>
    <w:p>
      <w:pPr>
        <w:spacing w:after="0" w:line="212" w:lineRule="exact"/>
        <w:rPr>
          <w:rFonts w:ascii="Arial" w:cs="Arial" w:eastAsia="Arial" w:hAnsi="Arial"/>
          <w:sz w:val="18"/>
          <w:szCs w:val="18"/>
          <w:color w:val="auto"/>
        </w:rPr>
      </w:pPr>
    </w:p>
    <w:p>
      <w:pPr>
        <w:ind w:left="500" w:right="140" w:hanging="168"/>
        <w:spacing w:after="0" w:line="268" w:lineRule="auto"/>
        <w:tabs>
          <w:tab w:leader="none" w:pos="4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UNITY-NHL Trial – registration-directed UNITY-NHL Phase 2b clinical study evaluating TG-1101, in combination with TGR-1202 with or without Bendamustine, as well as TGR-1202 alone, in patients with previously treated Non-Hodgkin’s Lymphoma (NHL); and</w:t>
      </w:r>
    </w:p>
    <w:p>
      <w:pPr>
        <w:spacing w:after="0" w:line="212"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5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 non-oncology settings, anti-CD20 therapy has generally been used as monotherapy. In addition to the above oncology studies, TG-1101 is being evaluated in a Phase 2 study for the treatment of Multiple Sclerosis (MS) and in an investigator initiated Phase 1 study for the treatment of acute neuromyelitis optica (NMO) relapses, with additional autoimmune related indications planned to be studied. On August 1, 2017, we announced we had reached an agreement with the U.S. Food and Drug Administration (FDA) regarding a Special Protocol Assessment (SPA) on the design of two Phase 3 clinical trials for TG-1101.</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Manufacturing of TG-1101 is performed by both our partner, LFB Biotechnologies, and a secondary contract manufacturer based in the US.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details on our priority ongoing trials for TG-1101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GENUINE trial is a randomized controlled clinical trial in patients with previously treated CLL with specific high-risk cytogenetic abnormalities, with patients randomized to receive either TG-1101 plus ibrutinib or ibrutinib alone. In October 2016, we announced revisions to the design of the GENUINE study to accelerate its completion. Initially the study was being conducted pursuant to a Special Protocol Assessment (SPA) with the U.S. Food and Drug Administration (FDA), and was designed to enroll approximately 330 patients, with a two-part analysis of both overall response rate (ORR) and progression-free survival (PFS). The trial was amended in October 2016 to enroll approximately 120 patients, with the PFS analysis component removed. Following the revisions, the sole primary endpoint of the study is ORR, and the SPA is no longer in effect. We have communicated with the FDA regarding our intention to file a Biologics Licensing Application (BLA) for accelerated approval and the FDA has agreed that a pre-BLA meeting can be requested based on ORR data from the GENUINE study.</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June 2017 the positive results from our Phase 3 GENUINE trial was presented by Dr. Jeff Sharman, Medical Director, Hematology Research, US Oncology in an oral session during the 53rd American Society of Clinical Oncology (ASCO) Annual Meeting in Chicago, IL.</w:t>
      </w:r>
    </w:p>
    <w:p>
      <w:pPr>
        <w:spacing w:after="0" w:line="186"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This presentation included data from the GENUINE Phase 3 trial, a multicenter, randomized trial, which assessed the efficacy and safety of TG-1101 plus ibrutinib versus ibrutinib alone in patients with high risk CLL. For the trial, high-risk was defined as having any one or more of the following centrally confirmed features: 17p deletion, 11q deletion or p53 mutation. The GENUINE study was designed to demonstrate the value of adding TG-1101 to ibrutinib monotherapy in high-risk CLL, and was powered to show a statistically significant improvement in ORR of 30%, with a minimal absolute detectable difference between the two arms of approximately 20%.</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9" w:name="page20"/>
    <w:bookmarkEnd w:id="19"/>
    <w:p>
      <w:pPr>
        <w:ind w:right="120" w:firstLine="648"/>
        <w:spacing w:after="0" w:line="294" w:lineRule="auto"/>
        <w:rPr>
          <w:sz w:val="20"/>
          <w:szCs w:val="20"/>
          <w:color w:val="auto"/>
        </w:rPr>
      </w:pPr>
      <w:r>
        <w:rPr>
          <w:rFonts w:ascii="Arial" w:cs="Arial" w:eastAsia="Arial" w:hAnsi="Arial"/>
          <w:sz w:val="16"/>
          <w:szCs w:val="16"/>
          <w:color w:val="auto"/>
        </w:rPr>
        <w:t>The trial met its primary endpoint, demonstrating a statistically significant improvement in Overall Response Rate (ORR), as assessed by blinded independent central radiology and hematology review by iwCLL (Hallek 2008) criteria, compared to ibrutinib alone in both the Intent to Treat (ITT) population (p=0.001) and Treated population (p &lt; 0.001). Per iwCLL guidelines, all responders required confirmation of response for a minimum duration of 2 months. The ITT population included all 126 randomized patients (64 in the TG-1101 plus ibrutinib arm and 62 in the ibrutinib alone arm) while the Treated population includes all ITT patients that received at least one dose of either study drug (59 in the TG-1101 plus ibrutinib arm and 58 in the ibrutinib alone arm).</w:t>
      </w:r>
    </w:p>
    <w:p>
      <w:pPr>
        <w:spacing w:after="0" w:line="170"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One hundred and seventeen (117) patients were evaluable for safety (59 patients in the TG-1101 plus ibrutinib arm, and 58 patients in the ibrutinib alone arm). The combination was well tolerated and, apart from infusion related reactions, the addition of TG-1101 did not appear to alter the safety profile of ibrutinib monotherapy. Neutropenia, occurring in 9% of patients, was the most commonly reported Grade 3/4 Adverse Event (AE) in the combination arm, followed by infusion related reactions and anemia, each reported in 5% of patients. Notably, the majority of infusion related reactions (IRR) were Grade 1 or 2 in severity, with only 5% Grade 3/4 IRR observed. Median follow-up for this study was approximately 11.4 months.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7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300" w:type="dxa"/>
            <w:vAlign w:val="bottom"/>
            <w:gridSpan w:val="2"/>
          </w:tcPr>
          <w:p>
            <w:pPr>
              <w:ind w:left="220"/>
              <w:spacing w:after="0"/>
              <w:rPr>
                <w:sz w:val="20"/>
                <w:szCs w:val="20"/>
                <w:color w:val="auto"/>
              </w:rPr>
            </w:pPr>
            <w:r>
              <w:rPr>
                <w:rFonts w:ascii="Arial" w:cs="Arial" w:eastAsia="Arial" w:hAnsi="Arial"/>
                <w:sz w:val="18"/>
                <w:szCs w:val="18"/>
                <w:b w:val="1"/>
                <w:bCs w:val="1"/>
                <w:color w:val="auto"/>
              </w:rPr>
              <w:t>Response Rates</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88"/>
              </w:rPr>
              <w:t>P-value</w:t>
            </w:r>
          </w:p>
        </w:tc>
        <w:tc>
          <w:tcPr>
            <w:tcW w:w="0" w:type="dxa"/>
            <w:vAlign w:val="bottom"/>
          </w:tcPr>
          <w:p>
            <w:pPr>
              <w:spacing w:after="0"/>
              <w:rPr>
                <w:sz w:val="1"/>
                <w:szCs w:val="1"/>
                <w:color w:val="auto"/>
              </w:rPr>
            </w:pPr>
          </w:p>
        </w:tc>
      </w:tr>
      <w:tr>
        <w:trPr>
          <w:trHeight w:val="217"/>
        </w:trPr>
        <w:tc>
          <w:tcPr>
            <w:tcW w:w="2780" w:type="dxa"/>
            <w:vAlign w:val="bottom"/>
            <w:tcBorders>
              <w:left w:val="single" w:sz="8" w:color="auto"/>
              <w:bottom w:val="single" w:sz="8" w:color="auto"/>
              <w:right w:val="single" w:sz="8" w:color="auto"/>
            </w:tcBorders>
          </w:tcPr>
          <w:p>
            <w:pPr>
              <w:spacing w:after="0"/>
              <w:rPr>
                <w:sz w:val="18"/>
                <w:szCs w:val="18"/>
                <w:color w:val="auto"/>
              </w:rPr>
            </w:pPr>
          </w:p>
        </w:tc>
        <w:tc>
          <w:tcPr>
            <w:tcW w:w="2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TG-1101 plus Ibrutinib</w:t>
            </w:r>
          </w:p>
        </w:tc>
        <w:tc>
          <w:tcPr>
            <w:tcW w:w="42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Ibrutinib</w:t>
            </w:r>
          </w:p>
        </w:tc>
        <w:tc>
          <w:tcPr>
            <w:tcW w:w="2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Treated Population (n)</w:t>
            </w:r>
          </w:p>
        </w:tc>
        <w:tc>
          <w:tcPr>
            <w:tcW w:w="246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8"/>
              </w:rPr>
              <w:t>n=59</w:t>
            </w:r>
          </w:p>
        </w:tc>
        <w:tc>
          <w:tcPr>
            <w:tcW w:w="420" w:type="dxa"/>
            <w:vAlign w:val="bottom"/>
            <w:tcBorders>
              <w:bottom w:val="single" w:sz="8" w:color="auto"/>
              <w:right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n=58</w:t>
            </w:r>
          </w:p>
        </w:tc>
        <w:tc>
          <w:tcPr>
            <w:tcW w:w="2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Overall Response Rate (ORR)</w:t>
            </w:r>
          </w:p>
        </w:tc>
        <w:tc>
          <w:tcPr>
            <w:tcW w:w="246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8"/>
              </w:rPr>
              <w:t>78%</w:t>
            </w:r>
          </w:p>
        </w:tc>
        <w:tc>
          <w:tcPr>
            <w:tcW w:w="420" w:type="dxa"/>
            <w:vAlign w:val="bottom"/>
            <w:tcBorders>
              <w:bottom w:val="single" w:sz="8" w:color="auto"/>
              <w:right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45%</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P&lt;0.001</w:t>
            </w:r>
          </w:p>
        </w:tc>
        <w:tc>
          <w:tcPr>
            <w:tcW w:w="0" w:type="dxa"/>
            <w:vAlign w:val="bottom"/>
          </w:tcPr>
          <w:p>
            <w:pPr>
              <w:spacing w:after="0"/>
              <w:rPr>
                <w:sz w:val="1"/>
                <w:szCs w:val="1"/>
                <w:color w:val="auto"/>
              </w:rPr>
            </w:pPr>
          </w:p>
        </w:tc>
      </w:tr>
      <w:tr>
        <w:trPr>
          <w:trHeight w:val="223"/>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Complete Response (CR)</w:t>
            </w:r>
          </w:p>
        </w:tc>
        <w:tc>
          <w:tcPr>
            <w:tcW w:w="246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92"/>
              </w:rPr>
              <w:t>7%</w:t>
            </w:r>
          </w:p>
        </w:tc>
        <w:tc>
          <w:tcPr>
            <w:tcW w:w="420" w:type="dxa"/>
            <w:vAlign w:val="bottom"/>
            <w:tcBorders>
              <w:bottom w:val="single" w:sz="8" w:color="auto"/>
              <w:right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0%</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NS</w:t>
            </w:r>
          </w:p>
        </w:tc>
        <w:tc>
          <w:tcPr>
            <w:tcW w:w="0" w:type="dxa"/>
            <w:vAlign w:val="bottom"/>
          </w:tcPr>
          <w:p>
            <w:pPr>
              <w:spacing w:after="0"/>
              <w:rPr>
                <w:sz w:val="1"/>
                <w:szCs w:val="1"/>
                <w:color w:val="auto"/>
              </w:rPr>
            </w:pPr>
          </w:p>
        </w:tc>
      </w:tr>
      <w:tr>
        <w:trPr>
          <w:trHeight w:val="208"/>
        </w:trPr>
        <w:tc>
          <w:tcPr>
            <w:tcW w:w="2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MRD-Negative</w:t>
            </w:r>
          </w:p>
        </w:tc>
        <w:tc>
          <w:tcPr>
            <w:tcW w:w="2460" w:type="dxa"/>
            <w:vAlign w:val="bottom"/>
          </w:tcPr>
          <w:p>
            <w:pPr>
              <w:jc w:val="center"/>
              <w:ind w:left="292"/>
              <w:spacing w:after="0"/>
              <w:rPr>
                <w:sz w:val="20"/>
                <w:szCs w:val="20"/>
                <w:color w:val="auto"/>
              </w:rPr>
            </w:pPr>
            <w:r>
              <w:rPr>
                <w:rFonts w:ascii="Arial" w:cs="Arial" w:eastAsia="Arial" w:hAnsi="Arial"/>
                <w:sz w:val="18"/>
                <w:szCs w:val="18"/>
                <w:color w:val="auto"/>
                <w:w w:val="88"/>
              </w:rPr>
              <w:t>19%</w:t>
            </w:r>
          </w:p>
        </w:tc>
        <w:tc>
          <w:tcPr>
            <w:tcW w:w="4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2%</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P&lt;0.01</w:t>
            </w:r>
          </w:p>
        </w:tc>
        <w:tc>
          <w:tcPr>
            <w:tcW w:w="0" w:type="dxa"/>
            <w:vAlign w:val="bottom"/>
          </w:tcPr>
          <w:p>
            <w:pPr>
              <w:spacing w:after="0"/>
              <w:rPr>
                <w:sz w:val="1"/>
                <w:szCs w:val="1"/>
                <w:color w:val="auto"/>
              </w:rPr>
            </w:pPr>
          </w:p>
        </w:tc>
      </w:tr>
      <w:tr>
        <w:trPr>
          <w:trHeight w:val="231"/>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jc w:val="center"/>
              <w:ind w:left="312"/>
              <w:spacing w:after="0"/>
              <w:rPr>
                <w:sz w:val="20"/>
                <w:szCs w:val="20"/>
                <w:color w:val="auto"/>
              </w:rPr>
            </w:pPr>
            <w:r>
              <w:rPr>
                <w:rFonts w:ascii="Arial" w:cs="Arial" w:eastAsia="Arial" w:hAnsi="Arial"/>
                <w:sz w:val="18"/>
                <w:szCs w:val="18"/>
                <w:i w:val="1"/>
                <w:iCs w:val="1"/>
                <w:color w:val="auto"/>
                <w:w w:val="96"/>
              </w:rPr>
              <w:t>(n=53) *</w:t>
            </w:r>
          </w:p>
        </w:tc>
        <w:tc>
          <w:tcPr>
            <w:tcW w:w="42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6"/>
              </w:rPr>
              <w:t>(n=53) *</w:t>
            </w:r>
          </w:p>
        </w:tc>
        <w:tc>
          <w:tcPr>
            <w:tcW w:w="2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5403850</wp:posOffset>
            </wp:positionH>
            <wp:positionV relativeFrom="paragraph">
              <wp:posOffset>-929640</wp:posOffset>
            </wp:positionV>
            <wp:extent cx="186055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60550" cy="188595"/>
                    </a:xfrm>
                    <a:prstGeom prst="rect">
                      <a:avLst/>
                    </a:prstGeom>
                    <a:noFill/>
                  </pic:spPr>
                </pic:pic>
              </a:graphicData>
            </a:graphic>
          </wp:anchor>
        </w:drawing>
      </w:r>
    </w:p>
    <w:p>
      <w:pPr>
        <w:ind w:right="180" w:firstLine="648"/>
        <w:spacing w:after="0" w:line="258" w:lineRule="auto"/>
        <w:rPr>
          <w:sz w:val="20"/>
          <w:szCs w:val="20"/>
          <w:color w:val="auto"/>
        </w:rPr>
      </w:pPr>
      <w:r>
        <w:rPr>
          <w:rFonts w:ascii="Arial" w:cs="Arial" w:eastAsia="Arial" w:hAnsi="Arial"/>
          <w:sz w:val="18"/>
          <w:szCs w:val="18"/>
          <w:i w:val="1"/>
          <w:iCs w:val="1"/>
          <w:color w:val="auto"/>
        </w:rPr>
        <w:t>*Patients evaluable for MRD included those enrolled &gt;4 months prior to data cutoff date of February 15, 2017. MRD analyzed by central lab, 7-color flow cytometry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61"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The Phase 3 trial, called the UNITY-CLL trial, is a randomized controlled clinical trial that includes two key objectives: first, to demonstrate contribution of each agent in the TG-1101 + TGR-1202 regimen (the combination sometimes referred to as "1303"), and second, to demonstrate superiority in Progression Free Survival (PFS) over the standard of care to support the submission for full approval of the combination. The study will randomize patients into four treatment arms: TG-1101 + TGR-1202, TG-1101 alone, TGR-1202 alone, and an active control arm of obinutuzumab (GAZYVA®)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 Assuming early termination of the TG-1101 and TGR-1202 single agent arms, the study will enroll approximately 450 patients to be utilized for the interim analysis and primary analysis data sets, not accounting for over enrollment anticipated in the single agent arms while the interim analysis data set is obtained.</w:t>
      </w:r>
    </w:p>
    <w:p>
      <w:pPr>
        <w:spacing w:after="0" w:line="17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May 2017, we announced that the independent Data Safety Monitoring Board (DSMB) of the UNITY-CLL Phase 3 trial had successfully completed a pre-specified interim analysis to assess the contribution of TG-1101 and TGR-1202 in the combination regimen of TG-1101 plus TGR-1202. In conducting the analysis, the DSMB reviewed efficacy data from approximately 50 patients per arm in the UNITY-CLL study who were eligible for at least one response evaluation. Based on the overall response rate data available, and in accordance with the statistical analysis plan in the study's SPA, the DSMB determined that contribution has been established and recommended we cease enrollment into the single agent arms. Accordingly, in May the study began enrolling in a 1:1 ratio to only the two combination arms: the investigational arm of TG-1101 plus TGR-1202 and the control arm of obinutuzumab plus chlorambucil. Additionally, the DSMB reviewed safety data from all patients on study (n &gt; 270) as of the data cut-off date, including patients with both treatment naive and relapsed/refractory Chronic Lymphocytic Leukemia (CLL), and again identified no safety concerns in any treatment group (treatment naive or previously treated) and recommended the continuation of the study without modification.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with or without bendamustine Phase 2b Registration-Directed Program – The UNITY-NHL Trial</w:t>
      </w:r>
    </w:p>
    <w:p>
      <w:pPr>
        <w:spacing w:after="0" w:line="225"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In June 2016, we commenced a registration-directed UNITY-DLBCL Phase 2b clinical study evaluating TG-1101 in combination with TGR-1202, as well as TGR-1202 alone, in patients with previously treated DLBCL. In mid-2017, this study was expanded to allow enrollment of patients with follicular lymphoma (FL), small lymphocytic lymphoma (SLL), and marginal zone lymphoma (MZL), as well as to add a cohort evaluating the triplet regimen of TG-1101</w:t>
      </w:r>
    </w:p>
    <w:p>
      <w:pPr>
        <w:spacing w:after="0" w:line="1" w:lineRule="exact"/>
        <w:rPr>
          <w:sz w:val="20"/>
          <w:szCs w:val="20"/>
          <w:color w:val="auto"/>
        </w:rPr>
      </w:pPr>
    </w:p>
    <w:p>
      <w:pPr>
        <w:ind w:firstLine="8"/>
        <w:spacing w:after="0" w:line="261" w:lineRule="auto"/>
        <w:tabs>
          <w:tab w:leader="none" w:pos="1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TGR-1202 + bendamustine which has previously been explored in Phase 1. The cohorts of DLBCL, FL/SLL, and MZL are each being enrolled to and evaluated independently.</w:t>
      </w:r>
    </w:p>
    <w:p>
      <w:pPr>
        <w:spacing w:after="0" w:line="19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updated study is entitled "A Phase 2b Randomized Study to Assess the Efficacy and Safety of the Combination of Ublituximab + TGR-1202 with or without Bendamustine and TGR-1202 alone in Patients with Previously Treated Non-Hodgkin’s Lymphoma.” The DLBCL component is being led by Owen A. O'Connor, MD, PhD, Professor of Medicine and Experimental Therapeutics, and Director of the Center for Lymphoid Malignancies at Columbia University Medical Center, while the indolent NHL component of the study is being led by Nathan H. Fowler, MD, Associate Professor, Department of Lymphoma/Myeloma, The University of Texas MD Anderson Cancer Center. The primary objective of the study is to assess the efficacy of TGR-1202 alone, in combination with TG-1101, or in combination with TG-1101 and bendamustine in patients with previously treated NHL as measured by Overall Response Rate (ORR). The study will also provide important information as to the contribution of each agent, TGR-1202 and TG-1101, to the combination regimen of both agents, as well as the contribution of bendamustine to the combination regimen of both agents.</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Single Agent TG-1101 in Relapsing Forms of Multiple Sclerosis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May 2016, we commenced our first study of TG-1101 in patients with relapsing remitting multiple sclerosis (RRMS), a chronic demyelinating disease of the central nervous system (CNS).</w:t>
      </w:r>
    </w:p>
    <w:p>
      <w:pPr>
        <w:spacing w:after="0" w:line="18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study, entitled "A Placebo-Controlled Multi-Center Phase 2 Dose Finding Study of Ublituximab, a Third-Generation Anti-CD20 Monoclonal Antibody, in Patients with Relapsing Forms of Multiple Sclerosis," is being led by Edward Fox, MD, PhD, Director of the Multiple Sclerosis Clinic of Central Texas and Clinical Assistant Professor at the University of Texas Medical Branch in Round Rock, TX. The primary objective of the study is to determine the optimal dosing regimen for TG-1101 with a focus on accelerating infusion times. In addition to monitoring for safety and tolerability at each dosing cohort, B-cell depletion and established MS efficacy endpoints will also be evaluated.</w:t>
      </w:r>
    </w:p>
    <w:p>
      <w:pPr>
        <w:spacing w:after="0" w:line="194" w:lineRule="exact"/>
        <w:rPr>
          <w:sz w:val="20"/>
          <w:szCs w:val="20"/>
          <w:color w:val="auto"/>
        </w:rPr>
      </w:pPr>
    </w:p>
    <w:p>
      <w:pPr>
        <w:ind w:right="240" w:firstLine="648"/>
        <w:spacing w:after="0" w:line="268" w:lineRule="auto"/>
        <w:rPr>
          <w:sz w:val="20"/>
          <w:szCs w:val="20"/>
          <w:color w:val="auto"/>
        </w:rPr>
      </w:pPr>
      <w:r>
        <w:rPr>
          <w:rFonts w:ascii="Arial" w:cs="Arial" w:eastAsia="Arial" w:hAnsi="Arial"/>
          <w:sz w:val="16"/>
          <w:szCs w:val="16"/>
          <w:color w:val="auto"/>
        </w:rPr>
        <w:t>Data from this study was presented at various venues throughout the first half of 2017, including at the American Academy of Neurology 69</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Annual meeting, and the 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Congress of the European Academy of Neurology, with additional data presentations expected at upcoming medical conferences.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relapsing forms of Multiple Sclerosis Phase 3 Study Program – The ULITIMATE I and ULTIMATE II Trial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2017, we reached an agreement with the FDA regarding an SPA on the design of two Phase 3 clinical trials for TG-1101, for the treatment of relapsing forms of Multiple Sclerosis (RMS). The SPA provides agreement that the two Phase 3 trial designs adequately address objectives that, if met, would support the regulatory submission for approval of TG-1101.</w:t>
      </w:r>
    </w:p>
    <w:p>
      <w:pPr>
        <w:spacing w:after="0" w:line="19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RMS Phase 3 program consists of two trials, called the ULTIMATE I and ULTIMATE II trials. Each trial is a global, randomized, multi-center, double-blinded, double-dummy, active-controlled study comparing TG-1101 (ublituximab) to teriflunomide in subjects with RMS. The primary endpoint for each study is Annualized Relapse Rate (ARR) following 96 weeks of treatment. Each trial will enroll approximately 440 subjects, randomized in a 1:1 ratio, with approximately 880 patients to be enrolled across both trials.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Updates for the combination of TG-1101 and TGR-1202</w:t>
      </w:r>
    </w:p>
    <w:p>
      <w:pPr>
        <w:spacing w:after="0" w:line="225" w:lineRule="exact"/>
        <w:rPr>
          <w:sz w:val="20"/>
          <w:szCs w:val="20"/>
          <w:color w:val="auto"/>
        </w:rPr>
      </w:pPr>
    </w:p>
    <w:p>
      <w:pPr>
        <w:ind w:right="660" w:firstLine="648"/>
        <w:spacing w:after="0" w:line="268" w:lineRule="auto"/>
        <w:rPr>
          <w:sz w:val="20"/>
          <w:szCs w:val="20"/>
          <w:color w:val="auto"/>
        </w:rPr>
      </w:pPr>
      <w:r>
        <w:rPr>
          <w:rFonts w:ascii="Arial" w:cs="Arial" w:eastAsia="Arial" w:hAnsi="Arial"/>
          <w:sz w:val="18"/>
          <w:szCs w:val="18"/>
          <w:color w:val="auto"/>
        </w:rPr>
        <w:t>In January 2017, we announced that the FDA has granted orphan drug designation covering the combination of TG-1101 and TGR-1202 for the treatment of patients with CLL and DLBCL.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94" w:lineRule="exact"/>
        <w:rPr>
          <w:sz w:val="20"/>
          <w:szCs w:val="20"/>
          <w:color w:val="auto"/>
        </w:rPr>
      </w:pPr>
    </w:p>
    <w:p>
      <w:pPr>
        <w:ind w:right="140" w:firstLine="648"/>
        <w:spacing w:after="0" w:line="33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39"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We hold exclusive worldwide rights to develop and commercialize TGR-1202 for all indications worldwide, except for India which has been retained by Rhizen Pharmaceuticals S 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study in combination with TG-1101 with or without the BTK inhibitor, ibrutinib, our current combination clinical trials for TGR-1202 include:</w:t>
      </w:r>
    </w:p>
    <w:p>
      <w:pPr>
        <w:spacing w:after="0" w:line="224" w:lineRule="exact"/>
        <w:rPr>
          <w:sz w:val="20"/>
          <w:szCs w:val="20"/>
          <w:color w:val="auto"/>
        </w:rPr>
      </w:pPr>
    </w:p>
    <w:p>
      <w:pPr>
        <w:ind w:left="500" w:hanging="168"/>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TGR-1202 in combination with the BTK inhibitor, ibrutinib, in patients with previously treated CLL and MCL, as well as in patients with DLBCL;</w:t>
      </w:r>
    </w:p>
    <w:p>
      <w:pPr>
        <w:spacing w:after="0" w:line="275" w:lineRule="exact"/>
        <w:rPr>
          <w:rFonts w:ascii="Arial" w:cs="Arial" w:eastAsia="Arial" w:hAnsi="Arial"/>
          <w:sz w:val="16"/>
          <w:szCs w:val="16"/>
          <w:color w:val="auto"/>
        </w:rPr>
      </w:pPr>
    </w:p>
    <w:p>
      <w:pPr>
        <w:ind w:left="500" w:hanging="168"/>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TGR-1202 in combination with the JAK inhibitor, ruxolitinib (JAKAFI® ), in patients with previously treated Myelofibrosis or Polycythemia Vera; and</w:t>
      </w:r>
    </w:p>
    <w:p>
      <w:pPr>
        <w:spacing w:after="0" w:line="275" w:lineRule="exact"/>
        <w:rPr>
          <w:rFonts w:ascii="Arial" w:cs="Arial" w:eastAsia="Arial" w:hAnsi="Arial"/>
          <w:sz w:val="16"/>
          <w:szCs w:val="16"/>
          <w:color w:val="auto"/>
        </w:rPr>
      </w:pPr>
    </w:p>
    <w:p>
      <w:pPr>
        <w:ind w:left="500" w:hanging="168"/>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TGR-1202 monotherapy in patients with CLL who were previously intolerant to prior BTK or PI3K inhibitor therapy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170" w:lineRule="exact"/>
        <w:rPr>
          <w:sz w:val="20"/>
          <w:szCs w:val="20"/>
          <w:color w:val="auto"/>
        </w:rPr>
      </w:pPr>
    </w:p>
    <w:p>
      <w:pPr>
        <w:ind w:right="720" w:firstLine="648"/>
        <w:spacing w:after="0" w:line="268" w:lineRule="auto"/>
        <w:rPr>
          <w:sz w:val="20"/>
          <w:szCs w:val="20"/>
          <w:color w:val="auto"/>
        </w:rPr>
      </w:pPr>
      <w:r>
        <w:rPr>
          <w:rFonts w:ascii="Arial" w:cs="Arial" w:eastAsia="Arial" w:hAnsi="Arial"/>
          <w:sz w:val="18"/>
          <w:szCs w:val="18"/>
          <w:color w:val="auto"/>
        </w:rPr>
        <w:t>Data from this ongoing Phase I study was most recently presented at the 57th Annual American Society of Hematology (ASH) meeting held in December 2015, with updated data presented as part of an integrated analysis as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Long-term Follow-up Integrated Analysis in Patients with Relapsed/Refractory Hematologic Malignancies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June 2016, at the 52nd Annual Meeting of the American Society of Clinical Oncology (ASCO) and at the 21st Congress of the European Hematology Association (EHA), the Company presented integrated data with long term follow-up from 165 patients exposed to TGR-1202 monotherapy or the combination of TGR-1202 plus TG-1101, which continued to demonstrate high response rates in CLL, NHL, and DLBCL coupled with a favorable safety profile.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TGR-1202 has been evaluated in combination with the anti-CD30 antibody drug conjugate, brentuximab vedotin, in patients with relapsed or refractory Hodgkin’s lymphoma; in combination with the anti-CD20 antibody obinutuzumab with chlorambucil in patients with CLL; in combination with the BTK inhibitor, ibrutinib, in patients with CLL and MCL; and in combination with the JAK inhibitor, ruxolitinib, in patients with Myelofibrosis or Polycythemia Vera. Additional investigator sponsored trials are also underway which are combining TGR-1202 with other approved agents for the treatment of B-cell malignancies.</w:t>
      </w:r>
    </w:p>
    <w:p>
      <w:pPr>
        <w:spacing w:after="0" w:line="167" w:lineRule="exact"/>
        <w:rPr>
          <w:sz w:val="20"/>
          <w:szCs w:val="20"/>
          <w:color w:val="auto"/>
        </w:rPr>
      </w:pPr>
    </w:p>
    <w:p>
      <w:pPr>
        <w:ind w:right="380" w:firstLine="648"/>
        <w:spacing w:after="0" w:line="255" w:lineRule="auto"/>
        <w:rPr>
          <w:sz w:val="20"/>
          <w:szCs w:val="20"/>
          <w:color w:val="auto"/>
        </w:rPr>
      </w:pPr>
      <w:r>
        <w:rPr>
          <w:rFonts w:ascii="Arial" w:cs="Arial" w:eastAsia="Arial" w:hAnsi="Arial"/>
          <w:sz w:val="18"/>
          <w:szCs w:val="18"/>
          <w:color w:val="auto"/>
        </w:rPr>
        <w:t>Preliminary data from studies evaluating TGR-1202 + brentuximab vedotin and TGR-1202 + ibrutinib were presented at the 58th Annual American Society of Hematology (ASH) meeting held in December 2016. Both combinations appeared well tolerated. In particular, the combination of TGR-1202 + ibrutinib resulted in an 88% (15 of 17) Overall Response Rate (ORR) (including Complete Response (CR), Partial Response (PR), and Partial Response with lymphocytosis (PR-L)) in patients with CLL, with 1 patient achieving a bone marrow confirmed CR and 5 patients with a &gt; 80% nodal reduction, nearing radiographic CR.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anticipated that results from these and additional combinuation studies will be presented or updated at future medical conferences.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We hold global rights to develop and commercialize the IRAK4 program, which was licensed from Ligand Pharmaceuticals. Our IRAK4 program is currently in pre-clinical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320" w:firstLine="648"/>
        <w:spacing w:after="0" w:line="306"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and anti-GITR programs are currently in pre-clinical development, with pre-clinical data most recently presented at the American Association for Cancer Research Annual Meeting in March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a subsidiary of Fortress,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61" w:lineRule="exact"/>
        <w:rPr>
          <w:sz w:val="20"/>
          <w:szCs w:val="20"/>
          <w:color w:val="auto"/>
        </w:rPr>
      </w:pPr>
    </w:p>
    <w:p>
      <w:pPr>
        <w:ind w:right="320" w:firstLine="648"/>
        <w:spacing w:after="0" w:line="33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39"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3" w:name="page24"/>
    <w:bookmarkEnd w:id="23"/>
    <w:p>
      <w:pPr>
        <w:ind w:right="20" w:firstLine="648"/>
        <w:spacing w:after="0" w:line="314"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8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2017 and 2016</w:t>
      </w:r>
    </w:p>
    <w:p>
      <w:pPr>
        <w:spacing w:after="0" w:line="23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$38,000 for each of the three months ended June 30, 2017 and 2016. License revenue is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9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totaled $1.3 million for the three months ended June 30, 2017, as compared to $0.6 million during the comparable period in 2016. The increase in noncash compensation expense was primarily related to milestone-based vesting of restricted stock grants to personnel and an increase in the measurement date fair value of certain consultant restricted stock during the period ended June 30, 2017.</w:t>
      </w:r>
    </w:p>
    <w:p>
      <w:pPr>
        <w:spacing w:after="0" w:line="19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$12.4 million to $25.4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as compared to $13.0 million for the three months ended June 30, 2016. The increase was mainly due to new and ongoing clinical development programs and related manufacturing costs for TG-1101 and TGR-1202 during the three months ended June 30, 2017. We expect our other research and development costs to increase modestly for the remainder of 2017 as the enrollment of additional patients in our Phase 3 clinical trials increases and we prepare for potential commercialization.</w:t>
      </w:r>
    </w:p>
    <w:p>
      <w:pPr>
        <w:spacing w:after="0" w:line="19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decreased by $0.9 million to $0.2 million for the three months ended June 30, 2017, as compared to $1.1 million for the three months ended June 30, 2016. The decrease in noncash compensation expense was primarily due to greater compensation expense during the three months ended June 30, 2016 related to restricted stock granted to executive personnel.</w:t>
      </w:r>
    </w:p>
    <w:p>
      <w:pPr>
        <w:spacing w:after="0" w:line="19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$0.1 million to $1.5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as compared to $1.4 million for the three months ended June 30, 2016. We expect our other general and administrative expenses to remain at a comparable level for the remainder of 2017.</w:t>
      </w:r>
    </w:p>
    <w:p>
      <w:pPr>
        <w:spacing w:after="0" w:line="19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decreased by approximately $50,000 to approximately $70,000 for the three months ended June 30,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$0.1 million for the three months ended June 30, 2016. The decrease is mainly due to a decrease in interest income for the three months ended June 30, 2017.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Six months ended June 30, 2017 and 2016</w:t>
      </w:r>
    </w:p>
    <w:p>
      <w:pPr>
        <w:spacing w:after="0" w:line="23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$76,000 for each of the six months ended June 30, 2017 and 2016. License revenue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and 2016 was related to the amortization of an upfront payment of $2.0 million received in 2012 associated with our license agreement with Ildong.</w:t>
      </w:r>
    </w:p>
    <w:p>
      <w:pPr>
        <w:spacing w:after="0" w:line="194"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totaled $3.6 million for the six months ended June 30, 2017, as compared to $1.0 million during the comparable period in 2016. The increase in noncash compensation expense was primarily related to milestone-based vesting of restricted stock grants to personnel and an increase in the measurement date fair value of certain consultant restricted stock during the period ended June 30, 2017.</w:t>
      </w:r>
    </w:p>
    <w:p>
      <w:pPr>
        <w:spacing w:after="0" w:line="167"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$21.6 million to $45.8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2017, as compared to $24.2 million for the six months ended June 30, 2016. The increase in other research and development expenses was due primarily to new and ongoing clinical development programs and related manufacturing costs for TG-1101 and TGR-1202 during the six months ended June 30, 2017. We expect our other research and development costs to increase modestly for the remainder of 2017 as the enrollment of additional patients in our Phase 3 clinical trials increases and we prepare for potential commercialization.</w:t>
      </w:r>
    </w:p>
    <w:p>
      <w:pPr>
        <w:spacing w:after="0" w:line="170"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increased by $1.5 million to $3.9 million for the six months ended June 30, 2017, as compared to $2.4 million for the six months ended June 30, 2016. The increase in noncash compensation expense was primarily related to an increase in the measurement date fair value of certain consultant restricted stock during the six months ended June 30, 2017.</w:t>
      </w:r>
    </w:p>
    <w:p>
      <w:pPr>
        <w:spacing w:after="0" w:line="197" w:lineRule="exact"/>
        <w:rPr>
          <w:sz w:val="20"/>
          <w:szCs w:val="20"/>
          <w:color w:val="auto"/>
        </w:rPr>
      </w:pPr>
    </w:p>
    <w:p>
      <w:pPr>
        <w:jc w:val="both"/>
        <w:ind w:right="320" w:firstLine="648"/>
        <w:spacing w:after="0" w:line="306" w:lineRule="auto"/>
        <w:rPr>
          <w:sz w:val="20"/>
          <w:szCs w:val="20"/>
          <w:color w:val="auto"/>
        </w:rPr>
      </w:pPr>
      <w:r>
        <w:rPr>
          <w:rFonts w:ascii="Arial" w:cs="Arial" w:eastAsia="Arial" w:hAnsi="Arial"/>
          <w:sz w:val="16"/>
          <w:szCs w:val="16"/>
          <w:i w:val="1"/>
          <w:iCs w:val="1"/>
          <w:color w:val="auto"/>
        </w:rPr>
        <w:t>Other General and Administrative Expenses</w:t>
      </w:r>
      <w:r>
        <w:rPr>
          <w:rFonts w:ascii="Arial" w:cs="Arial" w:eastAsia="Arial" w:hAnsi="Arial"/>
          <w:sz w:val="16"/>
          <w:szCs w:val="16"/>
          <w:color w:val="auto"/>
        </w:rPr>
        <w:t>. Other general and administrative expenses increased by $0.4 million to $2.9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2017, as compared to $2.5 million for the six months ended June 30, 2016. The increase was due primarily to rent related expenses of our new office space. We expect our other general and administrative expenses to remain at a comparable level for the remainder of 2017.</w:t>
      </w:r>
    </w:p>
    <w:p>
      <w:pPr>
        <w:spacing w:after="0" w:line="161"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decreased by $0.3 million to approximately $11,000 for the six months ended June 30, 2017,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for the six months ended June 30, 2016. The decrease is mainly due to a decrease in interest income and a decrease in the change in fair value of notes payable for the six months ended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primary sources of cash have been from the sale of equity securities, warrant and option exercises, and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8"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As of June 30, 2017, we had approximately $86.5 million in cash, cash equivalents, investment securities, and interest receivable. The Company believes its cash, cash equivalents, investment securities, and interest receivable on hand as of June 30, 2017 combined with the proceeds raised subsequent to the quarter end will be sufficient to fund the Company’s planned operations through 2018.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used in operating activities for the six months ended June 30, 2017 was $49.1 million as compared to $29.5 million for the six months ended June 30, 2016. The increase in cash used in operating activities was due primarily to increased expenditures associated with our clinical development programs for TG-1101 and TGR-1202.</w:t>
      </w:r>
    </w:p>
    <w:p>
      <w:pPr>
        <w:spacing w:after="0" w:line="19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the six months ended June 30, 2017, net cash provided by investing activities was $11.0 million as compared to net cash used in investing activities of $0.5 million for the six months ended June 30, 2016. The increase in net cash provided by investing activities was primarily due to greater proceeds from maturity of investments during the six months ended June 30, 2017.</w:t>
      </w:r>
    </w:p>
    <w:p>
      <w:pPr>
        <w:spacing w:after="0" w:line="194" w:lineRule="exact"/>
        <w:rPr>
          <w:sz w:val="20"/>
          <w:szCs w:val="20"/>
          <w:color w:val="auto"/>
        </w:rPr>
      </w:pPr>
    </w:p>
    <w:p>
      <w:pPr>
        <w:ind w:right="260" w:firstLine="648"/>
        <w:spacing w:after="0" w:line="332" w:lineRule="auto"/>
        <w:rPr>
          <w:sz w:val="20"/>
          <w:szCs w:val="20"/>
          <w:color w:val="auto"/>
        </w:rPr>
      </w:pPr>
      <w:r>
        <w:rPr>
          <w:rFonts w:ascii="Arial" w:cs="Arial" w:eastAsia="Arial" w:hAnsi="Arial"/>
          <w:sz w:val="16"/>
          <w:szCs w:val="16"/>
          <w:color w:val="auto"/>
        </w:rPr>
        <w:t>For the six months ended June 30, 2017 and 2016, net cash provided by financing activities of $90.7 million related primarily to proceeds from the issuance of common stock as part of our underwritten public offering in March 2017 and our ATM program, as well as proceeds from the exercise of warrants.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97"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FASB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7" w:lineRule="exact"/>
        <w:rPr>
          <w:sz w:val="20"/>
          <w:szCs w:val="20"/>
          <w:color w:val="auto"/>
        </w:rPr>
      </w:pPr>
    </w:p>
    <w:p>
      <w:pPr>
        <w:ind w:right="160" w:firstLine="648"/>
        <w:spacing w:after="0" w:line="314" w:lineRule="auto"/>
        <w:rPr>
          <w:sz w:val="20"/>
          <w:szCs w:val="20"/>
          <w:color w:val="auto"/>
        </w:rPr>
      </w:pPr>
      <w:r>
        <w:rPr>
          <w:rFonts w:ascii="Arial" w:cs="Arial" w:eastAsia="Arial" w:hAnsi="Arial"/>
          <w:sz w:val="15"/>
          <w:szCs w:val="15"/>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firstLine="648"/>
        <w:spacing w:after="0" w:line="286"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June 30, 2017 and December 31, 2016, there was $799,391 of goodwill on our condensed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7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9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condensed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7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94"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May 2017, the FASB issued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jc w:val="both"/>
        <w:ind w:left="980" w:hanging="324"/>
        <w:spacing w:after="0" w:line="281"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98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92" w:lineRule="exact"/>
        <w:rPr>
          <w:sz w:val="20"/>
          <w:szCs w:val="20"/>
          <w:color w:val="auto"/>
        </w:rPr>
      </w:pPr>
    </w:p>
    <w:p>
      <w:pPr>
        <w:ind w:right="300" w:firstLine="648"/>
        <w:spacing w:after="0" w:line="298" w:lineRule="auto"/>
        <w:rPr>
          <w:sz w:val="20"/>
          <w:szCs w:val="20"/>
          <w:color w:val="auto"/>
        </w:rPr>
      </w:pPr>
      <w:r>
        <w:rPr>
          <w:rFonts w:ascii="Arial" w:cs="Arial" w:eastAsia="Arial" w:hAnsi="Arial"/>
          <w:sz w:val="16"/>
          <w:szCs w:val="16"/>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We are currently evaluating the impact the adoption of ASU 2017-09 will have on our consolidated financial statements.</w:t>
      </w:r>
    </w:p>
    <w:p>
      <w:pPr>
        <w:spacing w:after="0" w:line="167" w:lineRule="exact"/>
        <w:rPr>
          <w:sz w:val="20"/>
          <w:szCs w:val="20"/>
          <w:color w:val="auto"/>
        </w:rPr>
      </w:pPr>
    </w:p>
    <w:p>
      <w:pPr>
        <w:ind w:right="100" w:firstLine="648"/>
        <w:spacing w:after="0" w:line="283" w:lineRule="auto"/>
        <w:rPr>
          <w:sz w:val="20"/>
          <w:szCs w:val="20"/>
          <w:color w:val="auto"/>
        </w:rPr>
      </w:pPr>
      <w:r>
        <w:rPr>
          <w:rFonts w:ascii="Arial" w:cs="Arial" w:eastAsia="Arial" w:hAnsi="Arial"/>
          <w:sz w:val="16"/>
          <w:szCs w:val="16"/>
          <w:color w:val="auto"/>
        </w:rPr>
        <w:t>In January 2017, the FASB issued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2" w:lineRule="exact"/>
        <w:rPr>
          <w:sz w:val="20"/>
          <w:szCs w:val="20"/>
          <w:color w:val="auto"/>
        </w:rPr>
      </w:pP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Clarifies the requirements for excluding and allocating foreign currency translation adjustments to reporting units in connection with an entity’s testing of reporting units for goodwill impairment.</w:t>
      </w:r>
    </w:p>
    <w:p>
      <w:pPr>
        <w:ind w:left="980" w:right="2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Clarifies that an entity should consider income tax effects from any tax deductible goodwill on the carrying amount of the reporting unit when measuring the goodwill impairment loss, if applicable.</w:t>
      </w:r>
    </w:p>
    <w:p>
      <w:pPr>
        <w:ind w:left="980" w:right="2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Makes minor changes to the overview and background sections of certain ASC subtopics and topics as part of the Board’s initiative to unify and improve those sections throughout the Codification.</w:t>
      </w:r>
    </w:p>
    <w:p>
      <w:pPr>
        <w:spacing w:after="0" w:line="192" w:lineRule="exact"/>
        <w:rPr>
          <w:sz w:val="20"/>
          <w:szCs w:val="20"/>
          <w:color w:val="auto"/>
        </w:rPr>
      </w:pPr>
    </w:p>
    <w:p>
      <w:pPr>
        <w:ind w:right="380" w:firstLine="648"/>
        <w:spacing w:after="0" w:line="332" w:lineRule="auto"/>
        <w:rPr>
          <w:sz w:val="20"/>
          <w:szCs w:val="20"/>
          <w:color w:val="auto"/>
        </w:rPr>
      </w:pPr>
      <w:r>
        <w:rPr>
          <w:rFonts w:ascii="Arial" w:cs="Arial" w:eastAsia="Arial" w:hAnsi="Arial"/>
          <w:sz w:val="16"/>
          <w:szCs w:val="16"/>
          <w:color w:val="auto"/>
        </w:rPr>
        <w:t>ASU 2017-04 is effective prospectively for annual and interim periods beginning on or after December 15, 2019, and early adoption is permitted on testing dates after January 1, 2017. We are currently evaluating the impact the adoption of ASU 2017-04 will have on our consolidated financial statements.</w:t>
      </w:r>
    </w:p>
    <w:p>
      <w:pPr>
        <w:spacing w:after="0" w:line="139" w:lineRule="exact"/>
        <w:rPr>
          <w:sz w:val="20"/>
          <w:szCs w:val="20"/>
          <w:color w:val="auto"/>
        </w:rPr>
      </w:pPr>
    </w:p>
    <w:p>
      <w:pPr>
        <w:ind w:right="60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June 30, 2017, our portfolio of financial instruments consists of cash equivalents, including bank deposits, and investments. Due to the short-term nature of our investments, we believe there is no material exposure to interest rate risk, and/or credit risk, arising from our investments.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of June 30, 2017,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2017, our disclosure controls and procedures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2017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120" w:firstLine="648"/>
        <w:spacing w:after="0" w:line="332" w:lineRule="auto"/>
        <w:rPr>
          <w:sz w:val="20"/>
          <w:szCs w:val="20"/>
          <w:color w:val="auto"/>
        </w:rPr>
      </w:pPr>
      <w:r>
        <w:rPr>
          <w:rFonts w:ascii="Arial" w:cs="Arial" w:eastAsia="Arial" w:hAnsi="Arial"/>
          <w:sz w:val="16"/>
          <w:szCs w:val="16"/>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8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9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9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3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or BET inhibitors, nor for our anti-PD-L1 and anti-GITR antibodies. Additionally, there can be no assurance given that any of the molecules under development in our IRAK4 or BET inhibitor program or in our anti-PD-L1 and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and an active IND for TG-1101 under the FDA’s Division of Neurology,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right="680"/>
        <w:spacing w:after="0" w:line="268"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94"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8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3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8"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Further, larger scale Phase III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study’s outcome or the opinion of the validity of the study results by applicable regulatory agencies. Early clinical trial results from interim analysis or from the review of a Data Safety Monitoring Board (DSMB) or similar safety committee may not be reflective of the results of the entire study, when completed. Additionally, many of the results reported in our early clinical trials rely on local investigator assessed safety and efficacy outcomes which may differ from results assessed in a blinded, independent, centrally reviewed manner, often required of adequate and well controlled registration directed clinical trials which may be undertaken at a later date.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BET, anti-PD-L1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accordingly if our pre-clinical assets advance into clinical development, no assurance can be made that a safe and efficacious dose can be found.</w:t>
      </w:r>
    </w:p>
    <w:p>
      <w:pPr>
        <w:spacing w:after="0" w:line="3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0" w:name="page31"/>
    <w:bookmarkEnd w:id="30"/>
    <w:p>
      <w:pPr>
        <w:ind w:right="80" w:firstLine="648"/>
        <w:spacing w:after="0" w:line="288" w:lineRule="auto"/>
        <w:rPr>
          <w:sz w:val="20"/>
          <w:szCs w:val="20"/>
          <w:color w:val="auto"/>
        </w:rPr>
      </w:pPr>
      <w:r>
        <w:rPr>
          <w:rFonts w:ascii="Arial" w:cs="Arial" w:eastAsia="Arial" w:hAnsi="Arial"/>
          <w:sz w:val="16"/>
          <w:szCs w:val="16"/>
          <w:color w:val="auto"/>
        </w:rPr>
        <w:t>In September 2015 we announced a Phase 3 clinical trial for the combination of TG-1101 + TGR-1202 for patients with CLL, which is being conducted pursuant to an SPA with the FDA and in August 2017 we announced an SPA for our registration program for TG-1101 in relapsing forms of MS.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sufficiency of our GENUINE trial design and results are subject to FDA’s discretion.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On March 6, 2017, we announced topline data from our Phase 3 “GENUINE” clinical trial of TG-1101 in combination with ibrutinib as a treatment for patients with previously treated high risk Chronic Lymphocytic Leukemia, or CLL. This trial, as originally designed, was prepared under FDA’s SPA procedures, in which FDA agrees in advance of commencement of a Phase III clinical trial that the trial’s design, clinical endpoints and statistical analyses will constitute a pivotal study for purposes of regulatory approval, assuming that the resulting data is sufficiently favorable. In October 2016, after consulting with the FDA, we amended the protocol which had the effect of reducing the number of enrolled patients to approximately 120 and eliminating progression-free survival as a primary endpoint, leaving overall response rate as the sole primary endpoint. In doing so, the trial’s SPA was rescinded.</w:t>
      </w:r>
    </w:p>
    <w:p>
      <w:pPr>
        <w:spacing w:after="0" w:line="17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that the revised trial design and the resulting data could support FDA approval, but that is a question wholly within FDA’s discretion to determine. Whether or not FDA accepts the data for filing will depend on FDA’s views on the adequacy of the filing. Consequently, there can be no assurance that FDA will approve TG-1101, or even whether FDA will agree to meet with us to discuss the matter.</w:t>
      </w:r>
    </w:p>
    <w:p>
      <w:pPr>
        <w:spacing w:after="0" w:line="194"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Recently, a more complete presentation of the topline from the GENUINE study was delivered by participating investigators at the ASCO 2017 and ICML 2017 meetings. The GENUINE study is considered ongoing with the majority of patients continuing on study in follow-up with additional safety and efficacy data being collected. Therefore, the data that comprised these recent presentations are considered interim, and were compiled utilizing data sets as contained in the databases for this study and available to the Company at the time of the data cutoff dates. In the conduct of all clinical trials, data submitted from clinical trial sites undergoes a process known as “cleaning” whereby often numerous queries are issued to resolve any outstanding issues and discrepancies with site submitted data prior to locking these databases for a potential submission. As the presented data is considered interim, the final data sets which may be submitted in support of a biologics licensing application (BLA) may differ, potentially materially, with respect to both safety and efficacy from the data presented at the ASCO and ICML 2017 meetings, and the FDA may not deem the data to be adequate to support the filing or acceptance of a BLA filing.</w:t>
      </w:r>
    </w:p>
    <w:p>
      <w:pPr>
        <w:spacing w:after="0" w:line="172"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 or “fast track” or “priority review” status to commercialize our product candidates.</w:t>
      </w:r>
    </w:p>
    <w:p>
      <w:pPr>
        <w:spacing w:after="0" w:line="116"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Even with “fast track” or “priority review” status which we intend to seek for our product candidates, where possible, including with regard to TG-1101, such designations do not necessarily mean a faster development process or regulatory review process or necessarily confer any advantage with respect to approval compared to conventional FDA procedures.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18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4" w:lineRule="exact"/>
        <w:rPr>
          <w:sz w:val="20"/>
          <w:szCs w:val="20"/>
          <w:color w:val="auto"/>
        </w:rPr>
      </w:pPr>
    </w:p>
    <w:p>
      <w:pPr>
        <w:ind w:left="500" w:hanging="168"/>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36" w:lineRule="exact"/>
        <w:rPr>
          <w:rFonts w:ascii="Arial" w:cs="Arial" w:eastAsia="Arial" w:hAnsi="Arial"/>
          <w:sz w:val="18"/>
          <w:szCs w:val="18"/>
          <w:color w:val="auto"/>
        </w:rPr>
      </w:pPr>
    </w:p>
    <w:p>
      <w:pPr>
        <w:ind w:left="500" w:right="120" w:hanging="168"/>
        <w:spacing w:after="0" w:line="266" w:lineRule="auto"/>
        <w:tabs>
          <w:tab w:leader="none" w:pos="4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500" w:right="220" w:hanging="168"/>
        <w:spacing w:after="0" w:line="268" w:lineRule="auto"/>
        <w:tabs>
          <w:tab w:leader="none" w:pos="4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spacing w:after="0" w:line="18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1" w:name="page32"/>
    <w:bookmarkEnd w:id="31"/>
    <w:p>
      <w:pPr>
        <w:ind w:left="500" w:hanging="168"/>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results of clinical trials may not meet the level of statistical significance required by the FDA or comparable foreign regulatory authorities for approval;</w:t>
      </w:r>
    </w:p>
    <w:p>
      <w:pPr>
        <w:spacing w:after="0" w:line="59" w:lineRule="exact"/>
        <w:rPr>
          <w:rFonts w:ascii="Arial" w:cs="Arial" w:eastAsia="Arial" w:hAnsi="Arial"/>
          <w:sz w:val="16"/>
          <w:szCs w:val="16"/>
          <w:color w:val="auto"/>
        </w:rPr>
      </w:pPr>
    </w:p>
    <w:p>
      <w:pPr>
        <w:ind w:left="500" w:hanging="168"/>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36" w:lineRule="exact"/>
        <w:rPr>
          <w:rFonts w:ascii="Arial" w:cs="Arial" w:eastAsia="Arial" w:hAnsi="Arial"/>
          <w:sz w:val="18"/>
          <w:szCs w:val="18"/>
          <w:color w:val="auto"/>
        </w:rPr>
      </w:pPr>
    </w:p>
    <w:p>
      <w:pPr>
        <w:ind w:left="500" w:right="180" w:hanging="168"/>
        <w:spacing w:after="0" w:line="266" w:lineRule="auto"/>
        <w:tabs>
          <w:tab w:leader="none" w:pos="4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500" w:hanging="168"/>
        <w:spacing w:after="0" w:line="266" w:lineRule="auto"/>
        <w:tabs>
          <w:tab w:leader="none" w:pos="4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500" w:right="220" w:hanging="168"/>
        <w:spacing w:after="0" w:line="268" w:lineRule="auto"/>
        <w:tabs>
          <w:tab w:leader="none" w:pos="4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213" w:lineRule="exact"/>
        <w:rPr>
          <w:sz w:val="20"/>
          <w:szCs w:val="20"/>
          <w:color w:val="auto"/>
        </w:rPr>
      </w:pPr>
    </w:p>
    <w:p>
      <w:pPr>
        <w:jc w:val="both"/>
        <w:ind w:right="140" w:firstLine="648"/>
        <w:spacing w:after="0" w:line="298" w:lineRule="auto"/>
        <w:rPr>
          <w:sz w:val="20"/>
          <w:szCs w:val="20"/>
          <w:color w:val="auto"/>
        </w:rPr>
      </w:pPr>
      <w:r>
        <w:rPr>
          <w:rFonts w:ascii="Arial" w:cs="Arial" w:eastAsia="Arial" w:hAnsi="Arial"/>
          <w:sz w:val="16"/>
          <w:szCs w:val="16"/>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86"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6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Should the Company not be able to adequately demonstrated analytical comparability between drug product manufactured under different conditions, the introduction of such new drug product into ongoing trials also has the potential to confound the interpretation of the results or complicate the statistical analysis of such trial. Further, with respect to TGR-1202, although several hundred patients have been dosed amongst all ongoing TGR-1202 studies, the full adverse effect profile of TGR-1202 is not known. It is also unknown as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32" w:name="page33"/>
    <w:bookmarkEnd w:id="32"/>
    <w:p>
      <w:pPr>
        <w:ind w:right="20" w:firstLine="648"/>
        <w:spacing w:after="0" w:line="253"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9" w:lineRule="exact"/>
        <w:rPr>
          <w:sz w:val="20"/>
          <w:szCs w:val="20"/>
          <w:color w:val="auto"/>
        </w:rPr>
      </w:pPr>
    </w:p>
    <w:p>
      <w:pPr>
        <w:ind w:right="460" w:firstLine="648"/>
        <w:spacing w:after="0" w:line="266"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ind w:left="500" w:hanging="168"/>
        <w:spacing w:after="0"/>
        <w:tabs>
          <w:tab w:leader="none" w:pos="5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withdraw their approval of the affected product;</w:t>
      </w:r>
    </w:p>
    <w:p>
      <w:pPr>
        <w:spacing w:after="0" w:line="36" w:lineRule="exact"/>
        <w:rPr>
          <w:rFonts w:ascii="Arial" w:cs="Arial" w:eastAsia="Arial" w:hAnsi="Arial"/>
          <w:sz w:val="18"/>
          <w:szCs w:val="18"/>
          <w:b w:val="1"/>
          <w:bCs w:val="1"/>
          <w:i w:val="1"/>
          <w:iCs w:val="1"/>
          <w:color w:val="auto"/>
        </w:rPr>
      </w:pPr>
    </w:p>
    <w:p>
      <w:pPr>
        <w:ind w:left="500" w:hanging="168"/>
        <w:spacing w:after="0"/>
        <w:tabs>
          <w:tab w:leader="none" w:pos="5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require a more significant clinical benefit for approval to offset the risk;</w:t>
      </w:r>
    </w:p>
    <w:p>
      <w:pPr>
        <w:spacing w:after="0" w:line="36" w:lineRule="exact"/>
        <w:rPr>
          <w:rFonts w:ascii="Arial" w:cs="Arial" w:eastAsia="Arial" w:hAnsi="Arial"/>
          <w:sz w:val="18"/>
          <w:szCs w:val="18"/>
          <w:b w:val="1"/>
          <w:bCs w:val="1"/>
          <w:i w:val="1"/>
          <w:iCs w:val="1"/>
          <w:color w:val="auto"/>
        </w:rPr>
      </w:pPr>
    </w:p>
    <w:p>
      <w:pPr>
        <w:ind w:left="500" w:right="520" w:hanging="168"/>
        <w:spacing w:after="0" w:line="266" w:lineRule="auto"/>
        <w:tabs>
          <w:tab w:leader="none" w:pos="498"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500" w:hanging="168"/>
        <w:spacing w:after="0"/>
        <w:tabs>
          <w:tab w:leader="none" w:pos="5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may be required to change the way the product is administered, conduct additional clinical trials or change the labeling of the product;</w:t>
      </w:r>
    </w:p>
    <w:p>
      <w:pPr>
        <w:spacing w:after="0" w:line="36" w:lineRule="exact"/>
        <w:rPr>
          <w:rFonts w:ascii="Arial" w:cs="Arial" w:eastAsia="Arial" w:hAnsi="Arial"/>
          <w:sz w:val="18"/>
          <w:szCs w:val="18"/>
          <w:b w:val="1"/>
          <w:bCs w:val="1"/>
          <w:i w:val="1"/>
          <w:iCs w:val="1"/>
          <w:color w:val="auto"/>
        </w:rPr>
      </w:pPr>
    </w:p>
    <w:p>
      <w:pPr>
        <w:ind w:left="500" w:hanging="168"/>
        <w:spacing w:after="0"/>
        <w:tabs>
          <w:tab w:leader="none" w:pos="5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may choose to discontinue sale of the product;</w:t>
      </w:r>
    </w:p>
    <w:p>
      <w:pPr>
        <w:spacing w:after="0" w:line="36" w:lineRule="exact"/>
        <w:rPr>
          <w:rFonts w:ascii="Arial" w:cs="Arial" w:eastAsia="Arial" w:hAnsi="Arial"/>
          <w:sz w:val="18"/>
          <w:szCs w:val="18"/>
          <w:b w:val="1"/>
          <w:bCs w:val="1"/>
          <w:i w:val="1"/>
          <w:iCs w:val="1"/>
          <w:color w:val="auto"/>
        </w:rPr>
      </w:pPr>
    </w:p>
    <w:p>
      <w:pPr>
        <w:ind w:left="500" w:hanging="168"/>
        <w:spacing w:after="0"/>
        <w:tabs>
          <w:tab w:leader="none" w:pos="5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could be sued and held liable for harm caused to patients;</w:t>
      </w:r>
    </w:p>
    <w:p>
      <w:pPr>
        <w:spacing w:after="0" w:line="36" w:lineRule="exact"/>
        <w:rPr>
          <w:rFonts w:ascii="Arial" w:cs="Arial" w:eastAsia="Arial" w:hAnsi="Arial"/>
          <w:sz w:val="18"/>
          <w:szCs w:val="18"/>
          <w:b w:val="1"/>
          <w:bCs w:val="1"/>
          <w:i w:val="1"/>
          <w:iCs w:val="1"/>
          <w:color w:val="auto"/>
        </w:rPr>
      </w:pPr>
    </w:p>
    <w:p>
      <w:pPr>
        <w:ind w:left="500" w:hanging="168"/>
        <w:spacing w:after="0"/>
        <w:tabs>
          <w:tab w:leader="none" w:pos="5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36" w:lineRule="exact"/>
        <w:rPr>
          <w:rFonts w:ascii="Arial" w:cs="Arial" w:eastAsia="Arial" w:hAnsi="Arial"/>
          <w:sz w:val="18"/>
          <w:szCs w:val="18"/>
          <w:b w:val="1"/>
          <w:bCs w:val="1"/>
          <w:i w:val="1"/>
          <w:iCs w:val="1"/>
          <w:color w:val="auto"/>
        </w:rPr>
      </w:pPr>
    </w:p>
    <w:p>
      <w:pPr>
        <w:ind w:left="500" w:hanging="16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86"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9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3" w:name="page34"/>
    <w:bookmarkEnd w:id="33"/>
    <w:p>
      <w:pPr>
        <w:ind w:right="60" w:firstLine="648"/>
        <w:spacing w:after="0" w:line="268"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86"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36" w:lineRule="exact"/>
        <w:rPr>
          <w:rFonts w:ascii="Arial" w:cs="Arial" w:eastAsia="Arial" w:hAnsi="Arial"/>
          <w:sz w:val="18"/>
          <w:szCs w:val="18"/>
          <w:color w:val="auto"/>
        </w:rPr>
      </w:pPr>
    </w:p>
    <w:p>
      <w:pPr>
        <w:ind w:left="500" w:right="340" w:hanging="168"/>
        <w:spacing w:after="0" w:line="299" w:lineRule="auto"/>
        <w:tabs>
          <w:tab w:leader="none" w:pos="4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36" w:lineRule="exact"/>
        <w:rPr>
          <w:rFonts w:ascii="Arial" w:cs="Arial" w:eastAsia="Arial" w:hAnsi="Arial"/>
          <w:sz w:val="18"/>
          <w:szCs w:val="18"/>
          <w:color w:val="auto"/>
        </w:rPr>
      </w:pPr>
    </w:p>
    <w:p>
      <w:pPr>
        <w:ind w:left="500" w:right="60" w:hanging="168"/>
        <w:spacing w:after="0" w:line="266" w:lineRule="auto"/>
        <w:tabs>
          <w:tab w:leader="none" w:pos="4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8" w:lineRule="exact"/>
        <w:rPr>
          <w:sz w:val="20"/>
          <w:szCs w:val="20"/>
          <w:color w:val="auto"/>
        </w:rPr>
      </w:pPr>
    </w:p>
    <w:p>
      <w:pPr>
        <w:ind w:left="500" w:hanging="16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inspection of the clinical trial operations or clinical trial site by the FDA or other regulatory authorities resulting in the imposition of a clinical hold;</w:t>
      </w:r>
    </w:p>
    <w:p>
      <w:pPr>
        <w:spacing w:after="0" w:line="59" w:lineRule="exact"/>
        <w:rPr>
          <w:rFonts w:ascii="Arial" w:cs="Arial" w:eastAsia="Arial" w:hAnsi="Arial"/>
          <w:sz w:val="16"/>
          <w:szCs w:val="16"/>
          <w:color w:val="auto"/>
        </w:rPr>
      </w:pPr>
    </w:p>
    <w:p>
      <w:pPr>
        <w:ind w:left="500" w:hanging="16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39" w:lineRule="exact"/>
        <w:rPr>
          <w:sz w:val="20"/>
          <w:szCs w:val="20"/>
          <w:color w:val="auto"/>
        </w:rPr>
      </w:pPr>
    </w:p>
    <w:p>
      <w:pPr>
        <w:jc w:val="both"/>
        <w:ind w:right="240" w:firstLine="648"/>
        <w:spacing w:after="0" w:line="306" w:lineRule="auto"/>
        <w:rPr>
          <w:sz w:val="20"/>
          <w:szCs w:val="20"/>
          <w:color w:val="auto"/>
        </w:rPr>
      </w:pPr>
      <w:r>
        <w:rPr>
          <w:rFonts w:ascii="Arial" w:cs="Arial" w:eastAsia="Arial" w:hAnsi="Arial"/>
          <w:sz w:val="16"/>
          <w:szCs w:val="16"/>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4" w:name="page35"/>
    <w:bookmarkEnd w:id="34"/>
    <w:p>
      <w:pPr>
        <w:ind w:right="180" w:firstLine="648"/>
        <w:spacing w:after="0" w:line="256"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have engaged a secondary manufacturer for TG-1101 to meet our current clinical and future commercial needs and anticipate engaging additional manufacturing sources for TGR-1202 to meet expanded clinical trial and commercial needs. While material produced from this secondary manufacturer for TG-1101 has to date demonstrated acceptable comparability, no assurance can be given that any additional manufacturers will be successful or that material manufactured by the additional manufacturers will perform comparably to TG-1101 or TGR-1202 as manufactured to date and used in currently available pre-clinical data and or in early clinical trials reported in this or any previous filing, or that the relevant regulatory agencies will agree with our interpretation of comparability. If a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20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86"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2"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9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1"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 Additionally, numerous established therapies exist for the autoimmune disorders for which we are developing TG-1101, including and in particular, multiple sclerosis (MS).</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approved, we expect TG-1101 to compete directly with Roche Group’s Rituxan® (rituximab) and Gazyva® (obinutuzumab or GA-101), and Novartis’ Arzerra®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both in oncology settings as well as in autoimmune disorders. Recently, the Roche Group’s anti-CD20 antibody ocrelizumab was approved for the treatment of MS. Genmab and GSK’s (ofatumumab) is also under clinical development for patients with MS. New developments, including the development of other pharmaceutical technologies and methods of treating disease, occur in the pharmaceutical and life sciences industries at a rapid pace.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5" w:name="page36"/>
    <w:bookmarkEnd w:id="35"/>
    <w:p>
      <w:pPr>
        <w:ind w:firstLine="648"/>
        <w:spacing w:after="0" w:line="294" w:lineRule="auto"/>
        <w:rPr>
          <w:sz w:val="20"/>
          <w:szCs w:val="20"/>
          <w:color w:val="auto"/>
        </w:rPr>
      </w:pPr>
      <w:r>
        <w:rPr>
          <w:rFonts w:ascii="Arial" w:cs="Arial" w:eastAsia="Arial" w:hAnsi="Arial"/>
          <w:sz w:val="16"/>
          <w:szCs w:val="16"/>
          <w:color w:val="auto"/>
        </w:rPr>
        <w:t>With respect to TGR-1202, there are several PI3K delta targeted compounds both approved, such as Gilead’s Zydelig™ (idelalisib), and in development, including, but not limited to, Verastem’s duvelisib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Marginal Zone Lymphoma and WM and marketed by AbbVie and Janssen), the BTK inhibitor acalabrutinib (under development by AstraZeneca), or the BCL-2 inhibitor venetoclax (FDA approved for CLL and marketed by AbbVie and Roche).</w:t>
      </w:r>
    </w:p>
    <w:p>
      <w:pPr>
        <w:spacing w:after="0" w:line="170" w:lineRule="exact"/>
        <w:rPr>
          <w:sz w:val="20"/>
          <w:szCs w:val="20"/>
          <w:color w:val="auto"/>
        </w:rPr>
      </w:pPr>
    </w:p>
    <w:p>
      <w:pPr>
        <w:ind w:right="800" w:firstLine="648"/>
        <w:spacing w:after="0" w:line="266"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ind w:left="500" w:hanging="16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CLL, or other B-cell and autoimmune related disorders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70"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97"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81"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6" w:name="page37"/>
    <w:bookmarkEnd w:id="36"/>
    <w:p>
      <w:pPr>
        <w:ind w:right="20" w:firstLine="648"/>
        <w:spacing w:after="0" w:line="253"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20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94"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8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1" w:lineRule="exact"/>
        <w:rPr>
          <w:sz w:val="20"/>
          <w:szCs w:val="20"/>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52"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37" w:name="page38"/>
    <w:bookmarkEnd w:id="37"/>
    <w:p>
      <w:pPr>
        <w:ind w:right="60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9" w:lineRule="exact"/>
        <w:rPr>
          <w:sz w:val="20"/>
          <w:szCs w:val="20"/>
          <w:color w:val="auto"/>
        </w:rPr>
      </w:pPr>
    </w:p>
    <w:p>
      <w:pPr>
        <w:ind w:left="500" w:hanging="168"/>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8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spacing w:after="0" w:line="5" w:lineRule="exact"/>
        <w:rPr>
          <w:sz w:val="20"/>
          <w:szCs w:val="20"/>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8" w:name="page39"/>
    <w:bookmarkEnd w:id="38"/>
    <w:p>
      <w:pPr>
        <w:ind w:firstLine="648"/>
        <w:spacing w:after="0" w:line="253"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20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7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8" w:lineRule="exact"/>
        <w:rPr>
          <w:sz w:val="20"/>
          <w:szCs w:val="20"/>
          <w:color w:val="auto"/>
        </w:rPr>
      </w:pPr>
    </w:p>
    <w:p>
      <w:pPr>
        <w:ind w:left="500" w:hanging="168"/>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86" w:lineRule="exact"/>
        <w:rPr>
          <w:sz w:val="20"/>
          <w:szCs w:val="20"/>
          <w:color w:val="auto"/>
        </w:rPr>
      </w:pPr>
    </w:p>
    <w:p>
      <w:pPr>
        <w:ind w:right="340" w:firstLine="648"/>
        <w:spacing w:after="0" w:line="290" w:lineRule="auto"/>
        <w:rPr>
          <w:sz w:val="20"/>
          <w:szCs w:val="20"/>
          <w:color w:val="auto"/>
        </w:rPr>
      </w:pPr>
      <w:r>
        <w:rPr>
          <w:rFonts w:ascii="Arial" w:cs="Arial" w:eastAsia="Arial" w:hAnsi="Arial"/>
          <w:sz w:val="16"/>
          <w:szCs w:val="16"/>
          <w:color w:val="auto"/>
        </w:rPr>
        <w:t>As of August 1, 2017, we had sixty-four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500" w:hanging="168"/>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contractors and other third parties;</w:t>
      </w:r>
    </w:p>
    <w:p>
      <w:pPr>
        <w:spacing w:after="0" w:line="59" w:lineRule="exact"/>
        <w:rPr>
          <w:rFonts w:ascii="Arial" w:cs="Arial" w:eastAsia="Arial" w:hAnsi="Arial"/>
          <w:sz w:val="16"/>
          <w:szCs w:val="16"/>
          <w:color w:val="auto"/>
        </w:rPr>
      </w:pPr>
    </w:p>
    <w:p>
      <w:pPr>
        <w:ind w:left="500" w:hanging="168"/>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9" w:name="page40"/>
    <w:bookmarkEnd w:id="39"/>
    <w:p>
      <w:pPr>
        <w:ind w:right="40" w:firstLine="648"/>
        <w:spacing w:after="0" w:line="308" w:lineRule="auto"/>
        <w:rPr>
          <w:sz w:val="20"/>
          <w:szCs w:val="20"/>
          <w:color w:val="auto"/>
        </w:rPr>
      </w:pPr>
      <w:r>
        <w:rPr>
          <w:rFonts w:ascii="Arial" w:cs="Arial" w:eastAsia="Arial" w:hAnsi="Arial"/>
          <w:sz w:val="15"/>
          <w:szCs w:val="15"/>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8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4" w:lineRule="exact"/>
        <w:rPr>
          <w:sz w:val="20"/>
          <w:szCs w:val="20"/>
          <w:color w:val="auto"/>
        </w:rPr>
      </w:pPr>
    </w:p>
    <w:p>
      <w:pPr>
        <w:jc w:val="both"/>
        <w:ind w:right="220" w:firstLine="648"/>
        <w:spacing w:after="0" w:line="294" w:lineRule="auto"/>
        <w:rPr>
          <w:sz w:val="20"/>
          <w:szCs w:val="20"/>
          <w:color w:val="auto"/>
        </w:rPr>
      </w:pPr>
      <w:r>
        <w:rPr>
          <w:rFonts w:ascii="Arial" w:cs="Arial" w:eastAsia="Arial" w:hAnsi="Arial"/>
          <w:sz w:val="16"/>
          <w:szCs w:val="16"/>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86" w:lineRule="exact"/>
        <w:rPr>
          <w:sz w:val="20"/>
          <w:szCs w:val="20"/>
          <w:color w:val="auto"/>
        </w:rPr>
      </w:pPr>
    </w:p>
    <w:p>
      <w:pPr>
        <w:ind w:firstLine="648"/>
        <w:spacing w:after="0" w:line="306" w:lineRule="auto"/>
        <w:rPr>
          <w:sz w:val="20"/>
          <w:szCs w:val="20"/>
          <w:color w:val="auto"/>
        </w:rPr>
      </w:pPr>
      <w:r>
        <w:rPr>
          <w:rFonts w:ascii="Arial" w:cs="Arial" w:eastAsia="Arial" w:hAnsi="Arial"/>
          <w:sz w:val="15"/>
          <w:szCs w:val="15"/>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0" w:name="page41"/>
    <w:bookmarkEnd w:id="40"/>
    <w:p>
      <w:pPr>
        <w:ind w:right="60"/>
        <w:spacing w:after="0" w:line="268"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86"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6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260" w:firstLine="648"/>
        <w:spacing w:after="0" w:line="294" w:lineRule="auto"/>
        <w:rPr>
          <w:sz w:val="20"/>
          <w:szCs w:val="20"/>
          <w:color w:val="auto"/>
        </w:rPr>
      </w:pPr>
      <w:r>
        <w:rPr>
          <w:rFonts w:ascii="Arial" w:cs="Arial" w:eastAsia="Arial" w:hAnsi="Arial"/>
          <w:sz w:val="16"/>
          <w:szCs w:val="16"/>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3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39" w:lineRule="exact"/>
        <w:rPr>
          <w:sz w:val="20"/>
          <w:szCs w:val="20"/>
          <w:color w:val="auto"/>
        </w:rPr>
      </w:pPr>
    </w:p>
    <w:p>
      <w:pPr>
        <w:ind w:left="180" w:right="400" w:firstLine="486"/>
        <w:spacing w:after="0" w:line="299" w:lineRule="auto"/>
        <w:rPr>
          <w:sz w:val="20"/>
          <w:szCs w:val="20"/>
          <w:color w:val="auto"/>
        </w:rPr>
      </w:pPr>
      <w:r>
        <w:rPr>
          <w:rFonts w:ascii="Arial" w:cs="Arial" w:eastAsia="Arial" w:hAnsi="Arial"/>
          <w:sz w:val="16"/>
          <w:szCs w:val="16"/>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spacing w:after="0" w:line="1" w:lineRule="exact"/>
        <w:rPr>
          <w:sz w:val="20"/>
          <w:szCs w:val="20"/>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36" w:lineRule="exact"/>
        <w:rPr>
          <w:rFonts w:ascii="Arial" w:cs="Arial" w:eastAsia="Arial" w:hAnsi="Arial"/>
          <w:sz w:val="18"/>
          <w:szCs w:val="18"/>
          <w:color w:val="auto"/>
        </w:rPr>
      </w:pPr>
    </w:p>
    <w:p>
      <w:pPr>
        <w:ind w:left="500" w:hanging="168"/>
        <w:spacing w:after="0" w:line="266" w:lineRule="auto"/>
        <w:tabs>
          <w:tab w:leader="none" w:pos="4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36" w:lineRule="exact"/>
        <w:rPr>
          <w:rFonts w:ascii="Arial" w:cs="Arial" w:eastAsia="Arial" w:hAnsi="Arial"/>
          <w:sz w:val="18"/>
          <w:szCs w:val="18"/>
          <w:color w:val="auto"/>
        </w:rPr>
      </w:pPr>
    </w:p>
    <w:p>
      <w:pPr>
        <w:ind w:left="500" w:right="120" w:hanging="168"/>
        <w:spacing w:after="0" w:line="266" w:lineRule="auto"/>
        <w:tabs>
          <w:tab w:leader="none" w:pos="4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97"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86" w:lineRule="exact"/>
        <w:rPr>
          <w:sz w:val="20"/>
          <w:szCs w:val="20"/>
          <w:color w:val="auto"/>
        </w:rPr>
      </w:pPr>
    </w:p>
    <w:p>
      <w:pPr>
        <w:ind w:right="440" w:firstLine="648"/>
        <w:spacing w:after="0" w:line="318" w:lineRule="auto"/>
        <w:rPr>
          <w:sz w:val="20"/>
          <w:szCs w:val="20"/>
          <w:color w:val="auto"/>
        </w:rPr>
      </w:pPr>
      <w:r>
        <w:rPr>
          <w:rFonts w:ascii="Arial" w:cs="Arial" w:eastAsia="Arial" w:hAnsi="Arial"/>
          <w:sz w:val="15"/>
          <w:szCs w:val="15"/>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US for TG-1101 and TGR-1202, no patents to date have been issued for our IRAK4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36" w:lineRule="exact"/>
        <w:rPr>
          <w:sz w:val="20"/>
          <w:szCs w:val="20"/>
          <w:color w:val="auto"/>
        </w:rPr>
      </w:pPr>
    </w:p>
    <w:p>
      <w:pPr>
        <w:ind w:left="500" w:hanging="168"/>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36" w:lineRule="exact"/>
        <w:rPr>
          <w:rFonts w:ascii="Arial" w:cs="Arial" w:eastAsia="Arial" w:hAnsi="Arial"/>
          <w:sz w:val="18"/>
          <w:szCs w:val="18"/>
          <w:color w:val="auto"/>
        </w:rPr>
      </w:pPr>
    </w:p>
    <w:p>
      <w:pPr>
        <w:ind w:left="500" w:right="840" w:hanging="168"/>
        <w:spacing w:after="0" w:line="266" w:lineRule="auto"/>
        <w:tabs>
          <w:tab w:leader="none" w:pos="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500" w:right="500" w:hanging="168"/>
        <w:spacing w:after="0" w:line="266" w:lineRule="auto"/>
        <w:tabs>
          <w:tab w:leader="none" w:pos="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ind w:left="500" w:right="380" w:hanging="168"/>
        <w:spacing w:after="0" w:line="259" w:lineRule="auto"/>
        <w:tabs>
          <w:tab w:leader="none" w:pos="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5" w:lineRule="exact"/>
        <w:rPr>
          <w:rFonts w:ascii="Arial" w:cs="Arial" w:eastAsia="Arial" w:hAnsi="Arial"/>
          <w:sz w:val="18"/>
          <w:szCs w:val="18"/>
          <w:color w:val="auto"/>
        </w:rPr>
      </w:pPr>
    </w:p>
    <w:p>
      <w:pPr>
        <w:ind w:left="500" w:right="240" w:hanging="168"/>
        <w:spacing w:after="0" w:line="319" w:lineRule="auto"/>
        <w:tabs>
          <w:tab w:leader="none" w:pos="498"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ind w:left="500" w:right="340" w:hanging="168"/>
        <w:spacing w:after="0" w:line="268" w:lineRule="auto"/>
        <w:tabs>
          <w:tab w:leader="none" w:pos="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patents are not issued that protect our product candidates, it could have a material adverse effect on our financial condition and results of operations.</w:t>
      </w:r>
    </w:p>
    <w:p>
      <w:pPr>
        <w:spacing w:after="0" w:line="248"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6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8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380" w:firstLine="648"/>
        <w:spacing w:after="0" w:line="259"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94" w:lineRule="exact"/>
        <w:rPr>
          <w:sz w:val="20"/>
          <w:szCs w:val="20"/>
          <w:color w:val="auto"/>
        </w:rPr>
      </w:pPr>
    </w:p>
    <w:p>
      <w:pPr>
        <w:ind w:right="140" w:firstLine="648"/>
        <w:spacing w:after="0" w:line="299"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spacing w:after="0" w:line="1" w:lineRule="exact"/>
        <w:rPr>
          <w:sz w:val="20"/>
          <w:szCs w:val="20"/>
          <w:color w:val="auto"/>
        </w:rPr>
      </w:pPr>
    </w:p>
    <w:p>
      <w:pPr>
        <w:ind w:left="500" w:hanging="16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36" w:lineRule="exact"/>
        <w:rPr>
          <w:rFonts w:ascii="Arial" w:cs="Arial" w:eastAsia="Arial" w:hAnsi="Arial"/>
          <w:sz w:val="18"/>
          <w:szCs w:val="18"/>
          <w:color w:val="auto"/>
        </w:rPr>
      </w:pPr>
    </w:p>
    <w:p>
      <w:pPr>
        <w:ind w:left="500" w:right="600" w:hanging="168"/>
        <w:spacing w:after="0" w:line="266" w:lineRule="auto"/>
        <w:tabs>
          <w:tab w:leader="none" w:pos="4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500" w:hanging="16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36" w:lineRule="exact"/>
        <w:rPr>
          <w:rFonts w:ascii="Arial" w:cs="Arial" w:eastAsia="Arial" w:hAnsi="Arial"/>
          <w:sz w:val="18"/>
          <w:szCs w:val="18"/>
          <w:color w:val="auto"/>
        </w:rPr>
      </w:pPr>
    </w:p>
    <w:p>
      <w:pPr>
        <w:ind w:left="500" w:right="480" w:hanging="168"/>
        <w:spacing w:after="0" w:line="268" w:lineRule="auto"/>
        <w:tabs>
          <w:tab w:leader="none" w:pos="4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213"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6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8"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8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of June 30, 2017, we had approximately $86.5 million in cash, cash equivalents, investment securities, and interest receivable, which we believe will be sufficient to fund the company’s planned operations through 2018.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72" w:lineRule="exact"/>
        <w:rPr>
          <w:sz w:val="20"/>
          <w:szCs w:val="20"/>
          <w:color w:val="auto"/>
        </w:rPr>
      </w:pPr>
    </w:p>
    <w:p>
      <w:pPr>
        <w:ind w:right="260" w:firstLine="648"/>
        <w:spacing w:after="0" w:line="33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3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8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never been profitable and, as of June 30, 2017, we had an accumulated deficit of $292.5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40" w:firstLine="648"/>
        <w:spacing w:after="0" w:line="288" w:lineRule="auto"/>
        <w:rPr>
          <w:sz w:val="20"/>
          <w:szCs w:val="20"/>
          <w:color w:val="auto"/>
        </w:rPr>
      </w:pPr>
      <w:r>
        <w:rPr>
          <w:rFonts w:ascii="Arial" w:cs="Arial" w:eastAsia="Arial" w:hAnsi="Arial"/>
          <w:sz w:val="16"/>
          <w:szCs w:val="16"/>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8" w:lineRule="exact"/>
        <w:rPr>
          <w:sz w:val="20"/>
          <w:szCs w:val="20"/>
          <w:color w:val="auto"/>
        </w:rPr>
      </w:pPr>
    </w:p>
    <w:p>
      <w:pPr>
        <w:ind w:left="500" w:hanging="168"/>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successful completion of preclinical studies of our product candidates;</w:t>
      </w:r>
    </w:p>
    <w:p>
      <w:pPr>
        <w:spacing w:after="0" w:line="36" w:lineRule="exact"/>
        <w:rPr>
          <w:rFonts w:ascii="Arial" w:cs="Arial" w:eastAsia="Arial" w:hAnsi="Arial"/>
          <w:sz w:val="18"/>
          <w:szCs w:val="18"/>
          <w:b w:val="1"/>
          <w:bCs w:val="1"/>
          <w:color w:val="auto"/>
        </w:rPr>
      </w:pPr>
    </w:p>
    <w:p>
      <w:pPr>
        <w:ind w:left="500" w:hanging="168"/>
        <w:spacing w:after="0"/>
        <w:tabs>
          <w:tab w:leader="none" w:pos="50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successful commencement and completion of clinical trials of our product candidates and any future product candidates we advance into clinical trials;</w:t>
      </w:r>
    </w:p>
    <w:p>
      <w:pPr>
        <w:spacing w:after="0" w:line="59" w:lineRule="exact"/>
        <w:rPr>
          <w:rFonts w:ascii="Arial" w:cs="Arial" w:eastAsia="Arial" w:hAnsi="Arial"/>
          <w:sz w:val="16"/>
          <w:szCs w:val="16"/>
          <w:b w:val="1"/>
          <w:bCs w:val="1"/>
          <w:color w:val="auto"/>
        </w:rPr>
      </w:pPr>
    </w:p>
    <w:p>
      <w:pPr>
        <w:ind w:left="500" w:right="240" w:hanging="168"/>
        <w:spacing w:after="0" w:line="262" w:lineRule="auto"/>
        <w:tabs>
          <w:tab w:leader="none" w:pos="498"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spacing w:after="0" w:line="7" w:lineRule="exact"/>
        <w:rPr>
          <w:rFonts w:ascii="Arial" w:cs="Arial" w:eastAsia="Arial" w:hAnsi="Arial"/>
          <w:sz w:val="18"/>
          <w:szCs w:val="18"/>
          <w:b w:val="1"/>
          <w:bCs w:val="1"/>
          <w:color w:val="auto"/>
        </w:rPr>
      </w:pPr>
    </w:p>
    <w:p>
      <w:pPr>
        <w:ind w:left="500" w:hanging="168"/>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36" w:lineRule="exact"/>
        <w:rPr>
          <w:rFonts w:ascii="Arial" w:cs="Arial" w:eastAsia="Arial" w:hAnsi="Arial"/>
          <w:sz w:val="18"/>
          <w:szCs w:val="18"/>
          <w:b w:val="1"/>
          <w:bCs w:val="1"/>
          <w:color w:val="auto"/>
        </w:rPr>
      </w:pPr>
    </w:p>
    <w:p>
      <w:pPr>
        <w:ind w:left="500" w:hanging="168"/>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25"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8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86" w:lineRule="exact"/>
        <w:rPr>
          <w:sz w:val="20"/>
          <w:szCs w:val="20"/>
          <w:color w:val="auto"/>
        </w:rPr>
      </w:pPr>
    </w:p>
    <w:p>
      <w:pPr>
        <w:ind w:right="140" w:firstLine="648"/>
        <w:spacing w:after="0" w:line="306" w:lineRule="auto"/>
        <w:rPr>
          <w:sz w:val="20"/>
          <w:szCs w:val="20"/>
          <w:color w:val="auto"/>
        </w:rPr>
      </w:pPr>
      <w:r>
        <w:rPr>
          <w:rFonts w:ascii="Arial" w:cs="Arial" w:eastAsia="Arial" w:hAnsi="Arial"/>
          <w:sz w:val="16"/>
          <w:szCs w:val="16"/>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4" w:name="page45"/>
    <w:bookmarkEnd w:id="44"/>
    <w:p>
      <w:pPr>
        <w:ind w:right="100" w:firstLine="648"/>
        <w:spacing w:after="0" w:line="291"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36" w:lineRule="exact"/>
        <w:rPr>
          <w:sz w:val="20"/>
          <w:szCs w:val="20"/>
          <w:color w:val="auto"/>
        </w:rPr>
      </w:pPr>
    </w:p>
    <w:p>
      <w:pPr>
        <w:ind w:left="1140" w:right="280" w:hanging="160"/>
        <w:spacing w:after="0" w:line="266" w:lineRule="auto"/>
        <w:tabs>
          <w:tab w:leader="none" w:pos="11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1140" w:hanging="160"/>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5"/>
          <w:szCs w:val="15"/>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9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86"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67"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ind w:right="220" w:firstLine="648"/>
        <w:spacing w:after="0" w:line="306"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45%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ind w:left="1140" w:hanging="160"/>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delay or failure in initiating, completing or analyzing nonclinical or clinical trials or the unsatisfactory design or results of these trials;</w:t>
      </w:r>
    </w:p>
    <w:p>
      <w:pPr>
        <w:spacing w:after="0" w:line="59" w:lineRule="exact"/>
        <w:rPr>
          <w:rFonts w:ascii="Arial" w:cs="Arial" w:eastAsia="Arial" w:hAnsi="Arial"/>
          <w:sz w:val="16"/>
          <w:szCs w:val="16"/>
          <w:color w:val="auto"/>
        </w:rPr>
      </w:pPr>
    </w:p>
    <w:p>
      <w:pPr>
        <w:ind w:left="1140" w:hanging="160"/>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36" w:lineRule="exact"/>
        <w:rPr>
          <w:rFonts w:ascii="Arial" w:cs="Arial" w:eastAsia="Arial" w:hAnsi="Arial"/>
          <w:sz w:val="18"/>
          <w:szCs w:val="18"/>
          <w:color w:val="auto"/>
        </w:rPr>
      </w:pPr>
    </w:p>
    <w:p>
      <w:pPr>
        <w:ind w:left="1140" w:hanging="160"/>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25"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8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8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31.1</w:t>
            </w:r>
          </w:p>
        </w:tc>
        <w:tc>
          <w:tcPr>
            <w:tcW w:w="9940" w:type="dxa"/>
            <w:vAlign w:val="bottom"/>
          </w:tcPr>
          <w:p>
            <w:pPr>
              <w:ind w:left="320"/>
              <w:spacing w:after="0"/>
              <w:rPr>
                <w:sz w:val="20"/>
                <w:szCs w:val="20"/>
                <w:color w:val="auto"/>
              </w:rPr>
            </w:pPr>
            <w:r>
              <w:rPr>
                <w:rFonts w:ascii="Arial" w:cs="Arial" w:eastAsia="Arial" w:hAnsi="Arial"/>
                <w:sz w:val="18"/>
                <w:szCs w:val="18"/>
                <w:color w:val="auto"/>
                <w:w w:val="88"/>
              </w:rPr>
              <w:t>Certification of Chief Executive Officer pursuant to Rule 13a-14(a)/15d-14(a), as adopted pursuant to Section 302 of the Sarbanes-Oxley</w:t>
            </w:r>
          </w:p>
        </w:tc>
      </w:tr>
      <w:tr>
        <w:trPr>
          <w:trHeight w:val="222"/>
        </w:trPr>
        <w:tc>
          <w:tcPr>
            <w:tcW w:w="6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Act of 2002, dated August 9, 2017.</w:t>
            </w:r>
          </w:p>
        </w:tc>
      </w:tr>
      <w:tr>
        <w:trPr>
          <w:trHeight w:val="42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31.2</w:t>
            </w:r>
          </w:p>
        </w:tc>
        <w:tc>
          <w:tcPr>
            <w:tcW w:w="9940" w:type="dxa"/>
            <w:vAlign w:val="bottom"/>
          </w:tcPr>
          <w:p>
            <w:pPr>
              <w:ind w:left="320"/>
              <w:spacing w:after="0"/>
              <w:rPr>
                <w:sz w:val="20"/>
                <w:szCs w:val="20"/>
                <w:color w:val="auto"/>
              </w:rPr>
            </w:pPr>
            <w:r>
              <w:rPr>
                <w:rFonts w:ascii="Arial" w:cs="Arial" w:eastAsia="Arial" w:hAnsi="Arial"/>
                <w:sz w:val="18"/>
                <w:szCs w:val="18"/>
                <w:color w:val="auto"/>
                <w:w w:val="89"/>
              </w:rPr>
              <w:t>Certification of Chief Financial Officer pursuant to Rule 13a-14(a)/15d-14(a), as adopted pursuant to Section 302 of the Sarbanes-Oxley</w:t>
            </w:r>
          </w:p>
        </w:tc>
      </w:tr>
      <w:tr>
        <w:trPr>
          <w:trHeight w:val="222"/>
        </w:trPr>
        <w:tc>
          <w:tcPr>
            <w:tcW w:w="6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Act of 2002, dated August 9, 2017.</w:t>
            </w:r>
          </w:p>
        </w:tc>
      </w:tr>
      <w:tr>
        <w:trPr>
          <w:trHeight w:val="42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32.1</w:t>
            </w: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Certification of Chief Executive Officer pursuant to 18 U.S.C. §1350, as adopted pursuant to Section 906 of the Sarbanes-Oxley Act of</w:t>
            </w:r>
          </w:p>
        </w:tc>
      </w:tr>
      <w:tr>
        <w:trPr>
          <w:trHeight w:val="222"/>
        </w:trPr>
        <w:tc>
          <w:tcPr>
            <w:tcW w:w="6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2002, dated August 9, 2017.</w:t>
            </w:r>
          </w:p>
        </w:tc>
      </w:tr>
      <w:tr>
        <w:trPr>
          <w:trHeight w:val="42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32.2</w:t>
            </w: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Certification of Chief Financial Officer pursuant to 18 U.S.C. §1350, as adopted pursuant to Section 906 of the Sarbanes-Oxley Act of</w:t>
            </w:r>
          </w:p>
        </w:tc>
      </w:tr>
      <w:tr>
        <w:trPr>
          <w:trHeight w:val="222"/>
        </w:trPr>
        <w:tc>
          <w:tcPr>
            <w:tcW w:w="6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2002, dated August 9, 2017.</w:t>
            </w:r>
          </w:p>
        </w:tc>
      </w:tr>
    </w:tbl>
    <w:p>
      <w:pPr>
        <w:spacing w:after="0" w:line="210" w:lineRule="exact"/>
        <w:rPr>
          <w:sz w:val="20"/>
          <w:szCs w:val="20"/>
          <w:color w:val="auto"/>
        </w:rPr>
      </w:pPr>
    </w:p>
    <w:p>
      <w:pPr>
        <w:ind w:left="1620" w:hanging="923"/>
        <w:spacing w:after="0" w:line="298" w:lineRule="auto"/>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June 30, 2017,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1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Subject to a request for confidential treatment.</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TG THERAPEUTICS, INC.</w:t>
      </w:r>
    </w:p>
    <w:p>
      <w:pPr>
        <w:spacing w:after="0" w:line="225" w:lineRule="exact"/>
        <w:rPr>
          <w:sz w:val="20"/>
          <w:szCs w:val="20"/>
          <w:color w:val="auto"/>
        </w:rPr>
      </w:pPr>
    </w:p>
    <w:p>
      <w:pPr>
        <w:spacing w:after="0"/>
        <w:tabs>
          <w:tab w:leader="none" w:pos="5360" w:val="left"/>
          <w:tab w:leader="none" w:pos="580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36830</wp:posOffset>
            </wp:positionV>
            <wp:extent cx="3550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and Accounting Officer</w:t>
      </w:r>
    </w:p>
    <w:p>
      <w:pPr>
        <w:spacing w:after="0" w:line="21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557" w:right="7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9940" w:type="dxa"/>
            <w:vAlign w:val="bottom"/>
          </w:tcPr>
          <w:p>
            <w:pPr>
              <w:ind w:left="37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240" w:type="dxa"/>
            <w:vAlign w:val="bottom"/>
            <w:gridSpan w:val="2"/>
          </w:tcPr>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tc>
      </w:tr>
      <w:tr>
        <w:trPr>
          <w:trHeight w:val="426"/>
        </w:trPr>
        <w:tc>
          <w:tcPr>
            <w:tcW w:w="130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9940" w:type="dxa"/>
            <w:vAlign w:val="bottom"/>
          </w:tcPr>
          <w:p>
            <w:pPr>
              <w:ind w:left="320"/>
              <w:spacing w:after="0"/>
              <w:rPr>
                <w:sz w:val="20"/>
                <w:szCs w:val="20"/>
                <w:color w:val="auto"/>
              </w:rPr>
            </w:pPr>
            <w:r>
              <w:rPr>
                <w:rFonts w:ascii="Arial" w:cs="Arial" w:eastAsia="Arial" w:hAnsi="Arial"/>
                <w:sz w:val="18"/>
                <w:szCs w:val="18"/>
                <w:color w:val="auto"/>
                <w:w w:val="88"/>
              </w:rPr>
              <w:t>Certification of Chief Executive Officer pursuant to Rule 13a-14(a)/15d-14(a), as adopted pursuant to Section 302 of the Sarbanes-Oxley</w:t>
            </w:r>
          </w:p>
        </w:tc>
      </w:tr>
      <w:tr>
        <w:trPr>
          <w:trHeight w:val="222"/>
        </w:trPr>
        <w:tc>
          <w:tcPr>
            <w:tcW w:w="13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Act of 2002, dated August 9, 2017.</w:t>
            </w:r>
          </w:p>
        </w:tc>
      </w:tr>
      <w:tr>
        <w:trPr>
          <w:trHeight w:val="426"/>
        </w:trPr>
        <w:tc>
          <w:tcPr>
            <w:tcW w:w="1300" w:type="dxa"/>
            <w:vAlign w:val="bottom"/>
          </w:tcPr>
          <w:p>
            <w:pPr>
              <w:jc w:val="right"/>
              <w:ind w:right="212"/>
              <w:spacing w:after="0"/>
              <w:rPr>
                <w:sz w:val="20"/>
                <w:szCs w:val="20"/>
                <w:color w:val="auto"/>
              </w:rPr>
            </w:pPr>
            <w:r>
              <w:rPr>
                <w:rFonts w:ascii="Arial" w:cs="Arial" w:eastAsia="Arial" w:hAnsi="Arial"/>
                <w:sz w:val="18"/>
                <w:szCs w:val="18"/>
                <w:color w:val="auto"/>
              </w:rPr>
              <w:t>31.2</w:t>
            </w:r>
          </w:p>
        </w:tc>
        <w:tc>
          <w:tcPr>
            <w:tcW w:w="9940" w:type="dxa"/>
            <w:vAlign w:val="bottom"/>
          </w:tcPr>
          <w:p>
            <w:pPr>
              <w:ind w:left="320"/>
              <w:spacing w:after="0"/>
              <w:rPr>
                <w:sz w:val="20"/>
                <w:szCs w:val="20"/>
                <w:color w:val="auto"/>
              </w:rPr>
            </w:pPr>
            <w:r>
              <w:rPr>
                <w:rFonts w:ascii="Arial" w:cs="Arial" w:eastAsia="Arial" w:hAnsi="Arial"/>
                <w:sz w:val="18"/>
                <w:szCs w:val="18"/>
                <w:color w:val="auto"/>
                <w:w w:val="89"/>
              </w:rPr>
              <w:t>Certification of Chief Financial Officer pursuant to Rule 13a-14(a)/15d-14(a), as adopted pursuant to Section 302 of the Sarbanes-Oxley</w:t>
            </w:r>
          </w:p>
        </w:tc>
      </w:tr>
      <w:tr>
        <w:trPr>
          <w:trHeight w:val="222"/>
        </w:trPr>
        <w:tc>
          <w:tcPr>
            <w:tcW w:w="13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Act of 2002, dated August 9, 2017.</w:t>
            </w:r>
          </w:p>
        </w:tc>
      </w:tr>
      <w:tr>
        <w:trPr>
          <w:trHeight w:val="426"/>
        </w:trPr>
        <w:tc>
          <w:tcPr>
            <w:tcW w:w="1300" w:type="dxa"/>
            <w:vAlign w:val="bottom"/>
          </w:tcPr>
          <w:p>
            <w:pPr>
              <w:jc w:val="right"/>
              <w:ind w:right="212"/>
              <w:spacing w:after="0"/>
              <w:rPr>
                <w:sz w:val="20"/>
                <w:szCs w:val="20"/>
                <w:color w:val="auto"/>
              </w:rPr>
            </w:pPr>
            <w:r>
              <w:rPr>
                <w:rFonts w:ascii="Arial" w:cs="Arial" w:eastAsia="Arial" w:hAnsi="Arial"/>
                <w:sz w:val="18"/>
                <w:szCs w:val="18"/>
                <w:color w:val="auto"/>
              </w:rPr>
              <w:t>32.1</w:t>
            </w: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Certification of Chief Executive Officer pursuant to 18 U.S.C. §1350, as adopted pursuant to Section 906 of the Sarbanes-Oxley Act of</w:t>
            </w:r>
          </w:p>
        </w:tc>
      </w:tr>
      <w:tr>
        <w:trPr>
          <w:trHeight w:val="222"/>
        </w:trPr>
        <w:tc>
          <w:tcPr>
            <w:tcW w:w="13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2002, dated August 9, 2017.</w:t>
            </w:r>
          </w:p>
        </w:tc>
      </w:tr>
      <w:tr>
        <w:trPr>
          <w:trHeight w:val="426"/>
        </w:trPr>
        <w:tc>
          <w:tcPr>
            <w:tcW w:w="1300" w:type="dxa"/>
            <w:vAlign w:val="bottom"/>
          </w:tcPr>
          <w:p>
            <w:pPr>
              <w:jc w:val="right"/>
              <w:ind w:right="212"/>
              <w:spacing w:after="0"/>
              <w:rPr>
                <w:sz w:val="20"/>
                <w:szCs w:val="20"/>
                <w:color w:val="auto"/>
              </w:rPr>
            </w:pPr>
            <w:r>
              <w:rPr>
                <w:rFonts w:ascii="Arial" w:cs="Arial" w:eastAsia="Arial" w:hAnsi="Arial"/>
                <w:sz w:val="18"/>
                <w:szCs w:val="18"/>
                <w:color w:val="auto"/>
              </w:rPr>
              <w:t>32.2</w:t>
            </w: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Certification of Chief Financial Officer pursuant to 18 U.S.C. §1350, as adopted pursuant to Section 906 of the Sarbanes-Oxley Act of</w:t>
            </w:r>
          </w:p>
        </w:tc>
      </w:tr>
      <w:tr>
        <w:trPr>
          <w:trHeight w:val="222"/>
        </w:trPr>
        <w:tc>
          <w:tcPr>
            <w:tcW w:w="13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2002, dated August 9, 2017.</w:t>
            </w:r>
          </w:p>
        </w:tc>
      </w:tr>
    </w:tbl>
    <w:p>
      <w:pPr>
        <w:spacing w:after="0" w:line="210" w:lineRule="exact"/>
        <w:rPr>
          <w:sz w:val="20"/>
          <w:szCs w:val="20"/>
          <w:color w:val="auto"/>
        </w:rPr>
      </w:pPr>
    </w:p>
    <w:p>
      <w:pPr>
        <w:ind w:left="1620" w:hanging="923"/>
        <w:spacing w:after="0" w:line="298" w:lineRule="auto"/>
        <w:tabs>
          <w:tab w:leader="none" w:pos="1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June 30, 2017,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40" w:right="80" w:hanging="132"/>
        <w:spacing w:after="0" w:line="268" w:lineRule="auto"/>
        <w:tabs>
          <w:tab w:leader="none" w:pos="1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10795</wp:posOffset>
            </wp:positionV>
            <wp:extent cx="4133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3385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140" w:right="140" w:hanging="134"/>
        <w:spacing w:after="0" w:line="268"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sz w:val="20"/>
          <w:szCs w:val="20"/>
          <w:color w:val="auto"/>
        </w:rPr>
      </w:pPr>
    </w:p>
    <w:p>
      <w:pPr>
        <w:ind w:left="820" w:right="100" w:hanging="592"/>
        <w:spacing w:after="0" w:line="268"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2017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94" w:lineRule="exact"/>
        <w:rPr>
          <w:sz w:val="20"/>
          <w:szCs w:val="20"/>
          <w:color w:val="auto"/>
        </w:rPr>
      </w:pPr>
    </w:p>
    <w:p>
      <w:pPr>
        <w:ind w:left="560" w:hanging="228"/>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42538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5386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2017 as filed with the Securities and Exchange Commission (the “Report”), I, Sean A. Power, Chief Financial Officer of the Company, certify, pursuant to 18 U.S.C. § 1350, as adopted pursuant to § 906 of the Sarbanes-Oxley Act of 2002, that, based on my knowledge:</w:t>
      </w:r>
    </w:p>
    <w:p>
      <w:pPr>
        <w:spacing w:after="0" w:line="194" w:lineRule="exact"/>
        <w:rPr>
          <w:sz w:val="20"/>
          <w:szCs w:val="20"/>
          <w:color w:val="auto"/>
        </w:rPr>
      </w:pPr>
    </w:p>
    <w:p>
      <w:pPr>
        <w:ind w:left="520" w:hanging="188"/>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10795</wp:posOffset>
            </wp:positionV>
            <wp:extent cx="42024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lvl w:ilvl="1">
      <w:lvlJc w:val="left"/>
      <w:lvlText w:val="%2"/>
      <w:numFmt w:val="decimal"/>
      <w:start w:val="101"/>
    </w:lvl>
  </w:abstractNum>
  <w:abstractNum w:abstractNumId="30">
    <w:nsid w:val="614FD4A1"/>
    <w:multiLevelType w:val="hybridMultilevel"/>
    <w:lvl w:ilvl="0">
      <w:lvlJc w:val="left"/>
      <w:lvlText w:val="%1"/>
      <w:numFmt w:val="decimal"/>
      <w:start w:val="10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5"/>
    </w:lvl>
    <w:lvl w:ilvl="1">
      <w:lvlJc w:val="left"/>
      <w:lvlText w:val="%2)"/>
      <w:numFmt w:val="lowerLetter"/>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2019-12-06T03:42:44Z</dcterms:created>
  <dcterms:modified xsi:type="dcterms:W3CDTF">2019-12-06T03:42:44Z</dcterms:modified>
</cp:coreProperties>
</file>