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-224155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6" w:lineRule="exact"/>
        <w:rPr>
          <w:sz w:val="24"/>
          <w:szCs w:val="24"/>
          <w:color w:val="auto"/>
        </w:rPr>
      </w:pPr>
    </w:p>
    <w:p>
      <w:pPr>
        <w:ind w:left="4060" w:right="2720" w:hanging="1338"/>
        <w:spacing w:after="0" w:line="282" w:lineRule="auto"/>
        <w:tabs>
          <w:tab w:leader="none" w:pos="289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060" w:right="2680" w:hanging="1379"/>
        <w:spacing w:after="0" w:line="282" w:lineRule="auto"/>
        <w:tabs>
          <w:tab w:leader="none" w:pos="292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52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TG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940" w:space="720"/>
            <w:col w:w="3760"/>
          </w:cols>
          <w:pgMar w:left="240" w:top="44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 Columbus Circle, 15</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2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00" w:val="left"/>
        </w:tabs>
        <w:rPr>
          <w:sz w:val="20"/>
          <w:szCs w:val="20"/>
          <w:color w:val="auto"/>
        </w:rPr>
      </w:pPr>
      <w:r>
        <w:rPr>
          <w:rFonts w:ascii="Arial" w:cs="Arial" w:eastAsia="Arial" w:hAnsi="Arial"/>
          <w:sz w:val="18"/>
          <w:szCs w:val="18"/>
          <w:color w:val="auto"/>
        </w:rPr>
        <w:t>x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1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840" w:type="dxa"/>
            <w:vAlign w:val="bottom"/>
          </w:tcPr>
          <w:p>
            <w:pPr>
              <w:jc w:val="right"/>
              <w:ind w:right="19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858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840" w:type="dxa"/>
            <w:vAlign w:val="bottom"/>
          </w:tcPr>
          <w:p>
            <w:pPr>
              <w:jc w:val="right"/>
              <w:ind w:right="19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65"/>
        </w:trPr>
        <w:tc>
          <w:tcPr>
            <w:tcW w:w="8580" w:type="dxa"/>
            <w:vAlign w:val="bottom"/>
          </w:tcPr>
          <w:p>
            <w:pPr>
              <w:spacing w:after="0"/>
              <w:rPr>
                <w:sz w:val="20"/>
                <w:szCs w:val="20"/>
                <w:color w:val="auto"/>
              </w:rPr>
            </w:pPr>
            <w:r>
              <w:rPr>
                <w:rFonts w:ascii="Arial" w:cs="Arial" w:eastAsia="Arial" w:hAnsi="Arial"/>
                <w:sz w:val="18"/>
                <w:szCs w:val="18"/>
                <w:color w:val="auto"/>
                <w:w w:val="95"/>
              </w:rPr>
              <w:t>Indicate by checkmark whether the registrant is a shell company (as defined in Rule 12b-2 of the Exchange Act).</w:t>
            </w:r>
          </w:p>
        </w:tc>
        <w:tc>
          <w:tcPr>
            <w:tcW w:w="2840" w:type="dxa"/>
            <w:vAlign w:val="bottom"/>
          </w:tcPr>
          <w:p>
            <w:pPr>
              <w:spacing w:after="0"/>
              <w:rPr>
                <w:sz w:val="24"/>
                <w:szCs w:val="24"/>
                <w:color w:val="auto"/>
              </w:rPr>
            </w:pPr>
          </w:p>
        </w:tc>
      </w:tr>
      <w:tr>
        <w:trPr>
          <w:trHeight w:val="283"/>
        </w:trPr>
        <w:tc>
          <w:tcPr>
            <w:tcW w:w="85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840" w:type="dxa"/>
            <w:vAlign w:val="bottom"/>
          </w:tcPr>
          <w:p>
            <w:pPr>
              <w:spacing w:after="0"/>
              <w:rPr>
                <w:sz w:val="24"/>
                <w:szCs w:val="24"/>
                <w:color w:val="auto"/>
              </w:rPr>
            </w:pPr>
          </w:p>
        </w:tc>
      </w:tr>
      <w:tr>
        <w:trPr>
          <w:trHeight w:val="412"/>
        </w:trPr>
        <w:tc>
          <w:tcPr>
            <w:tcW w:w="8580" w:type="dxa"/>
            <w:vAlign w:val="bottom"/>
          </w:tcPr>
          <w:p>
            <w:pPr>
              <w:spacing w:after="0"/>
              <w:rPr>
                <w:sz w:val="20"/>
                <w:szCs w:val="20"/>
                <w:color w:val="auto"/>
              </w:rPr>
            </w:pPr>
            <w:r>
              <w:rPr>
                <w:rFonts w:ascii="Arial" w:cs="Arial" w:eastAsia="Arial" w:hAnsi="Arial"/>
                <w:sz w:val="18"/>
                <w:szCs w:val="18"/>
                <w:color w:val="auto"/>
                <w:w w:val="94"/>
              </w:rPr>
              <w:t>There were 37,624,407 shares of the registrant’s common stock, $0.001 par value, outstanding as of May 1, 2014.</w:t>
            </w:r>
          </w:p>
        </w:tc>
        <w:tc>
          <w:tcPr>
            <w:tcW w:w="2840" w:type="dxa"/>
            <w:vAlign w:val="bottom"/>
          </w:tcPr>
          <w:p>
            <w:pPr>
              <w:spacing w:after="0"/>
              <w:rPr>
                <w:sz w:val="24"/>
                <w:szCs w:val="24"/>
                <w:color w:val="auto"/>
              </w:rPr>
            </w:pPr>
          </w:p>
        </w:tc>
      </w:tr>
      <w:tr>
        <w:trPr>
          <w:trHeight w:val="648"/>
        </w:trPr>
        <w:tc>
          <w:tcPr>
            <w:tcW w:w="85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20" w:type="dxa"/>
            <w:vAlign w:val="bottom"/>
            <w:gridSpan w:val="10"/>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0"/>
            <w:shd w:val="clear" w:color="auto" w:fill="CCFFCC"/>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PART I</w:t>
            </w:r>
          </w:p>
        </w:tc>
        <w:tc>
          <w:tcPr>
            <w:tcW w:w="9320" w:type="dxa"/>
            <w:vAlign w:val="bottom"/>
            <w:gridSpan w:val="19"/>
            <w:shd w:val="clear" w:color="auto" w:fill="CCFFCC"/>
          </w:tcPr>
          <w:p>
            <w:pPr>
              <w:ind w:left="420"/>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2014 (unaudited) and December 31, 2013</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Operations for the three months ended March 31, 2014 and 2013 and the</w:t>
              </w:r>
            </w:hyperlink>
          </w:p>
        </w:tc>
        <w:tc>
          <w:tcPr>
            <w:tcW w:w="10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0000EE"/>
            </w:tcBorders>
            <w:shd w:val="clear" w:color="auto" w:fill="CCFFCC"/>
          </w:tcPr>
          <w:p>
            <w:pPr>
              <w:spacing w:after="0"/>
              <w:rPr>
                <w:sz w:val="18"/>
                <w:szCs w:val="18"/>
                <w:color w:val="auto"/>
              </w:rPr>
            </w:pPr>
          </w:p>
        </w:tc>
        <w:tc>
          <w:tcPr>
            <w:tcW w:w="7980" w:type="dxa"/>
            <w:vAlign w:val="bottom"/>
            <w:tcBorders>
              <w:top w:val="single" w:sz="8" w:color="0000EE"/>
            </w:tcBorders>
            <w:gridSpan w:val="15"/>
            <w:shd w:val="clear" w:color="auto" w:fill="CCFFCC"/>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Cumulative Period ended March 31, 2014 (unaudited)</w:t>
              </w:r>
            </w:hyperlink>
          </w:p>
        </w:tc>
        <w:tc>
          <w:tcPr>
            <w:tcW w:w="800" w:type="dxa"/>
            <w:vAlign w:val="bottom"/>
            <w:tcBorders>
              <w:top w:val="single" w:sz="8" w:color="CCFFCC"/>
            </w:tcBorders>
            <w:gridSpan w:val="2"/>
            <w:shd w:val="clear" w:color="auto" w:fill="CCFFCC"/>
          </w:tcPr>
          <w:p>
            <w:pPr>
              <w:spacing w:after="0"/>
              <w:rPr>
                <w:sz w:val="18"/>
                <w:szCs w:val="18"/>
                <w:color w:val="auto"/>
              </w:rPr>
            </w:pPr>
          </w:p>
        </w:tc>
        <w:tc>
          <w:tcPr>
            <w:tcW w:w="1020" w:type="dxa"/>
            <w:vAlign w:val="bottom"/>
            <w:tcBorders>
              <w:top w:val="single" w:sz="8" w:color="CCFFCC"/>
            </w:tcBorders>
            <w:shd w:val="clear" w:color="auto" w:fill="CCFFCC"/>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 for the three months ended March 31, 2014 (unaudited)</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three months ended March 31, 2014 and 2013 and the</w:t>
              </w:r>
            </w:hyperlink>
          </w:p>
        </w:tc>
        <w:tc>
          <w:tcPr>
            <w:tcW w:w="10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6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0000EE"/>
            </w:tcBorders>
            <w:shd w:val="clear" w:color="auto" w:fill="CCFFCC"/>
          </w:tcPr>
          <w:p>
            <w:pPr>
              <w:spacing w:after="0"/>
              <w:rPr>
                <w:sz w:val="18"/>
                <w:szCs w:val="18"/>
                <w:color w:val="auto"/>
              </w:rPr>
            </w:pPr>
          </w:p>
        </w:tc>
        <w:tc>
          <w:tcPr>
            <w:tcW w:w="8040" w:type="dxa"/>
            <w:vAlign w:val="bottom"/>
            <w:tcBorders>
              <w:top w:val="single" w:sz="8" w:color="0000EE"/>
            </w:tcBorders>
            <w:gridSpan w:val="16"/>
            <w:shd w:val="clear" w:color="auto" w:fill="CCFFCC"/>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Cumulative Period ended March 31, 2014 (unaudited)</w:t>
              </w:r>
            </w:hyperlink>
          </w:p>
        </w:tc>
        <w:tc>
          <w:tcPr>
            <w:tcW w:w="74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CCFFCC"/>
            </w:tcBorders>
            <w:shd w:val="clear" w:color="auto" w:fill="CCFFCC"/>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320" w:type="dxa"/>
            <w:vAlign w:val="bottom"/>
            <w:gridSpan w:val="19"/>
            <w:shd w:val="clear" w:color="auto" w:fill="CCFFCC"/>
          </w:tcPr>
          <w:p>
            <w:pPr>
              <w:ind w:left="420"/>
              <w:spacing w:after="0" w:line="17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INFORMATION</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360" w:type="dxa"/>
            <w:vAlign w:val="bottom"/>
            <w:tcBorders>
              <w:top w:val="single" w:sz="8" w:color="CCFFCC"/>
            </w:tcBorders>
          </w:tcPr>
          <w:p>
            <w:pPr>
              <w:spacing w:after="0"/>
              <w:rPr>
                <w:sz w:val="18"/>
                <w:szCs w:val="18"/>
                <w:color w:val="auto"/>
              </w:rPr>
            </w:pPr>
          </w:p>
        </w:tc>
        <w:tc>
          <w:tcPr>
            <w:tcW w:w="1640" w:type="dxa"/>
            <w:vAlign w:val="bottom"/>
            <w:tcBorders>
              <w:top w:val="single" w:sz="8" w:color="CCFFCC"/>
            </w:tcBorders>
          </w:tcPr>
          <w:p>
            <w:pPr>
              <w:spacing w:after="0"/>
              <w:rPr>
                <w:sz w:val="18"/>
                <w:szCs w:val="18"/>
                <w:color w:val="auto"/>
              </w:rPr>
            </w:pPr>
          </w:p>
        </w:tc>
        <w:tc>
          <w:tcPr>
            <w:tcW w:w="34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00" w:type="dxa"/>
            <w:vAlign w:val="bottom"/>
            <w:tcBorders>
              <w:top w:val="single" w:sz="8" w:color="CCFFCC"/>
            </w:tcBorders>
          </w:tcPr>
          <w:p>
            <w:pPr>
              <w:spacing w:after="0"/>
              <w:rPr>
                <w:sz w:val="18"/>
                <w:szCs w:val="18"/>
                <w:color w:val="auto"/>
              </w:rPr>
            </w:pPr>
          </w:p>
        </w:tc>
        <w:tc>
          <w:tcPr>
            <w:tcW w:w="70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320" w:type="dxa"/>
            <w:vAlign w:val="bottom"/>
            <w:gridSpan w:val="19"/>
            <w:shd w:val="clear" w:color="auto" w:fill="CCFFCC"/>
          </w:tcPr>
          <w:p>
            <w:pPr>
              <w:ind w:left="4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020" w:type="dxa"/>
            <w:vAlign w:val="bottom"/>
            <w:shd w:val="clear" w:color="auto" w:fill="CCFFCC"/>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6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gridSpan w:val="2"/>
          </w:tcPr>
          <w:p>
            <w:pPr>
              <w:spacing w:after="0"/>
              <w:rPr>
                <w:sz w:val="24"/>
                <w:szCs w:val="24"/>
                <w:color w:val="auto"/>
              </w:rPr>
            </w:pPr>
          </w:p>
        </w:tc>
        <w:tc>
          <w:tcPr>
            <w:tcW w:w="3760" w:type="dxa"/>
            <w:vAlign w:val="bottom"/>
            <w:tcBorders>
              <w:top w:val="single" w:sz="8" w:color="CCFFCC"/>
              <w:bottom w:val="single" w:sz="8" w:color="auto"/>
            </w:tcBorders>
            <w:gridSpan w:val="8"/>
          </w:tcPr>
          <w:p>
            <w:pPr>
              <w:jc w:val="right"/>
              <w:ind w:right="100"/>
              <w:spacing w:after="0"/>
              <w:rPr>
                <w:sz w:val="20"/>
                <w:szCs w:val="20"/>
                <w:color w:val="auto"/>
              </w:rPr>
            </w:pPr>
            <w:r>
              <w:rPr>
                <w:rFonts w:ascii="Arial" w:cs="Arial" w:eastAsia="Arial" w:hAnsi="Arial"/>
                <w:sz w:val="18"/>
                <w:szCs w:val="18"/>
                <w:color w:val="auto"/>
              </w:rPr>
              <w:t>2</w:t>
            </w:r>
          </w:p>
        </w:tc>
        <w:tc>
          <w:tcPr>
            <w:tcW w:w="500" w:type="dxa"/>
            <w:vAlign w:val="bottom"/>
            <w:tcBorders>
              <w:top w:val="single" w:sz="8" w:color="CCFFCC"/>
              <w:bottom w:val="single" w:sz="8" w:color="auto"/>
            </w:tcBorders>
          </w:tcPr>
          <w:p>
            <w:pPr>
              <w:spacing w:after="0"/>
              <w:rPr>
                <w:sz w:val="24"/>
                <w:szCs w:val="24"/>
                <w:color w:val="auto"/>
              </w:rPr>
            </w:pPr>
          </w:p>
        </w:tc>
        <w:tc>
          <w:tcPr>
            <w:tcW w:w="380" w:type="dxa"/>
            <w:vAlign w:val="bottom"/>
            <w:tcBorders>
              <w:top w:val="single" w:sz="8" w:color="CCFFCC"/>
              <w:bottom w:val="single" w:sz="8" w:color="auto"/>
            </w:tcBorders>
          </w:tcPr>
          <w:p>
            <w:pPr>
              <w:spacing w:after="0"/>
              <w:rPr>
                <w:sz w:val="24"/>
                <w:szCs w:val="24"/>
                <w:color w:val="auto"/>
              </w:rPr>
            </w:pPr>
          </w:p>
        </w:tc>
        <w:tc>
          <w:tcPr>
            <w:tcW w:w="1200" w:type="dxa"/>
            <w:vAlign w:val="bottom"/>
            <w:tcBorders>
              <w:top w:val="single" w:sz="8" w:color="CCFFCC"/>
              <w:bottom w:val="single" w:sz="8" w:color="auto"/>
            </w:tcBorders>
          </w:tcPr>
          <w:p>
            <w:pPr>
              <w:spacing w:after="0"/>
              <w:rPr>
                <w:sz w:val="24"/>
                <w:szCs w:val="24"/>
                <w:color w:val="auto"/>
              </w:rPr>
            </w:pPr>
          </w:p>
        </w:tc>
        <w:tc>
          <w:tcPr>
            <w:tcW w:w="70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740" w:type="dxa"/>
            <w:vAlign w:val="bottom"/>
            <w:tcBorders>
              <w:top w:val="single" w:sz="8" w:color="CCFFCC"/>
              <w:bottom w:val="single" w:sz="8" w:color="auto"/>
            </w:tcBorders>
          </w:tcPr>
          <w:p>
            <w:pPr>
              <w:spacing w:after="0"/>
              <w:rPr>
                <w:sz w:val="24"/>
                <w:szCs w:val="24"/>
                <w:color w:val="auto"/>
              </w:rPr>
            </w:pPr>
          </w:p>
        </w:tc>
        <w:tc>
          <w:tcPr>
            <w:tcW w:w="1020" w:type="dxa"/>
            <w:vAlign w:val="bottom"/>
            <w:tcBorders>
              <w:top w:val="single" w:sz="8" w:color="CCFFC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losses;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March 31, 2014</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49,596,327</w:t>
            </w: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40,485,466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3,901,783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11,124</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2,418,995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1,742,824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359,885</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56,288,114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42,303,263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Long-term investment securities</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1,001,858</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799,391</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799,391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76,415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top w:val="single" w:sz="8" w:color="CCFFCC"/>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58,173,955</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48,112,390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Notes payable, current portion</w:t>
            </w:r>
          </w:p>
        </w:tc>
        <w:tc>
          <w:tcPr>
            <w:tcW w:w="3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1,639,114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4,764,502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197,250</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152,381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1,988,745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1,638,095</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1,676,191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Notes payable, less current portion, at fair value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115,554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3,742,394</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8,057,898</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w w:val="91"/>
              </w:rPr>
              <w:t>Preferred stock, $0.001 par value per share (10,000,000 shares authorized, 0 issued and outstanding as of March</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31, 2014 and December 31, 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2"/>
              </w:rPr>
              <w:t>Common stock, $0.001 par value per share (500,000,000 shares authorized, 37,525,527 and 34,336,235 shares</w:t>
            </w: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0"/>
              </w:rPr>
              <w:t>issued, 37,484,218 and 34,294,926 shares outstanding at March 31, 2014 and December 31, 2013, respectively)</w:t>
            </w:r>
          </w:p>
        </w:tc>
        <w:tc>
          <w:tcPr>
            <w:tcW w:w="10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37,526</w:t>
            </w:r>
          </w:p>
        </w:tc>
        <w:tc>
          <w:tcPr>
            <w:tcW w:w="8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Contingently issuable 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101,579,618</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79,658,490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Treasury stock, at cost, 41,309 shares at March 31, 2014 and December 31, 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(234,337)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in the development stage</w:t>
            </w: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(46,951,252)</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(39,404,003)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FFCC"/>
            </w:tcBorders>
          </w:tcPr>
          <w:p>
            <w:pPr>
              <w:ind w:left="32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54,431,561</w:t>
            </w:r>
          </w:p>
        </w:tc>
        <w:tc>
          <w:tcPr>
            <w:tcW w:w="1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40,054,492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58,173,955</w:t>
            </w:r>
          </w:p>
        </w:tc>
        <w:tc>
          <w:tcPr>
            <w:tcW w:w="120" w:type="dxa"/>
            <w:vAlign w:val="bottom"/>
            <w:tcBorders>
              <w:bottom w:val="single" w:sz="8" w:color="CCFFCC"/>
            </w:tcBorders>
            <w:shd w:val="clear" w:color="auto" w:fill="CCFFCC"/>
          </w:tcPr>
          <w:p>
            <w:pPr>
              <w:spacing w:after="0"/>
              <w:rPr>
                <w:sz w:val="19"/>
                <w:szCs w:val="19"/>
                <w:color w:val="auto"/>
              </w:rPr>
            </w:pPr>
          </w:p>
        </w:tc>
        <w:tc>
          <w:tcPr>
            <w:tcW w:w="80" w:type="dxa"/>
            <w:vAlign w:val="bottom"/>
            <w:tcBorders>
              <w:bottom w:val="single" w:sz="8" w:color="CCFFCC"/>
            </w:tcBorders>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48,112,390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1"/>
              </w:rPr>
              <w:t>Three months ended March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March 31, 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License revenue</w:t>
            </w:r>
          </w:p>
        </w:tc>
        <w:tc>
          <w:tcPr>
            <w:tcW w:w="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38,095</w:t>
            </w:r>
          </w:p>
        </w:tc>
        <w:tc>
          <w:tcPr>
            <w:tcW w:w="360" w:type="dxa"/>
            <w:vAlign w:val="bottom"/>
            <w:gridSpan w:val="2"/>
            <w:shd w:val="clear" w:color="auto" w:fill="CCFFC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38,095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209,524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Costs and expenses:</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stock expense associated with in-licensing agreement</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1,901,610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354,703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3,398,938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research and development</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2,508,258</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1,215,202</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19,153,884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4,409,868</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1,569,905</w:t>
            </w: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39,427,822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Noncash compensation</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2,329,828</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1,530,774</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9,544,324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903,524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651,457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5,683,265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general and administrative</w:t>
            </w:r>
          </w:p>
        </w:tc>
        <w:tc>
          <w:tcPr>
            <w:tcW w:w="3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3,233,352</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2,182,231</w:t>
            </w:r>
          </w:p>
        </w:tc>
        <w:tc>
          <w:tcPr>
            <w:tcW w:w="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15,227,589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3,902,300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Total costs and expenses</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7,643,220</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3,752,136</w:t>
            </w:r>
          </w:p>
        </w:tc>
        <w:tc>
          <w:tcPr>
            <w:tcW w:w="1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58,557,711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(7,605,125)</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(3,714,041)</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(58,348,187)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(1,502)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(95,427)</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226,340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231,472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2,092,069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 in fair value of notes payable</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(175,315)</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(270,400)</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(5,136,138)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(57,876</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(40,430</w:t>
            </w:r>
          </w:p>
        </w:tc>
        <w:tc>
          <w:tcPr>
            <w:tcW w:w="140" w:type="dxa"/>
            <w:vAlign w:val="bottom"/>
            <w:tcBorders>
              <w:bottom w:val="single" w:sz="8" w:color="CCFFCC"/>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(3,580,705</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(7,547,249)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(3,673,611)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(54,767,482)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3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(7,547,249)</w:t>
            </w: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(3,673,611)</w:t>
            </w:r>
          </w:p>
        </w:tc>
        <w:tc>
          <w:tcPr>
            <w:tcW w:w="140" w:type="dxa"/>
            <w:vAlign w:val="bottom"/>
            <w:tcBorders>
              <w:top w:val="single" w:sz="8" w:color="CCFFCC"/>
            </w:tcBorders>
            <w:gridSpan w:val="2"/>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(55,097,482)</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(8,146,230)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loss attributable to TG Therapeutics, Inc. and Subsidiaries</w:t>
            </w:r>
          </w:p>
        </w:tc>
        <w:tc>
          <w:tcPr>
            <w:tcW w:w="36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(7,547,249</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(3,673,611</w:t>
            </w:r>
          </w:p>
        </w:tc>
        <w:tc>
          <w:tcPr>
            <w:tcW w:w="140" w:type="dxa"/>
            <w:vAlign w:val="bottom"/>
            <w:tcBorders>
              <w:bottom w:val="single" w:sz="8" w:color="CCFFCC"/>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(46,951,252</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(0.17)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Borders>
              <w:top w:val="single" w:sz="8" w:color="CCFFCC"/>
            </w:tcBorders>
            <w:shd w:val="clear" w:color="auto" w:fill="CCFFCC"/>
          </w:tcPr>
          <w:p>
            <w:pPr>
              <w:spacing w:after="0"/>
              <w:rPr>
                <w:sz w:val="17"/>
                <w:szCs w:val="17"/>
                <w:color w:val="auto"/>
              </w:rPr>
            </w:pPr>
          </w:p>
        </w:tc>
        <w:tc>
          <w:tcPr>
            <w:tcW w:w="36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114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Weighted average shares used in computing basic and diluted net loss per common share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30,091,000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21,953,803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Condensed Consolidated Statement of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for the three months ended March 31, 2014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Balance at January 1, 2014</w:t>
      </w:r>
    </w:p>
    <w:p>
      <w:pPr>
        <w:ind w:left="180" w:hanging="161"/>
        <w:spacing w:after="0" w:line="216" w:lineRule="auto"/>
        <w:rPr>
          <w:sz w:val="20"/>
          <w:szCs w:val="20"/>
          <w:color w:val="auto"/>
        </w:rPr>
      </w:pPr>
      <w:r>
        <w:rPr>
          <w:rFonts w:ascii="Arial" w:cs="Arial" w:eastAsia="Arial" w:hAnsi="Arial"/>
          <w:sz w:val="13"/>
          <w:szCs w:val="13"/>
          <w:color w:val="auto"/>
        </w:rPr>
        <w:t>Issuance of common stock in connection with exercise of warrants</w:t>
      </w:r>
    </w:p>
    <w:p>
      <w:pPr>
        <w:spacing w:after="0" w:line="218" w:lineRule="auto"/>
        <w:rPr>
          <w:sz w:val="20"/>
          <w:szCs w:val="20"/>
          <w:color w:val="auto"/>
        </w:rPr>
      </w:pPr>
      <w:r>
        <w:rPr>
          <w:rFonts w:ascii="Arial" w:cs="Arial" w:eastAsia="Arial" w:hAnsi="Arial"/>
          <w:sz w:val="13"/>
          <w:szCs w:val="13"/>
          <w:color w:val="auto"/>
        </w:rPr>
        <w:t>Issuance of restricted stock</w:t>
      </w:r>
    </w:p>
    <w:p>
      <w:pPr>
        <w:ind w:left="180" w:right="280" w:hanging="161"/>
        <w:spacing w:after="0" w:line="216" w:lineRule="auto"/>
        <w:rPr>
          <w:sz w:val="20"/>
          <w:szCs w:val="20"/>
          <w:color w:val="auto"/>
        </w:rPr>
      </w:pPr>
      <w:r>
        <w:rPr>
          <w:rFonts w:ascii="Arial" w:cs="Arial" w:eastAsia="Arial" w:hAnsi="Arial"/>
          <w:sz w:val="13"/>
          <w:szCs w:val="13"/>
          <w:color w:val="auto"/>
        </w:rPr>
        <w:t>Issuance of common stock in public offering (net of offering costs of $1,344,440)</w:t>
      </w:r>
    </w:p>
    <w:p>
      <w:pPr>
        <w:spacing w:after="0" w:line="1" w:lineRule="exact"/>
        <w:rPr>
          <w:sz w:val="20"/>
          <w:szCs w:val="20"/>
          <w:color w:val="auto"/>
        </w:rPr>
      </w:pPr>
    </w:p>
    <w:p>
      <w:pPr>
        <w:ind w:left="180" w:right="180" w:hanging="161"/>
        <w:spacing w:after="0" w:line="269" w:lineRule="auto"/>
        <w:rPr>
          <w:sz w:val="20"/>
          <w:szCs w:val="20"/>
          <w:color w:val="auto"/>
        </w:rPr>
      </w:pPr>
      <w:r>
        <w:rPr>
          <w:rFonts w:ascii="Arial" w:cs="Arial" w:eastAsia="Arial" w:hAnsi="Arial"/>
          <w:sz w:val="11"/>
          <w:szCs w:val="11"/>
          <w:color w:val="auto"/>
        </w:rPr>
        <w:t>Compensation in respect of restricted stock granted to employees, directors and consultants</w:t>
      </w:r>
    </w:p>
    <w:p>
      <w:pPr>
        <w:spacing w:after="0"/>
        <w:rPr>
          <w:sz w:val="20"/>
          <w:szCs w:val="20"/>
          <w:color w:val="auto"/>
        </w:rPr>
      </w:pPr>
      <w:r>
        <w:rPr>
          <w:rFonts w:ascii="Arial" w:cs="Arial" w:eastAsia="Arial" w:hAnsi="Arial"/>
          <w:sz w:val="13"/>
          <w:szCs w:val="13"/>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Balance at March 31,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78"/>
              <w:spacing w:after="0" w:line="135" w:lineRule="exact"/>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ind w:left="120"/>
              <w:spacing w:after="0" w:line="135" w:lineRule="exact"/>
              <w:rPr>
                <w:sz w:val="20"/>
                <w:szCs w:val="20"/>
                <w:color w:val="auto"/>
              </w:rPr>
            </w:pPr>
            <w:r>
              <w:rPr>
                <w:rFonts w:ascii="Arial" w:cs="Arial" w:eastAsia="Arial" w:hAnsi="Arial"/>
                <w:sz w:val="13"/>
                <w:szCs w:val="13"/>
                <w:b w:val="1"/>
                <w:bCs w:val="1"/>
                <w:color w:val="auto"/>
              </w:rPr>
              <w:t>Contingently</w:t>
            </w:r>
          </w:p>
        </w:tc>
        <w:tc>
          <w:tcPr>
            <w:tcW w:w="8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78"/>
              <w:spacing w:after="0" w:line="135" w:lineRule="exact"/>
              <w:rPr>
                <w:sz w:val="20"/>
                <w:szCs w:val="20"/>
                <w:color w:val="auto"/>
              </w:rPr>
            </w:pPr>
            <w:r>
              <w:rPr>
                <w:rFonts w:ascii="Arial" w:cs="Arial" w:eastAsia="Arial" w:hAnsi="Arial"/>
                <w:sz w:val="13"/>
                <w:szCs w:val="13"/>
                <w:b w:val="1"/>
                <w:bCs w:val="1"/>
                <w:color w:val="auto"/>
                <w:w w:val="86"/>
              </w:rPr>
              <w:t>in the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20" w:type="dxa"/>
            <w:vAlign w:val="bottom"/>
            <w:gridSpan w:val="4"/>
          </w:tcPr>
          <w:p>
            <w:pPr>
              <w:ind w:left="240"/>
              <w:spacing w:after="0"/>
              <w:rPr>
                <w:sz w:val="20"/>
                <w:szCs w:val="20"/>
                <w:color w:val="auto"/>
              </w:rPr>
            </w:pPr>
            <w:r>
              <w:rPr>
                <w:rFonts w:ascii="Arial" w:cs="Arial" w:eastAsia="Arial" w:hAnsi="Arial"/>
                <w:sz w:val="13"/>
                <w:szCs w:val="13"/>
                <w:b w:val="1"/>
                <w:bCs w:val="1"/>
                <w:color w:val="auto"/>
                <w:w w:val="90"/>
              </w:rPr>
              <w:t>Preferred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ind w:left="2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4"/>
              </w:rPr>
              <w:t>issuable</w:t>
            </w: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paid-in</w:t>
            </w:r>
          </w:p>
        </w:tc>
        <w:tc>
          <w:tcPr>
            <w:tcW w:w="1460" w:type="dxa"/>
            <w:vAlign w:val="bottom"/>
            <w:gridSpan w:val="4"/>
          </w:tcPr>
          <w:p>
            <w:pPr>
              <w:jc w:val="right"/>
              <w:ind w:right="338"/>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3"/>
                <w:szCs w:val="13"/>
                <w:color w:val="auto"/>
              </w:rPr>
            </w:pPr>
          </w:p>
        </w:tc>
        <w:tc>
          <w:tcPr>
            <w:tcW w:w="940" w:type="dxa"/>
            <w:vAlign w:val="bottom"/>
            <w:gridSpan w:val="3"/>
          </w:tcPr>
          <w:p>
            <w:pPr>
              <w:jc w:val="center"/>
              <w:ind w:right="178"/>
              <w:spacing w:after="0"/>
              <w:rPr>
                <w:sz w:val="20"/>
                <w:szCs w:val="20"/>
                <w:color w:val="auto"/>
              </w:rPr>
            </w:pPr>
            <w:r>
              <w:rPr>
                <w:rFonts w:ascii="Arial" w:cs="Arial" w:eastAsia="Arial" w:hAnsi="Arial"/>
                <w:sz w:val="13"/>
                <w:szCs w:val="13"/>
                <w:b w:val="1"/>
                <w:bCs w:val="1"/>
                <w:color w:val="auto"/>
                <w:w w:val="84"/>
              </w:rPr>
              <w:t>development</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40"/>
              <w:spacing w:after="0" w:line="143"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60"/>
              <w:spacing w:after="0" w:line="143" w:lineRule="exact"/>
              <w:rPr>
                <w:sz w:val="20"/>
                <w:szCs w:val="20"/>
                <w:color w:val="auto"/>
              </w:rPr>
            </w:pPr>
            <w:r>
              <w:rPr>
                <w:rFonts w:ascii="Arial" w:cs="Arial" w:eastAsia="Arial" w:hAnsi="Arial"/>
                <w:sz w:val="13"/>
                <w:szCs w:val="13"/>
                <w:b w:val="1"/>
                <w:bCs w:val="1"/>
                <w:color w:val="auto"/>
                <w:w w:val="92"/>
              </w:rPr>
              <w:t>Shares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0"/>
              <w:spacing w:after="0" w:line="143" w:lineRule="exact"/>
              <w:rPr>
                <w:sz w:val="20"/>
                <w:szCs w:val="20"/>
                <w:color w:val="auto"/>
              </w:rPr>
            </w:pPr>
            <w:r>
              <w:rPr>
                <w:rFonts w:ascii="Arial" w:cs="Arial" w:eastAsia="Arial" w:hAnsi="Arial"/>
                <w:sz w:val="13"/>
                <w:szCs w:val="13"/>
                <w:b w:val="1"/>
                <w:bCs w:val="1"/>
                <w:color w:val="auto"/>
                <w:w w:val="90"/>
              </w:rPr>
              <w:t>shares</w:t>
            </w: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2"/>
              </w:rPr>
              <w:t>capital</w:t>
            </w:r>
          </w:p>
        </w:tc>
        <w:tc>
          <w:tcPr>
            <w:tcW w:w="76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58"/>
              <w:spacing w:after="0" w:line="143" w:lineRule="exact"/>
              <w:rPr>
                <w:sz w:val="20"/>
                <w:szCs w:val="20"/>
                <w:color w:val="auto"/>
              </w:rPr>
            </w:pPr>
            <w:r>
              <w:rPr>
                <w:rFonts w:ascii="Arial" w:cs="Arial" w:eastAsia="Arial" w:hAnsi="Arial"/>
                <w:sz w:val="13"/>
                <w:szCs w:val="13"/>
                <w:b w:val="1"/>
                <w:bCs w:val="1"/>
                <w:color w:val="auto"/>
                <w:w w:val="82"/>
              </w:rPr>
              <w:t>stage</w:t>
            </w:r>
          </w:p>
        </w:tc>
        <w:tc>
          <w:tcPr>
            <w:tcW w:w="20" w:type="dxa"/>
            <w:vAlign w:val="bottom"/>
          </w:tcPr>
          <w:p>
            <w:pPr>
              <w:spacing w:after="0"/>
              <w:rPr>
                <w:sz w:val="12"/>
                <w:szCs w:val="12"/>
                <w:color w:val="auto"/>
              </w:rPr>
            </w:pPr>
          </w:p>
        </w:tc>
        <w:tc>
          <w:tcPr>
            <w:tcW w:w="700" w:type="dxa"/>
            <w:vAlign w:val="bottom"/>
            <w:gridSpan w:val="3"/>
          </w:tcPr>
          <w:p>
            <w:pPr>
              <w:jc w:val="right"/>
              <w:ind w:right="24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4"/>
        </w:trPr>
        <w:tc>
          <w:tcPr>
            <w:tcW w:w="54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45"/>
              <w:spacing w:after="0"/>
              <w:rPr>
                <w:sz w:val="20"/>
                <w:szCs w:val="20"/>
                <w:color w:val="auto"/>
              </w:rPr>
            </w:pPr>
            <w:r>
              <w:rPr>
                <w:rFonts w:ascii="Arial" w:cs="Arial" w:eastAsia="Arial" w:hAnsi="Arial"/>
                <w:sz w:val="9"/>
                <w:szCs w:val="9"/>
                <w:color w:val="auto"/>
                <w:w w:val="78"/>
              </w:rPr>
              <w:t>$</w:t>
            </w: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w w:val="76"/>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34,336,235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34,336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79,658,490</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41,309</w:t>
            </w:r>
          </w:p>
        </w:tc>
        <w:tc>
          <w:tcPr>
            <w:tcW w:w="200" w:type="dxa"/>
            <w:vAlign w:val="bottom"/>
          </w:tcPr>
          <w:p>
            <w:pPr>
              <w:spacing w:after="0"/>
              <w:rPr>
                <w:sz w:val="13"/>
                <w:szCs w:val="13"/>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 (234,337)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4"/>
              </w:rPr>
              <w:t>(39,404,003)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4"/>
              </w:rPr>
              <w:t>$ 40,054,492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396,483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901,075</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901,472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90,000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(90)</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93"/>
              </w:rPr>
              <w:t>2,702,809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2,703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16,788,705</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16,791,408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4,231,438</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4,231,438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3"/>
                <w:szCs w:val="13"/>
                <w:color w:val="auto"/>
                <w:w w:val="99"/>
              </w:rPr>
              <w:t>(7,547,249)</w:t>
            </w:r>
          </w:p>
        </w:tc>
        <w:tc>
          <w:tcPr>
            <w:tcW w:w="720" w:type="dxa"/>
            <w:vAlign w:val="bottom"/>
            <w:gridSpan w:val="4"/>
          </w:tcPr>
          <w:p>
            <w:pPr>
              <w:jc w:val="right"/>
              <w:spacing w:after="0"/>
              <w:rPr>
                <w:sz w:val="20"/>
                <w:szCs w:val="20"/>
                <w:color w:val="auto"/>
              </w:rPr>
            </w:pPr>
            <w:r>
              <w:rPr>
                <w:rFonts w:ascii="Arial" w:cs="Arial" w:eastAsia="Arial" w:hAnsi="Arial"/>
                <w:sz w:val="13"/>
                <w:szCs w:val="13"/>
                <w:color w:val="auto"/>
              </w:rPr>
              <w:t>(7,547,249)</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38"/>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5"/>
              <w:spacing w:after="0"/>
              <w:rPr>
                <w:sz w:val="20"/>
                <w:szCs w:val="20"/>
                <w:color w:val="auto"/>
              </w:rPr>
            </w:pPr>
            <w:r>
              <w:rPr>
                <w:rFonts w:ascii="Arial" w:cs="Arial" w:eastAsia="Arial" w:hAnsi="Arial"/>
                <w:sz w:val="13"/>
                <w:szCs w:val="13"/>
                <w:color w:val="auto"/>
              </w:rPr>
              <w:t>$</w:t>
            </w:r>
          </w:p>
        </w:tc>
        <w:tc>
          <w:tcPr>
            <w:tcW w:w="50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37,525,527</w:t>
            </w:r>
          </w:p>
        </w:tc>
        <w:tc>
          <w:tcPr>
            <w:tcW w:w="240" w:type="dxa"/>
            <w:vAlign w:val="bottom"/>
            <w:gridSpan w:val="2"/>
          </w:tcPr>
          <w:p>
            <w:pPr>
              <w:jc w:val="right"/>
              <w:ind w:right="25"/>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37,526</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w w:val="88"/>
              </w:rPr>
              <w:t>101,579,618</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41,309</w:t>
            </w:r>
          </w:p>
        </w:tc>
        <w:tc>
          <w:tcPr>
            <w:tcW w:w="580" w:type="dxa"/>
            <w:vAlign w:val="bottom"/>
          </w:tcPr>
          <w:p>
            <w:pPr>
              <w:jc w:val="center"/>
              <w:spacing w:after="0"/>
              <w:rPr>
                <w:sz w:val="20"/>
                <w:szCs w:val="20"/>
                <w:color w:val="auto"/>
              </w:rPr>
            </w:pPr>
            <w:r>
              <w:rPr>
                <w:rFonts w:ascii="Arial" w:cs="Arial" w:eastAsia="Arial" w:hAnsi="Arial"/>
                <w:sz w:val="13"/>
                <w:szCs w:val="13"/>
                <w:color w:val="auto"/>
                <w:w w:val="93"/>
              </w:rPr>
              <w:t>$ (234,337</w:t>
            </w:r>
          </w:p>
        </w:tc>
        <w:tc>
          <w:tcPr>
            <w:tcW w:w="120" w:type="dxa"/>
            <w:vAlign w:val="bottom"/>
            <w:vMerge w:val="continue"/>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89"/>
              </w:rPr>
              <w:t>(46,951,252</w:t>
            </w:r>
          </w:p>
        </w:tc>
        <w:tc>
          <w:tcPr>
            <w:tcW w:w="220" w:type="dxa"/>
            <w:vAlign w:val="bottom"/>
            <w:vMerge w:val="continue"/>
          </w:tcPr>
          <w:p>
            <w:pPr>
              <w:spacing w:after="0"/>
              <w:rPr>
                <w:sz w:val="13"/>
                <w:szCs w:val="1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w w:val="86"/>
              </w:rPr>
              <w:t>$ 54,431,561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-925830</wp:posOffset>
            </wp:positionV>
            <wp:extent cx="72466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-659765</wp:posOffset>
            </wp:positionV>
            <wp:extent cx="7246620"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-402590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-136525</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200"/>
            <w:col w:w="8260"/>
          </w:cols>
          <w:pgMar w:left="240" w:top="877" w:right="299" w:bottom="1440" w:gutter="0" w:footer="0" w:header="0"/>
          <w:type w:val="continuous"/>
        </w:sectPr>
      </w:pP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Cumulative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March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period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net loss</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(7,547,249)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(3,673,611)</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(55,097,482)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Adjustments to reconcile consolidated net loss to cash used in operating activities: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Gain on settlement of notes payable</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(95,427)</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4,231,438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1,885,477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12,943,262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Noncash stock expense associated with in-licensing agreement</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Impairment of in-process research and development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3,902,300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premiums on investment securities,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and accrued interest of notes payable</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51,025</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(54,838)</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(3,179,243)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Changes in assets and liabilities, net of effects of acquisition: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other current assets</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(988,252)</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(580,691)</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(2,688,111)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(Increase) decrease in accrued interest receivable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Decrease (increase) in other assets</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8,706</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Increase (decrease) in accounts payable and accrued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(3,888,453)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240,985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1,150,219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(Decrease) increase in interest payable</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(94,590)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15,910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(Decrease) increase in deferred revenue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(38,095)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(38,095)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1,790,476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(8,328,891</w:t>
            </w:r>
          </w:p>
        </w:tc>
        <w:tc>
          <w:tcPr>
            <w:tcW w:w="160" w:type="dxa"/>
            <w:vAlign w:val="bottom"/>
            <w:tcBorders>
              <w:top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(2,204,748</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(24,427,663</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Purchases of equipment</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(3,165)</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Investment in held-to-maturity long-term securities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(4,919,871)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Cash acquired in connection with acquisition</w:t>
            </w:r>
          </w:p>
        </w:tc>
        <w:tc>
          <w:tcPr>
            <w:tcW w:w="5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(4,919,730</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901,472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936,920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3,182,245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Payments of notes payable</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(677,778)</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(877,779)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17,219,223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64,692,185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Proceeds from sale of preferred stock, net</w:t>
            </w: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12,257,309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Offering costs paid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Purchase of treasury stock</w:t>
            </w:r>
          </w:p>
        </w:tc>
        <w:tc>
          <w:tcPr>
            <w:tcW w:w="5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17,442,917</w:t>
            </w:r>
          </w:p>
        </w:tc>
        <w:tc>
          <w:tcPr>
            <w:tcW w:w="16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936,920</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78,943,720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9,110,861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(1,267,828)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49,596,327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40,485,466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16,455,995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18"/>
                <w:szCs w:val="18"/>
                <w:color w:val="auto"/>
              </w:rPr>
            </w:pPr>
          </w:p>
        </w:tc>
        <w:tc>
          <w:tcPr>
            <w:tcW w:w="5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49,596,327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15,188,167</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49,596,327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Borders>
              <w:top w:val="single" w:sz="8" w:color="CCFFCC"/>
            </w:tcBorders>
            <w:shd w:val="clear" w:color="auto" w:fill="CCFFCC"/>
          </w:tcPr>
          <w:p>
            <w:pPr>
              <w:spacing w:after="0"/>
              <w:rPr>
                <w:sz w:val="17"/>
                <w:szCs w:val="17"/>
                <w:color w:val="auto"/>
              </w:rPr>
            </w:pPr>
          </w:p>
        </w:tc>
        <w:tc>
          <w:tcPr>
            <w:tcW w:w="5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120" w:type="dxa"/>
            <w:vAlign w:val="bottom"/>
            <w:tcBorders>
              <w:top w:val="single" w:sz="8" w:color="auto"/>
            </w:tcBorders>
            <w:shd w:val="clear" w:color="auto" w:fill="CCFFCC"/>
          </w:tcPr>
          <w:p>
            <w:pPr>
              <w:spacing w:after="0"/>
              <w:rPr>
                <w:sz w:val="17"/>
                <w:szCs w:val="17"/>
                <w:color w:val="auto"/>
              </w:rPr>
            </w:pPr>
          </w:p>
        </w:tc>
        <w:tc>
          <w:tcPr>
            <w:tcW w:w="114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NONCASH TRANSACTIONS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notes payable to preferred stock</w:t>
            </w:r>
          </w:p>
        </w:tc>
        <w:tc>
          <w:tcPr>
            <w:tcW w:w="7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financing costs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427,815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488,953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Inc.(formerly known as Manhattan Pharmaceuticals,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two therapies targeting hematological malignancies. TG-1101 (ublituximab) is a novel, glycoengineered monoclonal antibody that targets a specific and unique epitope on the CD20 antigen found on mature B-lymphocytes. We are also developing TGR-1202, an orally available PI3K delta inhibitor.</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U.S. generally accepted accounting principles (“GAAP”) for interim financial information and with the instructions to Form 10-Q and Article 10 of Regulation S-X. Accordingly, they may not include all of the information and footnotes required by GAAP for complete financial statements. All adjustments that are, in the opinion of management, of a normal recurring nature and are necessary for a fair presentation of the consolidated financial statements have been included. Nevertheless, these consolidated financial statements should be read in conjunction with the audited consolidated financial statements contained in our Annual Report on Form 10-K for the year ended December 31, 2013. The results of operations for the three months ended March 31, 2014 are not necessarily indicative of the results that may be expected for the entire fiscal year or any other interim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March 31, 2014, we have an accumulated deficit of $46,951,252.</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major sources of cash have been proceeds from the private placement and public offering of equity securities, the upfront payment from our Sublicense Agreement with Ildong Pharmaceutical Co. Ltd. (“Ildong”), and warrant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March 2014, we raised approximately $16.8 million, net of underwriting discounts and offering expenses of approximately $1.3 million, in an underwritten public offering. See Note 5 for additional information.</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March 31, 2014, we had $54,511,092 in cash, cash equivalents, investment securities, and interest receivable. We currently anticipate that our cash and cash equivalents will be sufficient to fund our anticipated operating cash requirements for at least 24 months from March 31, 2014.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the consolidated financial statements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recognize license revenue in accordance with the revenue recognition guidance of the FASB Accounting Standards Codification, or Codification. We analyzed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We recognize interest and penalties related to uncertain income tax positions in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recognize all share-based payments to employees and to non-employee directors as compensation for service on our board of directors as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share-based payments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Share of Common Stock</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Basic net income (loss) per share of Common Stock is calculated by dividing net loss applicable to the Common Stock by the weighted-average number of the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10,103,105 and 10,415,859 at March 31, 2014 and 2013, respectively. During the three months ended March 31, 2014 and 2013, the Company incurred a net loss; therefore, all of the dilutive securities are excluded from the computation of diluted earnings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NOTE 2 – CASH AND CASH EQUIVALENTS</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5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March 31, 2014</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2013</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15,587,596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554,069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34,008,731</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39,931,397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CFFCC"/>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CFFCC"/>
              <w:bottom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49,596,327</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40,485,466</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40" w:type="dxa"/>
            <w:vAlign w:val="bottom"/>
            <w:vMerge w:val="restart"/>
          </w:tcPr>
          <w:p>
            <w:pPr>
              <w:jc w:val="right"/>
              <w:ind w:right="89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record our investments as either held-to-maturity or available-for-sale. Held-to-maturity investments are recorded at amortized cost.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March 31, 2014 and December 31, 2013:</w:t>
      </w:r>
    </w:p>
    <w:p>
      <w:pPr>
        <w:sectPr>
          <w:pgSz w:w="11900" w:h="16838" w:orient="portrait"/>
          <w:cols w:equalWidth="0" w:num="1">
            <w:col w:w="11400"/>
          </w:cols>
          <w:pgMar w:left="240" w:top="87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2015 and February 2015)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March 31,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020" w:type="dxa"/>
            <w:vAlign w:val="bottom"/>
            <w:tcBorders>
              <w:top w:val="single" w:sz="8" w:color="auto"/>
            </w:tcBorders>
          </w:tcPr>
          <w:p>
            <w:pPr>
              <w:spacing w:after="0"/>
              <w:rPr>
                <w:sz w:val="16"/>
                <w:szCs w:val="16"/>
                <w:color w:val="auto"/>
              </w:rPr>
            </w:pPr>
          </w:p>
        </w:tc>
      </w:tr>
      <w:tr>
        <w:trPr>
          <w:trHeight w:val="216"/>
        </w:trPr>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1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as adjusted</w:t>
            </w:r>
          </w:p>
        </w:tc>
        <w:tc>
          <w:tcPr>
            <w:tcW w:w="2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holding gains</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fair value</w:t>
            </w:r>
          </w:p>
        </w:tc>
      </w:tr>
      <w:tr>
        <w:trPr>
          <w:trHeight w:val="20"/>
        </w:trPr>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66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3,901,783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rPr>
              <w:t>$  3,903,437</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60" w:space="200"/>
            <w:col w:w="5040"/>
          </w:cols>
          <w:pgMar w:left="240" w:top="877" w:right="25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Long-term investments:</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6"/>
              </w:rPr>
              <w:t>Obligations of domestic governmental agencies (maturing April 2015) (held-to-</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maturity)</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1,001,858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0" w:type="dxa"/>
            <w:vAlign w:val="bottom"/>
          </w:tcPr>
          <w:p>
            <w:pPr>
              <w:ind w:lef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  1,002,340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2015 and April 2015) (held-to-maturity)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020" w:type="dxa"/>
            <w:vAlign w:val="bottom"/>
            <w:tcBorders>
              <w:top w:val="single" w:sz="8" w:color="auto"/>
            </w:tcBorders>
          </w:tcPr>
          <w:p>
            <w:pPr>
              <w:spacing w:after="0"/>
              <w:rPr>
                <w:sz w:val="16"/>
                <w:szCs w:val="16"/>
                <w:color w:val="auto"/>
              </w:rPr>
            </w:pPr>
          </w:p>
        </w:tc>
      </w:tr>
      <w:tr>
        <w:trPr>
          <w:trHeight w:val="216"/>
        </w:trPr>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14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as adjusted</w:t>
            </w:r>
          </w:p>
        </w:tc>
        <w:tc>
          <w:tcPr>
            <w:tcW w:w="2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holding gains</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fair value</w:t>
            </w:r>
          </w:p>
        </w:tc>
      </w:tr>
      <w:tr>
        <w:trPr>
          <w:trHeight w:val="20"/>
        </w:trPr>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66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4,918,897</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020" w:type="dxa"/>
            <w:vAlign w:val="bottom"/>
          </w:tcPr>
          <w:p>
            <w:pPr>
              <w:jc w:val="center"/>
              <w:spacing w:after="0"/>
              <w:rPr>
                <w:sz w:val="20"/>
                <w:szCs w:val="20"/>
                <w:color w:val="auto"/>
              </w:rPr>
            </w:pPr>
            <w:r>
              <w:rPr>
                <w:rFonts w:ascii="Arial" w:cs="Arial" w:eastAsia="Arial" w:hAnsi="Arial"/>
                <w:sz w:val="18"/>
                <w:szCs w:val="18"/>
                <w:color w:val="auto"/>
              </w:rPr>
              <w:t>$  4,918,247</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160" w:space="200"/>
            <w:col w:w="5040"/>
          </w:cols>
          <w:pgMar w:left="240" w:top="877" w:right="259" w:bottom="1440" w:gutter="0" w:footer="0" w:header="0"/>
          <w:type w:val="continuous"/>
        </w:sectPr>
      </w:pPr>
    </w:p>
    <w:p>
      <w:pPr>
        <w:spacing w:after="0" w:line="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of March 31, 2014 and December 31, 2013, the fair values of cash and cash equivalents, and notes and interest payable approximate their carrying value.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the merger between Manhattan and Ariston Pharmaceuticals, Inc. (“Ariston”) in March 2010, Ariston issued $15,452,793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The Company has no obligations under the 5% Notes aside from a) 50% of the net product cash flows from Ariston’s product candidates, if any, payable to noteholders; and b) the conversion feature, discussed above.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reverse merger transaction (the “Exchange Transaction”) with TG Biologics, Inc. (“TGBio”) in December 2011,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performed a valuation of the assets and liabilities of Manhattan immediately prior to the transaction. The cumulative liability including accrued and unpaid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of the 5% Notes was approximately $16,876,000 immediately prior to the Exchange Transaction, and $18,614,000 at December 31, 2013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$18,840,359 at March 31, 2014. As the 5% Notes are tied directly to net product cash flows derived from the preexisting products of Ariston, the 5%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accrued interest were recorded at fair value of $3,287,700 as of the date of the Exchange Transaction. No payments have been made on the 5% Notes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March 31, 2014.</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elected the fair value option for valuing the 5% Notes upon the Exchange Transaction with TG Bio. We elected the fair value option in order to reflect in our financial statements the assumptions that market participants use in evaluating these financial instruments.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bookmarkStart w:id="11" w:name="page12"/>
    <w:bookmarkEnd w:id="11"/>
    <w:p>
      <w:pPr>
        <w:ind w:right="20" w:firstLine="648"/>
        <w:spacing w:after="0" w:line="273" w:lineRule="auto"/>
        <w:rPr>
          <w:sz w:val="20"/>
          <w:szCs w:val="20"/>
          <w:color w:val="auto"/>
        </w:rPr>
      </w:pPr>
      <w:r>
        <w:rPr>
          <w:rFonts w:ascii="Arial" w:cs="Arial" w:eastAsia="Arial" w:hAnsi="Arial"/>
          <w:sz w:val="17"/>
          <w:szCs w:val="17"/>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2014 and December 31, 2013.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measurements of applicable financial liabilities as of March 31, 2014 and December 31,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as of March 31, 2014</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115,554</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115,554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Financial liabilities at fair value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7"/>
              </w:rPr>
              <w:t>as of December 31, 2013</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5% Notes</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ind w:left="86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ind w:left="10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64,529</w:t>
            </w:r>
          </w:p>
        </w:tc>
        <w:tc>
          <w:tcPr>
            <w:tcW w:w="260" w:type="dxa"/>
            <w:vAlign w:val="bottom"/>
            <w:gridSpan w:val="2"/>
            <w:shd w:val="clear" w:color="auto" w:fill="CCFFCC"/>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64,529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2014:</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Fair value at December 31, 2013</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64,529</w:t>
            </w:r>
          </w:p>
        </w:tc>
        <w:tc>
          <w:tcPr>
            <w:tcW w:w="40" w:type="dxa"/>
            <w:vAlign w:val="bottom"/>
            <w:shd w:val="clear" w:color="auto" w:fill="CCFFC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226,340</w:t>
            </w:r>
          </w:p>
        </w:tc>
        <w:tc>
          <w:tcPr>
            <w:tcW w:w="40" w:type="dxa"/>
            <w:vAlign w:val="bottom"/>
          </w:tcPr>
          <w:p>
            <w:pPr>
              <w:spacing w:after="0"/>
              <w:rPr>
                <w:sz w:val="18"/>
                <w:szCs w:val="18"/>
                <w:color w:val="auto"/>
              </w:rPr>
            </w:pPr>
          </w:p>
        </w:tc>
      </w:tr>
      <w:tr>
        <w:trPr>
          <w:trHeight w:val="230"/>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Change in fair value of Level 3 liabilities</w:t>
            </w:r>
          </w:p>
        </w:tc>
        <w:tc>
          <w:tcPr>
            <w:tcW w:w="120" w:type="dxa"/>
            <w:vAlign w:val="bottom"/>
            <w:shd w:val="clear" w:color="auto" w:fill="CCFFCC"/>
          </w:tcPr>
          <w:p>
            <w:pPr>
              <w:spacing w:after="0"/>
              <w:rPr>
                <w:sz w:val="19"/>
                <w:szCs w:val="19"/>
                <w:color w:val="auto"/>
              </w:rPr>
            </w:pPr>
          </w:p>
        </w:tc>
        <w:tc>
          <w:tcPr>
            <w:tcW w:w="7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0"/>
              </w:rPr>
              <w:t>(175,315)</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Fair value at March 31, 2014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115,554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our board of directors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amended and restated certificate of incorporation authorizes the issuance of up to 500,000,000 shares of $0.001 par value common stock.</w:t>
      </w:r>
    </w:p>
    <w:p>
      <w:pPr>
        <w:spacing w:after="0" w:line="23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Total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80" w:firstLine="648"/>
        <w:spacing w:after="0" w:line="257" w:lineRule="auto"/>
        <w:rPr>
          <w:sz w:val="20"/>
          <w:szCs w:val="20"/>
          <w:color w:val="auto"/>
        </w:rPr>
      </w:pPr>
      <w:r>
        <w:rPr>
          <w:rFonts w:ascii="Arial" w:cs="Arial" w:eastAsia="Arial" w:hAnsi="Arial"/>
          <w:sz w:val="18"/>
          <w:szCs w:val="18"/>
          <w:color w:val="auto"/>
        </w:rPr>
        <w:t>We currently have one shelf registration statement on Form S-3 filed and declared effective by the SEC (File No. 333-189015). Subsequent to the March 2014 offering, there remains available under this shelf registration statement up to approximately $117 million of Common Stock. We may offer the securities under our shelf registration statement from time to time in response to market conditions or other circumstances if we believe such a plan of financing is in the best interests of our stockholders. We believe that this shelf registration statement provides us with the flexibility to raise additional capital to finance our operations as needed.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Shares available for the issuance of stock options or other stock-based awards under our stock option and incentive plans were 1,017,793 shares at March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20"/>
                <w:szCs w:val="20"/>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46,591</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46.37</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FFCC"/>
              <w:bottom w:val="single" w:sz="8" w:color="CCFFCC"/>
            </w:tcBorders>
            <w:vMerge w:val="restart"/>
          </w:tcPr>
          <w:p>
            <w:pPr>
              <w:ind w:left="160"/>
              <w:spacing w:after="0"/>
              <w:rPr>
                <w:sz w:val="20"/>
                <w:szCs w:val="20"/>
                <w:color w:val="auto"/>
              </w:rPr>
            </w:pPr>
            <w:r>
              <w:rPr>
                <w:rFonts w:ascii="Arial" w:cs="Arial" w:eastAsia="Arial" w:hAnsi="Arial"/>
                <w:sz w:val="18"/>
                <w:szCs w:val="18"/>
                <w:color w:val="auto"/>
              </w:rPr>
              <w:t>Granted</w:t>
            </w:r>
          </w:p>
        </w:tc>
        <w:tc>
          <w:tcPr>
            <w:tcW w:w="1340" w:type="dxa"/>
            <w:vAlign w:val="bottom"/>
            <w:tcBorders>
              <w:top w:val="single" w:sz="8" w:color="CCFFCC"/>
              <w:bottom w:val="single" w:sz="8" w:color="CCFFCC"/>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bottom w:val="single" w:sz="8" w:color="CCFFCC"/>
            </w:tcBorders>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Expired</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4,640.63</w:t>
            </w:r>
          </w:p>
        </w:tc>
        <w:tc>
          <w:tcPr>
            <w:tcW w:w="1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Outstanding at March 31, 2014</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46,232</w:t>
            </w:r>
          </w:p>
        </w:tc>
        <w:tc>
          <w:tcPr>
            <w:tcW w:w="14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FFCC"/>
            </w:tcBorders>
            <w:shd w:val="clear" w:color="auto" w:fill="CCFFCC"/>
          </w:tcPr>
          <w:p>
            <w:pPr>
              <w:spacing w:after="0"/>
              <w:rPr>
                <w:sz w:val="17"/>
                <w:szCs w:val="17"/>
                <w:color w:val="auto"/>
              </w:rPr>
            </w:pPr>
          </w:p>
        </w:tc>
        <w:tc>
          <w:tcPr>
            <w:tcW w:w="120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04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180" w:type="dxa"/>
            <w:vAlign w:val="bottom"/>
            <w:tcBorders>
              <w:top w:val="single" w:sz="8" w:color="auto"/>
            </w:tcBorders>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0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Vested and expected to vest at March 31, 2014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9,232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35.94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tcBorders>
              <w:top w:val="single" w:sz="8" w:color="CCFFCC"/>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Exercisable at March 31, 2014</w:t>
            </w:r>
          </w:p>
        </w:tc>
        <w:tc>
          <w:tcPr>
            <w:tcW w:w="120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9,232</w:t>
            </w:r>
          </w:p>
        </w:tc>
        <w:tc>
          <w:tcPr>
            <w:tcW w:w="140" w:type="dxa"/>
            <w:vAlign w:val="bottom"/>
            <w:tcBorders>
              <w:top w:val="single" w:sz="8" w:color="CCFFCC"/>
              <w:bottom w:val="single" w:sz="8" w:color="CCFFCC"/>
            </w:tcBorders>
            <w:shd w:val="clear" w:color="auto" w:fill="CCFFCC"/>
          </w:tcPr>
          <w:p>
            <w:pPr>
              <w:spacing w:after="0"/>
              <w:rPr>
                <w:sz w:val="17"/>
                <w:szCs w:val="17"/>
                <w:color w:val="auto"/>
              </w:rPr>
            </w:pPr>
          </w:p>
        </w:tc>
        <w:tc>
          <w:tcPr>
            <w:tcW w:w="80" w:type="dxa"/>
            <w:vAlign w:val="bottom"/>
            <w:tcBorders>
              <w:top w:val="single" w:sz="8" w:color="CCFFCC"/>
              <w:bottom w:val="single" w:sz="8" w:color="CCFFCC"/>
            </w:tcBorders>
            <w:shd w:val="clear" w:color="auto" w:fill="CCFFCC"/>
          </w:tcPr>
          <w:p>
            <w:pPr>
              <w:spacing w:after="0"/>
              <w:rPr>
                <w:sz w:val="17"/>
                <w:szCs w:val="17"/>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35.94</w:t>
            </w:r>
          </w:p>
        </w:tc>
        <w:tc>
          <w:tcPr>
            <w:tcW w:w="220" w:type="dxa"/>
            <w:vAlign w:val="bottom"/>
            <w:tcBorders>
              <w:top w:val="single" w:sz="8" w:color="CCFFCC"/>
              <w:bottom w:val="single" w:sz="8" w:color="CCFFCC"/>
            </w:tcBorders>
            <w:shd w:val="clear" w:color="auto" w:fill="CCFFCC"/>
          </w:tcPr>
          <w:p>
            <w:pPr>
              <w:spacing w:after="0"/>
              <w:rPr>
                <w:sz w:val="17"/>
                <w:szCs w:val="17"/>
                <w:color w:val="auto"/>
              </w:rPr>
            </w:pPr>
          </w:p>
        </w:tc>
        <w:tc>
          <w:tcPr>
            <w:tcW w:w="1400" w:type="dxa"/>
            <w:vAlign w:val="bottom"/>
            <w:tcBorders>
              <w:top w:val="single" w:sz="8" w:color="CCFFCC"/>
              <w:bottom w:val="single" w:sz="8" w:color="CCFFCC"/>
            </w:tcBorders>
            <w:gridSpan w:val="2"/>
            <w:shd w:val="clear" w:color="auto" w:fill="CCFFCC"/>
          </w:tcPr>
          <w:p>
            <w:pPr>
              <w:jc w:val="right"/>
              <w:ind w:right="220"/>
              <w:spacing w:after="0" w:line="190" w:lineRule="exact"/>
              <w:rPr>
                <w:sz w:val="20"/>
                <w:szCs w:val="20"/>
                <w:color w:val="auto"/>
              </w:rPr>
            </w:pPr>
            <w:r>
              <w:rPr>
                <w:rFonts w:ascii="Arial" w:cs="Arial" w:eastAsia="Arial" w:hAnsi="Arial"/>
                <w:sz w:val="18"/>
                <w:szCs w:val="18"/>
                <w:color w:val="auto"/>
              </w:rPr>
              <w:t>8.23</w:t>
            </w:r>
          </w:p>
        </w:tc>
        <w:tc>
          <w:tcPr>
            <w:tcW w:w="14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22,500</w:t>
            </w:r>
          </w:p>
        </w:tc>
        <w:tc>
          <w:tcPr>
            <w:tcW w:w="100" w:type="dxa"/>
            <w:vAlign w:val="bottom"/>
            <w:tcBorders>
              <w:top w:val="single" w:sz="8" w:color="CCFFCC"/>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31, 2014, the total compensation cost related to unvested time-based option awards not yet recognized was $0. This amount does not include, as of March 31, 2014, 37,000 non-employee options outstanding which are milestone-based and vest upon certain corporate milestones. Stock-based compensation will be measured and recorded if and when a milestone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three months ended March 31,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Number of Shares</w:t>
            </w:r>
          </w:p>
        </w:tc>
        <w:tc>
          <w:tcPr>
            <w:tcW w:w="6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Fair Value</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90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7,034,957</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4.60</w:t>
            </w:r>
          </w:p>
        </w:tc>
        <w:tc>
          <w:tcPr>
            <w:tcW w:w="80" w:type="dxa"/>
            <w:vAlign w:val="bottom"/>
            <w:tcBorders>
              <w:top w:val="single" w:sz="8" w:color="CCFFCC"/>
            </w:tcBorders>
            <w:shd w:val="clear" w:color="auto" w:fill="CCFFCC"/>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60"/>
              <w:spacing w:after="0"/>
              <w:rPr>
                <w:sz w:val="20"/>
                <w:szCs w:val="20"/>
                <w:color w:val="auto"/>
              </w:rPr>
            </w:pPr>
            <w:r>
              <w:rPr>
                <w:rFonts w:ascii="Arial" w:cs="Arial" w:eastAsia="Arial" w:hAnsi="Arial"/>
                <w:sz w:val="18"/>
                <w:szCs w:val="18"/>
                <w:color w:val="auto"/>
              </w:rPr>
              <w:t>Granted</w:t>
            </w:r>
          </w:p>
        </w:tc>
        <w:tc>
          <w:tcPr>
            <w:tcW w:w="3400" w:type="dxa"/>
            <w:vAlign w:val="bottom"/>
            <w:gridSpan w:val="3"/>
          </w:tcPr>
          <w:p>
            <w:pPr>
              <w:jc w:val="right"/>
              <w:ind w:right="120"/>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FFCC"/>
          </w:tcPr>
          <w:p>
            <w:pPr>
              <w:ind w:left="260"/>
              <w:spacing w:after="0"/>
              <w:rPr>
                <w:sz w:val="20"/>
                <w:szCs w:val="20"/>
                <w:color w:val="auto"/>
              </w:rPr>
            </w:pPr>
            <w:r>
              <w:rPr>
                <w:rFonts w:ascii="Arial" w:cs="Arial" w:eastAsia="Arial" w:hAnsi="Arial"/>
                <w:sz w:val="18"/>
                <w:szCs w:val="18"/>
                <w:color w:val="auto"/>
              </w:rPr>
              <w:t>Vested</w:t>
            </w:r>
          </w:p>
        </w:tc>
        <w:tc>
          <w:tcPr>
            <w:tcW w:w="34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(197,500)</w:t>
            </w: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5.52</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9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2014</w:t>
            </w:r>
          </w:p>
        </w:tc>
        <w:tc>
          <w:tcPr>
            <w:tcW w:w="1900" w:type="dxa"/>
            <w:vAlign w:val="bottom"/>
            <w:tcBorders>
              <w:top w:val="single" w:sz="8" w:color="CCFFCC"/>
            </w:tcBorders>
            <w:shd w:val="clear" w:color="auto" w:fill="CCFFCC"/>
          </w:tcPr>
          <w:p>
            <w:pPr>
              <w:spacing w:after="0"/>
              <w:rPr>
                <w:sz w:val="19"/>
                <w:szCs w:val="19"/>
                <w:color w:val="auto"/>
              </w:rPr>
            </w:pP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6,927,457</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4.60</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FFCC"/>
            </w:tcBorders>
          </w:tcPr>
          <w:p>
            <w:pPr>
              <w:spacing w:after="0" w:line="20" w:lineRule="exact"/>
              <w:rPr>
                <w:sz w:val="1"/>
                <w:szCs w:val="1"/>
                <w:color w:val="auto"/>
              </w:rPr>
            </w:pPr>
          </w:p>
        </w:tc>
        <w:tc>
          <w:tcPr>
            <w:tcW w:w="1900" w:type="dxa"/>
            <w:vAlign w:val="bottom"/>
            <w:tcBorders>
              <w:top w:val="single" w:sz="8" w:color="CCFFCC"/>
              <w:bottom w:val="single" w:sz="8" w:color="CCFFCC"/>
            </w:tcBorders>
            <w:vMerge w:val="restart"/>
          </w:tcPr>
          <w:p>
            <w:pPr>
              <w:jc w:val="right"/>
              <w:ind w:right="90"/>
              <w:spacing w:after="0"/>
              <w:rPr>
                <w:sz w:val="20"/>
                <w:szCs w:val="20"/>
                <w:color w:val="auto"/>
              </w:rPr>
            </w:pPr>
            <w:r>
              <w:rPr>
                <w:rFonts w:ascii="Arial" w:cs="Arial" w:eastAsia="Arial" w:hAnsi="Arial"/>
                <w:sz w:val="18"/>
                <w:szCs w:val="18"/>
                <w:color w:val="auto"/>
              </w:rPr>
              <w:t>13</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ind w:right="140" w:firstLine="648"/>
        <w:spacing w:after="0" w:line="276" w:lineRule="auto"/>
        <w:rPr>
          <w:sz w:val="20"/>
          <w:szCs w:val="20"/>
          <w:color w:val="auto"/>
        </w:rPr>
      </w:pPr>
      <w:r>
        <w:rPr>
          <w:rFonts w:ascii="Arial" w:cs="Arial" w:eastAsia="Arial" w:hAnsi="Arial"/>
          <w:sz w:val="17"/>
          <w:szCs w:val="17"/>
          <w:color w:val="auto"/>
        </w:rPr>
        <w:t>Total expense associated with restricted stock grants was $4,231,438 during the three months ended March 31, 2014. As of March 31, 2014, there was approximately $7,492,000 of total unrecognized compensation cost related to unvested time-based restricted stock, which is expected to be recognized over a weighted-average period of 1.7 years. This amount does not include, as of March 31, 2014, 1,779,710 shares of restricted stock outstanding which are milestone-based and vest upon certain corporate milestones; and 2,412,375 shares of restricted stock outstanding issued to non-employees. Milestone-based non-cash compensation expense will be measured and recorded if and when a milestone occurs.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04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Warrants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6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December 31, 2013</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5,718,947</w:t>
            </w:r>
          </w:p>
        </w:tc>
        <w:tc>
          <w:tcPr>
            <w:tcW w:w="2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14,809,030</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Issued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(396,483)</w:t>
            </w:r>
          </w:p>
        </w:tc>
        <w:tc>
          <w:tcPr>
            <w:tcW w:w="1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60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March 31, 2014</w:t>
            </w: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5,312,669</w:t>
            </w:r>
          </w:p>
        </w:tc>
        <w:tc>
          <w:tcPr>
            <w:tcW w:w="2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30,087,064</w:t>
            </w:r>
          </w:p>
        </w:tc>
      </w:tr>
      <w:tr>
        <w:trPr>
          <w:trHeight w:val="20"/>
        </w:trPr>
        <w:tc>
          <w:tcPr>
            <w:tcW w:w="604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stock options granted is estimated at the date of grant using the Black-Scholes pricing model. The expected term of options granted is derived from historical data and the expected vesting period. Expected volatility is based on the historical volatility of our common stock. The risk-free interest rate is based on the U.S. Treasury yield for a period consistent with the expected term of the option in effect at the time of the grant. We have assumed no expected dividend yield, as dividends have never been paid to stock or option holders and will not be paid for the foreseeable future. The Company did not grant any stock options during the three months ended March 31, 2014.</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stock options and restricted stock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040" w:type="dxa"/>
            <w:vAlign w:val="bottom"/>
            <w:gridSpan w:val="4"/>
          </w:tcPr>
          <w:p>
            <w:pPr>
              <w:ind w:left="1260"/>
              <w:spacing w:after="0"/>
              <w:rPr>
                <w:sz w:val="20"/>
                <w:szCs w:val="20"/>
                <w:color w:val="auto"/>
              </w:rPr>
            </w:pPr>
            <w:r>
              <w:rPr>
                <w:rFonts w:ascii="Arial" w:cs="Arial" w:eastAsia="Arial" w:hAnsi="Arial"/>
                <w:sz w:val="18"/>
                <w:szCs w:val="18"/>
                <w:b w:val="1"/>
                <w:bCs w:val="1"/>
                <w:color w:val="auto"/>
                <w:w w:val="99"/>
              </w:rPr>
              <w:t>Three months ended</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3"/>
              </w:rPr>
              <w:t>Three months ended</w:t>
            </w:r>
          </w:p>
        </w:tc>
      </w:tr>
      <w:tr>
        <w:trPr>
          <w:trHeight w:val="234"/>
        </w:trPr>
        <w:tc>
          <w:tcPr>
            <w:tcW w:w="6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March 31, 2014</w:t>
            </w:r>
          </w:p>
        </w:tc>
        <w:tc>
          <w:tcPr>
            <w:tcW w:w="1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2013</w:t>
            </w:r>
          </w:p>
        </w:tc>
      </w:tr>
      <w:tr>
        <w:trPr>
          <w:trHeight w:val="216"/>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400" w:type="dxa"/>
            <w:vAlign w:val="bottom"/>
            <w:gridSpan w:val="2"/>
            <w:shd w:val="clear" w:color="auto" w:fill="CCFFCC"/>
          </w:tcPr>
          <w:p>
            <w:pPr>
              <w:ind w:left="1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4,231,438</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1,885,477</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20" w:type="dxa"/>
            <w:vAlign w:val="bottom"/>
            <w:tcBorders>
              <w:top w:val="single" w:sz="8" w:color="CCFFCC"/>
              <w:bottom w:val="single" w:sz="8" w:color="CCFFCC"/>
            </w:tcBorders>
            <w:shd w:val="clear" w:color="auto" w:fill="CCFFCC"/>
          </w:tcPr>
          <w:p>
            <w:pPr>
              <w:spacing w:after="0"/>
              <w:rPr>
                <w:sz w:val="19"/>
                <w:szCs w:val="19"/>
                <w:color w:val="auto"/>
              </w:rPr>
            </w:pPr>
          </w:p>
        </w:tc>
        <w:tc>
          <w:tcPr>
            <w:tcW w:w="126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4,231,438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1,885,477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NOTE 6 – NOTES PAYABLE</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20" w:type="dxa"/>
            <w:vAlign w:val="bottom"/>
          </w:tcPr>
          <w:p>
            <w:pPr>
              <w:ind w:left="660"/>
              <w:spacing w:after="0"/>
              <w:rPr>
                <w:sz w:val="20"/>
                <w:szCs w:val="20"/>
                <w:color w:val="auto"/>
              </w:rPr>
            </w:pPr>
            <w:r>
              <w:rPr>
                <w:rFonts w:ascii="Arial" w:cs="Arial" w:eastAsia="Arial" w:hAnsi="Arial"/>
                <w:sz w:val="18"/>
                <w:szCs w:val="18"/>
                <w:color w:val="auto"/>
                <w:w w:val="92"/>
              </w:rPr>
              <w:t>The following is a summary of notes payable:</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0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3"/>
              </w:rPr>
              <w:t>March 31, 2014</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88"/>
              </w:rPr>
              <w:t>December 31, 2013</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portion,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94"/>
              </w:rPr>
              <w:t>portion, net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net</w:t>
            </w:r>
          </w:p>
        </w:tc>
        <w:tc>
          <w:tcPr>
            <w:tcW w:w="22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portion, net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net</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Convertible 5% Notes Payable</w:t>
            </w:r>
          </w:p>
        </w:tc>
        <w:tc>
          <w:tcPr>
            <w:tcW w:w="980" w:type="dxa"/>
            <w:vAlign w:val="bottom"/>
            <w:tcBorders>
              <w:top w:val="single" w:sz="8" w:color="auto"/>
            </w:tcBorders>
            <w:shd w:val="clear" w:color="auto" w:fill="CCFFCC"/>
          </w:tcPr>
          <w:p>
            <w:pPr>
              <w:jc w:val="right"/>
              <w:ind w:right="8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115,554</w:t>
            </w:r>
          </w:p>
        </w:tc>
        <w:tc>
          <w:tcPr>
            <w:tcW w:w="24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115,554</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100" w:type="dxa"/>
            <w:vAlign w:val="bottom"/>
            <w:tcBorders>
              <w:top w:val="single" w:sz="8" w:color="CCFFCC"/>
            </w:tcBorders>
            <w:shd w:val="clear" w:color="auto" w:fill="CCFFCC"/>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ICON Convertible Note</w:t>
            </w:r>
          </w:p>
        </w:tc>
        <w:tc>
          <w:tcPr>
            <w:tcW w:w="980" w:type="dxa"/>
            <w:vAlign w:val="bottom"/>
          </w:tcPr>
          <w:p>
            <w:pPr>
              <w:spacing w:after="0"/>
              <w:rPr>
                <w:sz w:val="19"/>
                <w:szCs w:val="19"/>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677,778</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677,778</w:t>
            </w:r>
          </w:p>
        </w:tc>
      </w:tr>
      <w:tr>
        <w:trPr>
          <w:trHeight w:val="223"/>
        </w:trPr>
        <w:tc>
          <w:tcPr>
            <w:tcW w:w="4020" w:type="dxa"/>
            <w:vAlign w:val="bottom"/>
            <w:tcBorders>
              <w:top w:val="single" w:sz="8" w:color="CCFFCC"/>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FFCC"/>
          </w:tcPr>
          <w:p>
            <w:pPr>
              <w:jc w:val="right"/>
              <w:ind w:right="81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115,554</w:t>
            </w:r>
          </w:p>
        </w:tc>
        <w:tc>
          <w:tcPr>
            <w:tcW w:w="240" w:type="dxa"/>
            <w:vAlign w:val="bottom"/>
            <w:tcBorders>
              <w:top w:val="single" w:sz="8" w:color="CCFFCC"/>
              <w:bottom w:val="single" w:sz="8" w:color="CCFFCC"/>
            </w:tcBorders>
            <w:shd w:val="clear" w:color="auto" w:fill="CCFFCC"/>
          </w:tcPr>
          <w:p>
            <w:pPr>
              <w:spacing w:after="0"/>
              <w:rPr>
                <w:sz w:val="19"/>
                <w:szCs w:val="19"/>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115,554</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677,778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64,529</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742,307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March 8, 2010, Manhattan entered into an Agreement and Plan of Merger (the "Merger Agreement") by and among Manhattan, Ariston and Ariston Merger Corp., a Delaware corporation and wholly-owned subsidiary of Manhattan (the "Merger Sub"). Pursuant to the terms and conditions set forth in the Merger Agreement, on March 8, 2010, the Merger Sub merged with and into Ariston (the "Merger"), with Ariston being the surviving corporation of the Merger. As a result of the Merger, Ariston became a wholly-owned subsidiary of Manhattan.</w:t>
      </w:r>
    </w:p>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is March 8, 2015.</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connection with the Exchange Transaction in December 2011, we performed a valuation of the assets and liabilities of Manhattan immediately prior to the transaction. The cumulative liability including accrued and unpaid interest of these notes was approximately $16,876,000 immediately prior to the Exchange Transaction, and $18,840,359 at March 31, 2014 and $18,614,000 at December 31, 2013. As the 5% Notes are tied directly to net product cash flows derived from the preexisting products of Ariston, the 5% Notes and accrued interest were recorded at fair value of $3,287,700 as of the date of the Exchange Transaction (See Note 4 for further details). No payments have been made on the 5% Notes as of March 31,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Convertible Note Payable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2013 the principal amount of the Amended ICON Note was $677,778, of which the entire balance had been classified as current and was reflected as notes payable, current portion, in the accompanying consolidated balance sheet. Interest payable on the Amended ICON Note was $190,017 as of December 31, 2013, and was reflected as interest payable in the accompanying consolidated balance sheet. As of December 31, 2013, the ICON Note was in default as we did not make the balloon payment due on January 31, 2012, or any subsequent payments. In January 2014, we entered into a settlement and release agreement with ICON related to this note, under which we agreed to pay $772,369 in full settlement of the principal and interest due on this note, resulting in a gain of $95,427.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upfront payment of $2,000,000, which was received in December 2012, net of $330,000 of income tax withheld,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2014 and 2013, and, at March 31, 2014 and December 31, 2013, have deferred revenue of approximately $1,790,000 and $1,829,000, respectively, associated with this $2,000,000 payment (approximately $152,000 of which has been classified in current liabilities at March 31, 2014).</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January 30, 2012, we entered into an exclusive license agreement with LFB Biotechnologies, GTC Biotherapeutics and LFB/GTC LLC, all wholly-owned subsidiaries of LFB Group, relating to the development of ublituximab (the “License Agreement”). In connection with the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terms of the License Agreement, we utilize LFB Group for certain development and manufacturing services. We incurred approximately $183,000 and $357,000 in expenses for such services during the three months ended March 31, 2014 and 2013, respectively, which have been included in other research and development expenses in the accompanying consolidated statements of operations. As of March 31, 2014 and December 31, 2013, we had approximately $137,000 and $1,745,000, respectively, recorded in accounts payable related to the License Agreement. In conjunction with the development and manufacturing services discussed above, certain agreements between us and LFB Group require payments in advance of services performed or goods delivered. Accordingly, as of March 31, 2014 and December 31, 2013, we recorded $2,187,081 and $1,629,340, respectively, in prepaid research and development for such advance payments.</w:t>
      </w:r>
    </w:p>
    <w:p>
      <w:pPr>
        <w:spacing w:after="0" w:line="18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March 2014, we entered into a shared services agreement with Opus Point Partners Management, LLC (“Opus”) in which the parties agree to share a rented facility and costs for certain other services. Michael S. Weiss, our Executive Chairman and Interim Chief Executive Officer, is a Managing Member of Opus. During the three months ended March 31, 2014, we incurred expenses of approximately $7,000 related to this agreement. In addition, as of March 31, 2014, we recorded approximately $92,000 in other current assets for certain receivables and prepaid items pertaining to Opus.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innovative and medically important pharmaceutical products for the treatment of cancer and other underserved therapeutic needs. We aim to acquire rights to these technologies by licensing or otherwise acquiring an ownership interest, funding their research and development and eventually either out-licensing or bringing the technologies to market. Currently, we are developing two therapies for hematologic malignancies: TG-1101 (ublituximab), a novel, glycoengineered monoclonal antibody that targets a specific and unique epitope on the CD20 antigen found on mature B-lymphocytes; and TGR-1202, an orally available PI3K delta inhibitor.</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to Ildong Pharmaceutical Co. Ltd (“Ildong”) in November 2012.</w:t>
      </w:r>
    </w:p>
    <w:p>
      <w:pPr>
        <w:spacing w:after="0" w:line="187" w:lineRule="exact"/>
        <w:rPr>
          <w:sz w:val="20"/>
          <w:szCs w:val="20"/>
          <w:color w:val="auto"/>
        </w:rPr>
      </w:pPr>
    </w:p>
    <w:p>
      <w:pPr>
        <w:ind w:right="80" w:firstLine="648"/>
        <w:spacing w:after="0" w:line="285" w:lineRule="auto"/>
        <w:rPr>
          <w:sz w:val="20"/>
          <w:szCs w:val="20"/>
          <w:color w:val="auto"/>
        </w:rPr>
      </w:pPr>
      <w:r>
        <w:rPr>
          <w:rFonts w:ascii="Arial" w:cs="Arial" w:eastAsia="Arial" w:hAnsi="Arial"/>
          <w:sz w:val="17"/>
          <w:szCs w:val="17"/>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w:t>
      </w:r>
      <w:r>
        <w:rPr>
          <w:rFonts w:ascii="Arial" w:cs="Arial" w:eastAsia="Arial" w:hAnsi="Arial"/>
          <w:sz w:val="28"/>
          <w:szCs w:val="28"/>
          <w:color w:val="auto"/>
          <w:vertAlign w:val="superscript"/>
        </w:rPr>
        <w:t>®</w:t>
      </w:r>
      <w:r>
        <w:rPr>
          <w:rFonts w:ascii="Arial" w:cs="Arial" w:eastAsia="Arial" w:hAnsi="Arial"/>
          <w:sz w:val="17"/>
          <w:szCs w:val="17"/>
          <w:color w:val="auto"/>
        </w:rPr>
        <w:t>, the leading anti-CD20 monoclonal antibody, which had worldwide sales in 2013 of approximately $8 billion.</w:t>
      </w:r>
    </w:p>
    <w:p>
      <w:pPr>
        <w:spacing w:after="0" w:line="42" w:lineRule="exact"/>
        <w:rPr>
          <w:sz w:val="20"/>
          <w:szCs w:val="20"/>
          <w:color w:val="auto"/>
        </w:rPr>
      </w:pPr>
    </w:p>
    <w:p>
      <w:pPr>
        <w:ind w:right="280" w:firstLine="648"/>
        <w:spacing w:after="0" w:line="288" w:lineRule="auto"/>
        <w:rPr>
          <w:sz w:val="20"/>
          <w:szCs w:val="20"/>
          <w:color w:val="auto"/>
        </w:rPr>
      </w:pPr>
      <w:r>
        <w:rPr>
          <w:rFonts w:ascii="Arial" w:cs="Arial" w:eastAsia="Arial" w:hAnsi="Arial"/>
          <w:sz w:val="16"/>
          <w:szCs w:val="16"/>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patients at doses as high as 450mg per infusion. Preliminary results from Part 2 of this study were</w:t>
      </w:r>
    </w:p>
    <w:p>
      <w:pPr>
        <w:spacing w:after="0" w:line="232" w:lineRule="auto"/>
        <w:rPr>
          <w:sz w:val="20"/>
          <w:szCs w:val="20"/>
          <w:color w:val="auto"/>
        </w:rPr>
      </w:pPr>
      <w:r>
        <w:rPr>
          <w:rFonts w:ascii="Arial" w:cs="Arial" w:eastAsia="Arial" w:hAnsi="Arial"/>
          <w:sz w:val="18"/>
          <w:szCs w:val="18"/>
          <w:color w:val="auto"/>
        </w:rPr>
        <w:t>presented at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Annual American Society of Hematology Meeting in December 2011 and again at the 2013 European Hematology Annual Meeting. Subsequently, a single-agent Phase I study was undertaken in the US enrolling patients with both NHL and CLL, dosing patients up to 1200mg per infusion. In both studies, single agent therapy with TG-1101 was deemed well tolerated by treating investigators and displayed promising clinical activity in relapsed and refractory patients. 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are:</w:t>
      </w:r>
    </w:p>
    <w:p>
      <w:pPr>
        <w:spacing w:after="0" w:line="3" w:lineRule="exact"/>
        <w:rPr>
          <w:sz w:val="20"/>
          <w:szCs w:val="20"/>
          <w:color w:val="auto"/>
        </w:rPr>
      </w:pPr>
    </w:p>
    <w:p>
      <w:pPr>
        <w:ind w:left="1300" w:right="14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TG-1101 in combination with ibrutinib (trade name IMBRUVICA™), a BTK inhibitor, for patients with CLL and Mantle Cell Lymphoma (MCL); and</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TG-1101 in combination with TGR-1202, the Company’s development stage PI3Kδ inhibitor, for patients with CLL and NHL.</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Prior to commencing the above combination trials, we studied the combination of TG-1101 and lenalidomide. Additional combinations studies with novel agents may be undertaken in the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ublituximab is currently performed by our partner, LFB Biotechnologies.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 Phase I/II trials with TG-1101 are currently ongoing,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9"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Our first US based trial was launched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of 2012. The trial is entitled "An Open Label Phase I/II Trial of the Efficacy and Safety of TG-1101 in Patients with B-cell Non-Hodgkin Lymphoma who have Relapsed or are Refractory After CD20 Directed Antibody Therapy." All enrolled patients were relapsed or refractory to Rituxan® or a Rituxan® containing regimen, and in most cases multiple other lines of therapy. Dr. Owen O'Connor, Professor of Medicine and Director, Center for Lymphoid Malignancies at New York Presbyterian Columbia Medical Center is the Principal Investigator for the multi-center study.</w:t>
      </w:r>
    </w:p>
    <w:p>
      <w:pPr>
        <w:spacing w:after="0" w:line="20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completed the dose escalation portion of this study, dosing patients as high as 1200mg per infusion, with preliminary safety and efficacy data for these patients presented at the American Society of Clinical Oncology (ASCO) Annual Meeting in June 2013 and at the European Hematology Association (“EHA”) Annual Meeting in June 2013. Cohort expansions were undertaken at the 900 and 1200 mg doses for NHL patients and at the 600 and 900 mg doses for CLL patients.</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As of June 2013, 12 NHL patients had been enrolled with no dose-limiting toxicities reported up through the 1200 mg dose level. The majority of adverse events reported were Grade 1/2 infusion related reactions (IRR’s) appropriately managed by supportive care and occurring mostly with the first infusion, with all NHL patients having completed all scheduled doses.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ind w:right="180" w:firstLine="648"/>
        <w:spacing w:after="0" w:line="264" w:lineRule="auto"/>
        <w:rPr>
          <w:sz w:val="20"/>
          <w:szCs w:val="20"/>
          <w:color w:val="auto"/>
        </w:rPr>
      </w:pPr>
      <w:r>
        <w:rPr>
          <w:rFonts w:ascii="Arial" w:cs="Arial" w:eastAsia="Arial" w:hAnsi="Arial"/>
          <w:sz w:val="18"/>
          <w:szCs w:val="18"/>
          <w:color w:val="auto"/>
        </w:rPr>
        <w:t>As of May 2014, enrollment has completed for this study, with full safety and efficacy data anticipated to be presented at the 2014 ASCO Annual Meeting in Chicago, Illinois. A total of 27 NHL patients and eight CLL/SLL patients were enrolled in the study. Patients achieving stable disease (“SD”) or better continue on TG-1101 maintenance therapy.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Lenalidomide for Relapsed/Refractory NHL &amp; CLL</w:t>
      </w:r>
    </w:p>
    <w:p>
      <w:pPr>
        <w:spacing w:after="0" w:line="225"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In December of 2012, we initiated our second US based clinical trial entitled "TG-1101-102: A Phase I/II Study of Ublituximab in Combination with Lenalidomide (Revlimid</w:t>
      </w:r>
      <w:r>
        <w:rPr>
          <w:rFonts w:ascii="Arial" w:cs="Arial" w:eastAsia="Arial" w:hAnsi="Arial"/>
          <w:sz w:val="26"/>
          <w:szCs w:val="26"/>
          <w:color w:val="auto"/>
          <w:vertAlign w:val="superscript"/>
        </w:rPr>
        <w:t>®</w:t>
      </w:r>
      <w:r>
        <w:rPr>
          <w:rFonts w:ascii="Arial" w:cs="Arial" w:eastAsia="Arial" w:hAnsi="Arial"/>
          <w:sz w:val="16"/>
          <w:szCs w:val="16"/>
          <w:color w:val="auto"/>
        </w:rPr>
        <w:t>) in Patients with B-Cell Lymphoid Malignancies who have Relapsed or are Refractory After CD20 Directed Antibody Therapy".</w:t>
      </w:r>
    </w:p>
    <w:p>
      <w:pPr>
        <w:spacing w:after="0" w:line="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trial was designed as a Phase I dose escalation study with the potential to enroll one or more expansion cohorts once the optimal dose was determined. All enrolled patients were relapsed or refractory to a prior anti-CD20 antibody containing regimen. The patients enrolled into this study were heavily pre-treated, most of which were refractory to Rituxan or a Rituxan-containing regimen. This multicenter trial was being led by Dr. Marshall Schreeder of the Clearview Cancer Institute in Huntsville, 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June 2013, preliminary data was presented from this study at the 18th annual congress of the EHA in Stockholm, Sweden.</w:t>
      </w:r>
    </w:p>
    <w:p>
      <w:pPr>
        <w:spacing w:after="0" w:line="229" w:lineRule="exact"/>
        <w:rPr>
          <w:sz w:val="20"/>
          <w:szCs w:val="20"/>
          <w:color w:val="auto"/>
        </w:rPr>
      </w:pPr>
    </w:p>
    <w:p>
      <w:pPr>
        <w:jc w:val="both"/>
        <w:ind w:right="140" w:firstLine="648"/>
        <w:spacing w:after="0"/>
        <w:rPr>
          <w:sz w:val="20"/>
          <w:szCs w:val="20"/>
          <w:color w:val="auto"/>
        </w:rPr>
      </w:pPr>
      <w:r>
        <w:rPr>
          <w:rFonts w:ascii="Arial" w:cs="Arial" w:eastAsia="Arial" w:hAnsi="Arial"/>
          <w:sz w:val="16"/>
          <w:szCs w:val="16"/>
          <w:color w:val="auto"/>
        </w:rPr>
        <w:t>Enrollment in this study has been completed, with the highest cohort dosing patients at 900mg of TG-1101 in combination with Revlimid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starting at 10mg and titrated based on tolerability in 5mg increments per cycle to a maximum dose of 20mg for patients with NHL and 15mg for patients with CLL.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for Relapsed/Refractory NHL &amp; CLL</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November 2013, we initiated a multi-center, Phase I study to evaluate the safety and efficacy of the combination of TG-1101 and TGR-1202, our novel, once per day, PI3Kδ inhibitor, for patients with relapsed and/or refractory CLL and NHL. This is the first clinical trial evaluating the combination of TG-1101 and TGR-1202. In this study, dosing of TGR-1202 was commenced at 800mg once per day (QD) with dose escalation proceeding in a 3+3 design.</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trial, entitled "A Multi-center Phase I/Ib Study Evaluating the Efficacy and Safety of TG-1101 (Ublituximab), a novel Glycoengineered Anti-CD20 Monoclonal Antibody, in Combination with TGR-1202, a Novel PI3k Delta Inhibitor, in Patients with B-cell Malignancies," is enrolling CLL and NHL patients whose disease is relapsed from or refractory to prior therapies, including prior anti-CD20 monoclonal antibodies, PI3Kδ inhibitors, and/or BTK inhibitors. The MD Anderson Cancer Center is the lead center for the trial. Susan O'Brien, MD, Professor in the Department of Leukemia, is the Study Chair for the CLL patient group, and Nathan Fowler, MD, Assistant Professor and Co-Director of Clinical Research in the Department of Lymphoma, is the Study Chair for the NHL patient group.</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date, the combination of ublituximab and TGR-1202 has been well tolerated with no safety concerns noted. We anticipate presenting preliminary data from this study at the 2014 Pan Pacific Lymphoma Conference in Kohala Coast, Hawaii.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December 2013, we initiated a multi-center Phase 2 clinical trial to evaluate the safety and efficacy of the combination of TG-1101 and ibrutinib (IMBRUVICA™) for patients with CLL and mantle cell lymphoma (MCL). This is the first clinical trial evaluating the combination of TG-1101 and ibrutinib, an oral Bruton’s Tyrosine Kinase (BTK) inhibitor which was recently granted approval by the U.S. Food and Drug Administration (FDA).</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trial, entitled "A Multi-center Phase 2 Study with Safety Run-in Evaluating the Efficacy and Safety of Ublituximab in Combination with Ibrutinib in Patients with Select B-Cell Malignancies," is enrolling patients with CLL and MCL who are eligible to receive ibrutinib. We have partnered with the US Oncology Network, Columbia University and other select centers throughout the United States on the study. Jeff Sharman, MD, Medical Director for Hematology Research, US Oncology Network, is the Study Chair for the CLL patient group, while Owen A. O'Connor, MD, PhD, Professor and Director of the Center for Lymphoid Malignancies, Columbia University Medical Center is the Study Chair for the MCL patient group.</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17"/>
          <w:szCs w:val="17"/>
          <w:color w:val="auto"/>
        </w:rPr>
        <w:t>We intend to present preliminary data from this ongoing study at the 2014 Annual Meeting of the European Hematology Association (EHA).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2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TGR-1202 is being developed jointly with Rhizen Pharmaceuticals, S A, a Switzerland based drug discovery and biotechnology company. We and Rhizen are jointly developing the product on a worldwide basis, excluding India, initially focusing on indications in the area of hematologic malignancies and autoimmune disease. Rhizen holds rights to manufacture and supply the product, we have responsibility for all clinical and regulatory development for TGR-1202 globally.</w:t>
      </w:r>
    </w:p>
    <w:p>
      <w:pPr>
        <w:spacing w:after="0" w:line="18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In January 2013, we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Enrollment is open to patients with relapsed or refractory NHL, CLL, Peripheral T-Cell Lymphoma, and Hodgkin’s Lymphoma.</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Preliminary data from this ongoing study was presented at the 2013 American Society of Hematology (ASH) meeting in New Orleans, Louisiana. As of the data cutoff for this presentation, 22 patients had been evaluated with single agent TGR-1202 at doses ranging from 50 mg to 1200 mg QD. To date, no safety concerns have been recognized by the Study Chair and Medical Monitor for the trial and enrollment continues. In May 2014, we announced that a micronized (smaller particle size) formulation of TGR-1202 had demonstrated improved absorption in healthy human testing. A second healthy human study also demonstrated improved absorption with fed-state dosing over dosing in the fasting state, which has to date been utilized in this ongoing study. Subsequently, the dose escalation portion of this study has been reinitiated at a dose of 200 mg of the micronized form of TGR-1202 in the fed state. We intend to present updated data from this ongoing Phase I study at the 2014 ASCO Annual Meeting in Chicago, Illinois.</w:t>
      </w:r>
    </w:p>
    <w:p>
      <w:pPr>
        <w:spacing w:after="0" w:line="178" w:lineRule="exact"/>
        <w:rPr>
          <w:sz w:val="20"/>
          <w:szCs w:val="20"/>
          <w:color w:val="auto"/>
        </w:rPr>
      </w:pPr>
    </w:p>
    <w:p>
      <w:pPr>
        <w:ind w:right="620" w:firstLine="648"/>
        <w:spacing w:after="0" w:line="280" w:lineRule="auto"/>
        <w:rPr>
          <w:sz w:val="20"/>
          <w:szCs w:val="20"/>
          <w:color w:val="auto"/>
        </w:rPr>
      </w:pPr>
      <w:r>
        <w:rPr>
          <w:rFonts w:ascii="Arial" w:cs="Arial" w:eastAsia="Arial" w:hAnsi="Arial"/>
          <w:sz w:val="18"/>
          <w:szCs w:val="18"/>
          <w:color w:val="auto"/>
        </w:rPr>
        <w:t>In addition to this single agent study, TGR-1202 is also being evaluated in combination with TG-1101 (as described previously) and with the recently approved, anti-CD20 antibody, obinutuzumab (GAZYVA</w:t>
      </w:r>
      <w:r>
        <w:rPr>
          <w:rFonts w:ascii="Arial" w:cs="Arial" w:eastAsia="Arial" w:hAnsi="Arial"/>
          <w:sz w:val="30"/>
          <w:szCs w:val="30"/>
          <w:color w:val="auto"/>
          <w:vertAlign w:val="superscript"/>
        </w:rPr>
        <w:t>TM</w:t>
      </w:r>
      <w:r>
        <w:rPr>
          <w:rFonts w:ascii="Arial" w:cs="Arial" w:eastAsia="Arial" w:hAnsi="Arial"/>
          <w:sz w:val="18"/>
          <w:szCs w:val="18"/>
          <w:color w:val="auto"/>
        </w:rPr>
        <w:t>) and chlorambucil.</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60" w:firstLine="648"/>
        <w:spacing w:after="0" w:line="34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2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results of operations include non-cash compensation expense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and March 31, 2013</w:t>
      </w:r>
    </w:p>
    <w:p>
      <w:pPr>
        <w:spacing w:after="0" w:line="229"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License revenue was $38,095 for the three months ended March 31, 2014, as compared to $38,095 in the 2013 period.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for the three months ended March 31, 2014 and 2013 was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4"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grants equaled $1,901,610 for the three months ended March 31, 2014, as compared to $354,703 in the 2013 period. The increase in noncash compensation expense was primarily related to milestone-based vesting of restricted stock grants to personnel during the period ended March 31,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$1,293,056 to $2,508,258 for the three months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2014, as compared to $1,215,202 for the three months ended March 31, 2013. The increase in other research and development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primarily to an increase of approximately $520,000 for research and development expenses related to TG-1101, and an increase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$773,000 for research and development expenses related to TGR-1202, primarily related to increased enrollment into our ongoing clinical trials for both drug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We expect our other research and development costs to increase modestly for the remainder of 2014 as enrollment of additional patients increases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clinical trials.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right="360"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grants increased by $799,054 to $2,329,828 for the three months ended March 31, 2014, as compared to $1,530,774 for the three months ended March 31, 2013. The increase in noncash compensation expense was primarily related to milestone-based vesting of restricted stock grants to personnel during the period ended March 31, 2014.</w:t>
      </w:r>
    </w:p>
    <w:p>
      <w:pPr>
        <w:spacing w:after="0" w:line="18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i w:val="1"/>
          <w:iCs w:val="1"/>
          <w:color w:val="auto"/>
        </w:rPr>
        <w:t>Other General and Administrative Expenses</w:t>
      </w:r>
      <w:r>
        <w:rPr>
          <w:rFonts w:ascii="Arial" w:cs="Arial" w:eastAsia="Arial" w:hAnsi="Arial"/>
          <w:sz w:val="16"/>
          <w:szCs w:val="16"/>
          <w:color w:val="auto"/>
        </w:rPr>
        <w:t>. Other general and administrative expenses increased by $252,067 to $903,524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2014, as compared to $651,457 for the three months ended March 31, 2013. The increase was due primarily to franchise taxes and NASDAQ listing fees. We expect our other general and administrative expenses to remain at a comparable level for the remainder of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primary source of cash has been proceeds from the private placement and public offering of equity securities and from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On March 11, 2014, we announced the pricing of an underwritten sale of 2,702,809 shares of our Common Stock at a price of $6.71 per share for gross proceeds of approximately $18.1 million. Total net proceeds from this offering were approximately $16.8 million, net of underwriting discounts and offering expenses of approximately $1.3 million. The shares were sold under a shelf registration statement on Form S-3 (File No. 333-189015) that was previously filed and declared effective by the SEC on June 17, 2013.</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March 31, 2014, we had $54,511,092 in cash, cash equivalents, investment securities, and interest receivable. We currently anticipate that our cash and cash equivalents as of March 31, 2014 to be sufficient to fund our anticipated operating cash requirements for at least 24 months from March 31, 2014.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used in operating activities for the three months ended March 31, 2014 was $8,328,891, as compared to $2,204,748 for the three months ended March 31, 2013. The increase in cash used in operating activities was due primarily to increased expenditures associated with our clinical development programs for TG-1101 and TGR-1202.</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For the three months ended March 31, 2014, net cash provided by financing activities of $17,442,917 related to net proceeds from the issuance of Common Stock as part of our underwritten public offering in March 2014, as well as proceeds from the exercise of warrants. For the three months ended March 31, 2013, net cash provided by financing activities of $936,920 related primarily to proceeds from the exercise of warrants.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ind w:right="26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Board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We have granted stock options and restricted stock to employees, directors and consultants, as well as warrants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third 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8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Accounting Related to Goodwill. </w:t>
      </w:r>
      <w:r>
        <w:rPr>
          <w:rFonts w:ascii="Arial" w:cs="Arial" w:eastAsia="Arial" w:hAnsi="Arial"/>
          <w:sz w:val="18"/>
          <w:szCs w:val="18"/>
          <w:color w:val="auto"/>
        </w:rPr>
        <w:t>As of March 31, 2014 and December 31, 2013, there was approximately $799,391 of goodwill on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 the year ended December 31, 2012, the valuation method used to estimate the 5% Notes’ fair value was a discounted cash flow model, where the expected cash flows of AST-726 and AST-915 were discounted to the present using a yield that incorporated compensation for the probability of success in clinical development and marketing, among other factors. The discount rate used in this discounted cash flow model approximated 20% at December 31, 2012. 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2013 and March 31, 2014. The assumptions, assessments and projections of future revenues are subject to uncertainties, are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2014, our portfolio of financial instruments consists of cash equivalents, including bank deposits, and investment securities. Due to the short-term nature of our investments, we believe there is no material exposure to interest rate risk, and/or credit risk, arising from our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2014,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2014, our disclosure controls and procedures were effective.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2014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4" w:name="page25"/>
    <w:bookmarkEnd w:id="24"/>
    <w:p>
      <w:pPr>
        <w:spacing w:after="0" w:line="308" w:lineRule="auto"/>
        <w:rPr>
          <w:sz w:val="20"/>
          <w:szCs w:val="20"/>
          <w:color w:val="auto"/>
        </w:rPr>
      </w:pPr>
      <w:r>
        <w:rPr>
          <w:rFonts w:ascii="Arial" w:cs="Arial" w:eastAsia="Arial" w:hAnsi="Arial"/>
          <w:sz w:val="17"/>
          <w:szCs w:val="17"/>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While we maintain an active IND for TG-1101 and TGR-1202 enabling the conduct of studies in the FDA’s Division of Hematology and Oncology; there can be no assurance given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attrition from the failure of pharmaceutical candidates proceeding through clinical trials.</w:t>
      </w:r>
    </w:p>
    <w:p>
      <w:pPr>
        <w:spacing w:after="0" w:line="17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5" w:name="page26"/>
    <w:bookmarkEnd w:id="25"/>
    <w:p>
      <w:pPr>
        <w:ind w:right="320"/>
        <w:spacing w:after="0" w:line="308" w:lineRule="auto"/>
        <w:rPr>
          <w:sz w:val="20"/>
          <w:szCs w:val="20"/>
          <w:color w:val="auto"/>
        </w:rPr>
      </w:pPr>
      <w:r>
        <w:rPr>
          <w:rFonts w:ascii="Arial" w:cs="Arial" w:eastAsia="Arial" w:hAnsi="Arial"/>
          <w:sz w:val="17"/>
          <w:szCs w:val="17"/>
          <w:b w:val="1"/>
          <w:bCs w:val="1"/>
          <w:i w:val="1"/>
          <w:iCs w:val="1"/>
          <w:color w:val="auto"/>
        </w:rPr>
        <w:t>Any product candidates we may advance into clinical development are subject to extensive regulation, which can be costly and time consuming, cause unanticipated delays or prevent the receipt of the required approvals to commercialize our product candidates.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980" w:right="2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980" w:right="24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980" w:right="1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980" w:right="4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right="120" w:firstLine="648"/>
        <w:spacing w:after="0" w:line="288"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its product candidates. To date, clinical trials using TG-1101 and TGR-1202 have demonstrated a toxicity profile that was deemed acceptable by the investigators performing such studies.</w:t>
      </w:r>
    </w:p>
    <w:p>
      <w:pPr>
        <w:spacing w:after="0" w:line="267" w:lineRule="auto"/>
        <w:rPr>
          <w:sz w:val="20"/>
          <w:szCs w:val="20"/>
          <w:color w:val="auto"/>
        </w:rPr>
      </w:pPr>
      <w:r>
        <w:rPr>
          <w:rFonts w:ascii="Arial" w:cs="Arial" w:eastAsia="Arial" w:hAnsi="Arial"/>
          <w:sz w:val="17"/>
          <w:szCs w:val="17"/>
          <w:color w:val="auto"/>
        </w:rPr>
        <w:t>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TG-1101, the toxicity when manufactured under different conditions is not known, and it is possible that additional and/or different adverse events may appear upon the human use of those formulations and those adverse events may arise with greater frequency, intensity and duration than in the current formulation. Such risk also exists for new manufacturing processes and/or formulations, if any, of TGR-1202, the clinical impact of which is not known. Further, with respect to TGR-1202, to date only a small number of patients have been dosed in the ongoing first-in-human dose-escalation Phase I study, the full adverse effect profile of TGR-1202 is not known. Limited data is available on the drug’s adverse event profile at lower doses, and as the dose escalation continues with higher doses of TGR-1202, greater frequency and/or severity of adverse events are likely to occur as a maximum tolerated dose is reached. If any of our product candidates cause unacceptable adverse events in clinical trials, we may not be able to obtain marketing approval and generate revenues from its sale, which could have a material adverse impact on our business and operations.</w:t>
      </w:r>
    </w:p>
    <w:p>
      <w:pPr>
        <w:spacing w:after="0" w:line="187"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spacing w:after="0" w:line="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980" w:right="64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its ability to pursue regulatory approval.</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its product candidates.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7" w:name="page28"/>
    <w:bookmarkEnd w:id="27"/>
    <w:p>
      <w:pPr>
        <w:ind w:right="200" w:firstLine="648"/>
        <w:spacing w:after="0" w:line="259"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ind w:right="20" w:firstLine="648"/>
        <w:spacing w:after="0" w:line="272" w:lineRule="auto"/>
        <w:rPr>
          <w:sz w:val="20"/>
          <w:szCs w:val="20"/>
          <w:color w:val="auto"/>
        </w:rPr>
      </w:pPr>
      <w:r>
        <w:rPr>
          <w:rFonts w:ascii="Arial" w:cs="Arial" w:eastAsia="Arial" w:hAnsi="Arial"/>
          <w:sz w:val="17"/>
          <w:szCs w:val="17"/>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24" w:lineRule="exact"/>
        <w:rPr>
          <w:sz w:val="20"/>
          <w:szCs w:val="20"/>
          <w:color w:val="auto"/>
        </w:rPr>
      </w:pPr>
    </w:p>
    <w:p>
      <w:pPr>
        <w:jc w:val="both"/>
        <w:ind w:right="620" w:firstLine="648"/>
        <w:spacing w:after="0" w:line="286" w:lineRule="auto"/>
        <w:rPr>
          <w:sz w:val="20"/>
          <w:szCs w:val="20"/>
          <w:color w:val="auto"/>
        </w:rPr>
      </w:pPr>
      <w:r>
        <w:rPr>
          <w:rFonts w:ascii="Arial" w:cs="Arial" w:eastAsia="Arial" w:hAnsi="Arial"/>
          <w:sz w:val="17"/>
          <w:szCs w:val="17"/>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line="381" w:lineRule="auto"/>
        <w:rPr>
          <w:sz w:val="20"/>
          <w:szCs w:val="20"/>
          <w:color w:val="auto"/>
        </w:rPr>
      </w:pPr>
      <w:r>
        <w:rPr>
          <w:rFonts w:ascii="Arial" w:cs="Arial" w:eastAsia="Arial" w:hAnsi="Arial"/>
          <w:sz w:val="15"/>
          <w:szCs w:val="15"/>
          <w:b w:val="1"/>
          <w:bCs w:val="1"/>
          <w:i w:val="1"/>
          <w:iCs w:val="1"/>
          <w:color w:val="auto"/>
        </w:rPr>
        <w:t>If our competitors develop treatments for the target indications for which any of our product candidates may be approved, that are approved more quickly, marketed more effectively or demonstrated to be more effective than our product candidates, our commercial opportunity will be reduced or eliminated.</w:t>
      </w:r>
    </w:p>
    <w:p>
      <w:pPr>
        <w:spacing w:after="0" w:line="1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w:t>
      </w:r>
    </w:p>
    <w:p>
      <w:pPr>
        <w:spacing w:after="0" w:line="169" w:lineRule="exact"/>
        <w:rPr>
          <w:sz w:val="20"/>
          <w:szCs w:val="20"/>
          <w:color w:val="auto"/>
        </w:rPr>
      </w:pPr>
    </w:p>
    <w:p>
      <w:pPr>
        <w:ind w:right="120" w:firstLine="648"/>
        <w:spacing w:after="0" w:line="233" w:lineRule="auto"/>
        <w:rPr>
          <w:sz w:val="20"/>
          <w:szCs w:val="20"/>
          <w:color w:val="auto"/>
        </w:rPr>
      </w:pPr>
      <w:r>
        <w:rPr>
          <w:rFonts w:ascii="Arial" w:cs="Arial" w:eastAsia="Arial" w:hAnsi="Arial"/>
          <w:sz w:val="17"/>
          <w:szCs w:val="17"/>
          <w:color w:val="auto"/>
        </w:rPr>
        <w:t>If approved, we expect TG-1101 to compete directly with Roche Group’s Rituxan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(Rituximab) and Gazyva (obinutuzumab or GA-101), Spectrum Pharmaceutical’s Zevalin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(Y</w:t>
      </w:r>
      <w:r>
        <w:rPr>
          <w:rFonts w:ascii="Arial" w:cs="Arial" w:eastAsia="Arial" w:hAnsi="Arial"/>
          <w:sz w:val="28"/>
          <w:szCs w:val="28"/>
          <w:color w:val="auto"/>
          <w:vertAlign w:val="superscript"/>
        </w:rPr>
        <w:t>90</w:t>
      </w:r>
      <w:r>
        <w:rPr>
          <w:rFonts w:ascii="Arial" w:cs="Arial" w:eastAsia="Arial" w:hAnsi="Arial"/>
          <w:sz w:val="17"/>
          <w:szCs w:val="17"/>
          <w:color w:val="auto"/>
        </w:rPr>
        <w:t>-Ibritumomab Tiuxetan), and Genmab and GlaxoSmithKline’s Arzerra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New developments, including the development of other pharmaceutical technologies and methods of treating disease, occur in the pharmaceutical and life sciences industries at a rapid pace.</w:t>
      </w:r>
    </w:p>
    <w:p>
      <w:pPr>
        <w:spacing w:after="0" w:line="2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respect to TGR-1202, although no PI3K delta inhibitors have been approved by the FDA, there are several PI3K delta targeted compounds in development, including, but not limited to, Gilead’s idelalisib (formerly known as GS-1101 or CAL-101), Infinity Pharmaceuticals IPI-145, and Amgen’s AMG-319, which if approved we would expect to compete directly with TGR-1202. In addition, there are numerous other novel therapies targeting similar pathways to TGR-1202 in development, which if approved would also compete with TGR-1202 in similar indications, such as the BTK inhibitor, ibrutinib (FDA approved for MCL and CLL and marketed by Pharmacyclics/ and Janssen), or the blc-2 inhibitor ABT-199 (under clinical development by AbbVie and Roche).</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or CLL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8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at an appropriate scale and cost to make it commercially feasible. If they are unable to do so, it could have a material adverse impact on our business.</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2" w:lineRule="exact"/>
        <w:rPr>
          <w:sz w:val="20"/>
          <w:szCs w:val="20"/>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380"/>
        <w:spacing w:after="0" w:line="277"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8" w:lineRule="exact"/>
        <w:rPr>
          <w:sz w:val="20"/>
          <w:szCs w:val="20"/>
          <w:color w:val="auto"/>
        </w:rPr>
      </w:pPr>
    </w:p>
    <w:p>
      <w:pPr>
        <w:jc w:val="both"/>
        <w:ind w:right="80" w:firstLine="648"/>
        <w:spacing w:after="0" w:line="256"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6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Company will need to increase the size of its organization and the scope of our outside vendor relationships, and we may experience difficulties in managing this growth.</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March 31, 2014, we had thirteen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3" w:name="page34"/>
    <w:bookmarkEnd w:id="33"/>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23"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the Company is not able to attract and retain the necessary personnel to accomplish its business objectives, we may experience constraints that will impede significantly the achievement of our development objectives, our ability to raise additional capital, and our ability to implement our business strategy.</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4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spacing w:after="0" w:line="14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right="50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par value $0.001 (“Common Stock”), or which may have a dilutive effect on our stockholders;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1" w:lineRule="exact"/>
        <w:rPr>
          <w:sz w:val="20"/>
          <w:szCs w:val="20"/>
          <w:color w:val="auto"/>
        </w:rPr>
      </w:pPr>
    </w:p>
    <w:p>
      <w:pPr>
        <w:ind w:right="440" w:firstLine="648"/>
        <w:spacing w:after="0" w:line="276" w:lineRule="auto"/>
        <w:rPr>
          <w:sz w:val="20"/>
          <w:szCs w:val="20"/>
          <w:color w:val="auto"/>
        </w:rPr>
      </w:pPr>
      <w:r>
        <w:rPr>
          <w:rFonts w:ascii="Arial" w:cs="Arial" w:eastAsia="Arial" w:hAnsi="Arial"/>
          <w:sz w:val="17"/>
          <w:szCs w:val="17"/>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Currently, the composition of matter patent and several method of use patents for TG-1101 and TGR-1202 in various indications and settings have been applied for but have not yet been issued. The patent application process is subject to numerous risks and uncertainties, and there can be no assurance that we or our partners will be successful in protecting our product candidates by obtaining and defending patents.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right="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right="50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ind w:left="980" w:right="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right="2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right="72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8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6" w:name="page37"/>
    <w:bookmarkEnd w:id="36"/>
    <w:p>
      <w:pPr>
        <w:ind w:right="160" w:firstLine="648"/>
        <w:spacing w:after="0" w:line="302"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5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81" w:lineRule="exact"/>
        <w:rPr>
          <w:sz w:val="20"/>
          <w:szCs w:val="20"/>
          <w:color w:val="auto"/>
        </w:rPr>
      </w:pPr>
    </w:p>
    <w:p>
      <w:pPr>
        <w:ind w:right="640" w:firstLine="648"/>
        <w:spacing w:after="0" w:line="291"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right="4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right="10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its management and other employees. We may not be able to prevent, alone or with our licensors, misappropriation of our trade secrets or confidential information, particularly in countries where the laws may not protect those rights as fully as in the United States. Moreover, as of March 16, 2013, the U.S. has converted from a “first to invent” to a “first to file” system. As such, should there be any innovations that we invented first, but on which we filed the patent application second, we have limited options available to reclaim invention priority.</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March 31, 2014, we had net cash, cash equivalents, investment securities and interest receivable of approximately $54,511,000. We believe that our cash on hand will sustain our operations for at least 24 months from March 31, 2014. As a result, we will need additional capital to continue our operations beyond that time. We will need to seek additional sources of financing in the future, which might not be available on favorable terms, if at all, to continue our operations.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on your holdings of our capital stock.</w:t>
      </w:r>
    </w:p>
    <w:p>
      <w:pPr>
        <w:spacing w:after="0" w:line="16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yet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 must be considered in light of the uncertainties, risks, expenses and difficulties frequently encountered by companies in the early stages of operations and the competitive environment in which we operate.</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never been profitable, and, as of March 31, 2014, we had an accumulated deficit of $46,951,252. We have generated operating losses in all periods since we were incorporated. We expect to make substantial expenditures resulting in increasing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right="42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right="2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 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60% percent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global economic crisis, which affected stock prices of many companies, and particularly many small pharmaceutical companies like ours;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ind w:left="660"/>
              <w:spacing w:after="0"/>
              <w:rPr>
                <w:sz w:val="20"/>
                <w:szCs w:val="20"/>
                <w:color w:val="auto"/>
              </w:rPr>
            </w:pPr>
            <w:r>
              <w:rPr>
                <w:rFonts w:ascii="Arial" w:cs="Arial" w:eastAsia="Arial" w:hAnsi="Arial"/>
                <w:sz w:val="18"/>
                <w:szCs w:val="18"/>
                <w:color w:val="auto"/>
              </w:rPr>
              <w:t>3.1</w:t>
            </w:r>
          </w:p>
        </w:tc>
        <w:tc>
          <w:tcPr>
            <w:tcW w:w="10080" w:type="dxa"/>
            <w:vAlign w:val="bottom"/>
          </w:tcPr>
          <w:p>
            <w:pPr>
              <w:ind w:left="360"/>
              <w:spacing w:after="0"/>
              <w:rPr>
                <w:sz w:val="20"/>
                <w:szCs w:val="20"/>
                <w:color w:val="auto"/>
              </w:rPr>
            </w:pPr>
            <w:r>
              <w:rPr>
                <w:rFonts w:ascii="Arial" w:cs="Arial" w:eastAsia="Arial" w:hAnsi="Arial"/>
                <w:sz w:val="18"/>
                <w:szCs w:val="18"/>
                <w:color w:val="auto"/>
                <w:w w:val="95"/>
              </w:rPr>
              <w:t>Amended and Restated Certificate of Incorporation, of TG Therapeutics, Inc. dated April 26, 2012 (incorporated by reference to</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Exhibit 3.1 to the Registrant’s Quarterly Report on Form 10-Q for the quarter ended June 30, 2012).</w:t>
            </w:r>
          </w:p>
        </w:tc>
      </w:tr>
      <w:tr>
        <w:trPr>
          <w:trHeight w:val="418"/>
        </w:trPr>
        <w:tc>
          <w:tcPr>
            <w:tcW w:w="1340" w:type="dxa"/>
            <w:vAlign w:val="bottom"/>
          </w:tcPr>
          <w:p>
            <w:pPr>
              <w:ind w:left="660"/>
              <w:spacing w:after="0"/>
              <w:rPr>
                <w:sz w:val="20"/>
                <w:szCs w:val="20"/>
                <w:color w:val="auto"/>
              </w:rPr>
            </w:pPr>
            <w:r>
              <w:rPr>
                <w:rFonts w:ascii="Arial" w:cs="Arial" w:eastAsia="Arial" w:hAnsi="Arial"/>
                <w:sz w:val="18"/>
                <w:szCs w:val="18"/>
                <w:color w:val="auto"/>
              </w:rPr>
              <w:t>3.2</w:t>
            </w:r>
          </w:p>
        </w:tc>
        <w:tc>
          <w:tcPr>
            <w:tcW w:w="10080" w:type="dxa"/>
            <w:vAlign w:val="bottom"/>
          </w:tcPr>
          <w:p>
            <w:pPr>
              <w:ind w:left="360"/>
              <w:spacing w:after="0"/>
              <w:rPr>
                <w:sz w:val="20"/>
                <w:szCs w:val="20"/>
                <w:color w:val="auto"/>
              </w:rPr>
            </w:pPr>
            <w:r>
              <w:rPr>
                <w:rFonts w:ascii="Arial" w:cs="Arial" w:eastAsia="Arial" w:hAnsi="Arial"/>
                <w:sz w:val="18"/>
                <w:szCs w:val="18"/>
                <w:color w:val="auto"/>
                <w:w w:val="99"/>
              </w:rPr>
              <w:t>Restated Bylaws of TG Therapeutics, Inc. dated May 14, 2012 (incorporated by reference to Exhibit 3.2 to the Registrant’s</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Quarterly Report on Form 10-Q for the quarter ended March 31, 2012).</w:t>
            </w:r>
          </w:p>
        </w:tc>
      </w:tr>
      <w:tr>
        <w:trPr>
          <w:trHeight w:val="418"/>
        </w:trPr>
        <w:tc>
          <w:tcPr>
            <w:tcW w:w="1340" w:type="dxa"/>
            <w:vAlign w:val="bottom"/>
          </w:tcPr>
          <w:p>
            <w:pPr>
              <w:ind w:left="660"/>
              <w:spacing w:after="0"/>
              <w:rPr>
                <w:sz w:val="20"/>
                <w:szCs w:val="20"/>
                <w:color w:val="auto"/>
              </w:rPr>
            </w:pPr>
            <w:r>
              <w:rPr>
                <w:rFonts w:ascii="Arial" w:cs="Arial" w:eastAsia="Arial" w:hAnsi="Arial"/>
                <w:sz w:val="18"/>
                <w:szCs w:val="18"/>
                <w:color w:val="auto"/>
              </w:rPr>
              <w:t>31.1</w:t>
            </w:r>
          </w:p>
        </w:tc>
        <w:tc>
          <w:tcPr>
            <w:tcW w:w="10080" w:type="dxa"/>
            <w:vAlign w:val="bottom"/>
          </w:tcPr>
          <w:p>
            <w:pPr>
              <w:ind w:left="36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Oxley Act of 2002, dated May 14, 2014.</w:t>
            </w:r>
          </w:p>
        </w:tc>
      </w:tr>
      <w:tr>
        <w:trPr>
          <w:trHeight w:val="418"/>
        </w:trPr>
        <w:tc>
          <w:tcPr>
            <w:tcW w:w="1340" w:type="dxa"/>
            <w:vAlign w:val="bottom"/>
          </w:tcPr>
          <w:p>
            <w:pPr>
              <w:ind w:left="660"/>
              <w:spacing w:after="0"/>
              <w:rPr>
                <w:sz w:val="20"/>
                <w:szCs w:val="20"/>
                <w:color w:val="auto"/>
              </w:rPr>
            </w:pPr>
            <w:r>
              <w:rPr>
                <w:rFonts w:ascii="Arial" w:cs="Arial" w:eastAsia="Arial" w:hAnsi="Arial"/>
                <w:sz w:val="18"/>
                <w:szCs w:val="18"/>
                <w:color w:val="auto"/>
              </w:rPr>
              <w:t>31.2</w:t>
            </w:r>
          </w:p>
        </w:tc>
        <w:tc>
          <w:tcPr>
            <w:tcW w:w="10080" w:type="dxa"/>
            <w:vAlign w:val="bottom"/>
          </w:tcPr>
          <w:p>
            <w:pPr>
              <w:ind w:left="36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Oxley Act of 2002, dated May 14, 2014.</w:t>
            </w:r>
          </w:p>
        </w:tc>
      </w:tr>
      <w:tr>
        <w:trPr>
          <w:trHeight w:val="418"/>
        </w:trPr>
        <w:tc>
          <w:tcPr>
            <w:tcW w:w="1340" w:type="dxa"/>
            <w:vAlign w:val="bottom"/>
          </w:tcPr>
          <w:p>
            <w:pPr>
              <w:ind w:left="660"/>
              <w:spacing w:after="0"/>
              <w:rPr>
                <w:sz w:val="20"/>
                <w:szCs w:val="20"/>
                <w:color w:val="auto"/>
              </w:rPr>
            </w:pPr>
            <w:r>
              <w:rPr>
                <w:rFonts w:ascii="Arial" w:cs="Arial" w:eastAsia="Arial" w:hAnsi="Arial"/>
                <w:sz w:val="18"/>
                <w:szCs w:val="18"/>
                <w:color w:val="auto"/>
              </w:rPr>
              <w:t>32.1</w:t>
            </w:r>
          </w:p>
        </w:tc>
        <w:tc>
          <w:tcPr>
            <w:tcW w:w="10080" w:type="dxa"/>
            <w:vAlign w:val="bottom"/>
          </w:tcPr>
          <w:p>
            <w:pPr>
              <w:ind w:left="360"/>
              <w:spacing w:after="0"/>
              <w:rPr>
                <w:sz w:val="20"/>
                <w:szCs w:val="20"/>
                <w:color w:val="auto"/>
              </w:rPr>
            </w:pPr>
            <w:r>
              <w:rPr>
                <w:rFonts w:ascii="Arial" w:cs="Arial" w:eastAsia="Arial" w:hAnsi="Arial"/>
                <w:sz w:val="18"/>
                <w:szCs w:val="18"/>
                <w:color w:val="auto"/>
                <w:w w:val="95"/>
              </w:rPr>
              <w:t>Certification of Chief Executive Officer pursuant to 18 U.S.C. §1350, as adopted pursuant to Section 906 of the Sarbanes-Oxley</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Act of 2002, dated May 14, 2014.</w:t>
            </w:r>
          </w:p>
        </w:tc>
      </w:tr>
      <w:tr>
        <w:trPr>
          <w:trHeight w:val="418"/>
        </w:trPr>
        <w:tc>
          <w:tcPr>
            <w:tcW w:w="1340" w:type="dxa"/>
            <w:vAlign w:val="bottom"/>
          </w:tcPr>
          <w:p>
            <w:pPr>
              <w:ind w:left="660"/>
              <w:spacing w:after="0"/>
              <w:rPr>
                <w:sz w:val="20"/>
                <w:szCs w:val="20"/>
                <w:color w:val="auto"/>
              </w:rPr>
            </w:pPr>
            <w:r>
              <w:rPr>
                <w:rFonts w:ascii="Arial" w:cs="Arial" w:eastAsia="Arial" w:hAnsi="Arial"/>
                <w:sz w:val="18"/>
                <w:szCs w:val="18"/>
                <w:color w:val="auto"/>
              </w:rPr>
              <w:t>32.2</w:t>
            </w:r>
          </w:p>
        </w:tc>
        <w:tc>
          <w:tcPr>
            <w:tcW w:w="10080" w:type="dxa"/>
            <w:vAlign w:val="bottom"/>
          </w:tcPr>
          <w:p>
            <w:pPr>
              <w:ind w:left="360"/>
              <w:spacing w:after="0"/>
              <w:rPr>
                <w:sz w:val="20"/>
                <w:szCs w:val="20"/>
                <w:color w:val="auto"/>
              </w:rPr>
            </w:pPr>
            <w:r>
              <w:rPr>
                <w:rFonts w:ascii="Arial" w:cs="Arial" w:eastAsia="Arial" w:hAnsi="Arial"/>
                <w:sz w:val="18"/>
                <w:szCs w:val="18"/>
                <w:color w:val="auto"/>
                <w:w w:val="96"/>
              </w:rPr>
              <w:t>Certification of Chief Financial Officer pursuant to 18 U.S.C. §1350, as adopted pursuant to Section 906 of the Sarbanes-Oxley</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Act of 2002, dated May 14, 2014.</w:t>
            </w:r>
          </w:p>
        </w:tc>
      </w:tr>
      <w:tr>
        <w:trPr>
          <w:trHeight w:val="648"/>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20"/>
          </w:cols>
          <w:pgMar w:left="240" w:top="88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TG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14, 2014</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35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42</w:t>
            </w: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18"/>
        </w:trPr>
        <w:tc>
          <w:tcPr>
            <w:tcW w:w="134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10080" w:type="dxa"/>
            <w:vAlign w:val="bottom"/>
          </w:tcPr>
          <w:p>
            <w:pPr>
              <w:ind w:left="36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Oxley Act of 2002, dated May 14, 2014.</w:t>
            </w:r>
          </w:p>
        </w:tc>
      </w:tr>
      <w:tr>
        <w:trPr>
          <w:trHeight w:val="418"/>
        </w:trPr>
        <w:tc>
          <w:tcPr>
            <w:tcW w:w="134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10080" w:type="dxa"/>
            <w:vAlign w:val="bottom"/>
          </w:tcPr>
          <w:p>
            <w:pPr>
              <w:ind w:left="36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Oxley Act of 2002, dated May 14, 2014.</w:t>
            </w:r>
          </w:p>
        </w:tc>
      </w:tr>
      <w:tr>
        <w:trPr>
          <w:trHeight w:val="418"/>
        </w:trPr>
        <w:tc>
          <w:tcPr>
            <w:tcW w:w="1340" w:type="dxa"/>
            <w:vAlign w:val="bottom"/>
          </w:tcPr>
          <w:p>
            <w:pPr>
              <w:jc w:val="right"/>
              <w:ind w:right="270"/>
              <w:spacing w:after="0"/>
              <w:rPr>
                <w:sz w:val="20"/>
                <w:szCs w:val="20"/>
                <w:color w:val="auto"/>
              </w:rPr>
            </w:pPr>
            <w:r>
              <w:rPr>
                <w:rFonts w:ascii="Arial" w:cs="Arial" w:eastAsia="Arial" w:hAnsi="Arial"/>
                <w:sz w:val="18"/>
                <w:szCs w:val="18"/>
                <w:color w:val="auto"/>
              </w:rPr>
              <w:t>32.1</w:t>
            </w:r>
          </w:p>
        </w:tc>
        <w:tc>
          <w:tcPr>
            <w:tcW w:w="10080" w:type="dxa"/>
            <w:vAlign w:val="bottom"/>
          </w:tcPr>
          <w:p>
            <w:pPr>
              <w:ind w:left="360"/>
              <w:spacing w:after="0"/>
              <w:rPr>
                <w:sz w:val="20"/>
                <w:szCs w:val="20"/>
                <w:color w:val="auto"/>
              </w:rPr>
            </w:pPr>
            <w:r>
              <w:rPr>
                <w:rFonts w:ascii="Arial" w:cs="Arial" w:eastAsia="Arial" w:hAnsi="Arial"/>
                <w:sz w:val="18"/>
                <w:szCs w:val="18"/>
                <w:color w:val="auto"/>
                <w:w w:val="95"/>
              </w:rPr>
              <w:t>Certification of Chief Executive Officer pursuant to 18 U.S.C. §1350, as adopted pursuant to Section 906 of the Sarbanes-Oxley</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Act of 2002, dated May 14, 2014.</w:t>
            </w:r>
          </w:p>
        </w:tc>
      </w:tr>
      <w:tr>
        <w:trPr>
          <w:trHeight w:val="418"/>
        </w:trPr>
        <w:tc>
          <w:tcPr>
            <w:tcW w:w="134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10080" w:type="dxa"/>
            <w:vAlign w:val="bottom"/>
          </w:tcPr>
          <w:p>
            <w:pPr>
              <w:ind w:left="360"/>
              <w:spacing w:after="0"/>
              <w:rPr>
                <w:sz w:val="20"/>
                <w:szCs w:val="20"/>
                <w:color w:val="auto"/>
              </w:rPr>
            </w:pPr>
            <w:r>
              <w:rPr>
                <w:rFonts w:ascii="Arial" w:cs="Arial" w:eastAsia="Arial" w:hAnsi="Arial"/>
                <w:sz w:val="18"/>
                <w:szCs w:val="18"/>
                <w:color w:val="auto"/>
                <w:w w:val="96"/>
              </w:rPr>
              <w:t>Certification of Chief Financial Officer pursuant to 18 U.S.C. §1350, as adopted pursuant to Section 906 of the Sarbanes-Oxley</w:t>
            </w:r>
          </w:p>
        </w:tc>
      </w:tr>
      <w:tr>
        <w:trPr>
          <w:trHeight w:val="230"/>
        </w:trPr>
        <w:tc>
          <w:tcPr>
            <w:tcW w:w="1340" w:type="dxa"/>
            <w:vAlign w:val="bottom"/>
          </w:tcPr>
          <w:p>
            <w:pPr>
              <w:spacing w:after="0"/>
              <w:rPr>
                <w:sz w:val="20"/>
                <w:szCs w:val="20"/>
                <w:color w:val="auto"/>
              </w:rPr>
            </w:pPr>
          </w:p>
        </w:tc>
        <w:tc>
          <w:tcPr>
            <w:tcW w:w="10080" w:type="dxa"/>
            <w:vAlign w:val="bottom"/>
          </w:tcPr>
          <w:p>
            <w:pPr>
              <w:ind w:left="360"/>
              <w:spacing w:after="0"/>
              <w:rPr>
                <w:sz w:val="20"/>
                <w:szCs w:val="20"/>
                <w:color w:val="auto"/>
              </w:rPr>
            </w:pPr>
            <w:r>
              <w:rPr>
                <w:rFonts w:ascii="Arial" w:cs="Arial" w:eastAsia="Arial" w:hAnsi="Arial"/>
                <w:sz w:val="18"/>
                <w:szCs w:val="18"/>
                <w:color w:val="auto"/>
              </w:rPr>
              <w:t>Act of 2002, dated May 14, 2014.</w:t>
            </w:r>
          </w:p>
        </w:tc>
      </w:tr>
      <w:tr>
        <w:trPr>
          <w:trHeight w:val="648"/>
        </w:trPr>
        <w:tc>
          <w:tcPr>
            <w:tcW w:w="134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420"/>
          </w:cols>
          <w:pgMar w:left="240" w:top="109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14,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14,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2014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8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14,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Chairman, Interim Chief Executive Officer and President</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2014 as filed with the Securities and Exchange Commission (the “Report”), I, Sean A. Power, Chief Financial Officer of the Company, certify, pursuant to 18 U.S.C. § 1350, as adopted pursuant to § 906 of the Sarbanes-Oxley Act of 2002, that, based on my knowledge:</w:t>
      </w:r>
    </w:p>
    <w:p>
      <w:pPr>
        <w:spacing w:after="0" w:line="181" w:lineRule="exact"/>
        <w:rPr>
          <w:sz w:val="20"/>
          <w:szCs w:val="20"/>
          <w:color w:val="auto"/>
        </w:rPr>
      </w:pPr>
    </w:p>
    <w:p>
      <w:pPr>
        <w:ind w:left="700" w:hanging="368"/>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May 14,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48"/>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2019-12-06T13:59:00Z</dcterms:created>
  <dcterms:modified xsi:type="dcterms:W3CDTF">2019-12-06T13:59:00Z</dcterms:modified>
</cp:coreProperties>
</file>