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176530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260" w:right="2020" w:hanging="252"/>
        <w:spacing w:after="0" w:line="501" w:lineRule="auto"/>
        <w:tabs>
          <w:tab w:leader="none" w:pos="22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jc w:val="center"/>
        <w:ind w:right="-39"/>
        <w:spacing w:after="0"/>
        <w:rPr>
          <w:sz w:val="20"/>
          <w:szCs w:val="20"/>
          <w:color w:val="auto"/>
        </w:rPr>
      </w:pPr>
      <w:r>
        <w:rPr>
          <w:rFonts w:ascii="Arial" w:cs="Arial" w:eastAsia="Arial" w:hAnsi="Arial"/>
          <w:sz w:val="18"/>
          <w:szCs w:val="18"/>
          <w:b w:val="1"/>
          <w:bCs w:val="1"/>
          <w:color w:val="auto"/>
        </w:rPr>
        <w:t>Commission File Number 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189230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TG THERAPEUTICS, INC.</w:t>
      </w:r>
    </w:p>
    <w:p>
      <w:pPr>
        <w:sectPr>
          <w:pgSz w:w="11900" w:h="16838" w:orient="portrait"/>
          <w:cols w:equalWidth="0" w:num="1">
            <w:col w:w="11400"/>
          </w:cols>
          <w:pgMar w:left="240" w:top="679" w:right="259" w:bottom="0" w:gutter="0" w:footer="0" w:header="0"/>
        </w:sectPr>
      </w:pPr>
    </w:p>
    <w:p>
      <w:pPr>
        <w:spacing w:after="0" w:line="4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incorporation or organization)</w:t>
      </w:r>
    </w:p>
    <w:p>
      <w:pPr>
        <w:spacing w:after="0" w:line="20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3 Columbus Circle</w:t>
      </w:r>
    </w:p>
    <w:p>
      <w:pPr>
        <w:ind w:left="2600"/>
        <w:spacing w:after="0" w:line="198" w:lineRule="auto"/>
        <w:rPr>
          <w:sz w:val="20"/>
          <w:szCs w:val="20"/>
          <w:color w:val="auto"/>
        </w:rPr>
      </w:pPr>
      <w:r>
        <w:rPr>
          <w:rFonts w:ascii="Arial" w:cs="Arial" w:eastAsia="Arial" w:hAnsi="Arial"/>
          <w:sz w:val="18"/>
          <w:szCs w:val="18"/>
          <w:b w:val="1"/>
          <w:bCs w:val="1"/>
          <w:color w:val="auto"/>
        </w:rPr>
        <w:t>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New York, New York</w:t>
      </w: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pacing w:after="0" w:line="23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8"/>
          <w:szCs w:val="18"/>
          <w:color w:val="auto"/>
        </w:rPr>
        <w:t>(Zip Code)</w:t>
      </w:r>
    </w:p>
    <w:p>
      <w:pPr>
        <w:spacing w:after="0" w:line="433" w:lineRule="exact"/>
        <w:rPr>
          <w:sz w:val="24"/>
          <w:szCs w:val="24"/>
          <w:color w:val="auto"/>
        </w:rPr>
      </w:pPr>
    </w:p>
    <w:p>
      <w:pPr>
        <w:sectPr>
          <w:pgSz w:w="11900" w:h="16838" w:orient="portrait"/>
          <w:cols w:equalWidth="0" w:num="2">
            <w:col w:w="7700" w:space="320"/>
            <w:col w:w="3380"/>
          </w:cols>
          <w:pgMar w:left="240" w:top="679" w:right="259" w:bottom="0" w:gutter="0" w:footer="0" w:header="0"/>
          <w:type w:val="continuous"/>
        </w:sectPr>
      </w:pPr>
    </w:p>
    <w:p>
      <w:pPr>
        <w:spacing w:after="0" w:line="30"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Registrant’s telephone number, including area code: (212) 554-4484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4"/>
          <w:szCs w:val="24"/>
          <w:color w:val="auto"/>
        </w:rPr>
      </w:pPr>
    </w:p>
    <w:p>
      <w:pPr>
        <w:ind w:left="1380"/>
        <w:spacing w:after="0"/>
        <w:tabs>
          <w:tab w:leader="none" w:pos="772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7"/>
          <w:szCs w:val="17"/>
          <w:color w:val="auto"/>
        </w:rPr>
        <w:t>NASDAQ Capital Market</w:t>
      </w:r>
    </w:p>
    <w:p>
      <w:pPr>
        <w:spacing w:after="0" w:line="23" w:lineRule="exact"/>
        <w:rPr>
          <w:sz w:val="24"/>
          <w:szCs w:val="24"/>
          <w:color w:val="auto"/>
        </w:rPr>
      </w:pPr>
    </w:p>
    <w:p>
      <w:pPr>
        <w:ind w:left="2440"/>
        <w:spacing w:after="0"/>
        <w:tabs>
          <w:tab w:leader="none" w:pos="6940" w:val="left"/>
        </w:tabs>
        <w:rPr>
          <w:sz w:val="20"/>
          <w:szCs w:val="20"/>
          <w:color w:val="auto"/>
        </w:rPr>
      </w:pPr>
      <w:r>
        <w:rPr>
          <w:rFonts w:ascii="Arial" w:cs="Arial" w:eastAsia="Arial" w:hAnsi="Arial"/>
          <w:sz w:val="18"/>
          <w:szCs w:val="18"/>
          <w:color w:val="auto"/>
        </w:rPr>
        <w:t>(Title of Class)</w:t>
      </w:r>
      <w:r>
        <w:rPr>
          <w:sz w:val="20"/>
          <w:szCs w:val="20"/>
          <w:color w:val="auto"/>
        </w:rPr>
        <w:tab/>
      </w:r>
      <w:r>
        <w:rPr>
          <w:rFonts w:ascii="Arial" w:cs="Arial" w:eastAsia="Arial" w:hAnsi="Arial"/>
          <w:sz w:val="16"/>
          <w:szCs w:val="16"/>
          <w:color w:val="auto"/>
        </w:rPr>
        <w:t>(Name of Each Exchange on Which Registered)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7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58"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pacing w:after="0" w:line="190" w:lineRule="exact"/>
        <w:rPr>
          <w:sz w:val="24"/>
          <w:szCs w:val="24"/>
          <w:color w:val="auto"/>
        </w:rPr>
      </w:pPr>
    </w:p>
    <w:p>
      <w:pPr>
        <w:ind w:left="660"/>
        <w:spacing w:after="0" w:line="207" w:lineRule="exact"/>
        <w:tabs>
          <w:tab w:leader="none" w:pos="4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1" w:lineRule="exact"/>
        <w:rPr>
          <w:sz w:val="24"/>
          <w:szCs w:val="24"/>
          <w:color w:val="auto"/>
        </w:rPr>
      </w:pPr>
    </w:p>
    <w:p>
      <w:pPr>
        <w:ind w:left="660"/>
        <w:spacing w:after="0" w:line="207" w:lineRule="exact"/>
        <w:tabs>
          <w:tab w:leader="none" w:pos="45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x</w:t>
      </w:r>
    </w:p>
    <w:p>
      <w:pPr>
        <w:spacing w:after="0" w:line="18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58" w:lineRule="exact"/>
        <w:rPr>
          <w:sz w:val="24"/>
          <w:szCs w:val="24"/>
          <w:color w:val="auto"/>
        </w:rPr>
      </w:pPr>
    </w:p>
    <w:p>
      <w:pPr>
        <w:ind w:right="340" w:firstLine="648"/>
        <w:spacing w:after="0" w:line="264"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$206,996,000 as of June 30, 2014, based on the closing sale price of such stock as reported on the NASDAQ Capital Market.</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There were 46,543,932 shares of the registrant’s common stock, $0.001 par value, outstanding as of March 12, 2015.</w:t>
      </w:r>
    </w:p>
    <w:p>
      <w:pPr>
        <w:sectPr>
          <w:pgSz w:w="11900" w:h="16838" w:orient="portrait"/>
          <w:cols w:equalWidth="0" w:num="1">
            <w:col w:w="11400"/>
          </w:cols>
          <w:pgMar w:left="240" w:top="679" w:right="259" w:bottom="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2015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CAUTIONARY NOTICE REGARDING FORWARD-LOOKING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60" w:type="dxa"/>
            <w:vAlign w:val="bottom"/>
            <w:gridSpan w:val="11"/>
            <w:shd w:val="clear" w:color="auto" w:fill="CCEEFF"/>
          </w:tcPr>
          <w:p>
            <w:pPr>
              <w:jc w:val="center"/>
              <w:ind w:right="4280"/>
              <w:spacing w:after="0" w:line="17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920" w:type="dxa"/>
            <w:vAlign w:val="bottom"/>
            <w:tcBorders>
              <w:top w:val="single" w:sz="8" w:color="CCEEFF"/>
            </w:tcBorders>
            <w:gridSpan w:val="1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5"/>
                <w:szCs w:val="15"/>
                <w:color w:val="auto"/>
              </w:rPr>
            </w:pPr>
          </w:p>
        </w:tc>
        <w:tc>
          <w:tcPr>
            <w:tcW w:w="4280" w:type="dxa"/>
            <w:vAlign w:val="bottom"/>
            <w:tcBorders>
              <w:top w:val="single" w:sz="8" w:color="CCEEFF"/>
            </w:tcBorders>
            <w:gridSpan w:val="9"/>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7880" w:type="dxa"/>
            <w:vAlign w:val="bottom"/>
            <w:tcBorders>
              <w:bottom w:val="single" w:sz="8" w:color="CCEEFF"/>
            </w:tcBorders>
            <w:gridSpan w:val="2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780" w:type="dxa"/>
            <w:vAlign w:val="bottom"/>
            <w:gridSpan w:val="2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780" w:type="dxa"/>
            <w:vAlign w:val="bottom"/>
            <w:gridSpan w:val="2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780" w:type="dxa"/>
            <w:vAlign w:val="bottom"/>
            <w:gridSpan w:val="2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20" w:type="dxa"/>
            <w:vAlign w:val="bottom"/>
            <w:gridSpan w:val="13"/>
          </w:tcPr>
          <w:p>
            <w:pPr>
              <w:jc w:val="center"/>
              <w:ind w:right="4220"/>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8780" w:type="dxa"/>
            <w:vAlign w:val="bottom"/>
            <w:gridSpan w:val="25"/>
          </w:tcPr>
          <w:p>
            <w:pPr>
              <w:spacing w:after="0" w:line="17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Market for Registrant’s Common Equity, Related Stockholder Matters and Issuer Purchases of Equity Securities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780" w:type="dxa"/>
            <w:vAlign w:val="bottom"/>
            <w:gridSpan w:val="25"/>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8780" w:type="dxa"/>
            <w:vAlign w:val="bottom"/>
            <w:gridSpan w:val="2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780" w:type="dxa"/>
            <w:vAlign w:val="bottom"/>
            <w:gridSpan w:val="2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8780" w:type="dxa"/>
            <w:vAlign w:val="bottom"/>
            <w:gridSpan w:val="25"/>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8780" w:type="dxa"/>
            <w:vAlign w:val="bottom"/>
            <w:gridSpan w:val="2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020" w:type="dxa"/>
            <w:vAlign w:val="bottom"/>
            <w:tcBorders>
              <w:top w:val="single" w:sz="8" w:color="CCEEFF"/>
            </w:tcBorders>
            <w:gridSpan w:val="18"/>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14"/>
          </w:tcPr>
          <w:p>
            <w:pPr>
              <w:jc w:val="center"/>
              <w:ind w:right="3660"/>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8780" w:type="dxa"/>
            <w:vAlign w:val="bottom"/>
            <w:gridSpan w:val="25"/>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Directors, Executive Officers and Corporate Governance</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Executive Compensation</w:t>
              </w:r>
            </w:hyperlink>
          </w:p>
        </w:tc>
        <w:tc>
          <w:tcPr>
            <w:tcW w:w="698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8780" w:type="dxa"/>
            <w:vAlign w:val="bottom"/>
            <w:gridSpan w:val="25"/>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8780" w:type="dxa"/>
            <w:vAlign w:val="bottom"/>
            <w:gridSpan w:val="2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3340" w:type="dxa"/>
            <w:vAlign w:val="bottom"/>
            <w:tcBorders>
              <w:top w:val="single" w:sz="8" w:color="CCEEFF"/>
            </w:tcBorders>
            <w:gridSpan w:val="5"/>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20" w:type="dxa"/>
            <w:vAlign w:val="bottom"/>
            <w:gridSpan w:val="13"/>
          </w:tcPr>
          <w:p>
            <w:pPr>
              <w:jc w:val="center"/>
              <w:ind w:right="4200"/>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Exhibits and Financial Statement Schedules</w:t>
              </w:r>
            </w:hyperlink>
          </w:p>
        </w:tc>
        <w:tc>
          <w:tcPr>
            <w:tcW w:w="5620" w:type="dxa"/>
            <w:vAlign w:val="bottom"/>
            <w:gridSpan w:val="15"/>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52" w:lineRule="exact"/>
        <w:rPr>
          <w:rFonts w:ascii="Arial" w:cs="Arial" w:eastAsia="Arial" w:hAnsi="Arial"/>
          <w:sz w:val="18"/>
          <w:szCs w:val="18"/>
          <w:color w:val="auto"/>
        </w:rPr>
      </w:pPr>
    </w:p>
    <w:p>
      <w:pPr>
        <w:ind w:left="1300" w:right="10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expectations as to the timing of commencing or completing pre-clinical and clinical trials and the expected outcomes of those trials;</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252"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a pre-clinical program to develop inhibitors of IRAK4 (interleukin-1 receptor-associated kinase 4), as well as an antibody research program to develop anti-PD-L1 and anti-GITR antibodies, all currently in pre-clinical development.</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3 Columbus Circle, New York, New York 10019. Our telephone number is 212-554-4484, and our e-mail address is info@tgtxinc.com.</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file reports with the SEC on an annual basis using Form 10-K, quarterly reports on Form 10-Q and current reports on Form 8-K.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http://www.sec.gov.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Pharmaceutical Co. Ltd (“Ildong”) in November 2012.</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2013 of approximately $8 billion.</w:t>
      </w:r>
    </w:p>
    <w:p>
      <w:pPr>
        <w:spacing w:after="0" w:line="4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5" w:name="page6"/>
    <w:bookmarkEnd w:id="5"/>
    <w:p>
      <w:pPr>
        <w:ind w:right="140" w:firstLine="648"/>
        <w:spacing w:after="0" w:line="256"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TG-1101 in combination with ibrutinib, a BTK inhibitor, for patients with CLL and Mantle Cell Lymphoma (MCL);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TG-1101 in combination with TGR-1202, the Company’s development stage PI3Kδ inhibitor, for patients with CLL and NHL.</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in September 2014, we announced our first Phase 3 registration study for TG-1101, which is evaluating TG-1101 in combination with ibrutinib compared to ibrutinib alone in patients with high-risk CLL and is being conducted under Special Protocol Assessment (SPA) with the U.S. Food and Drug Administration (“FDA”), as described further below. This Phase 3 registration study commenced enrollment in January 2015.</w:t>
      </w:r>
    </w:p>
    <w:p>
      <w:pPr>
        <w:spacing w:after="0" w:line="166"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Manufacturing of TG-1101 is currently performed by our partner, LFB Biotechnologies and we are in the process of bringing a secondary manufacturer 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mechanism of action of anti-CD20 antibodies, including rituximab and TG-1101 has been elucidated and detailed in numerous academic and clinical studies. Upon conjugation of the antibody to the CD20 surface antigen, rituximab has been found to deplete B-lymphocytes through three primary mechanisms: ADCC, CDC, and DCD or PCD.</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Antibody dependent cellular cytotoxicity, or ADCC, is a mechanism that is dependent on interactions between the Fc region of the antibody and the FcγR receptors on immune system effector cells, most notably the FcγRIIIA (CD16) receptor found on NK cells. These interactions trigger cells to release cytotoxic molecules and proteases resulting in B-cell death. TG-1101 is a third generation, type I chimeric IgG1 monoclonal antibody with a glycoengineered Fc region designed specifically to induce higher ADCC activity in comparison to rituximab, which has been demonstrated in pre-clinical models.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CLL</w:t>
      </w:r>
    </w:p>
    <w:p>
      <w:pPr>
        <w:spacing w:after="0" w:line="225"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8"/>
          <w:szCs w:val="18"/>
          <w:color w:val="auto"/>
        </w:rPr>
        <w:t>A multicenter, open-label Phase I/Ib clinical trial of TG-1101 was completed which aimed to assess the safety, tolerability, and efficacy of TG-1101 in patients with relapsed or refractory CLL. This two part, first-in-man, dose escalating trial was conducted in nine centers in France with preliminary results presented at the 52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(“ASH”) meetings, respectively.</w:t>
      </w:r>
    </w:p>
    <w:p>
      <w:pPr>
        <w:spacing w:after="0" w:line="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study regimen in Part 1 involved 21 patients in five dosing cohorts receiving infusions of TG-1101 at a dose ranging from 5mg to 450mg once weekly over the course of four weeks. Part 2 of this study included 12 patients and evaluated the safety and efficacy profile of TG-1101 when administered in an 8-dose regimen (150mg initial dose, followed by seven doses of 450mg).</w:t>
      </w:r>
    </w:p>
    <w:p>
      <w:pPr>
        <w:spacing w:after="0" w:line="18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TG-1101 was well tolerated with adverse events generally consistent with those exhibited by other anti-CD20 antibodies. In Part 2 of the study, rapid, near total blood lymphocyte depletion was observed in all patients. Overall response assessment at month four according to NCI-WG guidelines following treatment, TG-1101 was found to produce a durable partial response (“PR”) in 5/11 (45%) evaluable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Our first US based trial entitled "An Open Label Phase I/II Trial of the Efficacy and Safety of TG-1101 in Patients with B-cell Non-Hodgkin’s Lymphoma who have Relapsed or are Refractory After CD20 Directed Antibody Therapy," was launched in the third quarter of 2012. In July 2014, this trial completed enrollment at 35 patients, of which 12 patients were included in the dose escalation component and 23 patients in various expansion cohorts. All</w:t>
      </w:r>
    </w:p>
    <w:p>
      <w:pPr>
        <w:ind w:right="320"/>
        <w:spacing w:after="0" w:line="217" w:lineRule="auto"/>
        <w:rPr>
          <w:sz w:val="20"/>
          <w:szCs w:val="20"/>
          <w:color w:val="auto"/>
        </w:rPr>
      </w:pPr>
      <w:r>
        <w:rPr>
          <w:rFonts w:ascii="Arial" w:cs="Arial" w:eastAsia="Arial" w:hAnsi="Arial"/>
          <w:sz w:val="18"/>
          <w:szCs w:val="18"/>
          <w:color w:val="auto"/>
        </w:rPr>
        <w:t>enrolled patients were relapsed or refractory to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 a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containing regimen, and in most cases multiple other lines of therapy. Dr. Owen O'Connor, Professor of Medicine and Director, Center for Lymphoid Malignancies at New York Presbyterian Columbia Medical Center was the Principal Investigator for the multi-center study.</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 w:name="page7"/>
    <w:bookmarkEnd w:id="6"/>
    <w:p>
      <w:pPr>
        <w:ind w:right="620" w:firstLine="648"/>
        <w:spacing w:after="0" w:line="210" w:lineRule="auto"/>
        <w:rPr>
          <w:sz w:val="20"/>
          <w:szCs w:val="20"/>
          <w:color w:val="auto"/>
        </w:rPr>
      </w:pPr>
      <w:r>
        <w:rPr>
          <w:rFonts w:ascii="Arial" w:cs="Arial" w:eastAsia="Arial" w:hAnsi="Arial"/>
          <w:sz w:val="18"/>
          <w:szCs w:val="18"/>
          <w:color w:val="auto"/>
        </w:rPr>
        <w:t>Data from this study was presented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American Society of Clinical Oncology (ASCO) 2014 Annual Meeting in Chicago, IL, and is summarized below:</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Tolerability</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TG-1101 was well tolerated at all dose levels tested in the 35 patients evaluable for safety, with Day 1 infusion related reactions (IRR) being the most frequently reported adverse event. All IRR's were Grade 1 or 2 in severity, were manageable, and occurred more frequently in patients with CLL. Infusion times for the fourth and later infusions of TG-1101 averaged approximately 90 minutes.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Activity</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combined overall response rate (ORR) for the Phase 1 dose escalation component and expansion cohorts was 43% (30% PR, 13% CR) among the 30 rituximab relapsed/refractory patients evaluable for efficacy at the time of the presentation. TG-1101 displayed marked clinical activity as a single agent in a variety of lymphoma subtypes, reporting a 67% (4/6) response rate in patients with CLL and 44% (8/18) response rate in patients with indolent NHL (22% CR, 22% PR). Responses were durable, with a median duration of progression free survival (PFS) among patients who achieved SD or better not reached, and a median PFS for all patients on study of 34 weeks (n=30) at the time of the data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November 2013, we initiated a multi-center, Phase I study to evaluate the safety and efficacy of the combination of TG-1101 and TGR-1202, the Company's novel, once per day, PI3Kδ inhibitor, for patients with relapsed and/or refractory CLL and NHL. This is the first clinical trial evaluating the combination of TG-1101 and TGR-1202. In this study, dosing of TGR-1202 commenced at 800mg (initial formulation) and has escalated to 600mg (micronized formulation) once per day (QD) with dose escalation proceeding in a 3+3 design. Dose-escalation up to 1200mg micronized formulation is planned. Additional cohorts were added to this study to explore the triple therapy combination of TG-1101, TGR-1202, and ibrutinib.</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trial, entitled "A Multi-center Phase I/Ib Study Evaluating the Efficacy and Safety of TG-1101 (Ublituximab), a novel Glycoengineered Anti-CD20 Monoclonal Antibody, in Combination with TGR-1202, a Novel PI3k Delta Inhibitor, in Patients with B-cell Malignancies," will enroll CLL and NHL patients whose disease is relapsed from or refractory to prior therapies, including prior anti-CD20 monoclonal antibodies, PI3Kδ inhibitors, and/or BTK inhibitors 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Preliminary data from this study was presented at the 56th Annual American Society of Hematology (ASH) meeting held in San Francisco, CA. and is summarized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Tolerability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combination of TG-1101 and TGR-1202 was well tolerated in the 27 patients evaluable for safety, with day 1 infusion related reactions (IRR) being the most frequently reported adverse event. All IRR events were manageable without dose reductions, and all but one event was Grade 1 or 2 in severity. Other adverse events included neutropenia, nausea, and diarrhea, with neutropenia being the only Grade 3/4 adverse event reported in &gt; 10% of patients (33%).</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triple combination of TG-1101, TGR-1202, and ibrutinib was well tolerated in the 5 patients evaluable for safety. No DLTs were observed with IRR, nausea, fatigue, and diarrhea being the most commonly reported Grade 1/2 adverse events. No dose reductions or dose delays were reported.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Activity</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Of the 11 CLL/SLL patients enrolled, 9 were evaluable for efficacy. All 9 evaluable patients exhibited nodal reductions with 6 of 9 achieving a Partial Response by the iwCLL (Hallek 2008) or Cheson criteria. All evaluable CLL patients remained on study (durations of 3+ to 9+ months) pending further efficacy assessments and intra-patient dose escalation, which is permitted per protocol.</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2" w:right="299" w:bottom="1440" w:gutter="0" w:footer="0" w:header="0"/>
        </w:sectPr>
      </w:pPr>
    </w:p>
    <w:bookmarkStart w:id="7" w:name="page8"/>
    <w:bookmarkEnd w:id="7"/>
    <w:p>
      <w:pPr>
        <w:ind w:right="160" w:firstLine="648"/>
        <w:spacing w:after="0" w:line="276" w:lineRule="auto"/>
        <w:rPr>
          <w:sz w:val="20"/>
          <w:szCs w:val="20"/>
          <w:color w:val="auto"/>
        </w:rPr>
      </w:pPr>
      <w:r>
        <w:rPr>
          <w:rFonts w:ascii="Arial" w:cs="Arial" w:eastAsia="Arial" w:hAnsi="Arial"/>
          <w:sz w:val="17"/>
          <w:szCs w:val="17"/>
          <w:color w:val="auto"/>
        </w:rPr>
        <w:t>Of the 17 NHL or Richter's patients enrolled to date, all were evaluable for efficacy (7 Diffuse Large B-Cell Lymphoma (DLBCL), 9 Follicular Lymphoma (FL) and 1 Richter's). Patients in this group were heavily pre-treated, with 53% refractory to their prior treatment regimen. In patients with DLBCL an ORR of 43% (3/7) was observed with 2 patients achieving a Complete Response (CR), both of which were confirmed by independent radiologic review. Consistent with the exposure-response data recently reported in the single agent dose escalation trial of TGR-1202, all of the DLBCL and FL responses occurred at the highest dose tested (1200mg old formulation for DLBCL and 600mg micronized).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for patients with CLL and MCL. This is the first clinical trial evaluating the combination of TG-1101 and ibrutinib, an oral Bruton’s Tyrosine Kinase (BTK) inhibitor.</w:t>
      </w:r>
    </w:p>
    <w:p>
      <w:pPr>
        <w:spacing w:after="0" w:line="181"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The trial, entitled "A Multi-center Phase 2 Study with Safety Run-in Evaluating the Efficacy and Safety of Ublituximab in Combination with Ibrutinib in Patients with Select B-Cell Malignancies," enrolled patients with CLL and MCL who are eligible to receive ibrutinib. TG Therapeutics has partnered with the US Oncology Network and other select centers throughout the United States on the study, with Jeff Sharman, MD, Medical Director for Hematology Research, US Oncology Network, as the Study Chair.</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Preliminary data from this study was presented at the 56th Annual American Society of Hematology (ASH) meeting held in San Francisco, CA. and is summarized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Tolerability</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TG-1101 in combination with ibrutinib was well tolerated in the 54 patients evaluable for safety, with day 1 infusion related reactions (IRR) being the most frequently reported adverse event (regardless of causality). Only two Grade 3 or 4 adverse events were observed in &gt; 5% of patients: IRR (6%) and neutropenia (6%). Overall, aside from day 1 IRR, the addition of TG-1101 did not appear to alter the safety profile seen historically with single agent ibrutinib.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Activity</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Of the 54 patients treated, 39 CLL and 8 MCL patients were evaluable for response (2 SLL patients were enrolled and also included in the safety analysis). The 5 CLL patients who were not evaluable included 3 who discontinued due to an adverse event and 2 who withdrew consent prior to their first efficacy assessment.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breakdown of responses is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ind w:left="50"/>
              <w:spacing w:after="0"/>
              <w:rPr>
                <w:sz w:val="20"/>
                <w:szCs w:val="20"/>
                <w:color w:val="auto"/>
              </w:rPr>
            </w:pPr>
            <w:r>
              <w:rPr>
                <w:rFonts w:ascii="Arial" w:cs="Arial" w:eastAsia="Arial" w:hAnsi="Arial"/>
                <w:sz w:val="18"/>
                <w:szCs w:val="18"/>
                <w:b w:val="1"/>
                <w:bCs w:val="1"/>
                <w:color w:val="auto"/>
                <w:w w:val="85"/>
              </w:rPr>
              <w:t>Pts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CR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rPr>
              <w:t>PR*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PR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nPR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SD</w:t>
            </w: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PD</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ORR (%)</w:t>
            </w: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Type</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center"/>
              <w:ind w:left="90"/>
              <w:spacing w:after="0"/>
              <w:rPr>
                <w:sz w:val="20"/>
                <w:szCs w:val="20"/>
                <w:color w:val="auto"/>
              </w:rPr>
            </w:pPr>
            <w:r>
              <w:rPr>
                <w:rFonts w:ascii="Arial" w:cs="Arial" w:eastAsia="Arial" w:hAnsi="Arial"/>
                <w:sz w:val="18"/>
                <w:szCs w:val="18"/>
                <w:b w:val="1"/>
                <w:bCs w:val="1"/>
                <w:color w:val="auto"/>
                <w:w w:val="95"/>
              </w:rPr>
              <w:t>(n)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b w:val="1"/>
                <w:bCs w:val="1"/>
                <w:color w:val="auto"/>
              </w:rPr>
              <w:t>(n)</w:t>
            </w: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(CR/PR)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CLL patients (all)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w:t>
            </w:r>
          </w:p>
        </w:tc>
        <w:tc>
          <w:tcPr>
            <w:tcW w:w="2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2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1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3"/>
          </w:tcPr>
          <w:p>
            <w:pPr>
              <w:ind w:left="560"/>
              <w:spacing w:after="0"/>
              <w:rPr>
                <w:sz w:val="20"/>
                <w:szCs w:val="20"/>
                <w:color w:val="auto"/>
              </w:rPr>
            </w:pPr>
            <w:r>
              <w:rPr>
                <w:rFonts w:ascii="Arial" w:cs="Arial" w:eastAsia="Arial" w:hAnsi="Arial"/>
                <w:sz w:val="18"/>
                <w:szCs w:val="18"/>
                <w:i w:val="1"/>
                <w:iCs w:val="1"/>
                <w:color w:val="auto"/>
              </w:rPr>
              <w:t>High-Risk Subset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MCL patients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6"/>
          <w:szCs w:val="16"/>
          <w:color w:val="333333"/>
        </w:rPr>
        <w:t>CR: Complete Response; PR*: CR pending bone marrow confirmation; PR: Partial Response by iwCLL (Hallek 2008) or Cheson Criteria; nPR: nodal</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333333"/>
        </w:rPr>
        <w:t>PR; SD: Stable Disease &gt; 12 weeks; PD: Progressive Disease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reached an agreement with the U.S. Food and Drug Administration (FDA) regarding a Special Protocol Assessment (SPA) on the design, endpoints and statistical analysis approach of a Phase 3 clinical trial for TG-1101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(δ) isoform is strongly expressed in cells of hematopoietic origin, and often implicated in B-cell related lymphomas.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various hematologic malignancies.</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hold exclusive rights to develop and commercialize TGR-1202 for all indications worldwide, except India which has been retained by Rhizen Pharmaceuticals, SA.</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an enzyme based assay, TGR-1202 demonstrated potency and specificity towards PI3Kδ with &gt;1000, 50 and 48-fold selectivity over the α, β, and γ PI3K isoforms.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117475</wp:posOffset>
            </wp:positionV>
            <wp:extent cx="5574030" cy="1054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2015, TGR-1202-101 is ongoing and enrolling patients in the dose escalation component of the Phase I study and select expansion cohorts.</w:t>
      </w:r>
    </w:p>
    <w:p>
      <w:pPr>
        <w:spacing w:after="0" w:line="19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As of December 1, 2014, we had presented data from 55 patients with relapsed or refractory hematologic malignancies treated with TGR-1202 at doses ranging from 50 mg to 1800 mg QD of the initial formulation and 200 mg to 1200 mg of an improved micronized formulation of TGR-1202, which exhibits enhanced absorption over the initial formulation.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Data from this ongoing Phase I study was presented at the 56th Annual American Society of Hematology (ASH) meeting held in San Francisco, 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is summarized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Tolerability</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Overall, TGR-1202 was considered to be well-tolerated with no dose-related trends in adverse events observed and no MTD reached to date. Grade 3/4 events continue to be limited, with neutropenia (13%) and thrombocytopenia (7%) the only Grade 3/4 events occurring in &gt; 5% of patients. Notably, of the 55 patients evaluable for safety, no drug related hepatic (liver) toxicity or events of colitis have been observed, with the median time on study of approximately 6 months and some patients on daily TGR-1202 for over 1.5 years. To date, out of 55 patients treated with TGR-1202, only 2 (&lt; 4%) patients were withdrawn due to an adverse event (one deemed unrelated, and one possibly related to TGR-1202).</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Clinical Activity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Significant clinical activity was observed in patients with CLL treated at doses ≥ 800 mg of the initial formulation of TGR-1202 or with any dose of the improved micronized formulation, with all (14/14) patients exhibiting significant nodal reductions. Thirteen of fourteen evaluable patients (93%) exhibited a nodal response (&gt; 50% reduction in nodal size) and 50% of patients (7/14) achieved a partial response per the iwCLL (Hallek 2008) criteria.</w:t>
      </w:r>
    </w:p>
    <w:p>
      <w:pPr>
        <w:spacing w:after="0" w:line="14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Among all disease types, 43 patients had been treated at doses ≥ 800 mg of the initial formulation of TGR-1202 or with any dose of the micronized formulation and were evaluable for efficacy (including patients who started at lower doses and were escalated), with 31/43 (72%) achieving a reduction in tumor burden with TGR-1202. In both CLL and indolent NHL (iNHL), an exposure/time/response relationship was noted where patients with higher TGR-1202 plasma concentrations on day 30 of treatment were observed to exhibit greater responses to TGR-1202 at early efficacy assessments. For instance, at drug concentrations &gt; 4000ng/ml, 100% (6/6) of subjects who exhibited such concentrations on day 30 of treatment (4 CLL and 2 iNHL) achieved rapid responses (either nPR or PR at first or second assessment). The concentration threshold for response appears to be moderately higher with iNHL than with CLL. Of the 3 iNHL responders, 2 patients exhibited concentrations &gt; 4,000ng/ml, while the third responder had lower TGR-1202 exposure and exhibited a longer time to response. An additional 9 patients of varying NHL histologies with lower initial TGR-1202 exposure remain on study with tumor burden reductions ranging from 19%-46%, pending further efficacy assessments. Additional responses were noted in patients with Hodgkin's lymphoma and Mantle Cell Lymphoma.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lead products under development, TG-1101 and TGR-1202 are for the treatment of B-cell hematologic malignancies. Hematologic malignancies include cancers derived from the bone marrow and lymph tissue. The non-Hodgkin’s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fifth leading cause of cancer death. According to the American Cancer Society, it is estimated in 2015 that there will be 71,850 new cases in the United States, and 19,790 deaths from NHL, despite improvements in treatment. Chronic lymphocytic leukemia (CLL) affects mainly older adults and accounts for one third of all diagnosed cases of leukemia. In the US, an estimated 14,620 new cases of CLL will be reported in 2015 with deaths totaling 4,650 due to the disease according to American Cancer Society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relapse and require second, third, and sometimes more lines of therapy. As a result, there is a pressing need for new, innovative, targeted therapies for the treatment of this heterogeneous group of diseases.</w:t>
      </w:r>
    </w:p>
    <w:p>
      <w:pPr>
        <w:spacing w:after="0" w:line="17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180" w:firstLine="648"/>
        <w:spacing w:after="0" w:line="270" w:lineRule="auto"/>
        <w:rPr>
          <w:sz w:val="20"/>
          <w:szCs w:val="20"/>
          <w:color w:val="auto"/>
        </w:rPr>
      </w:pPr>
      <w:r>
        <w:rPr>
          <w:rFonts w:ascii="Arial" w:cs="Arial" w:eastAsia="Arial" w:hAnsi="Arial"/>
          <w:sz w:val="17"/>
          <w:szCs w:val="17"/>
          <w:color w:val="auto"/>
        </w:rPr>
        <w:t>Additionally, novel targeted agents are now being introduced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Idelalisib (ZYDELIG™), a PI3K delta specific inhibitor from Gilead Pharmaceuticals, was approved by the FDA in 2014 for patients with CLL and indolent NHL. Duvelisib (also known as IPI-145), a PI3K delta and gamma specific inhibitor under development by Infinity Pharmaceuticals has also shown preliminary activity in hematologic malignancies of both B- and T-cell origin. Other agents targeting kinases downstream of the B-cell receptor, such as the BTK inhibitor, ibrutinib, have displayed high rates of response in patients with relapsed and refractory B-cell malignancies and have been recently approved for these indications. While these agents have demonstrated high levels of single agent activity in B-cell disorders, their clinical activity has been shown to be greatly enhanced when utilized in combination with anti-CD20 agents.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Estimated cost</w:t>
            </w:r>
          </w:p>
        </w:tc>
      </w:tr>
      <w:tr>
        <w:trPr>
          <w:trHeight w:val="216"/>
        </w:trPr>
        <w:tc>
          <w:tcPr>
            <w:tcW w:w="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Completion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candidate</w:t>
            </w:r>
          </w:p>
        </w:tc>
        <w:tc>
          <w:tcPr>
            <w:tcW w:w="120" w:type="dxa"/>
            <w:vAlign w:val="bottom"/>
          </w:tcPr>
          <w:p>
            <w:pPr>
              <w:spacing w:after="0"/>
              <w:rPr>
                <w:sz w:val="20"/>
                <w:szCs w:val="20"/>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Target indication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status</w:t>
            </w: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 phase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complete phase</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TG-1101 (ublituximab)</w:t>
            </w:r>
          </w:p>
        </w:tc>
        <w:tc>
          <w:tcPr>
            <w:tcW w:w="12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In combination with ibrutinib in previously treated high-risk</w:t>
            </w: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III</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Approximately</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CLL patients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$15 million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TG-1101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As a single agent and in combination for NHL and CLL</w:t>
            </w:r>
          </w:p>
        </w:tc>
        <w:tc>
          <w:tcPr>
            <w:tcW w:w="1360" w:type="dxa"/>
            <w:vAlign w:val="bottom"/>
          </w:tcPr>
          <w:p>
            <w:pPr>
              <w:spacing w:after="0"/>
              <w:rPr>
                <w:sz w:val="20"/>
                <w:szCs w:val="20"/>
                <w:color w:val="auto"/>
              </w:rPr>
            </w:pPr>
            <w:r>
              <w:rPr>
                <w:rFonts w:ascii="Arial" w:cs="Arial" w:eastAsia="Arial" w:hAnsi="Arial"/>
                <w:sz w:val="18"/>
                <w:szCs w:val="18"/>
                <w:color w:val="auto"/>
              </w:rPr>
              <w:t>Phase Ib/II</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End of 2015</w:t>
            </w:r>
          </w:p>
        </w:tc>
        <w:tc>
          <w:tcPr>
            <w:tcW w:w="1360" w:type="dxa"/>
            <w:vAlign w:val="bottom"/>
          </w:tcPr>
          <w:p>
            <w:pPr>
              <w:spacing w:after="0"/>
              <w:rPr>
                <w:sz w:val="20"/>
                <w:szCs w:val="20"/>
                <w:color w:val="auto"/>
              </w:rPr>
            </w:pPr>
            <w:r>
              <w:rPr>
                <w:rFonts w:ascii="Arial" w:cs="Arial" w:eastAsia="Arial" w:hAnsi="Arial"/>
                <w:sz w:val="18"/>
                <w:szCs w:val="18"/>
                <w:color w:val="auto"/>
              </w:rPr>
              <w:t>Approximately</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(includes TGR-1202 and ibrutinib combinations)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$3.5 million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TGR-1202</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As a single agent and in combination with novel agents in</w:t>
            </w:r>
          </w:p>
        </w:tc>
        <w:tc>
          <w:tcPr>
            <w:tcW w:w="1360" w:type="dxa"/>
            <w:vAlign w:val="bottom"/>
          </w:tcPr>
          <w:p>
            <w:pPr>
              <w:spacing w:after="0"/>
              <w:rPr>
                <w:sz w:val="20"/>
                <w:szCs w:val="20"/>
                <w:color w:val="auto"/>
              </w:rPr>
            </w:pPr>
            <w:r>
              <w:rPr>
                <w:rFonts w:ascii="Arial" w:cs="Arial" w:eastAsia="Arial" w:hAnsi="Arial"/>
                <w:sz w:val="18"/>
                <w:szCs w:val="18"/>
                <w:color w:val="auto"/>
              </w:rPr>
              <w:t>Phase I</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End of 2015</w:t>
            </w:r>
          </w:p>
        </w:tc>
        <w:tc>
          <w:tcPr>
            <w:tcW w:w="1360" w:type="dxa"/>
            <w:vAlign w:val="bottom"/>
          </w:tcPr>
          <w:p>
            <w:pPr>
              <w:spacing w:after="0"/>
              <w:rPr>
                <w:sz w:val="20"/>
                <w:szCs w:val="20"/>
                <w:color w:val="auto"/>
              </w:rPr>
            </w:pPr>
            <w:r>
              <w:rPr>
                <w:rFonts w:ascii="Arial" w:cs="Arial" w:eastAsia="Arial" w:hAnsi="Arial"/>
                <w:sz w:val="18"/>
                <w:szCs w:val="18"/>
                <w:color w:val="auto"/>
              </w:rPr>
              <w:t>Approximately</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multiple forms of cancer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$1.5 million</w:t>
            </w: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our license for TG-1101 (ublituximab) with LFB Biotechnologies, GTC Biotherapeutics, and LFB/GTC LLC, we have the exclusive commercial rights to a series of patents and patent applications in the U.S., and in multiple countries around the world. These patents and patent applications include composition of matter patents relating to the structure and mechanism of action for TG-1101 as well as method of use patents which cover use of TG-1101 in combination with various agents and for various therapeutic indications.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ind w:right="140" w:firstLine="648"/>
        <w:spacing w:after="0" w:line="259" w:lineRule="auto"/>
        <w:rPr>
          <w:sz w:val="20"/>
          <w:szCs w:val="20"/>
          <w:color w:val="auto"/>
        </w:rPr>
      </w:pPr>
      <w:r>
        <w:rPr>
          <w:rFonts w:ascii="Arial" w:cs="Arial" w:eastAsia="Arial" w:hAnsi="Arial"/>
          <w:sz w:val="18"/>
          <w:szCs w:val="18"/>
          <w:color w:val="auto"/>
        </w:rPr>
        <w:t>In the United States, we have eight issued patents for TG-1101 which expire between 2021 and 2024, excluding any patent term extensions, as well as granted and pending foreign counterpart patent filings related to these issued patents. These patents include claims related to the manufacture and use of TG-1101. Additionally, we have over 25 issued patents outside the US, and over 30 patent applications pending worldwide including claims directed to the composition of matter and methods of treatment with TG-1101 in various settings.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Pursuant to our license for TGR-1202 with Rhizen, we have the exclusive commercial rights to a series of patent applications in the U.S. and abroad. The patent applications include composition of matter patents relating to the structure, mechanism of action, and formulation for TGR-1202 as well as method of use patents which cover use of TGR-1202 in combination with various agents and for various therapeutic indications. All patent applications currently filed for TG-1202 are currently pending. Because the dates for any potential regulatory approval is currently unknown we cannot predict the expected expiration date, and it is possible that the life of these patents following regulatory approval could be minimal.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Pursuant to our license for the IRAK4 program with Ligand, we have the exclusive commercial rights to a patent family which covers the composition of matter and proposed methods of use for various therapeutic indications. All patent applications currently filed for the IRAK4 program are currently pending. Because the date for any potential regulatory approval is currently unknown we cannot predict the expected expiration date, and it is possible that the life of these patents following regulatory approval could be minimal.</w:t>
      </w:r>
    </w:p>
    <w:p>
      <w:pPr>
        <w:spacing w:after="0" w:line="187" w:lineRule="exact"/>
        <w:rPr>
          <w:sz w:val="20"/>
          <w:szCs w:val="20"/>
          <w:color w:val="auto"/>
        </w:rPr>
      </w:pPr>
    </w:p>
    <w:p>
      <w:pPr>
        <w:ind w:right="520" w:firstLine="567"/>
        <w:spacing w:after="0" w:line="264" w:lineRule="auto"/>
        <w:rPr>
          <w:sz w:val="20"/>
          <w:szCs w:val="20"/>
          <w:color w:val="auto"/>
        </w:rPr>
      </w:pPr>
      <w:r>
        <w:rPr>
          <w:rFonts w:ascii="Arial" w:cs="Arial" w:eastAsia="Arial" w:hAnsi="Arial"/>
          <w:sz w:val="18"/>
          <w:szCs w:val="18"/>
          <w:color w:val="auto"/>
        </w:rPr>
        <w:t>The patent rights that we own or have licensed relating to our product candidates are limited in ways that may affect our ability to exclude third parties from competing against us if we obtain regulatory approval to market these product candidates. See section “</w:t>
      </w:r>
      <w:r>
        <w:rPr>
          <w:rFonts w:ascii="Arial" w:cs="Arial" w:eastAsia="Arial" w:hAnsi="Arial"/>
          <w:sz w:val="18"/>
          <w:szCs w:val="18"/>
          <w:b w:val="1"/>
          <w:bCs w:val="1"/>
          <w:i w:val="1"/>
          <w:iCs w:val="1"/>
          <w:color w:val="auto"/>
        </w:rPr>
        <w:t>Risks Related to the Company’s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w:t>
      </w:r>
    </w:p>
    <w:p>
      <w:pPr>
        <w:spacing w:after="0" w:line="181"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81"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100" w:firstLine="648"/>
        <w:spacing w:after="0" w:line="255" w:lineRule="auto"/>
        <w:rPr>
          <w:sz w:val="20"/>
          <w:szCs w:val="20"/>
          <w:color w:val="auto"/>
        </w:rPr>
      </w:pPr>
      <w:r>
        <w:rPr>
          <w:rFonts w:ascii="Arial" w:cs="Arial" w:eastAsia="Arial" w:hAnsi="Arial"/>
          <w:sz w:val="18"/>
          <w:szCs w:val="18"/>
          <w:color w:val="auto"/>
        </w:rPr>
        <w:t>Pursuant to these regulations, TG-1101 (ublituximab) has received Orphan-Drug designation from the FDA for the treatment of Marginal Zone Lymphoma (Nodal and Extranodal) in September 2013, for the treatment of CLL in August of 2010, and Orphan-Drug designation by the European Medicines Agency (“EMA”) for the treatment of CLL in November of 2009. We believe that TG-1101 may be eligible for additional orphan drug designations; however, we cannot assure you that TG-1101, or any other drug candidates we may acquire or in-license, will obtain such orphan drug designations. Additionally, upon FDA approval, we believe that TG-1101 would qualify as a New Chemical Entity, or NCE, which provides for five years of exclusivity following approval.</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TG-1101.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TG-1101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 To date, we have received $2 million in the form of an upfront payment from Ildong, and are eligible to receive sales based milestone payments up to an aggregate of $5 million and royalty payments on net sales of TG-1101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September 2014, we exercised our option to license the global rights to TGR-1202, thereby entering into an exclusive licensing agreement (the “TGR-1202 License”) with Rhizen Pharmaceuticals, S A (“Rhizen”) for the development and commercialization of TGR-1202. Prior to this, we had been jointly developing TGR-1202 in a 50:50 joint venture with Rhizen.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firstLine="648"/>
        <w:spacing w:after="0" w:line="287"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 based milestone payments for such New Product. Additionally, Rhizen will be entitled to tiered royalties that escalate from high single digits to low double digits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March 2015, we entered into a Global Collaboration (the “Collaboration”) with Checkpoint Therapeutics, Inc. (“Checkpoint”), a subsidiary of Coronado Biosciences, Inc. (“CNDO”) for the development and commercialization of Checkpoint’s anti-PD-L1 and anti-GITR antibody research programs in the field of hematological malignancies.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terms of the Collaboration, we will make an up-front payment of $500,000 as well as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8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158" w:lineRule="exact"/>
        <w:rPr>
          <w:sz w:val="20"/>
          <w:szCs w:val="20"/>
          <w:color w:val="auto"/>
        </w:rPr>
      </w:pPr>
    </w:p>
    <w:p>
      <w:pPr>
        <w:ind w:right="120" w:firstLine="648"/>
        <w:spacing w:after="0" w:line="245"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and Gazyva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(obinutuzumab),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 Arzerra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(ofatumumab) among others, each of which is currently approved for the treatment of various diseases including NHL and CLL. In addition, other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right="60" w:firstLine="648"/>
        <w:spacing w:after="0" w:line="273" w:lineRule="auto"/>
        <w:rPr>
          <w:sz w:val="20"/>
          <w:szCs w:val="20"/>
          <w:color w:val="auto"/>
        </w:rPr>
      </w:pPr>
      <w:r>
        <w:rPr>
          <w:rFonts w:ascii="Arial" w:cs="Arial" w:eastAsia="Arial" w:hAnsi="Arial"/>
          <w:sz w:val="17"/>
          <w:szCs w:val="17"/>
          <w:color w:val="auto"/>
        </w:rPr>
        <w:t>With respect to TGR-1202, if approved, we expect to compete directly with Gilead’s Zydelig™ (idelalisib), as well as with other PI3K delta inhibitors which are currently in development, which, if approved, would potentially compete with TGR-1202, such as Infinity Pharmaceuticals’ duvelisib (IPI-145) and Acerta Pharma’s ACP-319. In addition, there are numerous other novel therapies targeting similar pathways to TGR-1202 in development, which would also compete with TGR-1202 in similar indications, such as the BTK inhibitor, ibrutinib (FDA approved for Mantle Cell Lymphoma, CLL, and Waldenstrom’s Macroglobulinemia marketed by Pharmacyclics and Janssen), the BTK inhibitor ACP-196 (under clinical development by Acerta Pharma), or the blc-2 inhibitor ABT-199 (under clinical development by AbbVie and Roche), among others.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We have also established contract manufacturing relationships for the supply of TGR-1202 as part of our licensing agreement with Rhizen, and contract manufacturing relationships to support our IRAK4 development program.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40" w:firstLine="648"/>
        <w:spacing w:after="0" w:line="255"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the drug has the potential to address unmet medical needs, and this potential is being evaluated in the planned drug development program.</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sponsors may also apply to the FDA for Breakthrough Therapy Designation. The Breakthrough Therapy Designation is intended to expedite the development and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8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980" w:right="7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administered to a small group of humans, either healthy volunteers or patients, to test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excretion, and clinical pharmacology.</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Studies are conducted on a larger number of patients to assess the efficacy of the product, to ascertain dose tolerance and the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dose range, and to gather additional data relating to safety and potential adverse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The FDA may require Phase 4 post-marketing studies to find out more about the drug’s long-term risks, benefits, and optimal use,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drug in different populations.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1" w:lineRule="exact"/>
        <w:rPr>
          <w:sz w:val="20"/>
          <w:szCs w:val="20"/>
          <w:color w:val="auto"/>
        </w:rPr>
      </w:pPr>
    </w:p>
    <w:p>
      <w:pPr>
        <w:ind w:left="980" w:right="9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Before receiving FDA approval to market a product, we must demonstrate that the product is safe and effective for its intended use by submitting to the FDA an NDA or BLA containing the pre-clinical and clinical data that have been accumulated, together with chemistry and manufacturing and controls specifications and information, and proposed labeling, among other things. The FDA may refuse to accept an NDA/BLA for filing if certain content criteria are not met and, even after accepting an NDA/BLA, the FDA may often require additional information, including clinical data, before approval of marketing a product.</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sufficient Phase 4 follow-up studies and registries to ensure the continued safe use of the drug.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firstLine="648"/>
        <w:spacing w:after="0" w:line="257"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8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As of March 2, 2015, we had twenty-four full and part-time employees. None of our employees are represented by a collective bargaining agreement, and we have never experienced a work stoppage. We consider our relations with our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Additionally, there can be no assurance given that any of the molecules under development in our IRAK4 inhibitor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20" w:name="page21"/>
    <w:bookmarkEnd w:id="20"/>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September 2014, we announced a Phase 3 clinical trial for TG-1101 in previously treated patients with high-risk CLL which is to be conducted pursuant to an SPA with the FDA. Many companies which have been granted SPAs and/or the right to utilize the FDA’s Fast Track or accelerated approval process have ultimately failed to obtain final approval to market their drugs. Since we are seeking approvals under SPAs,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160" w:firstLine="648"/>
        <w:spacing w:after="0" w:line="276"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7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ind w:right="60"/>
        <w:spacing w:after="0" w:line="286" w:lineRule="auto"/>
        <w:rPr>
          <w:sz w:val="20"/>
          <w:szCs w:val="20"/>
          <w:color w:val="auto"/>
        </w:rPr>
      </w:pPr>
      <w:r>
        <w:rPr>
          <w:rFonts w:ascii="Arial" w:cs="Arial" w:eastAsia="Arial" w:hAnsi="Arial"/>
          <w:sz w:val="16"/>
          <w:szCs w:val="16"/>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Such risk also exists for new manufacturing processes and/or formulations, if any, of TGR-1202, the clinical impact of which is not known, including the micronized formulation of TGR-1202 which has only been studied in a limited number of subjects to date. Further, with respect to TGR-1202, although more than 50 patients have been dosed in the ongoing first-in-human dose-escalation Phase I single agent study, the full adverse effect profile of TGR-1202 is not known. It is unknown as the dose escalation continues and patients are exposed for longer durations to TGR-1202, whether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6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16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No assurance can be given that the secondary manufacturing will be successful or that material manufactured by the secondary manufacturer will perform comparably to TG-1101 as manufactured to date and used in currently available pre-clinical data and or in early clinical trials reported in this or any previous filing. If the secondary manufacturer is not successful in replicating the product or experiences delays, we may experience delays in its clinical development.</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80" w:firstLine="648"/>
        <w:spacing w:after="0" w:line="233"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60" w:firstLine="648"/>
        <w:spacing w:after="0" w:line="255" w:lineRule="auto"/>
        <w:rPr>
          <w:sz w:val="20"/>
          <w:szCs w:val="20"/>
          <w:color w:val="auto"/>
        </w:rPr>
      </w:pPr>
      <w:r>
        <w:rPr>
          <w:rFonts w:ascii="Arial" w:cs="Arial" w:eastAsia="Arial" w:hAnsi="Arial"/>
          <w:sz w:val="18"/>
          <w:szCs w:val="18"/>
          <w:color w:val="auto"/>
        </w:rPr>
        <w:t>With respect to TGR-1202, there are several PI3K delta targeted compounds both approved, such as Gilead’s Zydelig™ (idelalisib), and in development, including, but not limited to, Infinity Pharmaceuticals’ duvelisib (IPI-145), and Acerta Pharma’s ACP-319,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CLL, and WM and marketed by Pharmacyclics and Janssen), the BTK inhibitor ACP-196 (under development by Acerta Pharma), or the blc-2 inhibitor ABT-199 (under clinical development by AbbVie and Roche).</w:t>
      </w:r>
    </w:p>
    <w:p>
      <w:pPr>
        <w:spacing w:after="0" w:line="193"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47" w:lineRule="exact"/>
        <w:rPr>
          <w:sz w:val="20"/>
          <w:szCs w:val="20"/>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9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6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2, 2015, we had twenty-four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9" w:name="page30"/>
    <w:bookmarkEnd w:id="29"/>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38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and no patents to date have been issued for our IRAK4 inhibitor program. The patent application process is subject to numerous risks and uncertainties, and there can be no assurance that we or our partners will be successful in protecting our product candidates by obtaining and defending patents.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4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1" w:name="page32"/>
    <w:bookmarkEnd w:id="31"/>
    <w:p>
      <w:pPr>
        <w:jc w:val="both"/>
        <w:ind w:left="980" w:right="260" w:hanging="324"/>
        <w:spacing w:after="0" w:line="25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ind w:left="980" w:right="72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December 31, 2014, we had net cash, cash equivalents, investment securities and interest receivable of approximately $78,861,000. We believe that our cash and cash equivalents and investments, inclusive of the amounts raised subsequent to the end of the year, will sustain our operations for more than 24 months from December 31, 2014.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never been profitable and, as of December 31, 2014, we had an accumulated deficit of $95,185,280.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40%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ind w:right="60" w:firstLine="648"/>
        <w:spacing w:after="0" w:line="221" w:lineRule="auto"/>
        <w:rPr>
          <w:sz w:val="20"/>
          <w:szCs w:val="20"/>
          <w:color w:val="auto"/>
        </w:rPr>
      </w:pPr>
      <w:r>
        <w:rPr>
          <w:rFonts w:ascii="Arial" w:cs="Arial" w:eastAsia="Arial" w:hAnsi="Arial"/>
          <w:sz w:val="18"/>
          <w:szCs w:val="18"/>
          <w:color w:val="auto"/>
        </w:rPr>
        <w:t>Our corporate and executive office is located in New York, New York. Our New York facility consists of office space at 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We are not currently under a lease agreement at 3 Columbus Circle. We believe that our existing facilities are adequate to meet our current requirements. We do not own any real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common stock is listed on the NASDAQ Capital Market and trades under the symbol “TGTX”. Prior to May 30, 2013 our stock was listed on the Over the Counter Bulletin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closing sale prices of our common stock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190"/>
        </w:trPr>
        <w:tc>
          <w:tcPr>
            <w:tcW w:w="77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Fiscal Year Ended December 31, 2014</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4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18.25</w:t>
            </w: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190"/>
        </w:trPr>
        <w:tc>
          <w:tcPr>
            <w:tcW w:w="77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Fiscal Year Ended December 31, 2013</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4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5.16</w:t>
            </w: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March 10, 2015 was 465.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pay dividends will be at the discretion of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2014, regarding the securities authorized for issuance under our equity compensation plans, consisting of the 2003 Stock Option Plan, and the TG Therapeutics, Inc. Amended and Restated 2012 Incentive Plan.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989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23" w:lineRule="exact"/>
        <w:rPr>
          <w:sz w:val="20"/>
          <w:szCs w:val="20"/>
          <w:color w:val="auto"/>
        </w:rPr>
      </w:pPr>
    </w:p>
    <w:p>
      <w:pPr>
        <w:ind w:right="1500"/>
        <w:spacing w:after="0" w:line="271"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securities to be</w:t>
            </w: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10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 upon</w:t>
            </w:r>
          </w:p>
        </w:tc>
        <w:tc>
          <w:tcPr>
            <w:tcW w:w="1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exercise price of</w:t>
            </w:r>
          </w:p>
        </w:tc>
        <w:tc>
          <w:tcPr>
            <w:tcW w:w="10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outstanding</w:t>
            </w: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w w:val="86"/>
              </w:rPr>
              <w:t>securities reflected</w:t>
            </w:r>
          </w:p>
        </w:tc>
      </w:t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outstanding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in column (a))</w:t>
            </w:r>
          </w:p>
        </w:tc>
      </w:tr>
      <w:tr>
        <w:trPr>
          <w:trHeight w:val="195"/>
        </w:trPr>
        <w:tc>
          <w:tcPr>
            <w:tcW w:w="1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b w:val="1"/>
                <w:bCs w:val="1"/>
                <w:color w:val="auto"/>
                <w:w w:val="95"/>
              </w:rPr>
              <w:t>(b)</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6"/>
                <w:szCs w:val="16"/>
                <w:color w:val="auto"/>
              </w:rPr>
            </w:pPr>
          </w:p>
        </w:tc>
      </w:tr>
      <w:tr>
        <w:trPr>
          <w:trHeight w:val="216"/>
        </w:trPr>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971.70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20" w:type="dxa"/>
            <w:vAlign w:val="bottom"/>
          </w:tcPr>
          <w:p>
            <w:pPr>
              <w:spacing w:after="0"/>
              <w:rPr>
                <w:sz w:val="18"/>
                <w:szCs w:val="18"/>
                <w:color w:val="auto"/>
              </w:rPr>
            </w:pPr>
          </w:p>
        </w:tc>
      </w:tr>
      <w:tr>
        <w:trPr>
          <w:trHeight w:val="244"/>
        </w:trPr>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971.70</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-462280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-179705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740"/>
          </w:cols>
          <w:pgMar w:left="240" w:top="904"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about all of our equity compensation plans see Note 5 to our Consolidated Financial Statements included in this report</w:t>
      </w:r>
      <w:r>
        <w:rPr>
          <w:rFonts w:ascii="Arial" w:cs="Arial" w:eastAsia="Arial" w:hAnsi="Arial"/>
          <w:sz w:val="16"/>
          <w:szCs w:val="16"/>
          <w:color w:val="0000FF"/>
        </w:rPr>
        <w:t>.</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a pre-clinical program to develop inhibitors of IRAK4 (interleukin-1 receptor-associated kinase 4), as well as an antibody research program to develop anti-PD-L1 and anti-GITR antibodies, all currently in pre-clinical development.</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2014 and 2013 were $31,354,781 and $12,621,161, respectively, excluding non-cash compensation expenses related to research and development.</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0"/>
                <w:szCs w:val="20"/>
                <w:color w:val="auto"/>
              </w:rPr>
            </w:pPr>
          </w:p>
        </w:tc>
        <w:tc>
          <w:tcPr>
            <w:tcW w:w="284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TG-1101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15,410,925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8,281,028</w:t>
            </w:r>
          </w:p>
        </w:tc>
        <w:tc>
          <w:tcPr>
            <w:tcW w:w="12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TGR-1202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14,249,856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4,340,133</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IRAK4</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31,354,781</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12,621,161</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29"/>
        </w:trPr>
        <w:tc>
          <w:tcPr>
            <w:tcW w:w="28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2014 and 2013</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4"/>
              </w:rPr>
              <w:t>Years Ended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Noncash stock expense associated with in-licensing agreements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8,731,566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1,041,519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2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26,004,687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12,621,161</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40,086,347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13,662,680</w:t>
            </w:r>
          </w:p>
        </w:tc>
        <w:tc>
          <w:tcPr>
            <w:tcW w:w="12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12,373,726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4,161,629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general and administrative</w:t>
            </w:r>
          </w:p>
        </w:tc>
        <w:tc>
          <w:tcPr>
            <w:tcW w:w="2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3,413,400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2,496,461</w:t>
            </w:r>
          </w:p>
        </w:tc>
        <w:tc>
          <w:tcPr>
            <w:tcW w:w="12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6,658,090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in-process research and development</w:t>
            </w:r>
          </w:p>
        </w:tc>
        <w:tc>
          <w:tcPr>
            <w:tcW w:w="2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2,797,600</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55,873,473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23,118,370</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(55,721,092)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(22,965,989)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(2,487,779)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(55,781,277)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(20,478,210)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$152,381 for each of the years ended December 31, 2014 and 2013.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Noncash Stock Expense Associated with In-licensing Agreements. </w:t>
      </w:r>
      <w:r>
        <w:rPr>
          <w:rFonts w:ascii="Arial" w:cs="Arial" w:eastAsia="Arial" w:hAnsi="Arial"/>
          <w:sz w:val="17"/>
          <w:szCs w:val="17"/>
          <w:color w:val="auto"/>
        </w:rPr>
        <w:t>Noncash stock expense associated with in-licensing agreements was $5,350,094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2014, as compared to $0 for the year ended December 31, 2013. The expense during the year ended December 31, 2014 was recorded in conjunction with the stock issued to Rhizen of approximately $4,100,000 to exercise our option to license TGR-1202, and approximately $1,200,000 for the common stock issued to Ligand as an upfront payment for the license to the IRAK4 inhibitors program.</w:t>
      </w:r>
    </w:p>
    <w:p>
      <w:pPr>
        <w:spacing w:after="0" w:line="171"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increased by $7,690,047 from $1,041,519 for the year ended December 31, 2013 to $8,731,566 during the year ended December 31, 2014. The increase in noncash compensation expense was primarily related to milestone-based vesting of restricted stock grants to employees and consultants during the year ended December 31, 2014. We expect noncash compensation expense (research and development) to remain at a comparable level in 2015.</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$13,383,526 from $12,621,161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to $26,004,687 for the year ended December 31, 2014. The increase in other research and development expenses was due primarily to increased research and development expenses associated with TG-1101 and TGR-1202 of approximately $7,100,000 and $3,800,000, respectively. In addition, during the year ended December 31, 2014 we expensed $4,000,000 related to the upfront cash milestone payment to Rhizen to exercise the license option for TGR-1202. We expect our other research and development costs to increase during 2015 as we commence multiple Phase 3 registration programs.</w:t>
      </w:r>
    </w:p>
    <w:p>
      <w:pPr>
        <w:spacing w:after="0" w:line="15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increased by $8,212,097 from $4,161,629 for the year ended December 31, 2013 to $12,373,726 during the year ended December 31, 2014. The increase in noncash compensation expense was primarily related to milestone-based vesting of restricted stock grants to personnel during the year ended December 31, 2014. We expect noncash compensation expense (general and administrative) to remain at a comparable level in 2015.</w:t>
      </w:r>
    </w:p>
    <w:p>
      <w:pPr>
        <w:spacing w:after="0" w:line="15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Other General and Administrative Expenses</w:t>
      </w:r>
      <w:r>
        <w:rPr>
          <w:rFonts w:ascii="Arial" w:cs="Arial" w:eastAsia="Arial" w:hAnsi="Arial"/>
          <w:sz w:val="17"/>
          <w:szCs w:val="17"/>
          <w:color w:val="auto"/>
        </w:rPr>
        <w:t>. Other general and administrative expenses increased by $916,939 from $2,496,461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to $3,413,400 for the year ended December 31, 2014. The increase was due primarily to Delaware franchise taxes, legal fees and Nasdaq listing fees. We expect our other general and administrative expenses to increase modestly during 2015.</w:t>
      </w:r>
    </w:p>
    <w:p>
      <w:pPr>
        <w:spacing w:after="0" w:line="166" w:lineRule="exact"/>
        <w:rPr>
          <w:sz w:val="20"/>
          <w:szCs w:val="20"/>
          <w:color w:val="auto"/>
        </w:rPr>
      </w:pPr>
    </w:p>
    <w:p>
      <w:pPr>
        <w:ind w:right="480" w:firstLine="648"/>
        <w:spacing w:after="0" w:line="276" w:lineRule="auto"/>
        <w:rPr>
          <w:sz w:val="20"/>
          <w:szCs w:val="20"/>
          <w:color w:val="auto"/>
        </w:rPr>
      </w:pPr>
      <w:r>
        <w:rPr>
          <w:rFonts w:ascii="Arial" w:cs="Arial" w:eastAsia="Arial" w:hAnsi="Arial"/>
          <w:sz w:val="17"/>
          <w:szCs w:val="17"/>
          <w:i w:val="1"/>
          <w:iCs w:val="1"/>
          <w:color w:val="auto"/>
        </w:rPr>
        <w:t>Impairment of in-process research and development</w:t>
      </w:r>
      <w:r>
        <w:rPr>
          <w:rFonts w:ascii="Arial" w:cs="Arial" w:eastAsia="Arial" w:hAnsi="Arial"/>
          <w:sz w:val="17"/>
          <w:szCs w:val="17"/>
          <w:color w:val="auto"/>
        </w:rPr>
        <w:t>. The impairments recognized in 2013 related to the in-process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 recorded in connection with the Exchange Transaction. As of December 31, 2013, as a result of expiring intellectual property, uncertain regulatory pathways, and market changes affecting the commercial potential for the Ariston in-process research and development asset (AST-726), the Company determined that the asset's carrying value was no longer recoverable. Impairment testing of our indefinite lived intangible assets is performed annually or when a triggering event occurs that could indicate a potential impairment.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decreased by $2,547,964 from $2,487,779 of income for the year ended December 31, 2013 to $60,185</w:t>
      </w:r>
      <w:r>
        <w:rPr>
          <w:rFonts w:ascii="Arial" w:cs="Arial" w:eastAsia="Arial" w:hAnsi="Arial"/>
          <w:sz w:val="18"/>
          <w:szCs w:val="18"/>
          <w:i w:val="1"/>
          <w:iCs w:val="1"/>
          <w:color w:val="auto"/>
        </w:rPr>
        <w:t xml:space="preserve"> </w:t>
      </w:r>
      <w:r>
        <w:rPr>
          <w:rFonts w:ascii="Arial" w:cs="Arial" w:eastAsia="Arial" w:hAnsi="Arial"/>
          <w:sz w:val="18"/>
          <w:szCs w:val="18"/>
          <w:color w:val="auto"/>
        </w:rPr>
        <w:t>of expense for the year ended December 31, 2014. Other income for the year ended December 31, 2013 included a change in the fair value of notes payable of approximately $2,500,000 resulting from the valuation of the convertible notes payable to zero except for the conversion feature of the notes payable. See Note 4 for further details.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December 31, 2014, we had $78,861,334 in cash and cash equivalents, investment securities, and interest receivable. Subsequent to the year ended December 31, 2014, we sold a total of 1,369,777 shares of common stock under the 2015 ATM for aggregate net proceeds of approximately $19.3 million.</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currently anticipate that our cash and cash equivalents as of December 31, 2014 plus the amounts raised subsequent to the end of the year are sufficient to fund our anticipated operating cash requirements for more than 24 months from December 31, 2014.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5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Cash used in operating activities for the year ended December 31, 2014 was $35,059,919 as compared to $10,739,110 for the year ended December 31, 2013. The increase in cash used in operating activities was due primarily to increased expenditures associated with our clinical development programs for TG-1101 and TGR-1202, and the upfront cash milestone payment of $4.0 million to exercise the license for TGR-1202.</w:t>
      </w:r>
    </w:p>
    <w:p>
      <w:pPr>
        <w:spacing w:after="0" w:line="166"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For the year ended December 31, 2014, net cash used in investing activities was $18,355,289 as compared to $4,925,552 for the year ended December 31, 2013. The increase in net cash used in investing activities was primarily due to an increase in our investment in held-to-maturity treasury securities.</w:t>
      </w:r>
    </w:p>
    <w:p>
      <w:pPr>
        <w:spacing w:after="0" w:line="18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Cash provided by financing activities for the year ended December 31, 2014 was $68,643,526 as compared to $39,694,133 for the year ended December 31, 2013. The increase in net cash provided by financing activities in 2014 was primarily related to the 2013 ATM Facility and 2014 Equity financing, as discussed below, as well as proceeds from the exercise of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ATM Facility</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aggregate offering proceeds of up to $50.0 million, from time to time through MLV, acting as the sales agent. Under the agreement we would pay MLV a commission rate of up to 3.0% of the gross proceeds from the sale of any shares of common stock sold through MLV.</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year ended December 31, 2014, we sold a total of 4,850,055 shares of common stock under this arrangement for aggregate total gross proceeds of approximately $50.0 million at an average selling price of $10.31 per share. Net proceeds were approximately $48.8 million after deducting commissions and other transaction costs. We have fully utilized the capacity under this 2013 ATM and, accordingly, no further sales can be made under this 2013 ATM.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Financing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Equity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they exercised.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right="6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2014 and 2013, there was $799,391 of goodwill on our consolidated balance sheets.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FASB issued an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2017. We are currently evaluating the impact of this update on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20" w:firstLine="648"/>
        <w:spacing w:after="0" w:line="259" w:lineRule="auto"/>
        <w:rPr>
          <w:sz w:val="20"/>
          <w:szCs w:val="20"/>
          <w:color w:val="auto"/>
        </w:rPr>
      </w:pPr>
      <w:r>
        <w:rPr>
          <w:rFonts w:ascii="Arial" w:cs="Arial" w:eastAsia="Arial" w:hAnsi="Arial"/>
          <w:sz w:val="18"/>
          <w:szCs w:val="18"/>
          <w:color w:val="auto"/>
        </w:rPr>
        <w:t>On June 10, 2014, FASB issued Accounting Standards Update No. 2014-10, Development Stage Entities: Elimination of Certain Financial Reporting Requirements. The update removes the definition of a development stage entity from FASB ASC 915 and eliminates the requirement for development stage entities to present inception-to-date information on the statements of operations, cash flows and stockholders’ deficit. We early adopted this standard for the periods covered by this report.</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2014, management carried out an evaluation, under the supervision and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2014, our disclosure controls and procedures were effective.</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(as defined in Rule 13a-15(f) or Rule 15d-15(f) under the Exchange Act). Our management assessed the effectiveness of our internal control over financial reporting as of December 31, 2014. In making this assessment, our management used the criteria established in Internal Control – Integrated Framework (2013) issued by the Committee of Sponsoring Organizations of the Treadway Commission, or COSO Framework. Our management has concluded that, as of December 31, 2014, our internal control over financial reporting was effective based on these criteria.</w:t>
      </w:r>
    </w:p>
    <w:p>
      <w:pPr>
        <w:spacing w:after="0" w:line="15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2014 was audited by CohnReznick LLP, our independent registered public accounting firm, as stated in their report appearing below, which expressed an unqualified opinion on the effectiveness of our internal control over financial reporting as of December 31, 2014.</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during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2014 that have materially affected, or are reasonably likely to materially affect, our internal control over financial reporting.</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TG Therapeutics, Inc. and Subsidiaries’ internal control over financial reporting as of December 31, 2014, based on criteria established in Internal Control-Integrated Framework (2013) issued by the Committee of Sponsoring Organizations of the Treadway Commission (COSO). TG Therapeutics,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TG Therapeutics, Inc.’s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TG Therapeutics, Inc. and Subsidiaries has maintained, in all material respects, effective internal control over financial reporting as of December 31, 2014 based on the COSO criteria. We have also audited, in accordance with the standards of the Public Company Accounting Oversight Board (United States), the consolidated financial statements of TG Therapeutics, Inc. and Subsidiaries as of December 31, 2014 and 2013, and for each of the years then ended and our report dated March 16,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2015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2015 Annual Meeting of Stockholders.</w:t>
      </w:r>
    </w:p>
    <w:p>
      <w:pPr>
        <w:spacing w:after="0" w:line="24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2015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2015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2015 Annual Meeting of Stockholders.</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ind w:left="640"/>
              <w:spacing w:after="0"/>
              <w:rPr>
                <w:sz w:val="20"/>
                <w:szCs w:val="20"/>
                <w:color w:val="auto"/>
              </w:rPr>
            </w:pPr>
            <w:r>
              <w:rPr>
                <w:rFonts w:ascii="Arial" w:cs="Arial" w:eastAsia="Arial" w:hAnsi="Arial"/>
                <w:sz w:val="18"/>
                <w:szCs w:val="18"/>
                <w:b w:val="1"/>
                <w:bCs w:val="1"/>
                <w:color w:val="auto"/>
              </w:rPr>
              <w:t>1. Consolidated Financial Statements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ind w:left="64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2014 and 2013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Equity for the years ended December 31, 2014 and 2013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2014 and 2013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ind w:left="640"/>
              <w:spacing w:after="0"/>
              <w:rPr>
                <w:sz w:val="20"/>
                <w:szCs w:val="20"/>
                <w:color w:val="auto"/>
              </w:rPr>
            </w:pPr>
            <w:r>
              <w:rPr>
                <w:rFonts w:ascii="Arial" w:cs="Arial" w:eastAsia="Arial" w:hAnsi="Arial"/>
                <w:sz w:val="18"/>
                <w:szCs w:val="18"/>
                <w:b w:val="1"/>
                <w:bCs w:val="1"/>
                <w:color w:val="auto"/>
              </w:rPr>
              <w:t>2. Consolidated Financial Statement Schedules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1040" w:right="120" w:hanging="687"/>
        <w:spacing w:after="0" w:line="277"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TG Therapeutics, Inc. dated April 26, 2012 (incorporated by reference to Exhibit 3.2 to the Registrant’s Form 10-Q for the quarter ended June 30, 2012).</w:t>
      </w:r>
    </w:p>
    <w:p>
      <w:pPr>
        <w:spacing w:after="0" w:line="170" w:lineRule="exact"/>
        <w:rPr>
          <w:sz w:val="20"/>
          <w:szCs w:val="20"/>
          <w:color w:val="auto"/>
        </w:rPr>
      </w:pPr>
    </w:p>
    <w:p>
      <w:pPr>
        <w:ind w:left="1040" w:right="160" w:hanging="687"/>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TG Therapeutics, Inc. dated May 14, 2012 (incorporated by reference to Exhibit 3.2 to the Registrant’s Form 10-Q for the quarter ended March 31, 2012).</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 (incorporated by reference to Exhibit 4.1 to the Registrant’s Form 10-K for the year ended December 31,</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1040" w:right="80" w:hanging="687"/>
        <w:spacing w:after="0" w:line="277"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issued to Noteholders on September 11, 2008 (incorporated by reference to Exhibit 10.2 to the Registrant’s Current Report on Form 8-K filed on September 15, 2008).</w:t>
      </w:r>
    </w:p>
    <w:p>
      <w:pPr>
        <w:spacing w:after="0" w:line="170" w:lineRule="exact"/>
        <w:rPr>
          <w:sz w:val="20"/>
          <w:szCs w:val="20"/>
          <w:color w:val="auto"/>
        </w:rPr>
      </w:pPr>
    </w:p>
    <w:p>
      <w:pPr>
        <w:ind w:left="1040" w:right="80" w:hanging="687"/>
        <w:spacing w:after="0" w:line="277" w:lineRule="auto"/>
        <w:tabs>
          <w:tab w:leader="none" w:pos="10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Warrant issued to Noteholders on November 19, 2008 (incorporated by reference to Exhibit 10.6 to the Registrant’s Current Report on Form 8-K filed on November 25, 2008).</w:t>
      </w:r>
    </w:p>
    <w:p>
      <w:pPr>
        <w:spacing w:after="0" w:line="170" w:lineRule="exact"/>
        <w:rPr>
          <w:sz w:val="20"/>
          <w:szCs w:val="20"/>
          <w:color w:val="auto"/>
        </w:rPr>
      </w:pPr>
    </w:p>
    <w:p>
      <w:pPr>
        <w:ind w:left="1040" w:right="480" w:hanging="687"/>
        <w:spacing w:after="0" w:line="277" w:lineRule="auto"/>
        <w:tabs>
          <w:tab w:leader="none" w:pos="10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to purchase common stock of TG Therapeutics, Inc. (incorporated by reference to Exhibit 4.1 to the Registrant’s Current Report on Form 8-K filed on November 13, 2012).</w:t>
      </w:r>
    </w:p>
    <w:p>
      <w:pPr>
        <w:spacing w:after="0" w:line="170" w:lineRule="exact"/>
        <w:rPr>
          <w:sz w:val="20"/>
          <w:szCs w:val="20"/>
          <w:color w:val="auto"/>
        </w:rPr>
      </w:pPr>
    </w:p>
    <w:p>
      <w:pPr>
        <w:ind w:left="1040" w:right="740" w:hanging="687"/>
        <w:spacing w:after="0" w:line="277" w:lineRule="auto"/>
        <w:tabs>
          <w:tab w:leader="none" w:pos="10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Placement Agent Warrant (incorporated by reference to Exhibit 10.9 to the Registrant’s Current Report on Form 8-K filed on November 25, 2008).</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Warrant, dated October 28, 2009 (incorporated by reference to Exhibit 10.3 to the Registrant’s Current Report on Form 8-K filed on November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 2009).</w:t>
      </w:r>
    </w:p>
    <w:p>
      <w:pPr>
        <w:spacing w:after="0" w:line="211" w:lineRule="exact"/>
        <w:rPr>
          <w:sz w:val="20"/>
          <w:szCs w:val="20"/>
          <w:color w:val="auto"/>
        </w:rPr>
      </w:pPr>
    </w:p>
    <w:p>
      <w:pPr>
        <w:ind w:left="1040" w:right="740" w:hanging="687"/>
        <w:spacing w:after="0" w:line="277" w:lineRule="auto"/>
        <w:tabs>
          <w:tab w:leader="none" w:pos="10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Placement Agent Warrant (incorporated by reference to Exhibit 10.4 to the Registrant’s Current Report on Form 8-K filed on November 3, 2009).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292"/>
        <w:spacing w:after="0"/>
        <w:tabs>
          <w:tab w:leader="none" w:pos="101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2003 Stock Option Plan (incorporated by reference to Exhibit 4.1 to Registrant’s Registration Statement on Form S-8 filed February 17, 2004).</w:t>
      </w:r>
    </w:p>
    <w:p>
      <w:pPr>
        <w:spacing w:after="0" w:line="225" w:lineRule="exact"/>
        <w:rPr>
          <w:sz w:val="20"/>
          <w:szCs w:val="20"/>
          <w:color w:val="auto"/>
        </w:rPr>
      </w:pPr>
    </w:p>
    <w:p>
      <w:pPr>
        <w:ind w:left="1032" w:right="360" w:hanging="732"/>
        <w:spacing w:after="0" w:line="277" w:lineRule="auto"/>
        <w:tabs>
          <w:tab w:leader="none" w:pos="101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Stock Option Agreement issued under the Registrant’s 2003 Stock Option Plan (incorporated by reference to Exhibit 10.15 to the Registrant's Form 10-KSB filed April 2, 2007).</w:t>
      </w:r>
    </w:p>
    <w:p>
      <w:pPr>
        <w:spacing w:after="0" w:line="170" w:lineRule="exact"/>
        <w:rPr>
          <w:sz w:val="20"/>
          <w:szCs w:val="20"/>
          <w:color w:val="auto"/>
        </w:rPr>
      </w:pPr>
    </w:p>
    <w:p>
      <w:pPr>
        <w:ind w:left="1032" w:right="480" w:hanging="732"/>
        <w:spacing w:after="0" w:line="277" w:lineRule="auto"/>
        <w:tabs>
          <w:tab w:leader="none" w:pos="101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Convertible Promissory Note, dated March 1, 2011 (incorporated by reference to Exhibit 10.1 to the Registrant’s Current Report on Form 8-K filed on March 7, 2011).</w:t>
      </w:r>
    </w:p>
    <w:p>
      <w:pPr>
        <w:spacing w:after="0" w:line="170" w:lineRule="exact"/>
        <w:rPr>
          <w:sz w:val="20"/>
          <w:szCs w:val="20"/>
          <w:color w:val="auto"/>
        </w:rPr>
      </w:pPr>
    </w:p>
    <w:p>
      <w:pPr>
        <w:ind w:left="1032" w:right="40" w:hanging="732"/>
        <w:spacing w:after="0" w:line="277" w:lineRule="auto"/>
        <w:tabs>
          <w:tab w:leader="none" w:pos="101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Agreement, effective December 29, 2011, between the Registrant and Michael Weiss (incorporated by reference to Exhibit 10.30 to the Registrant’s Form 10-K for the fiscal year ended December 31, 2011). †</w:t>
      </w:r>
    </w:p>
    <w:p>
      <w:pPr>
        <w:spacing w:after="0" w:line="170" w:lineRule="exact"/>
        <w:rPr>
          <w:sz w:val="20"/>
          <w:szCs w:val="20"/>
          <w:color w:val="auto"/>
        </w:rPr>
      </w:pPr>
    </w:p>
    <w:p>
      <w:pPr>
        <w:ind w:left="1032" w:right="40" w:hanging="732"/>
        <w:spacing w:after="0" w:line="277" w:lineRule="auto"/>
        <w:tabs>
          <w:tab w:leader="none" w:pos="101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Restricted Stock Subscription Agreement, effective December 29, 2011, between the Registrant and Michael Weiss (incorporated by reference to Exhibit 10.31 to the Registrant’s Form 10-K for the fiscal year ended December 31, 2011). †</w:t>
      </w:r>
    </w:p>
    <w:p>
      <w:pPr>
        <w:spacing w:after="0" w:line="170" w:lineRule="exact"/>
        <w:rPr>
          <w:sz w:val="20"/>
          <w:szCs w:val="20"/>
          <w:color w:val="auto"/>
        </w:rPr>
      </w:pPr>
    </w:p>
    <w:p>
      <w:pPr>
        <w:ind w:left="1032" w:right="60" w:hanging="732"/>
        <w:spacing w:after="0" w:line="277" w:lineRule="auto"/>
        <w:tabs>
          <w:tab w:leader="none" w:pos="101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ind w:left="1032" w:right="100" w:hanging="732"/>
        <w:spacing w:after="0" w:line="277" w:lineRule="auto"/>
        <w:tabs>
          <w:tab w:leader="none" w:pos="101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Restricted Stock Subscription Agreement, effective December 29, 2011 between the Registrant and Sean Power (incorporated by reference to Exhibit 10.33 to the Registrant’s Form 10-K for the fiscal year ended December 31, 2011). †</w:t>
      </w:r>
    </w:p>
    <w:p>
      <w:pPr>
        <w:spacing w:after="0" w:line="170" w:lineRule="exact"/>
        <w:rPr>
          <w:sz w:val="20"/>
          <w:szCs w:val="20"/>
          <w:color w:val="auto"/>
        </w:rPr>
      </w:pPr>
    </w:p>
    <w:p>
      <w:pPr>
        <w:ind w:left="1032" w:right="300" w:hanging="732"/>
        <w:spacing w:after="0" w:line="277" w:lineRule="auto"/>
        <w:tabs>
          <w:tab w:leader="none" w:pos="101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Warrant issued to stockholders (incorporated by reference to Exhibit 10.34 to the Registrant’s Form 10-K for the fiscal year ended December 31, 2011).</w:t>
      </w:r>
    </w:p>
    <w:p>
      <w:pPr>
        <w:spacing w:after="0" w:line="170" w:lineRule="exact"/>
        <w:rPr>
          <w:sz w:val="20"/>
          <w:szCs w:val="20"/>
          <w:color w:val="auto"/>
        </w:rPr>
      </w:pPr>
    </w:p>
    <w:p>
      <w:pPr>
        <w:ind w:left="1032" w:right="320" w:hanging="732"/>
        <w:spacing w:after="0" w:line="342" w:lineRule="auto"/>
        <w:tabs>
          <w:tab w:leader="none" w:pos="101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24" w:lineRule="exact"/>
        <w:rPr>
          <w:sz w:val="20"/>
          <w:szCs w:val="20"/>
          <w:color w:val="auto"/>
        </w:rPr>
      </w:pPr>
    </w:p>
    <w:p>
      <w:pPr>
        <w:ind w:left="1032" w:right="460" w:hanging="777"/>
        <w:spacing w:after="0" w:line="277" w:lineRule="auto"/>
        <w:tabs>
          <w:tab w:leader="none" w:pos="1012"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TG Therapeutics, Inc. Amended and Restated 2012 Incentive Plan, dated May 14, 2012 (incorporated by reference to Exhibit 10.1 to the Registrant’s Form 10-Q/A for the quarter ended March 31, 2012).</w:t>
      </w:r>
    </w:p>
    <w:p>
      <w:pPr>
        <w:spacing w:after="0" w:line="170" w:lineRule="exact"/>
        <w:rPr>
          <w:sz w:val="20"/>
          <w:szCs w:val="20"/>
          <w:color w:val="auto"/>
        </w:rPr>
      </w:pPr>
    </w:p>
    <w:p>
      <w:pPr>
        <w:ind w:left="1032" w:right="240" w:hanging="773"/>
        <w:spacing w:after="0" w:line="277" w:lineRule="auto"/>
        <w:tabs>
          <w:tab w:leader="none" w:pos="101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Securities Exchange Agreement, dated November 9, 2012, by and between the Company and LFB Biotechnologies S.A.S. (incorporated by reference to Exhibit 10.1 to the Registrant’s Current Report on Form 8-K filed on November 13, 2012).</w:t>
      </w:r>
    </w:p>
    <w:p>
      <w:pPr>
        <w:spacing w:after="0" w:line="170" w:lineRule="exact"/>
        <w:rPr>
          <w:sz w:val="20"/>
          <w:szCs w:val="20"/>
          <w:color w:val="auto"/>
        </w:rPr>
      </w:pPr>
    </w:p>
    <w:p>
      <w:pPr>
        <w:ind w:left="1032" w:right="20" w:hanging="777"/>
        <w:spacing w:after="0" w:line="277" w:lineRule="auto"/>
        <w:tabs>
          <w:tab w:leader="none" w:pos="1012"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Joint Venture Agreement between TG Therapeutics, Inc. and Rhizen Pharmaceuticals SA, dated August 15, 2012 (incorporated by reference to Exhibit 10.1 to the Registrant’s Form 10-Q for the quarter ended September 30, 2012). *</w:t>
      </w:r>
    </w:p>
    <w:p>
      <w:pPr>
        <w:spacing w:after="0" w:line="170" w:lineRule="exact"/>
        <w:rPr>
          <w:sz w:val="20"/>
          <w:szCs w:val="20"/>
          <w:color w:val="auto"/>
        </w:rPr>
      </w:pPr>
    </w:p>
    <w:p>
      <w:pPr>
        <w:ind w:left="1032" w:right="600" w:hanging="777"/>
        <w:spacing w:after="0" w:line="277" w:lineRule="auto"/>
        <w:tabs>
          <w:tab w:leader="none" w:pos="101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Sublicense Agreement between TG Therapeutics, Inc. and Ildong Pharmaceutical Co. Ltd., dated November 13, 2012 (incorporated by reference to Exhibit 10.37 to the Registrant’s Form 10-K for the fiscal year ended December 31, 2012). *</w:t>
      </w:r>
    </w:p>
    <w:p>
      <w:pPr>
        <w:spacing w:after="0" w:line="170"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1032" w:right="140" w:hanging="708"/>
        <w:spacing w:after="0" w:line="259" w:lineRule="auto"/>
        <w:tabs>
          <w:tab w:leader="none" w:pos="10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2014, formatted in XBRL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ind w:left="5612" w:right="4560" w:hanging="5612"/>
        <w:spacing w:after="0" w:line="762"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1125"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as of 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280" w:type="dxa"/>
            <w:vAlign w:val="bottom"/>
            <w:gridSpan w:val="8"/>
          </w:tcPr>
          <w:p>
            <w:pPr>
              <w:spacing w:after="0"/>
              <w:rPr>
                <w:sz w:val="20"/>
                <w:szCs w:val="20"/>
                <w:color w:val="auto"/>
              </w:rPr>
            </w:pPr>
            <w:r>
              <w:rPr>
                <w:rFonts w:ascii="Arial" w:cs="Arial" w:eastAsia="Arial" w:hAnsi="Arial"/>
                <w:sz w:val="18"/>
                <w:szCs w:val="18"/>
                <w:color w:val="auto"/>
              </w:rPr>
              <w:t>Contents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2014 and 2013</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the years ended December 31, 2014 and 2013</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Equity for the years ended December 31, 2014 and 2013</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 for the years ended December 31, 2014 and 2013</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8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consolidated balance sheets of TG Therapeutics, Inc. and Subsidiaries (the “Company”) as of December 31, 2014 and 2013, and the related consolidated statements of operations, equity and cash flows for the years then ended. TG Therapeutics, Inc.’s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TG Therapeutics, Inc. and Subsidiaries as of December 31, 2014 and 2013, and their results of operations and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TG Therapeutics, Inc. and Subsidiaries internal control over financial reporting as of December 31, 2014 based on criteria established in Internal Control – Integrated Framework (2013) issued by the Committee of Sponsoring Organizations of the Treadway Commission (COSO) and our report dated March 16,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55,713,784</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40,485,466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Short-term investment securities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23,062,034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receivable</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85,516</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27,169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Prepaid research and development</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6,179,743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1,742,824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173,952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85,215,029</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42,303,263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Long-term investment securities</w:t>
            </w:r>
          </w:p>
        </w:tc>
        <w:tc>
          <w:tcPr>
            <w:tcW w:w="42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4,918,897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Equipment, net</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799,391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799,391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137,101</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86,746,890</w:t>
            </w:r>
          </w:p>
        </w:tc>
        <w:tc>
          <w:tcPr>
            <w:tcW w:w="220" w:type="dxa"/>
            <w:vAlign w:val="bottom"/>
          </w:tcPr>
          <w:p>
            <w:pPr>
              <w:spacing w:after="0"/>
              <w:rPr>
                <w:sz w:val="21"/>
                <w:szCs w:val="21"/>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48,112,390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Notes payable, current portion</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275,190</w:t>
            </w:r>
          </w:p>
        </w:tc>
        <w:tc>
          <w:tcPr>
            <w:tcW w:w="22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677,778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3,991,625</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4,764,502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Accrued compensation</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702,000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532,500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deferred revenue</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152,381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152,381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Interest payable</w:t>
            </w: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190,017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5,121,196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6,317,178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1,523,810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1,676,191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Notes payable, less current portion, at fair value</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liabilities</w:t>
            </w: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6,645,006</w:t>
            </w:r>
          </w:p>
        </w:tc>
        <w:tc>
          <w:tcPr>
            <w:tcW w:w="2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8,057,898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Equity:</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w w:val="94"/>
              </w:rPr>
              <w:t>Preferred stock, $0.001 par value per share (10,000,000 shares authorized, none issued and outstanding as of</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December 31, 2014 and 2013)</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w w:val="94"/>
              </w:rPr>
              <w:t>Common stock, $0.001 par value per share (150,000,000 and 500,000,000 shares authorized, 44,974,248 and</w:t>
            </w: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w w:val="92"/>
              </w:rPr>
              <w:t>34,336,235 shares issued, 44,932,939 and 34,294,926 shares outstanding at December 31, 2014 and 2013,</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respectively)</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44,974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34,336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Contingently issuable shares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175,476,521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79,658,490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41,309 shares at December 31, 2014 and 2013</w:t>
            </w:r>
          </w:p>
        </w:tc>
        <w:tc>
          <w:tcPr>
            <w:tcW w:w="4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(234,337)</w:t>
            </w:r>
          </w:p>
        </w:tc>
        <w:tc>
          <w:tcPr>
            <w:tcW w:w="4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(234,337)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Accumulated deficit</w:t>
            </w:r>
          </w:p>
        </w:tc>
        <w:tc>
          <w:tcPr>
            <w:tcW w:w="4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(95,185,280)</w:t>
            </w:r>
          </w:p>
        </w:tc>
        <w:tc>
          <w:tcPr>
            <w:tcW w:w="4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(39,404,003)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80,101,884</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40,054,492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liabilities and equity</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86,746,890</w:t>
            </w:r>
          </w:p>
        </w:tc>
        <w:tc>
          <w:tcPr>
            <w:tcW w:w="220" w:type="dxa"/>
            <w:vAlign w:val="bottom"/>
          </w:tcPr>
          <w:p>
            <w:pPr>
              <w:spacing w:after="0"/>
              <w:rPr>
                <w:sz w:val="17"/>
                <w:szCs w:val="17"/>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48,112,390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 Ended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License revenue</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152,381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Noncash stock expense associated with in-licensing agreements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5,350,094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Noncash compensation</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8,731,566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1,041,519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research and development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26,004,687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12,621,161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research and development</w:t>
            </w: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40,086,347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13,662,680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Noncash compensation</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12,373,726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4,161,629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Other general and administrative</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3,413,400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2,496,461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general and administrative</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15,787,126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6,658,090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in-process research and development</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2,797,600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Total costs and expenses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55,873,473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(55,721,092)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(22,965,989)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(55,049)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(30,822)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(95,427)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(108,894)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930,701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952,888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notes payable</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(720,040)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(3,300,951)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other expense (income), net</w:t>
            </w: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60,185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(2,487,779</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(55,781,277)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(20,478,210)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Basic and diluted net loss per common share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Weighted average shares used in computing basic and diluted net loss per common share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34,068,926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25,413,964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for the Years Ended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Contingently</w:t>
            </w:r>
          </w:p>
        </w:tc>
        <w:tc>
          <w:tcPr>
            <w:tcW w:w="8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3340" w:type="dxa"/>
            <w:vAlign w:val="bottom"/>
          </w:tcPr>
          <w:p>
            <w:pPr>
              <w:spacing w:after="0"/>
              <w:rPr>
                <w:sz w:val="14"/>
                <w:szCs w:val="14"/>
                <w:color w:val="auto"/>
              </w:rPr>
            </w:pPr>
          </w:p>
        </w:tc>
        <w:tc>
          <w:tcPr>
            <w:tcW w:w="1420" w:type="dxa"/>
            <w:vAlign w:val="bottom"/>
            <w:gridSpan w:val="3"/>
          </w:tcPr>
          <w:p>
            <w:pPr>
              <w:jc w:val="right"/>
              <w:ind w:right="4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4"/>
              </w:rPr>
              <w:t>issuable</w:t>
            </w:r>
          </w:p>
        </w:tc>
        <w:tc>
          <w:tcPr>
            <w:tcW w:w="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paid-in</w:t>
            </w:r>
          </w:p>
        </w:tc>
        <w:tc>
          <w:tcPr>
            <w:tcW w:w="1900" w:type="dxa"/>
            <w:vAlign w:val="bottom"/>
            <w:gridSpan w:val="6"/>
          </w:tcPr>
          <w:p>
            <w:pPr>
              <w:jc w:val="right"/>
              <w:ind w:right="55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92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rPr>
              <w:t>Shares</w:t>
            </w:r>
          </w:p>
        </w:tc>
        <w:tc>
          <w:tcPr>
            <w:tcW w:w="820" w:type="dxa"/>
            <w:vAlign w:val="bottom"/>
            <w:tcBorders>
              <w:top w:val="single" w:sz="8" w:color="auto"/>
            </w:tcBorders>
            <w:gridSpan w:val="2"/>
          </w:tcPr>
          <w:p>
            <w:pPr>
              <w:jc w:val="right"/>
              <w:ind w:right="137"/>
              <w:spacing w:after="0" w:line="143" w:lineRule="exact"/>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81"/>
              </w:rPr>
              <w:t>shares</w:t>
            </w: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87"/>
              </w:rPr>
              <w:t>capital</w:t>
            </w:r>
          </w:p>
        </w:tc>
        <w:tc>
          <w:tcPr>
            <w:tcW w:w="880" w:type="dxa"/>
            <w:vAlign w:val="bottom"/>
            <w:tcBorders>
              <w:top w:val="single" w:sz="8" w:color="auto"/>
            </w:tcBorders>
            <w:gridSpan w:val="2"/>
          </w:tcPr>
          <w:p>
            <w:pPr>
              <w:ind w:left="20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Total</w:t>
            </w:r>
          </w:p>
        </w:tc>
      </w:tr>
      <w:tr>
        <w:trPr>
          <w:trHeight w:val="129"/>
        </w:trPr>
        <w:tc>
          <w:tcPr>
            <w:tcW w:w="3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2013</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25,820,738</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25,821</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34,534,805</w:t>
            </w: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13,526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(84,538)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81"/>
              </w:rPr>
              <w:t>(18,925,793)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15,550,301</w:t>
            </w:r>
          </w:p>
        </w:tc>
        <w:tc>
          <w:tcPr>
            <w:tcW w:w="100" w:type="dxa"/>
            <w:vAlign w:val="bottom"/>
            <w:tcBorders>
              <w:top w:val="single" w:sz="8" w:color="CCEEFF"/>
            </w:tcBorders>
            <w:shd w:val="clear" w:color="auto" w:fill="CCEEFF"/>
          </w:tcPr>
          <w:p>
            <w:pPr>
              <w:spacing w:after="0"/>
              <w:rPr>
                <w:sz w:val="11"/>
                <w:szCs w:val="1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exercise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40" w:type="dxa"/>
            <w:vAlign w:val="bottom"/>
          </w:tcPr>
          <w:p>
            <w:pPr>
              <w:ind w:left="160"/>
              <w:spacing w:after="0"/>
              <w:rPr>
                <w:sz w:val="20"/>
                <w:szCs w:val="20"/>
                <w:color w:val="auto"/>
              </w:rPr>
            </w:pPr>
            <w:r>
              <w:rPr>
                <w:rFonts w:ascii="Arial" w:cs="Arial" w:eastAsia="Arial" w:hAnsi="Arial"/>
                <w:sz w:val="13"/>
                <w:szCs w:val="13"/>
                <w:color w:val="auto"/>
              </w:rPr>
              <w:t>of warrants</w:t>
            </w:r>
          </w:p>
        </w:tc>
        <w:tc>
          <w:tcPr>
            <w:tcW w:w="800" w:type="dxa"/>
            <w:vAlign w:val="bottom"/>
          </w:tcPr>
          <w:p>
            <w:pPr>
              <w:jc w:val="right"/>
              <w:spacing w:after="0"/>
              <w:rPr>
                <w:sz w:val="20"/>
                <w:szCs w:val="20"/>
                <w:color w:val="auto"/>
              </w:rPr>
            </w:pPr>
            <w:r>
              <w:rPr>
                <w:rFonts w:ascii="Arial" w:cs="Arial" w:eastAsia="Arial" w:hAnsi="Arial"/>
                <w:sz w:val="13"/>
                <w:szCs w:val="13"/>
                <w:color w:val="auto"/>
              </w:rPr>
              <w:t>1,013,009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1,013</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2,279,760</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2,280,773</w:t>
            </w: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Issuance of common stock in connection with cashless exercise</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 warrants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3,024</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Issuance of restricted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944,464</w:t>
            </w:r>
          </w:p>
        </w:tc>
        <w:tc>
          <w:tcPr>
            <w:tcW w:w="3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944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(944)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Issuance of common stock in public offering (net of offering</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costs of $2,664,970)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6,555,000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6,555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37,641,725</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37,648,280</w:t>
            </w: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w w:val="93"/>
              </w:rPr>
              <w:t>Compensation in respect of restricted stock and stock options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40" w:type="dxa"/>
            <w:vAlign w:val="bottom"/>
          </w:tcPr>
          <w:p>
            <w:pPr>
              <w:ind w:left="160"/>
              <w:spacing w:after="0"/>
              <w:rPr>
                <w:sz w:val="20"/>
                <w:szCs w:val="20"/>
                <w:color w:val="auto"/>
              </w:rPr>
            </w:pPr>
            <w:r>
              <w:rPr>
                <w:rFonts w:ascii="Arial" w:cs="Arial" w:eastAsia="Arial" w:hAnsi="Arial"/>
                <w:sz w:val="13"/>
                <w:szCs w:val="13"/>
                <w:color w:val="auto"/>
              </w:rPr>
              <w:t>granted to employees, directors and consultants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5,203,148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5,203,148</w:t>
            </w: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Surrender of common stock for tax withholding</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27,783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(149,799)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(149,799)</w:t>
            </w:r>
          </w:p>
        </w:tc>
      </w:tr>
      <w:tr>
        <w:trPr>
          <w:trHeight w:val="149"/>
        </w:trPr>
        <w:tc>
          <w:tcPr>
            <w:tcW w:w="334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w w:val="97"/>
              </w:rPr>
              <w:t>(20,478,210)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(20,478,210)</w:t>
            </w:r>
          </w:p>
        </w:tc>
      </w:tr>
      <w:tr>
        <w:trPr>
          <w:trHeight w:val="129"/>
        </w:trPr>
        <w:tc>
          <w:tcPr>
            <w:tcW w:w="3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2013</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34,336,235</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34,336</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79,658,490</w:t>
            </w: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(234,337)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81"/>
              </w:rPr>
              <w:t>(39,404,003)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40,054,492</w:t>
            </w:r>
          </w:p>
        </w:tc>
        <w:tc>
          <w:tcPr>
            <w:tcW w:w="100" w:type="dxa"/>
            <w:vAlign w:val="bottom"/>
            <w:tcBorders>
              <w:top w:val="single" w:sz="8" w:color="CCEEFF"/>
            </w:tcBorders>
            <w:shd w:val="clear" w:color="auto" w:fill="CCEEFF"/>
          </w:tcPr>
          <w:p>
            <w:pPr>
              <w:spacing w:after="0"/>
              <w:rPr>
                <w:sz w:val="11"/>
                <w:szCs w:val="1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exercise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40" w:type="dxa"/>
            <w:vAlign w:val="bottom"/>
          </w:tcPr>
          <w:p>
            <w:pPr>
              <w:ind w:left="160"/>
              <w:spacing w:after="0"/>
              <w:rPr>
                <w:sz w:val="20"/>
                <w:szCs w:val="20"/>
                <w:color w:val="auto"/>
              </w:rPr>
            </w:pPr>
            <w:r>
              <w:rPr>
                <w:rFonts w:ascii="Arial" w:cs="Arial" w:eastAsia="Arial" w:hAnsi="Arial"/>
                <w:sz w:val="13"/>
                <w:szCs w:val="13"/>
                <w:color w:val="auto"/>
              </w:rPr>
              <w:t>of warrants</w:t>
            </w:r>
          </w:p>
        </w:tc>
        <w:tc>
          <w:tcPr>
            <w:tcW w:w="800" w:type="dxa"/>
            <w:vAlign w:val="bottom"/>
          </w:tcPr>
          <w:p>
            <w:pPr>
              <w:jc w:val="right"/>
              <w:spacing w:after="0"/>
              <w:rPr>
                <w:sz w:val="20"/>
                <w:szCs w:val="20"/>
                <w:color w:val="auto"/>
              </w:rPr>
            </w:pPr>
            <w:r>
              <w:rPr>
                <w:rFonts w:ascii="Arial" w:cs="Arial" w:eastAsia="Arial" w:hAnsi="Arial"/>
                <w:sz w:val="13"/>
                <w:szCs w:val="13"/>
                <w:color w:val="auto"/>
              </w:rPr>
              <w:t>1,560,826</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1,561</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3,555,063</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3,556,624</w:t>
            </w: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in connection with exercise</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 options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46,000</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202,354</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202,400</w:t>
            </w: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Issuance of restricted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982,793</w:t>
            </w:r>
          </w:p>
        </w:tc>
        <w:tc>
          <w:tcPr>
            <w:tcW w:w="3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983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(983)</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Forfeiture of restricted stock</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w w:val="97"/>
              </w:rPr>
              <w:t>Issuance of common stock in public offering (net of offering</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40" w:type="dxa"/>
            <w:vAlign w:val="bottom"/>
          </w:tcPr>
          <w:p>
            <w:pPr>
              <w:ind w:left="160"/>
              <w:spacing w:after="0"/>
              <w:rPr>
                <w:sz w:val="20"/>
                <w:szCs w:val="20"/>
                <w:color w:val="auto"/>
              </w:rPr>
            </w:pPr>
            <w:r>
              <w:rPr>
                <w:rFonts w:ascii="Arial" w:cs="Arial" w:eastAsia="Arial" w:hAnsi="Arial"/>
                <w:sz w:val="13"/>
                <w:szCs w:val="13"/>
                <w:color w:val="auto"/>
              </w:rPr>
              <w:t>costs of $1,344,440)</w:t>
            </w:r>
          </w:p>
        </w:tc>
        <w:tc>
          <w:tcPr>
            <w:tcW w:w="800" w:type="dxa"/>
            <w:vAlign w:val="bottom"/>
          </w:tcPr>
          <w:p>
            <w:pPr>
              <w:jc w:val="right"/>
              <w:spacing w:after="0"/>
              <w:rPr>
                <w:sz w:val="20"/>
                <w:szCs w:val="20"/>
                <w:color w:val="auto"/>
              </w:rPr>
            </w:pPr>
            <w:r>
              <w:rPr>
                <w:rFonts w:ascii="Arial" w:cs="Arial" w:eastAsia="Arial" w:hAnsi="Arial"/>
                <w:sz w:val="13"/>
                <w:szCs w:val="13"/>
                <w:color w:val="auto"/>
              </w:rPr>
              <w:t>2,702,809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2,703</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16,788,705</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16,791,408</w:t>
            </w: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Issuance of common stock in At the Market offering (net of</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offering costs of $1,101,572)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4,850,055</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4,850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48,818,002</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48,822,852</w:t>
            </w: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w w:val="93"/>
              </w:rPr>
              <w:t>Compensation in respect of restricted stock and stock options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340" w:type="dxa"/>
            <w:vAlign w:val="bottom"/>
          </w:tcPr>
          <w:p>
            <w:pPr>
              <w:ind w:left="160"/>
              <w:spacing w:after="0"/>
              <w:rPr>
                <w:sz w:val="20"/>
                <w:szCs w:val="20"/>
                <w:color w:val="auto"/>
              </w:rPr>
            </w:pPr>
            <w:r>
              <w:rPr>
                <w:rFonts w:ascii="Arial" w:cs="Arial" w:eastAsia="Arial" w:hAnsi="Arial"/>
                <w:sz w:val="13"/>
                <w:szCs w:val="13"/>
                <w:color w:val="auto"/>
              </w:rPr>
              <w:t>granted to employees, directors and consultants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21,105,292</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21,105,292</w:t>
            </w: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Common stock issued in connection with in-licensing</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agreements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496,530</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5,349,597</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5,350,093</w:t>
            </w:r>
          </w:p>
        </w:tc>
      </w:tr>
      <w:tr>
        <w:trPr>
          <w:trHeight w:val="149"/>
        </w:trPr>
        <w:tc>
          <w:tcPr>
            <w:tcW w:w="334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w w:val="97"/>
              </w:rPr>
              <w:t>(55,781,277)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(55,781,277)</w:t>
            </w:r>
          </w:p>
        </w:tc>
      </w:tr>
      <w:tr>
        <w:trPr>
          <w:trHeight w:val="142"/>
        </w:trPr>
        <w:tc>
          <w:tcPr>
            <w:tcW w:w="334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Balance at December 31, 2014</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44,974,248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44,974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6"/>
              </w:rPr>
              <w:t>175,476,521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41,309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(234,337</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ind w:left="60"/>
              <w:spacing w:after="0" w:line="143" w:lineRule="exact"/>
              <w:rPr>
                <w:sz w:val="20"/>
                <w:szCs w:val="20"/>
                <w:color w:val="auto"/>
              </w:rPr>
            </w:pPr>
            <w:r>
              <w:rPr>
                <w:rFonts w:ascii="Arial" w:cs="Arial" w:eastAsia="Arial" w:hAnsi="Arial"/>
                <w:sz w:val="13"/>
                <w:szCs w:val="13"/>
                <w:color w:val="auto"/>
                <w:w w:val="86"/>
              </w:rPr>
              <w:t>(95,185,280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80,101,884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(55,781,277)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(20,478,210)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Gain on settlement of note payable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(95,427)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Noncash stock compensation expense</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21,105,292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5,203,148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Noncash stock expense associated with in-licensing agreements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5,350,094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Impairment of in-process research and development</w:t>
            </w:r>
          </w:p>
        </w:tc>
        <w:tc>
          <w:tcPr>
            <w:tcW w:w="4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2,797,600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Amortization of premium on investment securities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193,581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notes payable</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(2,414,569)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Changes in assets and liabilities, net of effects of acquisition:</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restricted cash</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(575,012)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40"/>
              <w:spacing w:after="0"/>
              <w:rPr>
                <w:sz w:val="20"/>
                <w:szCs w:val="20"/>
                <w:color w:val="auto"/>
              </w:rPr>
            </w:pPr>
            <w:r>
              <w:rPr>
                <w:rFonts w:ascii="Arial" w:cs="Arial" w:eastAsia="Arial" w:hAnsi="Arial"/>
                <w:sz w:val="16"/>
                <w:szCs w:val="16"/>
                <w:color w:val="auto"/>
              </w:rPr>
              <w:t>(Increase) decrease in other current assets</w:t>
            </w:r>
          </w:p>
        </w:tc>
        <w:tc>
          <w:tcPr>
            <w:tcW w:w="420" w:type="dxa"/>
            <w:vAlign w:val="bottom"/>
          </w:tcPr>
          <w:p>
            <w:pPr>
              <w:spacing w:after="0"/>
              <w:rPr>
                <w:sz w:val="17"/>
                <w:szCs w:val="17"/>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(4,563,067)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229,258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accrued interest receivable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(58,347)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40"/>
              <w:spacing w:after="0"/>
              <w:rPr>
                <w:sz w:val="20"/>
                <w:szCs w:val="20"/>
                <w:color w:val="auto"/>
              </w:rPr>
            </w:pPr>
            <w:r>
              <w:rPr>
                <w:rFonts w:ascii="Arial" w:cs="Arial" w:eastAsia="Arial" w:hAnsi="Arial"/>
                <w:sz w:val="16"/>
                <w:szCs w:val="16"/>
                <w:color w:val="auto"/>
              </w:rPr>
              <w:t>(Decrease) increase in accounts payable and accrued expenses</w:t>
            </w:r>
          </w:p>
        </w:tc>
        <w:tc>
          <w:tcPr>
            <w:tcW w:w="420" w:type="dxa"/>
            <w:vAlign w:val="bottom"/>
          </w:tcPr>
          <w:p>
            <w:pPr>
              <w:spacing w:after="0"/>
              <w:rPr>
                <w:sz w:val="17"/>
                <w:szCs w:val="17"/>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(603,377)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4,034,605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increase in interest payable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(94,590)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66,506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Decrease in deferred revenue</w:t>
            </w:r>
          </w:p>
        </w:tc>
        <w:tc>
          <w:tcPr>
            <w:tcW w:w="420" w:type="dxa"/>
            <w:vAlign w:val="bottom"/>
          </w:tcPr>
          <w:p>
            <w:pPr>
              <w:spacing w:after="0"/>
              <w:rPr>
                <w:sz w:val="18"/>
                <w:szCs w:val="18"/>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(152,381)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(152,381)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(35,059,919</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(10,739,110</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equipment</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(18,570)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Investment in held-to-maturity long-term securities</w:t>
            </w:r>
          </w:p>
        </w:tc>
        <w:tc>
          <w:tcPr>
            <w:tcW w:w="4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(4,919,871)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held-to-maturity short-term securities</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(18,336,719)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(18,355,289</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(4,925,552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exercise of warrants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3,556,624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2,280,773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Proceeds from the exercise of options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Payment of notes payable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(677,778)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Proceeds from sale of common stock, net</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65,614,260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37,648,280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 paid</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(51,980)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(85,121)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Purchase of treasury stock</w:t>
            </w:r>
          </w:p>
        </w:tc>
        <w:tc>
          <w:tcPr>
            <w:tcW w:w="420" w:type="dxa"/>
            <w:vAlign w:val="bottom"/>
          </w:tcPr>
          <w:p>
            <w:pPr>
              <w:spacing w:after="0"/>
              <w:rPr>
                <w:sz w:val="18"/>
                <w:szCs w:val="18"/>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(149,799)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68,643,526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39,694,133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15,228,318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24,029,471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40,485,466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16,455,995</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55,713,784</w:t>
            </w: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40,485,466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a pre-clinical program to develop inhibitors of IRAK4 (interleukin-1 receptor-associated kinase 4), as well as an antibody research program to develop anti-PD-L1 and anti-GITR antibodies, all currently in pre-clinical development.</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2014, we have an accumulated deficit of $95,185,280.</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primary sources of cash have been proceeds from the private placement and public offering of equity securities, the upfront payment from our Sublicense Agreement with Ildong Pharmaceutical Co. Ltd.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2014, we had $78,861,334 in cash and cash equivalents, investment securities, and interest receivable. We currently anticipate that our cash and cash equivalents, inclusive of the funds raised subsequent to the end of the year, to be sufficient to fund our anticipated operating cash requirements for more than 24 months from December 31, 2014.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FASB issued an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2017. We are currently evaluating the impact of this update on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10, 2014, FASB issued Accounting Standards Update No. 2014-10, Development Stage Entities: Elimination of Certain Financial Reporting Requirements. The update removes the definition of a development stage entity from FASB ASC 915 and eliminates the requirement for development stage entities to present inception-to-date information on the statements of operations, cash flows and stockholders’ deficit. We early adopted this update as of June 30, 2014.</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2014, we have approximately $0.6 million of restricted cash pledged to secure a line of credit as a security deposit for a Desk Agreement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Investment securities at December 31, 2014 and 2013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short-term investments and long-term investments. The Company maintains its cash and cash equivalents with high-credit quality financial institutions. At times, such amounts may exceed federally-insured limits.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w:t>
      </w:r>
    </w:p>
    <w:p>
      <w:pPr>
        <w:spacing w:after="0" w:line="5" w:lineRule="exact"/>
        <w:rPr>
          <w:sz w:val="20"/>
          <w:szCs w:val="20"/>
          <w:color w:val="auto"/>
        </w:rPr>
      </w:pPr>
    </w:p>
    <w:p>
      <w:pPr>
        <w:ind w:right="220" w:firstLine="8"/>
        <w:spacing w:after="0" w:line="255"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of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or sooner, if there is an indication of impairment, and consists of a comparison of the fair value of the in-process research and development with its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 BASED COMPENSATION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all share-based payments to employees and to non-employee directors as compensation for service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Basic net loss per common share is calculated by dividing net loss applicable to common shares by the weighted-average number of common shares outstanding for the period. Diluted net loss per common share is the same as basic net loss per common share,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8,890,796 and 10,618,584 at December 31, 2014 and 2013, respectively. During the years ended December 31, 2014 and 2013 the Company incurred a net loss, therefore, all of the dilutive securities are excluded from the computation of diluted loss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260" w:type="dxa"/>
            <w:vAlign w:val="bottom"/>
            <w:gridSpan w:val="3"/>
          </w:tcPr>
          <w:p>
            <w:pPr>
              <w:ind w:left="1880"/>
              <w:spacing w:after="0"/>
              <w:rPr>
                <w:sz w:val="20"/>
                <w:szCs w:val="20"/>
                <w:color w:val="auto"/>
              </w:rPr>
            </w:pPr>
            <w:r>
              <w:rPr>
                <w:rFonts w:ascii="Arial" w:cs="Arial" w:eastAsia="Arial" w:hAnsi="Arial"/>
                <w:sz w:val="16"/>
                <w:szCs w:val="16"/>
                <w:b w:val="1"/>
                <w:bCs w:val="1"/>
                <w:color w:val="auto"/>
                <w:w w:val="94"/>
              </w:rPr>
              <w:t>December 31, 2014</w:t>
            </w:r>
          </w:p>
        </w:tc>
        <w:tc>
          <w:tcPr>
            <w:tcW w:w="1600" w:type="dxa"/>
            <w:vAlign w:val="bottom"/>
            <w:gridSpan w:val="4"/>
          </w:tcPr>
          <w:p>
            <w:pPr>
              <w:ind w:left="160"/>
              <w:spacing w:after="0"/>
              <w:rPr>
                <w:sz w:val="20"/>
                <w:szCs w:val="20"/>
                <w:color w:val="auto"/>
              </w:rPr>
            </w:pPr>
            <w:r>
              <w:rPr>
                <w:rFonts w:ascii="Arial" w:cs="Arial" w:eastAsia="Arial" w:hAnsi="Arial"/>
                <w:sz w:val="16"/>
                <w:szCs w:val="16"/>
                <w:b w:val="1"/>
                <w:bCs w:val="1"/>
                <w:color w:val="auto"/>
                <w:w w:val="98"/>
              </w:rPr>
              <w:t>December 31, 2013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Money market funds</w:t>
            </w:r>
          </w:p>
        </w:tc>
        <w:tc>
          <w:tcPr>
            <w:tcW w:w="2260" w:type="dxa"/>
            <w:vAlign w:val="bottom"/>
            <w:gridSpan w:val="2"/>
            <w:shd w:val="clear" w:color="auto" w:fill="CCEEFF"/>
          </w:tcPr>
          <w:p>
            <w:pPr>
              <w:ind w:left="18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12,364,537</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Checking and bank deposits</w:t>
            </w:r>
          </w:p>
        </w:tc>
        <w:tc>
          <w:tcPr>
            <w:tcW w:w="18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43,349,247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39,931,397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260" w:type="dxa"/>
            <w:vAlign w:val="bottom"/>
            <w:gridSpan w:val="2"/>
            <w:shd w:val="clear" w:color="auto" w:fill="CCEEFF"/>
          </w:tcPr>
          <w:p>
            <w:pPr>
              <w:ind w:left="18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55,713,784</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40,485,466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our investments as either held-to-maturity or available-for-sale.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2014 and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ind w:left="720"/>
              <w:spacing w:after="0"/>
              <w:rPr>
                <w:sz w:val="20"/>
                <w:szCs w:val="20"/>
                <w:color w:val="auto"/>
              </w:rPr>
            </w:pPr>
            <w:r>
              <w:rPr>
                <w:rFonts w:ascii="Arial" w:cs="Arial" w:eastAsia="Arial" w:hAnsi="Arial"/>
                <w:sz w:val="16"/>
                <w:szCs w:val="16"/>
                <w:b w:val="1"/>
                <w:bCs w:val="1"/>
                <w:color w:val="auto"/>
              </w:rPr>
              <w:t>December 31, 2014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1"/>
              </w:rPr>
              <w:t>Amortized 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ind w:left="14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as adjusted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holding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3"/>
              </w:rPr>
              <w:t>holding losses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20"/>
                <w:szCs w:val="20"/>
                <w:color w:val="auto"/>
              </w:rPr>
            </w:pPr>
            <w:r>
              <w:rPr>
                <w:rFonts w:ascii="Arial" w:cs="Arial" w:eastAsia="Arial" w:hAnsi="Arial"/>
                <w:sz w:val="16"/>
                <w:szCs w:val="16"/>
                <w:color w:val="auto"/>
                <w:w w:val="95"/>
              </w:rPr>
              <w:t>Obligations of domestic governmental agencies (maturing between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January 2015 and December 2015) (held-to-maturity)</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23,062,034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23,057,150</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short-term investment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23,062,034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23,057,150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ind w:left="780"/>
              <w:spacing w:after="0"/>
              <w:rPr>
                <w:sz w:val="20"/>
                <w:szCs w:val="20"/>
                <w:color w:val="auto"/>
              </w:rPr>
            </w:pPr>
            <w:r>
              <w:rPr>
                <w:rFonts w:ascii="Arial" w:cs="Arial" w:eastAsia="Arial" w:hAnsi="Arial"/>
                <w:sz w:val="16"/>
                <w:szCs w:val="16"/>
                <w:b w:val="1"/>
                <w:bCs w:val="1"/>
                <w:color w:val="auto"/>
              </w:rPr>
              <w:t>December 31, 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40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Amortized 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ind w:left="22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as adjusted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160"/>
              <w:spacing w:after="0"/>
              <w:rPr>
                <w:sz w:val="20"/>
                <w:szCs w:val="20"/>
                <w:color w:val="auto"/>
              </w:rPr>
            </w:pPr>
            <w:r>
              <w:rPr>
                <w:rFonts w:ascii="Arial" w:cs="Arial" w:eastAsia="Arial" w:hAnsi="Arial"/>
                <w:sz w:val="16"/>
                <w:szCs w:val="16"/>
                <w:b w:val="1"/>
                <w:bCs w:val="1"/>
                <w:color w:val="auto"/>
              </w:rPr>
              <w:t>holding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3"/>
              </w:rPr>
              <w:t>holding losses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20"/>
                <w:szCs w:val="20"/>
                <w:color w:val="auto"/>
              </w:rPr>
            </w:pPr>
            <w:r>
              <w:rPr>
                <w:rFonts w:ascii="Arial" w:cs="Arial" w:eastAsia="Arial" w:hAnsi="Arial"/>
                <w:sz w:val="16"/>
                <w:szCs w:val="16"/>
                <w:color w:val="auto"/>
                <w:w w:val="95"/>
              </w:rPr>
              <w:t>Obligations of domestic governmental agencies (maturing between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6"/>
                <w:szCs w:val="16"/>
                <w:color w:val="auto"/>
              </w:rPr>
              <w:t>January 2015 and April 2015) (held-to-maturity)</w:t>
            </w:r>
          </w:p>
        </w:tc>
        <w:tc>
          <w:tcPr>
            <w:tcW w:w="18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4,918,897</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650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4,918,247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Total long-term investment securities</w:t>
            </w:r>
          </w:p>
        </w:tc>
        <w:tc>
          <w:tcPr>
            <w:tcW w:w="1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4,918,897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4,918,247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2014 and 2013, the fair values of cash and cash equivalents, restricted cash, and notes and interest payable, current portion approximate their carrying value.</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(“Manhattan”)) with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exchange transaction with TG Biologics (“TGBio”) in December 2011, we performed a valuation of the assets and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Manhattan immediately prior to the transaction. The cumulative liability including accrued and unpaid interest of these notes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$16,876,000 immediately prior to the transaction, and $19,544,720 and $18,614,000 at December 31, 2014 and 2013, respectively. As these notes payable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tied directly to net product cash flows derived from the preexisting products of Ariston, this note and accrued interest was recorded at fair value of $3,287,700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the transaction. No payments have been made on these notes as of December 31,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elected the fair value option for valuing the 5% Notes upon the transaction with TGBio. We elected the fair value option in order to reflect in our financial statements the assumptions that market participants use in evaluating these financial instruments.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As of December 31, 2013, as a result of expiring intellectual property rights and other factors as discussed below in Nonrecurring Fair Value Measurements, it was determined that net product cash flows from AST-726 were unlikely. As we have no other obligations under the 5% Notes aside from the net product cash flows and the conversion feature, the conversion feature was used to estimate the 5% Notes’ fair value as of December 31, 2014 and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December 31, 2014 and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3"/>
              </w:rPr>
              <w:t>Financial liabilities at fair value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6"/>
                <w:szCs w:val="16"/>
                <w:b w:val="1"/>
                <w:bCs w:val="1"/>
                <w:color w:val="auto"/>
                <w:w w:val="90"/>
              </w:rPr>
              <w:t>as of December 31, 2014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5% Notes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275,190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6"/>
                <w:szCs w:val="16"/>
                <w:color w:val="auto"/>
              </w:rPr>
              <w:t>Totals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275,190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275,190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3"/>
              </w:rPr>
              <w:t>Financial liabilities at fair value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6"/>
                <w:szCs w:val="16"/>
                <w:b w:val="1"/>
                <w:bCs w:val="1"/>
                <w:color w:val="auto"/>
                <w:w w:val="90"/>
              </w:rPr>
              <w:t>as of December 31, 2013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5% Notes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64,529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6"/>
                <w:szCs w:val="16"/>
                <w:color w:val="auto"/>
              </w:rPr>
              <w:t>Totals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64,529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64,529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2013 and 2014:</w:t>
      </w:r>
    </w:p>
    <w:p>
      <w:pPr>
        <w:sectPr>
          <w:pgSz w:w="11900" w:h="16838" w:orient="portrait"/>
          <w:cols w:equalWidth="0" w:num="1">
            <w:col w:w="11420"/>
          </w:cols>
          <w:pgMar w:left="240" w:top="877"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Balance at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7975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accrued on face value of 5% Notes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Change in fair value of Level 3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7975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accrued on face value of 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7975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Change in fair value of Level 3 liabilities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79755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02" w:hanging="802"/>
        <w:spacing w:after="0"/>
        <w:tabs>
          <w:tab w:leader="none" w:pos="8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2,479,098</w:t>
      </w:r>
    </w:p>
    <w:p>
      <w:pPr>
        <w:spacing w:after="0" w:line="22" w:lineRule="exact"/>
        <w:rPr>
          <w:rFonts w:ascii="Arial" w:cs="Arial" w:eastAsia="Arial" w:hAnsi="Arial"/>
          <w:sz w:val="16"/>
          <w:szCs w:val="16"/>
          <w:color w:val="auto"/>
        </w:rPr>
      </w:pPr>
    </w:p>
    <w:p>
      <w:pPr>
        <w:ind w:left="922"/>
        <w:spacing w:after="0"/>
        <w:rPr>
          <w:rFonts w:ascii="Arial" w:cs="Arial" w:eastAsia="Arial" w:hAnsi="Arial"/>
          <w:sz w:val="16"/>
          <w:szCs w:val="16"/>
          <w:color w:val="auto"/>
        </w:rPr>
      </w:pPr>
      <w:r>
        <w:rPr>
          <w:rFonts w:ascii="Arial" w:cs="Arial" w:eastAsia="Arial" w:hAnsi="Arial"/>
          <w:sz w:val="16"/>
          <w:szCs w:val="16"/>
          <w:color w:val="auto"/>
        </w:rPr>
        <w:t>886,382</w:t>
      </w:r>
    </w:p>
    <w:p>
      <w:pPr>
        <w:spacing w:after="0" w:line="19" w:lineRule="exact"/>
        <w:rPr>
          <w:sz w:val="20"/>
          <w:szCs w:val="20"/>
          <w:color w:val="auto"/>
        </w:rPr>
      </w:pPr>
    </w:p>
    <w:p>
      <w:pPr>
        <w:jc w:val="right"/>
        <w:ind w:right="2300"/>
        <w:spacing w:after="0"/>
        <w:rPr>
          <w:sz w:val="20"/>
          <w:szCs w:val="20"/>
          <w:color w:val="auto"/>
        </w:rPr>
      </w:pPr>
      <w:r>
        <w:rPr>
          <w:rFonts w:ascii="Arial" w:cs="Arial" w:eastAsia="Arial" w:hAnsi="Arial"/>
          <w:sz w:val="16"/>
          <w:szCs w:val="16"/>
          <w:color w:val="auto"/>
        </w:rPr>
        <w:t>(3,300,951)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926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2" w:lineRule="exact"/>
        <w:rPr>
          <w:sz w:val="20"/>
          <w:szCs w:val="20"/>
          <w:color w:val="auto"/>
        </w:rPr>
      </w:pPr>
    </w:p>
    <w:p>
      <w:pPr>
        <w:ind w:left="1022"/>
        <w:spacing w:after="0"/>
        <w:rPr>
          <w:sz w:val="20"/>
          <w:szCs w:val="20"/>
          <w:color w:val="auto"/>
        </w:rPr>
      </w:pPr>
      <w:r>
        <w:rPr>
          <w:rFonts w:ascii="Arial" w:cs="Arial" w:eastAsia="Arial" w:hAnsi="Arial"/>
          <w:sz w:val="16"/>
          <w:szCs w:val="16"/>
          <w:color w:val="auto"/>
        </w:rPr>
        <w:t>64,529</w:t>
      </w:r>
    </w:p>
    <w:p>
      <w:pPr>
        <w:spacing w:after="0" w:line="22" w:lineRule="exact"/>
        <w:rPr>
          <w:sz w:val="20"/>
          <w:szCs w:val="20"/>
          <w:color w:val="auto"/>
        </w:rPr>
      </w:pPr>
    </w:p>
    <w:p>
      <w:pPr>
        <w:ind w:left="922"/>
        <w:spacing w:after="0"/>
        <w:rPr>
          <w:sz w:val="20"/>
          <w:szCs w:val="20"/>
          <w:color w:val="auto"/>
        </w:rPr>
      </w:pPr>
      <w:r>
        <w:rPr>
          <w:rFonts w:ascii="Arial" w:cs="Arial" w:eastAsia="Arial" w:hAnsi="Arial"/>
          <w:sz w:val="16"/>
          <w:szCs w:val="16"/>
          <w:color w:val="auto"/>
        </w:rPr>
        <w:t>930,701</w:t>
      </w:r>
    </w:p>
    <w:p>
      <w:pPr>
        <w:spacing w:after="0" w:line="19" w:lineRule="exact"/>
        <w:rPr>
          <w:sz w:val="20"/>
          <w:szCs w:val="20"/>
          <w:color w:val="auto"/>
        </w:rPr>
      </w:pPr>
    </w:p>
    <w:p>
      <w:pPr>
        <w:jc w:val="right"/>
        <w:ind w:right="2300"/>
        <w:spacing w:after="0"/>
        <w:rPr>
          <w:sz w:val="20"/>
          <w:szCs w:val="20"/>
          <w:color w:val="auto"/>
        </w:rPr>
      </w:pPr>
      <w:r>
        <w:rPr>
          <w:rFonts w:ascii="Arial" w:cs="Arial" w:eastAsia="Arial" w:hAnsi="Arial"/>
          <w:sz w:val="16"/>
          <w:szCs w:val="16"/>
          <w:color w:val="auto"/>
        </w:rPr>
        <w:t>(720,040)</w:t>
      </w:r>
    </w:p>
    <w:p>
      <w:pPr>
        <w:spacing w:after="0" w:line="55" w:lineRule="exact"/>
        <w:rPr>
          <w:sz w:val="20"/>
          <w:szCs w:val="20"/>
          <w:color w:val="auto"/>
        </w:rPr>
      </w:pPr>
    </w:p>
    <w:p>
      <w:pPr>
        <w:ind w:left="922" w:hanging="922"/>
        <w:spacing w:after="0"/>
        <w:tabs>
          <w:tab w:leader="none" w:pos="9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275,190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9264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78" w:space="720"/>
            <w:col w:w="3822"/>
          </w:cols>
          <w:pgMar w:left="240" w:top="877" w:right="239" w:bottom="1440" w:gutter="0" w:footer="0" w:header="0"/>
          <w:type w:val="continuous"/>
        </w:sectPr>
      </w:pPr>
    </w:p>
    <w:p>
      <w:pPr>
        <w:spacing w:after="0" w:line="7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nonrecurring fair value measurements during the year ended December 31, 2014. The following table summarizes the assets measured at fair value on a nonrecurring basis as of December 31,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Fair value measurements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as of December 31, 2013</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Total impairment charge</w:t>
            </w: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2013</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In-process research and development</w:t>
            </w:r>
          </w:p>
        </w:tc>
        <w:tc>
          <w:tcPr>
            <w:tcW w:w="1140" w:type="dxa"/>
            <w:vAlign w:val="bottom"/>
          </w:tcPr>
          <w:p>
            <w:pPr>
              <w:jc w:val="right"/>
              <w:ind w:right="982"/>
              <w:spacing w:after="0"/>
              <w:rPr>
                <w:sz w:val="20"/>
                <w:szCs w:val="20"/>
                <w:color w:val="auto"/>
              </w:rPr>
            </w:pPr>
            <w:r>
              <w:rPr>
                <w:rFonts w:ascii="Arial" w:cs="Arial" w:eastAsia="Arial" w:hAnsi="Arial"/>
                <w:sz w:val="15"/>
                <w:szCs w:val="15"/>
                <w:color w:val="auto"/>
                <w:w w:val="71"/>
              </w:rPr>
              <w:t>$</w:t>
            </w:r>
          </w:p>
        </w:tc>
        <w:tc>
          <w:tcPr>
            <w:tcW w:w="320" w:type="dxa"/>
            <w:vAlign w:val="bottom"/>
          </w:tcPr>
          <w:p>
            <w:pPr>
              <w:ind w:left="14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(2,797,600)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ind w:right="98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(2,797,600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uncertain regulatory pathways, and market changes affecting the commercial potential for the Ariston in-process research and development asset (AST-726), we determined that the asset's carrying value was no longer recoverable. Accordingly, during the year ended December 31, 2013, we recorded a non-cash impairment charge of $2,797,600, which was recorded as impairment of in-process research and development in our consolidated statements of operations. The fair value of this asset was determined to be zero primarily as a result of the expiring intellectual property rights surrounding the asset. This fair value measurement technique is based on significant inputs not observable in the market and thus represents a Level 3 measurement within the fair value hierarchy.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 At the annual shareholder meeting on June 6, 2014, an amendment to the Company's Certificate of Incorporation to decrease its authorized share capital by 350,000,000 shares from 500,000,000 to 150,000,000 was approved.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could issue and sell shares of our common stock, having an aggregate offering price of up to $50.0 million, from time to time through MLV, acting as the sales agent. Under the agreement we would pay MLV a commission rate of up to 3.0% of the gross proceeds from the sale of any shares of common stock sold through MLV.</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During the year ended December 31, 2014, we sold a total of 4,850,055 shares of common stock for aggregate total gross proceeds of approximately $50.0 million at an average selling price of $10.31 per share. Net proceeds were approximately $48.9 million after deducting commissions and other transactions costs. We have fully utilized the capacity under this 2013 ATM and, accordingly, no further sales can be made under this 2013 ATM.</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currently have two shelf registration statements on Form S-3 filed and declared effective by the SEC (File No. 333-189015 and File No. 333-201339). These shelf registration statements provide for the offering of up to approximately $317 million of common stock.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2014 and 2013, 41,309 shares of common stock are being held in Treasury, at a cost of approximately $234,000, representing the fair market value on the date the shares were surrendered to the Company to satisfy employee tax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May 2012, we established the TG Therapeutics, Inc. Amended and Restated 2012 Incentive Plan (“2012 Incentive Plan”). Under the 2012 Incentive Plan, our compensation committee of board of directors is authorized to grant stock-based awards to directors, consultants, employees and officers. The 2012 Incentive Plan authorizes grants to purchase up to 6,000,000 shares of authorized but unissued common stock. As of December 31, 2014, no options were outstanding and up to an additional 126,000 shares may be issued under the 2012 Incentive Plan.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2014 and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6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r>
      <w:tr>
        <w:trPr>
          <w:trHeight w:val="202"/>
        </w:trPr>
        <w:tc>
          <w:tcPr>
            <w:tcW w:w="56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46,904</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Granted</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2,249.85</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Expired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0"/>
        </w:trPr>
        <w:tc>
          <w:tcPr>
            <w:tcW w:w="5620" w:type="dxa"/>
            <w:vAlign w:val="bottom"/>
          </w:tcPr>
          <w:p>
            <w:pPr>
              <w:spacing w:after="0"/>
              <w:rPr>
                <w:sz w:val="20"/>
                <w:szCs w:val="20"/>
                <w:color w:val="auto"/>
              </w:rPr>
            </w:pPr>
            <w:r>
              <w:rPr>
                <w:rFonts w:ascii="Arial" w:cs="Arial" w:eastAsia="Arial" w:hAnsi="Arial"/>
                <w:sz w:val="16"/>
                <w:szCs w:val="16"/>
                <w:color w:val="auto"/>
              </w:rPr>
              <w:t>Outstanding at December 31, 2013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46,591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46.37</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8.50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900"/>
              <w:spacing w:after="0"/>
              <w:rPr>
                <w:sz w:val="20"/>
                <w:szCs w:val="20"/>
                <w:color w:val="auto"/>
              </w:rPr>
            </w:pPr>
            <w:r>
              <w:rPr>
                <w:rFonts w:ascii="Arial" w:cs="Arial" w:eastAsia="Arial" w:hAnsi="Arial"/>
                <w:sz w:val="16"/>
                <w:szCs w:val="16"/>
                <w:color w:val="auto"/>
              </w:rPr>
              <w:t>—</w:t>
            </w:r>
          </w:p>
        </w:tc>
      </w:tr>
      <w:tr>
        <w:trPr>
          <w:trHeight w:val="186"/>
        </w:trPr>
        <w:tc>
          <w:tcPr>
            <w:tcW w:w="5620" w:type="dxa"/>
            <w:vAlign w:val="bottom"/>
            <w:tcBorders>
              <w:top w:val="single" w:sz="8" w:color="CCEEFF"/>
            </w:tcBorders>
            <w:shd w:val="clear" w:color="auto" w:fill="CCEEFF"/>
          </w:tcPr>
          <w:p>
            <w:pPr>
              <w:ind w:left="260"/>
              <w:spacing w:after="0" w:line="180" w:lineRule="exact"/>
              <w:rPr>
                <w:sz w:val="20"/>
                <w:szCs w:val="20"/>
                <w:color w:val="auto"/>
              </w:rPr>
            </w:pPr>
            <w:r>
              <w:rPr>
                <w:rFonts w:ascii="Arial" w:cs="Arial" w:eastAsia="Arial" w:hAnsi="Arial"/>
                <w:sz w:val="16"/>
                <w:szCs w:val="16"/>
                <w:color w:val="auto"/>
              </w:rPr>
              <w:t>Granted</w:t>
            </w:r>
          </w:p>
        </w:tc>
        <w:tc>
          <w:tcPr>
            <w:tcW w:w="1420" w:type="dxa"/>
            <w:vAlign w:val="bottom"/>
            <w:tcBorders>
              <w:top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gridSpan w:val="2"/>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Exercised</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(46,000)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4.40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Forfeited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Expired</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4,457.57</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2014</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971.70</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3.50</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53"/>
        </w:trPr>
        <w:tc>
          <w:tcPr>
            <w:tcW w:w="56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83"/>
        </w:trPr>
        <w:tc>
          <w:tcPr>
            <w:tcW w:w="562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Exercisable at December 31, 2014</w:t>
            </w:r>
          </w:p>
        </w:tc>
        <w:tc>
          <w:tcPr>
            <w:tcW w:w="12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194</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77"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rPr>
              <w:t>971.70</w:t>
            </w:r>
          </w:p>
        </w:tc>
        <w:tc>
          <w:tcPr>
            <w:tcW w:w="134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5"/>
                <w:szCs w:val="15"/>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there are no unvested option awards and no unrecognized compensation cost related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years ended December 31,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r>
      <w:tr>
        <w:trPr>
          <w:trHeight w:val="213"/>
        </w:trPr>
        <w:tc>
          <w:tcPr>
            <w:tcW w:w="5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1"/>
              </w:rPr>
              <w:t>Number of Shares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Fair Value</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January 1, 2013</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6,614,243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Granted</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944,464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r>
      <w:tr>
        <w:trPr>
          <w:trHeight w:val="203"/>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Vested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(523,750)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r>
      <w:tr>
        <w:trPr>
          <w:trHeight w:val="213"/>
        </w:trPr>
        <w:tc>
          <w:tcPr>
            <w:tcW w:w="5200" w:type="dxa"/>
            <w:vAlign w:val="bottom"/>
          </w:tcPr>
          <w:p>
            <w:pPr>
              <w:ind w:left="26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2013</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7,034,957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4.60</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Granted</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982,793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13.55</w:t>
            </w:r>
          </w:p>
        </w:tc>
      </w:tr>
      <w:tr>
        <w:trPr>
          <w:trHeight w:val="203"/>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Vested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(1,616,749)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6.53</w:t>
            </w:r>
          </w:p>
        </w:tc>
      </w:tr>
      <w:tr>
        <w:trPr>
          <w:trHeight w:val="210"/>
        </w:trPr>
        <w:tc>
          <w:tcPr>
            <w:tcW w:w="5200" w:type="dxa"/>
            <w:vAlign w:val="bottom"/>
          </w:tcPr>
          <w:p>
            <w:pPr>
              <w:ind w:left="26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6.60</w:t>
            </w:r>
          </w:p>
        </w:tc>
      </w:tr>
      <w:tr>
        <w:trPr>
          <w:trHeight w:val="21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2014</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6,400,001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Total expense associated with restricted stock grants was $20,726,512 and $5,146,743 during the years ended December 31, 2014 and 2013, respectively. As of December 31, 2014, there was approximately $15.5 million of total unrecognized compensation cost related to unvested time-based restricted stock, which is expected to be recognized over a weighted-average period of 2.1 years. This amount does not include, as of December 31, 2014, 134,302 shares of restricted stock outstanding which are milestone-based and vest upon certain corporate milestones; and 2,027,750 shares of restricted stock outstanding issued to non-employees. Milestone-based non-cash compensation expense will be measured and recorded if and when a milestone occurs.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2014 and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Warrants</w:t>
            </w:r>
          </w:p>
        </w:tc>
        <w:tc>
          <w:tcPr>
            <w:tcW w:w="11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6"/>
              </w:rPr>
              <w:t>exercise price</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January 1, 2013</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6,781,007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14,563,539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Arial" w:cs="Arial" w:eastAsia="Arial" w:hAnsi="Arial"/>
                <w:sz w:val="16"/>
                <w:szCs w:val="16"/>
                <w:color w:val="auto"/>
              </w:rPr>
              <w:t>Issued</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Exercised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(1,018,068)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Expired</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(43,992)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2013</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5,718,947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14,809,030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Arial" w:cs="Arial" w:eastAsia="Arial" w:hAnsi="Arial"/>
                <w:sz w:val="16"/>
                <w:szCs w:val="16"/>
                <w:color w:val="auto"/>
              </w:rPr>
              <w:t>Issued</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Exercised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(1,560,826)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60"/>
              <w:spacing w:after="0"/>
              <w:rPr>
                <w:sz w:val="20"/>
                <w:szCs w:val="20"/>
                <w:color w:val="auto"/>
              </w:rPr>
            </w:pPr>
            <w:r>
              <w:rPr>
                <w:rFonts w:ascii="Arial" w:cs="Arial" w:eastAsia="Arial" w:hAnsi="Arial"/>
                <w:sz w:val="16"/>
                <w:szCs w:val="16"/>
                <w:color w:val="auto"/>
              </w:rPr>
              <w:t>Expired</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(9,893)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Outstanding at December 31, 2014</w:t>
            </w: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61,792,184</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4,148,228</w:t>
            </w:r>
          </w:p>
        </w:tc>
        <w:tc>
          <w:tcPr>
            <w:tcW w:w="1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years ended December 31, 2014 and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information about stock options and restricted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 associated with restricted stock</w:t>
            </w:r>
          </w:p>
        </w:tc>
        <w:tc>
          <w:tcPr>
            <w:tcW w:w="14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20,726,512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5,146,743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Stock-based compensation expense associated with stock options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378,780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56,405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21,105,292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5,203,148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w w:val="91"/>
              </w:rPr>
              <w:t>December 31, 2014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31, 2013</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current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current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Current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portion,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Current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portion,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portion,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net</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portion,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net</w:t>
            </w: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5% Notes Payable</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275,190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64,529</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ICON Convertible Note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677,778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677,778</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Totals</w:t>
            </w: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275,190</w:t>
            </w:r>
          </w:p>
        </w:tc>
        <w:tc>
          <w:tcPr>
            <w:tcW w:w="3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677,778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64,529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742,307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transaction between the Company and TGBio. Accordingly, a valuation using the guidance in the accounting literature for business combinations (ASC 805) was performed and these notes have been presented at their fair value on the date of the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the time of our merger with Ariston in March 2010 (as discussed in Note 4),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accrues monthly, is added to principal on an annual basis, every March 8, and is payable at maturity, which is March 8,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exchange transaction with TG Biologics (“TGBio”) in December 2011, we performed a valuation of the assets and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Manhattan immediately prior to the transaction. The cumulative liability including accrued and unpaid interest of these notes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$16,876,000 immediately prior to the transaction, and $19,544,720 and $18,614,000 at December 31, 2014 and 2013, respectively. As these notes payable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tied directly to net product cash flows derived from the preexisting products of Ariston, this note and accrued interest was recorded at fair value of $3,287,700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the transaction. No payments have been made on these notes as of December 31, 2014. See Note 4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2013, the principal amount of the Amended ICON Note was $677,778, of which the entire balance had been classified as current. Interest payable on the Amended ICON Note was $190,017 as of December 31, 2013. In January 2014, we entered into a settlement and release agreement with ICON related to this note, under which we agreed to pay $772,369 in full settlement of the principal and interest due on this note, resulting in a gain of $95,427.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$69,084,000 and $46,283,000 as of December 31, 2014 and 2013, respectively.</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2014, we have U.S. net operating loss carryforwards (“NOLs”) of approximately $136,017,000. For income tax purposes, these NOLs will expire in various amounts through 2034. The Tax Reform Act of 1986 contains provisions which limit the ability to utilize net operating loss carryforwards in the case of certain events including significant changes in ownership interests. The Exchange Transaction with TG Bio may have resulted in a “change in ownership” as defined by IRC Section 382 of the Internal Revenue Code of 1986, as amended. Accordingly, a substantial portion of the Company’s NOLs above may be subject to annual limitations in reducing any future year’s taxable income.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2014 and 2013 are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(liabilities):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52,350,293</w:t>
            </w:r>
          </w:p>
        </w:tc>
        <w:tc>
          <w:tcPr>
            <w:tcW w:w="18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32,399,879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credit</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3,358,934</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2,266,167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Noncash compensation</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12,417,815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10,971,912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956,727</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rPr>
                <w:sz w:val="20"/>
                <w:szCs w:val="20"/>
                <w:color w:val="auto"/>
              </w:rPr>
            </w:pPr>
            <w:r>
              <w:rPr>
                <w:rFonts w:ascii="Arial" w:cs="Arial" w:eastAsia="Arial" w:hAnsi="Arial"/>
                <w:sz w:val="16"/>
                <w:szCs w:val="16"/>
                <w:color w:val="auto"/>
              </w:rPr>
              <w:t>Deferred tax asset, excluding valuation allowance</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69,083,769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46,282,857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(69,083,769)</w:t>
            </w: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(46,282,857)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current or deferred income tax expense for the years ended December 31, 2014 and 2013. Income tax expense differed from amounts computed by applying the US Federal income tax rate of 34% to pretax loss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 as reported in the consolidated statements of operations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(55,781,277)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(20,478,210)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Computed “expected” tax benefit</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(18,965,634)</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(6,962,592)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income taxes resulting from:</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60"/>
              <w:spacing w:after="0"/>
              <w:rPr>
                <w:sz w:val="20"/>
                <w:szCs w:val="20"/>
                <w:color w:val="auto"/>
              </w:rPr>
            </w:pPr>
            <w:r>
              <w:rPr>
                <w:rFonts w:ascii="Arial" w:cs="Arial" w:eastAsia="Arial" w:hAnsi="Arial"/>
                <w:sz w:val="16"/>
                <w:szCs w:val="16"/>
                <w:color w:val="auto"/>
              </w:rPr>
              <w:t>Expected benefit from state and local taxes</w:t>
            </w:r>
          </w:p>
        </w:tc>
        <w:tc>
          <w:tcPr>
            <w:tcW w:w="4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(2,533,156)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(917,810)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 credits</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(1,092,767)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6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43,026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Permanent difference related to contingent note payable</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(244,814)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(1,924,558)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Change in the balance of the valuation allowance for deferred tax assets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22,800,912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10,011,934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2011. However, NOLs and tax credits generated from those prior years could still be adjusted upon audit.</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recognizes interest and penalties to uncertain tax positions in income tax expense in the consolidated statements of operations. There was no accrual for interest and penalties related to uncertain tax positions for 2014 and 2013. We do not believe that there will be a material change in our unrecognized tax positions over the next twelve months. All of the unrecognized tax benefits, if recognized, would be offset by the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September 22, 2014, we exercised our option to license the global rights to TGR-1202, thereby entering into an exclusive licensing agreement (the “TGR-1202 License”) with Rhizen Pharmaceuticals, SA (“Rhizen”) for the development and commercialization of TGR-1202. Prior to this, we had been jointly developing TGR-1202 in a 50:50 joint venture with Rhizen.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With respect to TGR-1202,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sales-based milestone payments for such New Product. Additionally, Rhizen will be entitled to tiered royalties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TGR-1202 License, we recognized $4.1 million of noncash research and development expense during the year ended December 31, 2014 related to the issuance of the above mentioned common stock. In addition, we recognized $4.0 million of other research and development expense during the year ended December 31, 2014 related to the cash milestone payment.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On June 23,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connection with the license agreement, we recognized $1,211,250 of noncash research and development expense during the year ended December 31, 2014 in connection with the issuance of the above mentioned common stock.</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Additionally, Opus Point Partners, LLC, who identified the opportunity and advised us on the transaction, will also be entitled to receive a 1% royalty for annual sales of up to $1 billion. Michael S. Weiss, our Executive Chairman and Interim Chief Executive Officer, is a Managing Member of Opus Point Partners,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 upfront payment of $2,000,000, which was received in December 2012, net of $330,000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2014 and 2013, and, at December 31, 2014 and 2013, have deferred revenue of approximately $1,676,000 and $1,829,000, respectively, associated with this $2,000,000 payment (approximately $152,000 of which has been classified in current liabilities at December 31, 2014).</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LFB License Agreement, LFB maintained the right to purchase at least $750,000 in additional shares of common stock at a purchase price per share as defined in a November 2012 securities exchange agreement. Accordingly, in February 2015, LFB purchased 114,855 shares of our common stock at a price of $6.53 per share for net proceeds of $750,000.</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the terms of the LFB License Agreement, we utilize LFB Group for certain development and manufacturing services. We incurred approximately $5,200,000 and $6,300,000 in expenses for such services during the years ended December 31, 2014 and 2013, respectively, which have been included in other research and development expenses in the accompanying consolidated statements of operations. As of December 31, 2014 and 2013, we had approximately $52,000 and $1,745,000,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December 31, 2014 and 2013, we recorded $1,886,518 and $1,629,340, respectively, in prepaid research and development for such advance payments.</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March 2014, we entered into a shared services agreement with Opus Point Partners Management, LLC (“Opus”) in which the parties agreed to share a rented facility and costs for certain other services. Michael S. Weiss, our Executive Chairman and Interim Chief Executive Officer, is a Managing Member of Opus. During the year ended December 31, 2014, we incurred expenses of approximately $129,000, principally for rent, related to this agreement. As of December 31, 2014, we had approximately $23,000 recorded in accounts payable related to this shared services agreement.</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discussed in Note 8 above, in connection with the licensing agreement with Ligand, Opus Point Partners, LLC, who identified the opportunity and advised us on the transaction, will be entitled to receive a 1% royalty for annual sales of up to $1 billion.</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October 3, 2014, we entered into a Desk Space Agreement (the “Desk Agreement”) with Coronado Biosciences, Inc. (“CNDO”), to occupy approximately 40% of the New York, NY office space recently leased by CNDO. This Desk Agreement requires us to pay our respective share of the average annual rent and other costs of the 15 year lease. We approximate we will have average annual rental obligations of $1.1 million. CNDO does not expect to take possession of the space until late 2015 or early 2016. Michael S. Weiss, our Executive Chairman and Interim Chief Executive Officer, is on the board of directors and is Executive Vice Chairman, Strategic Development of CNDO.</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connection with the Desk Agreement, we paid $80,000, which is recorded in other current assets in the accompanying Consolidated Balance Sheet as of December 31, 2014. Also in connection with this lease, in October 2014 we agreed to pledge $0.6 million to secure a line of credit as a security deposit for the Desk Agreement, which has been recorded as Restricted Cash in the accompanying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Checkpoint Therapeutics, Inc. Collaboration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March 2015, we entered into a Global Collaboration (the “Collaboration”) with Checkpoint Therapeutics, Inc. (“Checkpoint”), a subsidiary of CNDO for the development and commercialization of Checkpoint’s anti-PD-L1 and anti-GITR antibody research programs in the field of hematological malignancies.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terms of the Collaboration, we will make an up-front payment of $500,000 as well as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Mr. Weiss, our Executive Chairman, Interim CEO and President is also is the Executive Vice Chairman of CNDO and the Executive Chairman of Checkpoint.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ATM</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ATM with MLV (the “2015 ATM”) such that we may issue and sell additional shares of our common stock, having an aggregate offering price of up to $75.0 million, from time to time through MLV, acting as the sales agent. Under the 2015 ATM we would pay MLV a commission rate of up to 3.0% of the gross proceeds from the sale of any shares of common stock sold through MLV.</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Subsequent to the year ended December 31, 2014, we sold a total of 1,369,777 shares of common stock under the 2015 ATM for aggregate total gross proceeds of approximately $19.7 million at an average selling price of $14.36 per share. Net proceeds were approximately $19.3 million after deducting commissions and other transactions costs.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Weiss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Chairman, Interim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16, 2015,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100" w:type="dxa"/>
            <w:vAlign w:val="bottom"/>
          </w:tcPr>
          <w:p>
            <w:pPr>
              <w:spacing w:after="0"/>
              <w:rPr>
                <w:sz w:val="20"/>
                <w:szCs w:val="20"/>
                <w:color w:val="auto"/>
              </w:rPr>
            </w:pPr>
          </w:p>
        </w:tc>
        <w:tc>
          <w:tcPr>
            <w:tcW w:w="560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r>
      <w:tr>
        <w:trPr>
          <w:trHeight w:val="196"/>
        </w:trPr>
        <w:tc>
          <w:tcPr>
            <w:tcW w:w="5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/s/ Michael S. Weiss</w:t>
            </w:r>
          </w:p>
        </w:tc>
        <w:tc>
          <w:tcPr>
            <w:tcW w:w="100" w:type="dxa"/>
            <w:vAlign w:val="bottom"/>
          </w:tcPr>
          <w:p>
            <w:pPr>
              <w:spacing w:after="0"/>
              <w:rPr>
                <w:sz w:val="17"/>
                <w:szCs w:val="17"/>
                <w:color w:val="auto"/>
              </w:rPr>
            </w:pPr>
          </w:p>
        </w:tc>
        <w:tc>
          <w:tcPr>
            <w:tcW w:w="5600" w:type="dxa"/>
            <w:vAlign w:val="bottom"/>
          </w:tcPr>
          <w:p>
            <w:pPr>
              <w:spacing w:after="0" w:line="196" w:lineRule="exact"/>
              <w:rPr>
                <w:sz w:val="20"/>
                <w:szCs w:val="20"/>
                <w:color w:val="auto"/>
              </w:rPr>
            </w:pPr>
            <w:r>
              <w:rPr>
                <w:rFonts w:ascii="Arial" w:cs="Arial" w:eastAsia="Arial" w:hAnsi="Arial"/>
                <w:sz w:val="18"/>
                <w:szCs w:val="18"/>
                <w:color w:val="auto"/>
              </w:rPr>
              <w:t>Executive Chairman, Interim Chief Executive Officer and President</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89"/>
              </w:rPr>
              <w:t>Michael S. Weiss</w:t>
            </w:r>
          </w:p>
        </w:tc>
        <w:tc>
          <w:tcPr>
            <w:tcW w:w="10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Sean A. Power</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89"/>
              </w:rPr>
              <w:t>Sean A. Power</w:t>
            </w:r>
          </w:p>
        </w:tc>
        <w:tc>
          <w:tcPr>
            <w:tcW w:w="10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Laurence N. Charney</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89"/>
              </w:rPr>
              <w:t>Laurence N. Charney</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Yann Echelard</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89"/>
              </w:rPr>
              <w:t>Yann Echelard</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Neil Herskowitz</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95"/>
              </w:rPr>
              <w:t>Neil Herskowitz</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J. Kennedy</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94"/>
              </w:rPr>
              <w:t>William J. Kennedy</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Schoenebaum, M.D.</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95"/>
        </w:trPr>
        <w:tc>
          <w:tcPr>
            <w:tcW w:w="5720" w:type="dxa"/>
            <w:vAlign w:val="bottom"/>
          </w:tcPr>
          <w:p>
            <w:pPr>
              <w:jc w:val="center"/>
              <w:spacing w:after="0" w:line="195" w:lineRule="exact"/>
              <w:rPr>
                <w:sz w:val="20"/>
                <w:szCs w:val="20"/>
                <w:color w:val="auto"/>
              </w:rPr>
            </w:pPr>
            <w:r>
              <w:rPr>
                <w:rFonts w:ascii="Arial" w:cs="Arial" w:eastAsia="Arial" w:hAnsi="Arial"/>
                <w:sz w:val="18"/>
                <w:szCs w:val="18"/>
                <w:color w:val="auto"/>
                <w:w w:val="91"/>
              </w:rPr>
              <w:t>Mark Schoenebaum, M.D.</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Hoberman</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720" w:type="dxa"/>
            <w:vAlign w:val="bottom"/>
          </w:tcPr>
          <w:p>
            <w:pPr>
              <w:jc w:val="center"/>
              <w:spacing w:after="0"/>
              <w:rPr>
                <w:sz w:val="20"/>
                <w:szCs w:val="20"/>
                <w:color w:val="auto"/>
              </w:rPr>
            </w:pPr>
            <w:r>
              <w:rPr>
                <w:rFonts w:ascii="Arial" w:cs="Arial" w:eastAsia="Arial" w:hAnsi="Arial"/>
                <w:sz w:val="18"/>
                <w:szCs w:val="18"/>
                <w:color w:val="auto"/>
                <w:w w:val="90"/>
              </w:rPr>
              <w:t>Kenneth Hoberman</w:t>
            </w: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634"/>
        </w:trPr>
        <w:tc>
          <w:tcPr>
            <w:tcW w:w="5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70" w:name="page71"/>
    <w:bookmarkEnd w:id="70"/>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333-48531, 333-15807, 333-112889, 333-181439 and 333-143838 on Form S-8 and registration statement Nos. 333-189015 and 333-201339 on Form S-3 of our report dated March 16, 2015 on our audits of the consolidated financial statements of TG Therapeutics, Inc. and Subsidiaries as of December 31, 2014 and 2013, and for the years then ended, and our report on our audit of the internal control over financial reporting of TG Therapeutics, Inc. and Subsidiaries as of December 31, 2014, dated March 16, 2015, included in this Annual Report on Form 10-K of TG Therapeutics, Inc. and Subsidiaries for the year ended December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March 16, 2015</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9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40" w:right="6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140" w:hanging="328"/>
        <w:spacing w:after="0" w:line="264" w:lineRule="auto"/>
        <w:tabs>
          <w:tab w:leader="none" w:pos="5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20" w:hanging="328"/>
        <w:spacing w:after="0" w:line="264" w:lineRule="auto"/>
        <w:tabs>
          <w:tab w:leader="none" w:pos="5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566"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200" w:hanging="328"/>
        <w:spacing w:after="0" w:line="264" w:lineRule="auto"/>
        <w:tabs>
          <w:tab w:leader="none" w:pos="5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March 16, 2015</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1008"/>
        <w:spacing w:after="0" w:line="312"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2014 as filed with the Securities and Exchange Commission (the “Report”), I, Michael S. Weiss, Executive Chairman, Interim Chief Executive Officer and President of the Company, certify, pursuant to 18 U.S.C. §1350, as adopted pursuant to §906 of the Sarbanes-Oxley Act of 2002, that, based on my knowledge:</w:t>
      </w:r>
    </w:p>
    <w:p>
      <w:pPr>
        <w:spacing w:after="0" w:line="147" w:lineRule="exact"/>
        <w:rPr>
          <w:sz w:val="20"/>
          <w:szCs w:val="20"/>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March 16, 2015</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8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2014 as filed with the Securities and Exchange Commission (the “Report”), I, Sean A. Power, Chief Financial Officer of the Company, certify, pursuant to 18 U.S.C. §1350, as adopted pursuant to §906 of the Sarbanes-Oxley Act of 2002, that, based on my knowledge:</w:t>
      </w:r>
    </w:p>
    <w:p>
      <w:pPr>
        <w:spacing w:after="0" w:line="181" w:lineRule="exact"/>
        <w:rPr>
          <w:sz w:val="20"/>
          <w:szCs w:val="20"/>
          <w:color w:val="auto"/>
        </w:rPr>
      </w:pPr>
    </w:p>
    <w:p>
      <w:pPr>
        <w:ind w:left="680" w:hanging="348"/>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March 16, 2015</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lvl w:ilvl="1">
      <w:lvlJc w:val="left"/>
      <w:lvlText w:val="%2"/>
      <w:numFmt w:val="decimal"/>
      <w:start w:val="10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2019-12-29T18:20:04Z</dcterms:created>
  <dcterms:modified xsi:type="dcterms:W3CDTF">2019-12-29T18:20:04Z</dcterms:modified>
</cp:coreProperties>
</file>