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As filed with the Securities and Exchange Commission on August 8, 2025</w:t>
      </w:r>
    </w:p>
    <w:p>
      <w:pPr>
        <w:jc w:val="right"/>
        <w:spacing w:after="0"/>
        <w:rPr>
          <w:sz w:val="20"/>
          <w:szCs w:val="20"/>
          <w:color w:val="auto"/>
        </w:rPr>
      </w:pPr>
      <w:r>
        <w:rPr>
          <w:rFonts w:ascii="Times New Roman" w:cs="Times New Roman" w:eastAsia="Times New Roman" w:hAnsi="Times New Roman"/>
          <w:sz w:val="10"/>
          <w:szCs w:val="10"/>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7160260"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203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73025</wp:posOffset>
            </wp:positionV>
            <wp:extent cx="71602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UNITED STATES</w:t>
      </w:r>
    </w:p>
    <w:p>
      <w:pPr>
        <w:jc w:val="center"/>
        <w:spacing w:after="0" w:line="234" w:lineRule="auto"/>
        <w:rPr>
          <w:sz w:val="20"/>
          <w:szCs w:val="20"/>
          <w:color w:val="auto"/>
        </w:rPr>
      </w:pPr>
      <w:r>
        <w:rPr>
          <w:rFonts w:ascii="Times New Roman" w:cs="Times New Roman" w:eastAsia="Times New Roman" w:hAnsi="Times New Roman"/>
          <w:sz w:val="10"/>
          <w:szCs w:val="1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0"/>
          <w:szCs w:val="1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3047365</wp:posOffset>
            </wp:positionH>
            <wp:positionV relativeFrom="paragraph">
              <wp:posOffset>59055</wp:posOffset>
            </wp:positionV>
            <wp:extent cx="10737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73785" cy="6985"/>
                    </a:xfrm>
                    <a:prstGeom prst="rect">
                      <a:avLst/>
                    </a:prstGeom>
                    <a:noFill/>
                  </pic:spPr>
                </pic:pic>
              </a:graphicData>
            </a:graphic>
          </wp:anchor>
        </w:drawing>
      </w:r>
    </w:p>
    <w:p>
      <w:pPr>
        <w:spacing w:after="0" w:line="159" w:lineRule="exact"/>
        <w:rPr>
          <w:sz w:val="24"/>
          <w:szCs w:val="24"/>
          <w:color w:val="auto"/>
        </w:rPr>
      </w:pPr>
    </w:p>
    <w:tbl>
      <w:tblPr>
        <w:tblLayout w:type="fixed"/>
        <w:tblInd w:w="520" w:type="dxa"/>
        <w:tblCellMar>
          <w:top w:w="0" w:type="dxa"/>
          <w:left w:w="0" w:type="dxa"/>
          <w:bottom w:w="0" w:type="dxa"/>
          <w:right w:w="0" w:type="dxa"/>
        </w:tblCellMar>
      </w:tblPr>
      <w:tr>
        <w:trPr>
          <w:trHeight w:val="244"/>
        </w:trPr>
        <w:tc>
          <w:tcPr>
            <w:tcW w:w="4280" w:type="dxa"/>
            <w:vAlign w:val="bottom"/>
          </w:tcPr>
          <w:p>
            <w:pPr>
              <w:spacing w:after="0"/>
              <w:rPr>
                <w:sz w:val="21"/>
                <w:szCs w:val="21"/>
                <w:color w:val="auto"/>
              </w:rPr>
            </w:pPr>
          </w:p>
        </w:tc>
        <w:tc>
          <w:tcPr>
            <w:tcW w:w="2900" w:type="dxa"/>
            <w:vAlign w:val="bottom"/>
            <w:gridSpan w:val="2"/>
          </w:tcPr>
          <w:p>
            <w:pPr>
              <w:jc w:val="center"/>
              <w:ind w:right="1200"/>
              <w:spacing w:after="0"/>
              <w:rPr>
                <w:sz w:val="20"/>
                <w:szCs w:val="20"/>
                <w:color w:val="auto"/>
              </w:rPr>
            </w:pPr>
            <w:r>
              <w:rPr>
                <w:rFonts w:ascii="Times New Roman" w:cs="Times New Roman" w:eastAsia="Times New Roman" w:hAnsi="Times New Roman"/>
                <w:sz w:val="20"/>
                <w:szCs w:val="20"/>
                <w:b w:val="1"/>
                <w:bCs w:val="1"/>
                <w:color w:val="auto"/>
              </w:rPr>
              <w:t>FORM S-3</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4280" w:type="dxa"/>
            <w:vAlign w:val="bottom"/>
          </w:tcPr>
          <w:p>
            <w:pPr>
              <w:spacing w:after="0"/>
              <w:rPr>
                <w:sz w:val="9"/>
                <w:szCs w:val="9"/>
                <w:color w:val="auto"/>
              </w:rPr>
            </w:pPr>
          </w:p>
        </w:tc>
        <w:tc>
          <w:tcPr>
            <w:tcW w:w="2900" w:type="dxa"/>
            <w:vAlign w:val="bottom"/>
            <w:gridSpan w:val="2"/>
          </w:tcPr>
          <w:p>
            <w:pPr>
              <w:jc w:val="center"/>
              <w:ind w:right="1200"/>
              <w:spacing w:after="0" w:line="108" w:lineRule="exact"/>
              <w:rPr>
                <w:sz w:val="20"/>
                <w:szCs w:val="20"/>
                <w:color w:val="auto"/>
              </w:rPr>
            </w:pPr>
            <w:r>
              <w:rPr>
                <w:rFonts w:ascii="Times New Roman" w:cs="Times New Roman" w:eastAsia="Times New Roman" w:hAnsi="Times New Roman"/>
                <w:sz w:val="10"/>
                <w:szCs w:val="10"/>
                <w:b w:val="1"/>
                <w:bCs w:val="1"/>
                <w:color w:val="auto"/>
                <w:w w:val="99"/>
              </w:rPr>
              <w:t>REGISTRATION STATEMENT</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280" w:type="dxa"/>
            <w:vAlign w:val="bottom"/>
          </w:tcPr>
          <w:p>
            <w:pPr>
              <w:spacing w:after="0"/>
              <w:rPr>
                <w:sz w:val="9"/>
                <w:szCs w:val="9"/>
                <w:color w:val="auto"/>
              </w:rPr>
            </w:pPr>
          </w:p>
        </w:tc>
        <w:tc>
          <w:tcPr>
            <w:tcW w:w="2900" w:type="dxa"/>
            <w:vAlign w:val="bottom"/>
            <w:gridSpan w:val="2"/>
          </w:tcPr>
          <w:p>
            <w:pPr>
              <w:jc w:val="center"/>
              <w:ind w:right="1220"/>
              <w:spacing w:after="0" w:line="108" w:lineRule="exact"/>
              <w:rPr>
                <w:sz w:val="20"/>
                <w:szCs w:val="20"/>
                <w:color w:val="auto"/>
              </w:rPr>
            </w:pPr>
            <w:r>
              <w:rPr>
                <w:rFonts w:ascii="Times New Roman" w:cs="Times New Roman" w:eastAsia="Times New Roman" w:hAnsi="Times New Roman"/>
                <w:sz w:val="10"/>
                <w:szCs w:val="10"/>
                <w:b w:val="1"/>
                <w:bCs w:val="1"/>
                <w:color w:val="auto"/>
              </w:rPr>
              <w:t>UNDER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4280" w:type="dxa"/>
            <w:vAlign w:val="bottom"/>
          </w:tcPr>
          <w:p>
            <w:pPr>
              <w:spacing w:after="0"/>
              <w:rPr>
                <w:sz w:val="11"/>
                <w:szCs w:val="11"/>
                <w:color w:val="auto"/>
              </w:rPr>
            </w:pPr>
          </w:p>
        </w:tc>
        <w:tc>
          <w:tcPr>
            <w:tcW w:w="2900" w:type="dxa"/>
            <w:vAlign w:val="bottom"/>
            <w:gridSpan w:val="2"/>
          </w:tcPr>
          <w:p>
            <w:pPr>
              <w:jc w:val="center"/>
              <w:ind w:right="1220"/>
              <w:spacing w:after="0"/>
              <w:rPr>
                <w:sz w:val="20"/>
                <w:szCs w:val="20"/>
                <w:color w:val="auto"/>
              </w:rPr>
            </w:pPr>
            <w:r>
              <w:rPr>
                <w:rFonts w:ascii="Times New Roman" w:cs="Times New Roman" w:eastAsia="Times New Roman" w:hAnsi="Times New Roman"/>
                <w:sz w:val="10"/>
                <w:szCs w:val="10"/>
                <w:b w:val="1"/>
                <w:bCs w:val="1"/>
                <w:color w:val="auto"/>
              </w:rPr>
              <w:t>THE SECURITIES ACT OF 1933</w:t>
            </w: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4280" w:type="dxa"/>
            <w:vAlign w:val="bottom"/>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12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7180" w:type="dxa"/>
            <w:vAlign w:val="bottom"/>
            <w:gridSpan w:val="3"/>
          </w:tcPr>
          <w:p>
            <w:pPr>
              <w:jc w:val="center"/>
              <w:ind w:left="3023"/>
              <w:spacing w:after="0"/>
              <w:rPr>
                <w:sz w:val="20"/>
                <w:szCs w:val="20"/>
                <w:color w:val="auto"/>
              </w:rPr>
            </w:pPr>
            <w:r>
              <w:rPr>
                <w:rFonts w:ascii="Times New Roman" w:cs="Times New Roman" w:eastAsia="Times New Roman" w:hAnsi="Times New Roman"/>
                <w:sz w:val="26"/>
                <w:szCs w:val="26"/>
                <w:b w:val="1"/>
                <w:bCs w:val="1"/>
                <w:color w:val="auto"/>
                <w:w w:val="99"/>
              </w:rPr>
              <w:t>TG THERAPEUTICS, INC.</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7180" w:type="dxa"/>
            <w:vAlign w:val="bottom"/>
            <w:gridSpan w:val="3"/>
          </w:tcPr>
          <w:p>
            <w:pPr>
              <w:jc w:val="center"/>
              <w:ind w:left="3003"/>
              <w:spacing w:after="0"/>
              <w:rPr>
                <w:sz w:val="20"/>
                <w:szCs w:val="20"/>
                <w:color w:val="auto"/>
              </w:rPr>
            </w:pPr>
            <w:r>
              <w:rPr>
                <w:rFonts w:ascii="Times New Roman" w:cs="Times New Roman" w:eastAsia="Times New Roman" w:hAnsi="Times New Roman"/>
                <w:sz w:val="10"/>
                <w:szCs w:val="10"/>
                <w:b w:val="1"/>
                <w:bCs w:val="1"/>
                <w:color w:val="auto"/>
              </w:rPr>
              <w:t>(Exact Name of Registrant as Specified in Its Charter)</w:t>
            </w: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4280" w:type="dxa"/>
            <w:vAlign w:val="bottom"/>
            <w:vMerge w:val="restart"/>
          </w:tcPr>
          <w:p>
            <w:pPr>
              <w:jc w:val="center"/>
              <w:ind w:left="283"/>
              <w:spacing w:after="0"/>
              <w:rPr>
                <w:sz w:val="20"/>
                <w:szCs w:val="20"/>
                <w:color w:val="auto"/>
              </w:rPr>
            </w:pPr>
            <w:r>
              <w:rPr>
                <w:rFonts w:ascii="Times New Roman" w:cs="Times New Roman" w:eastAsia="Times New Roman" w:hAnsi="Times New Roman"/>
                <w:sz w:val="10"/>
                <w:szCs w:val="10"/>
                <w:b w:val="1"/>
                <w:bCs w:val="1"/>
                <w:color w:val="auto"/>
              </w:rPr>
              <w:t>Delaware</w:t>
            </w:r>
          </w:p>
        </w:tc>
        <w:tc>
          <w:tcPr>
            <w:tcW w:w="1680" w:type="dxa"/>
            <w:vAlign w:val="bottom"/>
            <w:tcBorders>
              <w:bottom w:val="single" w:sz="8" w:color="auto"/>
            </w:tcBorders>
          </w:tcPr>
          <w:p>
            <w:pPr>
              <w:spacing w:after="0"/>
              <w:rPr>
                <w:sz w:val="7"/>
                <w:szCs w:val="7"/>
                <w:color w:val="auto"/>
              </w:rPr>
            </w:pPr>
          </w:p>
        </w:tc>
        <w:tc>
          <w:tcPr>
            <w:tcW w:w="1220" w:type="dxa"/>
            <w:vAlign w:val="bottom"/>
            <w:vMerge w:val="restart"/>
          </w:tcPr>
          <w:p>
            <w:pPr>
              <w:spacing w:after="0"/>
              <w:rPr>
                <w:sz w:val="7"/>
                <w:szCs w:val="7"/>
                <w:color w:val="auto"/>
              </w:rPr>
            </w:pPr>
          </w:p>
        </w:tc>
        <w:tc>
          <w:tcPr>
            <w:tcW w:w="1500" w:type="dxa"/>
            <w:vAlign w:val="bottom"/>
            <w:vMerge w:val="restart"/>
          </w:tcPr>
          <w:p>
            <w:pPr>
              <w:jc w:val="right"/>
              <w:ind w:right="450"/>
              <w:spacing w:after="0"/>
              <w:rPr>
                <w:sz w:val="20"/>
                <w:szCs w:val="20"/>
                <w:color w:val="auto"/>
              </w:rPr>
            </w:pPr>
            <w:r>
              <w:rPr>
                <w:rFonts w:ascii="Times New Roman" w:cs="Times New Roman" w:eastAsia="Times New Roman" w:hAnsi="Times New Roman"/>
                <w:sz w:val="10"/>
                <w:szCs w:val="10"/>
                <w:b w:val="1"/>
                <w:bCs w:val="1"/>
                <w:color w:val="auto"/>
              </w:rPr>
              <w:t>36-3898269</w:t>
            </w:r>
          </w:p>
        </w:tc>
        <w:tc>
          <w:tcPr>
            <w:tcW w:w="0" w:type="dxa"/>
            <w:vAlign w:val="bottom"/>
          </w:tcPr>
          <w:p>
            <w:pPr>
              <w:spacing w:after="0"/>
              <w:rPr>
                <w:sz w:val="1"/>
                <w:szCs w:val="1"/>
                <w:color w:val="auto"/>
              </w:rPr>
            </w:pPr>
          </w:p>
        </w:tc>
      </w:tr>
      <w:tr>
        <w:trPr>
          <w:trHeight w:val="85"/>
        </w:trPr>
        <w:tc>
          <w:tcPr>
            <w:tcW w:w="428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7180" w:type="dxa"/>
            <w:vAlign w:val="bottom"/>
            <w:gridSpan w:val="3"/>
          </w:tcPr>
          <w:p>
            <w:pPr>
              <w:jc w:val="center"/>
              <w:ind w:right="2580"/>
              <w:spacing w:after="0" w:line="106" w:lineRule="exact"/>
              <w:rPr>
                <w:sz w:val="20"/>
                <w:szCs w:val="20"/>
                <w:color w:val="auto"/>
              </w:rPr>
            </w:pPr>
            <w:r>
              <w:rPr>
                <w:rFonts w:ascii="Times New Roman" w:cs="Times New Roman" w:eastAsia="Times New Roman" w:hAnsi="Times New Roman"/>
                <w:sz w:val="10"/>
                <w:szCs w:val="10"/>
                <w:color w:val="auto"/>
              </w:rPr>
              <w:t>(State or other jurisdiction of incorporation or organization)</w:t>
            </w:r>
          </w:p>
        </w:tc>
        <w:tc>
          <w:tcPr>
            <w:tcW w:w="1500" w:type="dxa"/>
            <w:vAlign w:val="bottom"/>
          </w:tcPr>
          <w:p>
            <w:pPr>
              <w:jc w:val="center"/>
              <w:spacing w:after="0" w:line="106" w:lineRule="exact"/>
              <w:rPr>
                <w:sz w:val="20"/>
                <w:szCs w:val="20"/>
                <w:color w:val="auto"/>
              </w:rPr>
            </w:pPr>
            <w:r>
              <w:rPr>
                <w:rFonts w:ascii="Times New Roman" w:cs="Times New Roman" w:eastAsia="Times New Roman" w:hAnsi="Times New Roman"/>
                <w:sz w:val="10"/>
                <w:szCs w:val="10"/>
                <w:color w:val="auto"/>
              </w:rPr>
              <w:t>(I.R.S. Employer Identification No.)</w:t>
            </w:r>
          </w:p>
        </w:tc>
        <w:tc>
          <w:tcPr>
            <w:tcW w:w="0" w:type="dxa"/>
            <w:vAlign w:val="bottom"/>
          </w:tcPr>
          <w:p>
            <w:pPr>
              <w:spacing w:after="0"/>
              <w:rPr>
                <w:sz w:val="1"/>
                <w:szCs w:val="1"/>
                <w:color w:val="auto"/>
              </w:rPr>
            </w:pPr>
          </w:p>
        </w:tc>
      </w:tr>
      <w:tr>
        <w:trPr>
          <w:trHeight w:val="108"/>
        </w:trPr>
        <w:tc>
          <w:tcPr>
            <w:tcW w:w="4280" w:type="dxa"/>
            <w:vAlign w:val="bottom"/>
          </w:tcPr>
          <w:p>
            <w:pPr>
              <w:spacing w:after="0"/>
              <w:rPr>
                <w:sz w:val="9"/>
                <w:szCs w:val="9"/>
                <w:color w:val="auto"/>
              </w:rPr>
            </w:pPr>
          </w:p>
        </w:tc>
        <w:tc>
          <w:tcPr>
            <w:tcW w:w="2900" w:type="dxa"/>
            <w:vAlign w:val="bottom"/>
            <w:gridSpan w:val="2"/>
          </w:tcPr>
          <w:p>
            <w:pPr>
              <w:jc w:val="center"/>
              <w:ind w:right="1200"/>
              <w:spacing w:after="0" w:line="108" w:lineRule="exact"/>
              <w:rPr>
                <w:sz w:val="20"/>
                <w:szCs w:val="20"/>
                <w:color w:val="auto"/>
              </w:rPr>
            </w:pPr>
            <w:r>
              <w:rPr>
                <w:rFonts w:ascii="Times New Roman" w:cs="Times New Roman" w:eastAsia="Times New Roman" w:hAnsi="Times New Roman"/>
                <w:sz w:val="10"/>
                <w:szCs w:val="10"/>
                <w:b w:val="1"/>
                <w:bCs w:val="1"/>
                <w:color w:val="auto"/>
              </w:rPr>
              <w:t>3020 Carrington Mill Blvd, Suite 475</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280" w:type="dxa"/>
            <w:vAlign w:val="bottom"/>
          </w:tcPr>
          <w:p>
            <w:pPr>
              <w:spacing w:after="0"/>
              <w:rPr>
                <w:sz w:val="9"/>
                <w:szCs w:val="9"/>
                <w:color w:val="auto"/>
              </w:rPr>
            </w:pPr>
          </w:p>
        </w:tc>
        <w:tc>
          <w:tcPr>
            <w:tcW w:w="2900" w:type="dxa"/>
            <w:vAlign w:val="bottom"/>
            <w:gridSpan w:val="2"/>
          </w:tcPr>
          <w:p>
            <w:pPr>
              <w:jc w:val="center"/>
              <w:ind w:right="1200"/>
              <w:spacing w:after="0" w:line="108" w:lineRule="exact"/>
              <w:rPr>
                <w:sz w:val="20"/>
                <w:szCs w:val="20"/>
                <w:color w:val="auto"/>
              </w:rPr>
            </w:pPr>
            <w:r>
              <w:rPr>
                <w:rFonts w:ascii="Times New Roman" w:cs="Times New Roman" w:eastAsia="Times New Roman" w:hAnsi="Times New Roman"/>
                <w:sz w:val="10"/>
                <w:szCs w:val="10"/>
                <w:b w:val="1"/>
                <w:bCs w:val="1"/>
                <w:color w:val="auto"/>
                <w:w w:val="99"/>
              </w:rPr>
              <w:t>Morrisville, North Carolina 27560</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5960" w:type="dxa"/>
            <w:vAlign w:val="bottom"/>
            <w:gridSpan w:val="2"/>
          </w:tcPr>
          <w:p>
            <w:pPr>
              <w:jc w:val="center"/>
              <w:ind w:left="4243"/>
              <w:spacing w:after="0" w:line="110" w:lineRule="exact"/>
              <w:rPr>
                <w:sz w:val="20"/>
                <w:szCs w:val="20"/>
                <w:color w:val="auto"/>
              </w:rPr>
            </w:pPr>
            <w:r>
              <w:rPr>
                <w:rFonts w:ascii="Times New Roman" w:cs="Times New Roman" w:eastAsia="Times New Roman" w:hAnsi="Times New Roman"/>
                <w:sz w:val="10"/>
                <w:szCs w:val="10"/>
                <w:b w:val="1"/>
                <w:bCs w:val="1"/>
                <w:color w:val="auto"/>
                <w:w w:val="99"/>
              </w:rPr>
              <w:t>(212) 554-4484</w:t>
            </w:r>
          </w:p>
        </w:tc>
        <w:tc>
          <w:tcPr>
            <w:tcW w:w="1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8680" w:type="dxa"/>
            <w:vAlign w:val="bottom"/>
            <w:gridSpan w:val="4"/>
          </w:tcPr>
          <w:p>
            <w:pPr>
              <w:jc w:val="center"/>
              <w:ind w:left="1523"/>
              <w:spacing w:after="0"/>
              <w:rPr>
                <w:sz w:val="20"/>
                <w:szCs w:val="20"/>
                <w:color w:val="auto"/>
              </w:rPr>
            </w:pPr>
            <w:r>
              <w:rPr>
                <w:rFonts w:ascii="Times New Roman" w:cs="Times New Roman" w:eastAsia="Times New Roman" w:hAnsi="Times New Roman"/>
                <w:sz w:val="10"/>
                <w:szCs w:val="10"/>
                <w:color w:val="auto"/>
              </w:rPr>
              <w:t>(Address, including zip code, and telephone number, including area code, of registrant’s principal executive offices)</w:t>
            </w:r>
          </w:p>
        </w:tc>
        <w:tc>
          <w:tcPr>
            <w:tcW w:w="0" w:type="dxa"/>
            <w:vAlign w:val="bottom"/>
          </w:tcPr>
          <w:p>
            <w:pPr>
              <w:spacing w:after="0"/>
              <w:rPr>
                <w:sz w:val="1"/>
                <w:szCs w:val="1"/>
                <w:color w:val="auto"/>
              </w:rPr>
            </w:pPr>
          </w:p>
        </w:tc>
      </w:tr>
      <w:tr>
        <w:trPr>
          <w:trHeight w:val="88"/>
        </w:trPr>
        <w:tc>
          <w:tcPr>
            <w:tcW w:w="4280" w:type="dxa"/>
            <w:vAlign w:val="bottom"/>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12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4280" w:type="dxa"/>
            <w:vAlign w:val="bottom"/>
          </w:tcPr>
          <w:p>
            <w:pPr>
              <w:spacing w:after="0"/>
              <w:rPr>
                <w:sz w:val="15"/>
                <w:szCs w:val="15"/>
                <w:color w:val="auto"/>
              </w:rPr>
            </w:pPr>
          </w:p>
        </w:tc>
        <w:tc>
          <w:tcPr>
            <w:tcW w:w="2900" w:type="dxa"/>
            <w:vAlign w:val="bottom"/>
            <w:gridSpan w:val="2"/>
          </w:tcPr>
          <w:p>
            <w:pPr>
              <w:jc w:val="center"/>
              <w:ind w:right="1200"/>
              <w:spacing w:after="0"/>
              <w:rPr>
                <w:sz w:val="20"/>
                <w:szCs w:val="20"/>
                <w:color w:val="auto"/>
              </w:rPr>
            </w:pPr>
            <w:r>
              <w:rPr>
                <w:rFonts w:ascii="Times New Roman" w:cs="Times New Roman" w:eastAsia="Times New Roman" w:hAnsi="Times New Roman"/>
                <w:sz w:val="10"/>
                <w:szCs w:val="10"/>
                <w:b w:val="1"/>
                <w:bCs w:val="1"/>
                <w:color w:val="auto"/>
                <w:w w:val="99"/>
              </w:rPr>
              <w:t>Sean Power</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280" w:type="dxa"/>
            <w:vAlign w:val="bottom"/>
          </w:tcPr>
          <w:p>
            <w:pPr>
              <w:spacing w:after="0"/>
              <w:rPr>
                <w:sz w:val="9"/>
                <w:szCs w:val="9"/>
                <w:color w:val="auto"/>
              </w:rPr>
            </w:pPr>
          </w:p>
        </w:tc>
        <w:tc>
          <w:tcPr>
            <w:tcW w:w="2900" w:type="dxa"/>
            <w:vAlign w:val="bottom"/>
            <w:gridSpan w:val="2"/>
          </w:tcPr>
          <w:p>
            <w:pPr>
              <w:jc w:val="center"/>
              <w:ind w:right="1220"/>
              <w:spacing w:after="0" w:line="108" w:lineRule="exact"/>
              <w:rPr>
                <w:sz w:val="20"/>
                <w:szCs w:val="20"/>
                <w:color w:val="auto"/>
              </w:rPr>
            </w:pPr>
            <w:r>
              <w:rPr>
                <w:rFonts w:ascii="Times New Roman" w:cs="Times New Roman" w:eastAsia="Times New Roman" w:hAnsi="Times New Roman"/>
                <w:sz w:val="10"/>
                <w:szCs w:val="10"/>
                <w:b w:val="1"/>
                <w:bCs w:val="1"/>
                <w:color w:val="auto"/>
              </w:rPr>
              <w:t>Chief Financial Officer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280" w:type="dxa"/>
            <w:vAlign w:val="bottom"/>
          </w:tcPr>
          <w:p>
            <w:pPr>
              <w:spacing w:after="0"/>
              <w:rPr>
                <w:sz w:val="9"/>
                <w:szCs w:val="9"/>
                <w:color w:val="auto"/>
              </w:rPr>
            </w:pPr>
          </w:p>
        </w:tc>
        <w:tc>
          <w:tcPr>
            <w:tcW w:w="2900" w:type="dxa"/>
            <w:vAlign w:val="bottom"/>
            <w:gridSpan w:val="2"/>
          </w:tcPr>
          <w:p>
            <w:pPr>
              <w:jc w:val="center"/>
              <w:ind w:right="1220"/>
              <w:spacing w:after="0" w:line="108" w:lineRule="exact"/>
              <w:rPr>
                <w:sz w:val="20"/>
                <w:szCs w:val="20"/>
                <w:color w:val="auto"/>
              </w:rPr>
            </w:pPr>
            <w:r>
              <w:rPr>
                <w:rFonts w:ascii="Times New Roman" w:cs="Times New Roman" w:eastAsia="Times New Roman" w:hAnsi="Times New Roman"/>
                <w:sz w:val="10"/>
                <w:szCs w:val="10"/>
                <w:b w:val="1"/>
                <w:bCs w:val="1"/>
                <w:color w:val="auto"/>
              </w:rPr>
              <w:t>TG Therapeutics, Inc.</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280" w:type="dxa"/>
            <w:vAlign w:val="bottom"/>
          </w:tcPr>
          <w:p>
            <w:pPr>
              <w:spacing w:after="0"/>
              <w:rPr>
                <w:sz w:val="9"/>
                <w:szCs w:val="9"/>
                <w:color w:val="auto"/>
              </w:rPr>
            </w:pPr>
          </w:p>
        </w:tc>
        <w:tc>
          <w:tcPr>
            <w:tcW w:w="2900" w:type="dxa"/>
            <w:vAlign w:val="bottom"/>
            <w:gridSpan w:val="2"/>
          </w:tcPr>
          <w:p>
            <w:pPr>
              <w:jc w:val="center"/>
              <w:ind w:right="1200"/>
              <w:spacing w:after="0" w:line="108" w:lineRule="exact"/>
              <w:rPr>
                <w:sz w:val="20"/>
                <w:szCs w:val="20"/>
                <w:color w:val="auto"/>
              </w:rPr>
            </w:pPr>
            <w:r>
              <w:rPr>
                <w:rFonts w:ascii="Times New Roman" w:cs="Times New Roman" w:eastAsia="Times New Roman" w:hAnsi="Times New Roman"/>
                <w:sz w:val="10"/>
                <w:szCs w:val="10"/>
                <w:b w:val="1"/>
                <w:bCs w:val="1"/>
                <w:color w:val="auto"/>
              </w:rPr>
              <w:t>3020 Carrington Mill Blvd, Suite 475</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280" w:type="dxa"/>
            <w:vAlign w:val="bottom"/>
          </w:tcPr>
          <w:p>
            <w:pPr>
              <w:spacing w:after="0"/>
              <w:rPr>
                <w:sz w:val="9"/>
                <w:szCs w:val="9"/>
                <w:color w:val="auto"/>
              </w:rPr>
            </w:pPr>
          </w:p>
        </w:tc>
        <w:tc>
          <w:tcPr>
            <w:tcW w:w="2900" w:type="dxa"/>
            <w:vAlign w:val="bottom"/>
            <w:gridSpan w:val="2"/>
          </w:tcPr>
          <w:p>
            <w:pPr>
              <w:jc w:val="center"/>
              <w:ind w:right="1200"/>
              <w:spacing w:after="0" w:line="108" w:lineRule="exact"/>
              <w:rPr>
                <w:sz w:val="20"/>
                <w:szCs w:val="20"/>
                <w:color w:val="auto"/>
              </w:rPr>
            </w:pPr>
            <w:r>
              <w:rPr>
                <w:rFonts w:ascii="Times New Roman" w:cs="Times New Roman" w:eastAsia="Times New Roman" w:hAnsi="Times New Roman"/>
                <w:sz w:val="10"/>
                <w:szCs w:val="10"/>
                <w:b w:val="1"/>
                <w:bCs w:val="1"/>
                <w:color w:val="auto"/>
                <w:w w:val="99"/>
              </w:rPr>
              <w:t>Morrisville, North Carolina 27560</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5960" w:type="dxa"/>
            <w:vAlign w:val="bottom"/>
            <w:gridSpan w:val="2"/>
          </w:tcPr>
          <w:p>
            <w:pPr>
              <w:jc w:val="center"/>
              <w:ind w:left="4243"/>
              <w:spacing w:after="0" w:line="110" w:lineRule="exact"/>
              <w:rPr>
                <w:sz w:val="20"/>
                <w:szCs w:val="20"/>
                <w:color w:val="auto"/>
              </w:rPr>
            </w:pPr>
            <w:r>
              <w:rPr>
                <w:rFonts w:ascii="Times New Roman" w:cs="Times New Roman" w:eastAsia="Times New Roman" w:hAnsi="Times New Roman"/>
                <w:sz w:val="10"/>
                <w:szCs w:val="10"/>
                <w:b w:val="1"/>
                <w:bCs w:val="1"/>
                <w:color w:val="auto"/>
                <w:w w:val="99"/>
              </w:rPr>
              <w:t>(212) 554-4484</w:t>
            </w:r>
          </w:p>
        </w:tc>
        <w:tc>
          <w:tcPr>
            <w:tcW w:w="1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7180" w:type="dxa"/>
            <w:vAlign w:val="bottom"/>
            <w:gridSpan w:val="3"/>
          </w:tcPr>
          <w:p>
            <w:pPr>
              <w:jc w:val="center"/>
              <w:ind w:left="3023"/>
              <w:spacing w:after="0"/>
              <w:rPr>
                <w:sz w:val="20"/>
                <w:szCs w:val="20"/>
                <w:color w:val="auto"/>
              </w:rPr>
            </w:pPr>
            <w:r>
              <w:rPr>
                <w:rFonts w:ascii="Times New Roman" w:cs="Times New Roman" w:eastAsia="Times New Roman" w:hAnsi="Times New Roman"/>
                <w:sz w:val="10"/>
                <w:szCs w:val="10"/>
                <w:color w:val="auto"/>
              </w:rPr>
              <w:t>(Name, address, including zip code, and telephone number, including area code, of agent for service)</w:t>
            </w: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4280" w:type="dxa"/>
            <w:vAlign w:val="bottom"/>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12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4280" w:type="dxa"/>
            <w:vAlign w:val="bottom"/>
          </w:tcPr>
          <w:p>
            <w:pPr>
              <w:spacing w:after="0"/>
              <w:rPr>
                <w:sz w:val="15"/>
                <w:szCs w:val="15"/>
                <w:color w:val="auto"/>
              </w:rPr>
            </w:pPr>
          </w:p>
        </w:tc>
        <w:tc>
          <w:tcPr>
            <w:tcW w:w="2900" w:type="dxa"/>
            <w:vAlign w:val="bottom"/>
            <w:gridSpan w:val="2"/>
          </w:tcPr>
          <w:p>
            <w:pPr>
              <w:jc w:val="center"/>
              <w:ind w:right="1220"/>
              <w:spacing w:after="0"/>
              <w:rPr>
                <w:sz w:val="20"/>
                <w:szCs w:val="20"/>
                <w:color w:val="auto"/>
              </w:rPr>
            </w:pPr>
            <w:r>
              <w:rPr>
                <w:rFonts w:ascii="Times New Roman" w:cs="Times New Roman" w:eastAsia="Times New Roman" w:hAnsi="Times New Roman"/>
                <w:sz w:val="10"/>
                <w:szCs w:val="10"/>
                <w:b w:val="1"/>
                <w:bCs w:val="1"/>
                <w:color w:val="auto"/>
              </w:rPr>
              <w:t>Copies to:</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280" w:type="dxa"/>
            <w:vAlign w:val="bottom"/>
          </w:tcPr>
          <w:p>
            <w:pPr>
              <w:spacing w:after="0"/>
              <w:rPr>
                <w:sz w:val="9"/>
                <w:szCs w:val="9"/>
                <w:color w:val="auto"/>
              </w:rPr>
            </w:pPr>
          </w:p>
        </w:tc>
        <w:tc>
          <w:tcPr>
            <w:tcW w:w="2900" w:type="dxa"/>
            <w:vAlign w:val="bottom"/>
            <w:gridSpan w:val="2"/>
          </w:tcPr>
          <w:p>
            <w:pPr>
              <w:jc w:val="center"/>
              <w:ind w:right="1200"/>
              <w:spacing w:after="0" w:line="108" w:lineRule="exact"/>
              <w:rPr>
                <w:sz w:val="20"/>
                <w:szCs w:val="20"/>
                <w:color w:val="auto"/>
              </w:rPr>
            </w:pPr>
            <w:r>
              <w:rPr>
                <w:rFonts w:ascii="Times New Roman" w:cs="Times New Roman" w:eastAsia="Times New Roman" w:hAnsi="Times New Roman"/>
                <w:sz w:val="10"/>
                <w:szCs w:val="10"/>
                <w:b w:val="1"/>
                <w:bCs w:val="1"/>
                <w:color w:val="auto"/>
                <w:w w:val="99"/>
              </w:rPr>
              <w:t>Andrew P. Gilbert, Esq.</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280" w:type="dxa"/>
            <w:vAlign w:val="bottom"/>
          </w:tcPr>
          <w:p>
            <w:pPr>
              <w:spacing w:after="0"/>
              <w:rPr>
                <w:sz w:val="9"/>
                <w:szCs w:val="9"/>
                <w:color w:val="auto"/>
              </w:rPr>
            </w:pPr>
          </w:p>
        </w:tc>
        <w:tc>
          <w:tcPr>
            <w:tcW w:w="2900" w:type="dxa"/>
            <w:vAlign w:val="bottom"/>
            <w:gridSpan w:val="2"/>
          </w:tcPr>
          <w:p>
            <w:pPr>
              <w:jc w:val="center"/>
              <w:ind w:right="1200"/>
              <w:spacing w:after="0" w:line="108" w:lineRule="exact"/>
              <w:rPr>
                <w:sz w:val="20"/>
                <w:szCs w:val="20"/>
                <w:color w:val="auto"/>
              </w:rPr>
            </w:pPr>
            <w:r>
              <w:rPr>
                <w:rFonts w:ascii="Times New Roman" w:cs="Times New Roman" w:eastAsia="Times New Roman" w:hAnsi="Times New Roman"/>
                <w:sz w:val="10"/>
                <w:szCs w:val="10"/>
                <w:b w:val="1"/>
                <w:bCs w:val="1"/>
                <w:color w:val="auto"/>
                <w:w w:val="99"/>
              </w:rPr>
              <w:t>Scott A. Cowan, Esq.</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280" w:type="dxa"/>
            <w:vAlign w:val="bottom"/>
          </w:tcPr>
          <w:p>
            <w:pPr>
              <w:spacing w:after="0"/>
              <w:rPr>
                <w:sz w:val="9"/>
                <w:szCs w:val="9"/>
                <w:color w:val="auto"/>
              </w:rPr>
            </w:pPr>
          </w:p>
        </w:tc>
        <w:tc>
          <w:tcPr>
            <w:tcW w:w="2900" w:type="dxa"/>
            <w:vAlign w:val="bottom"/>
            <w:gridSpan w:val="2"/>
          </w:tcPr>
          <w:p>
            <w:pPr>
              <w:jc w:val="center"/>
              <w:ind w:right="1220"/>
              <w:spacing w:after="0" w:line="108" w:lineRule="exact"/>
              <w:rPr>
                <w:sz w:val="20"/>
                <w:szCs w:val="20"/>
                <w:color w:val="auto"/>
              </w:rPr>
            </w:pPr>
            <w:r>
              <w:rPr>
                <w:rFonts w:ascii="Times New Roman" w:cs="Times New Roman" w:eastAsia="Times New Roman" w:hAnsi="Times New Roman"/>
                <w:sz w:val="10"/>
                <w:szCs w:val="10"/>
                <w:b w:val="1"/>
                <w:bCs w:val="1"/>
                <w:color w:val="auto"/>
              </w:rPr>
              <w:t>DLA Piper LLP (US)</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280" w:type="dxa"/>
            <w:vAlign w:val="bottom"/>
          </w:tcPr>
          <w:p>
            <w:pPr>
              <w:spacing w:after="0"/>
              <w:rPr>
                <w:sz w:val="9"/>
                <w:szCs w:val="9"/>
                <w:color w:val="auto"/>
              </w:rPr>
            </w:pPr>
          </w:p>
        </w:tc>
        <w:tc>
          <w:tcPr>
            <w:tcW w:w="2900" w:type="dxa"/>
            <w:vAlign w:val="bottom"/>
            <w:gridSpan w:val="2"/>
          </w:tcPr>
          <w:p>
            <w:pPr>
              <w:jc w:val="center"/>
              <w:ind w:right="1200"/>
              <w:spacing w:after="0" w:line="108" w:lineRule="exact"/>
              <w:rPr>
                <w:sz w:val="20"/>
                <w:szCs w:val="20"/>
                <w:color w:val="auto"/>
              </w:rPr>
            </w:pPr>
            <w:r>
              <w:rPr>
                <w:rFonts w:ascii="Times New Roman" w:cs="Times New Roman" w:eastAsia="Times New Roman" w:hAnsi="Times New Roman"/>
                <w:sz w:val="10"/>
                <w:szCs w:val="10"/>
                <w:b w:val="1"/>
                <w:bCs w:val="1"/>
                <w:color w:val="auto"/>
                <w:w w:val="99"/>
              </w:rPr>
              <w:t>51 John F. Kennedy Parkway</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280" w:type="dxa"/>
            <w:vAlign w:val="bottom"/>
          </w:tcPr>
          <w:p>
            <w:pPr>
              <w:spacing w:after="0"/>
              <w:rPr>
                <w:sz w:val="9"/>
                <w:szCs w:val="9"/>
                <w:color w:val="auto"/>
              </w:rPr>
            </w:pPr>
          </w:p>
        </w:tc>
        <w:tc>
          <w:tcPr>
            <w:tcW w:w="2900" w:type="dxa"/>
            <w:vAlign w:val="bottom"/>
            <w:gridSpan w:val="2"/>
          </w:tcPr>
          <w:p>
            <w:pPr>
              <w:jc w:val="center"/>
              <w:ind w:right="1220"/>
              <w:spacing w:after="0" w:line="108" w:lineRule="exact"/>
              <w:rPr>
                <w:sz w:val="20"/>
                <w:szCs w:val="20"/>
                <w:color w:val="auto"/>
              </w:rPr>
            </w:pPr>
            <w:r>
              <w:rPr>
                <w:rFonts w:ascii="Times New Roman" w:cs="Times New Roman" w:eastAsia="Times New Roman" w:hAnsi="Times New Roman"/>
                <w:sz w:val="10"/>
                <w:szCs w:val="10"/>
                <w:b w:val="1"/>
                <w:bCs w:val="1"/>
                <w:color w:val="auto"/>
              </w:rPr>
              <w:t>Short Hills, New Jersey 07078</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4280" w:type="dxa"/>
            <w:vAlign w:val="bottom"/>
          </w:tcPr>
          <w:p>
            <w:pPr>
              <w:spacing w:after="0"/>
              <w:rPr>
                <w:sz w:val="11"/>
                <w:szCs w:val="11"/>
                <w:color w:val="auto"/>
              </w:rPr>
            </w:pPr>
          </w:p>
        </w:tc>
        <w:tc>
          <w:tcPr>
            <w:tcW w:w="2900" w:type="dxa"/>
            <w:vAlign w:val="bottom"/>
            <w:gridSpan w:val="2"/>
          </w:tcPr>
          <w:p>
            <w:pPr>
              <w:jc w:val="center"/>
              <w:ind w:right="1200"/>
              <w:spacing w:after="0"/>
              <w:rPr>
                <w:sz w:val="20"/>
                <w:szCs w:val="20"/>
                <w:color w:val="auto"/>
              </w:rPr>
            </w:pPr>
            <w:r>
              <w:rPr>
                <w:rFonts w:ascii="Times New Roman" w:cs="Times New Roman" w:eastAsia="Times New Roman" w:hAnsi="Times New Roman"/>
                <w:sz w:val="10"/>
                <w:szCs w:val="10"/>
                <w:b w:val="1"/>
                <w:bCs w:val="1"/>
                <w:color w:val="auto"/>
                <w:w w:val="99"/>
              </w:rPr>
              <w:t>Tel: (973) 520-2550</w:t>
            </w: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718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 xml:space="preserve">Approximate date of commencement of proposed sale to the public: </w:t>
            </w:r>
            <w:r>
              <w:rPr>
                <w:rFonts w:ascii="Times New Roman" w:cs="Times New Roman" w:eastAsia="Times New Roman" w:hAnsi="Times New Roman"/>
                <w:sz w:val="9"/>
                <w:szCs w:val="9"/>
                <w:color w:val="auto"/>
              </w:rPr>
              <w:t>From time to time after the effective date of this registration statement.</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180" w:type="dxa"/>
            <w:vAlign w:val="bottom"/>
            <w:gridSpan w:val="3"/>
          </w:tcPr>
          <w:p>
            <w:pPr>
              <w:spacing w:after="0" w:line="104" w:lineRule="exact"/>
              <w:rPr>
                <w:sz w:val="20"/>
                <w:szCs w:val="20"/>
                <w:color w:val="auto"/>
              </w:rPr>
            </w:pPr>
            <w:r>
              <w:rPr>
                <w:rFonts w:ascii="Times New Roman" w:cs="Times New Roman" w:eastAsia="Times New Roman" w:hAnsi="Times New Roman"/>
                <w:sz w:val="9"/>
                <w:szCs w:val="9"/>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9"/>
                <w:szCs w:val="9"/>
                <w:color w:val="auto"/>
              </w:rPr>
              <w:t>☐</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0" w:lineRule="exact"/>
        <w:rPr>
          <w:sz w:val="24"/>
          <w:szCs w:val="24"/>
          <w:color w:val="auto"/>
        </w:rPr>
      </w:pPr>
    </w:p>
    <w:p>
      <w:pPr>
        <w:ind w:left="520"/>
        <w:spacing w:after="0" w:line="104" w:lineRule="exact"/>
        <w:rPr>
          <w:sz w:val="20"/>
          <w:szCs w:val="20"/>
          <w:color w:val="auto"/>
        </w:rPr>
      </w:pPr>
      <w:r>
        <w:rPr>
          <w:rFonts w:ascii="Times New Roman" w:cs="Times New Roman" w:eastAsia="Times New Roman" w:hAnsi="Times New Roman"/>
          <w:sz w:val="9"/>
          <w:szCs w:val="9"/>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9"/>
          <w:szCs w:val="9"/>
          <w:color w:val="auto"/>
        </w:rPr>
        <w:t>☒</w:t>
      </w:r>
    </w:p>
    <w:p>
      <w:pPr>
        <w:spacing w:after="0" w:line="94" w:lineRule="exact"/>
        <w:rPr>
          <w:sz w:val="24"/>
          <w:szCs w:val="24"/>
          <w:color w:val="auto"/>
        </w:rPr>
      </w:pPr>
    </w:p>
    <w:p>
      <w:pPr>
        <w:ind w:left="520"/>
        <w:spacing w:after="0" w:line="104" w:lineRule="exact"/>
        <w:rPr>
          <w:sz w:val="20"/>
          <w:szCs w:val="20"/>
          <w:color w:val="auto"/>
        </w:rPr>
      </w:pPr>
      <w:r>
        <w:rPr>
          <w:rFonts w:ascii="Times New Roman" w:cs="Times New Roman" w:eastAsia="Times New Roman" w:hAnsi="Times New Roman"/>
          <w:sz w:val="9"/>
          <w:szCs w:val="9"/>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9"/>
          <w:szCs w:val="9"/>
          <w:color w:val="auto"/>
        </w:rPr>
        <w:t>☐</w:t>
      </w:r>
    </w:p>
    <w:p>
      <w:pPr>
        <w:spacing w:after="0" w:line="90" w:lineRule="exact"/>
        <w:rPr>
          <w:sz w:val="24"/>
          <w:szCs w:val="24"/>
          <w:color w:val="auto"/>
        </w:rPr>
      </w:pPr>
    </w:p>
    <w:p>
      <w:pPr>
        <w:ind w:left="520"/>
        <w:spacing w:after="0" w:line="104" w:lineRule="exact"/>
        <w:rPr>
          <w:sz w:val="20"/>
          <w:szCs w:val="20"/>
          <w:color w:val="auto"/>
        </w:rPr>
      </w:pPr>
      <w:r>
        <w:rPr>
          <w:rFonts w:ascii="Times New Roman" w:cs="Times New Roman" w:eastAsia="Times New Roman" w:hAnsi="Times New Roman"/>
          <w:sz w:val="9"/>
          <w:szCs w:val="9"/>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9"/>
          <w:szCs w:val="9"/>
          <w:color w:val="auto"/>
        </w:rPr>
        <w:t>☐</w:t>
      </w:r>
    </w:p>
    <w:p>
      <w:pPr>
        <w:spacing w:after="0" w:line="87" w:lineRule="exact"/>
        <w:rPr>
          <w:sz w:val="24"/>
          <w:szCs w:val="24"/>
          <w:color w:val="auto"/>
        </w:rPr>
      </w:pPr>
    </w:p>
    <w:p>
      <w:pPr>
        <w:ind w:left="520"/>
        <w:spacing w:after="0" w:line="104" w:lineRule="exact"/>
        <w:rPr>
          <w:sz w:val="20"/>
          <w:szCs w:val="20"/>
          <w:color w:val="auto"/>
        </w:rPr>
      </w:pPr>
      <w:r>
        <w:rPr>
          <w:rFonts w:ascii="Times New Roman" w:cs="Times New Roman" w:eastAsia="Times New Roman" w:hAnsi="Times New Roman"/>
          <w:sz w:val="9"/>
          <w:szCs w:val="9"/>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9"/>
          <w:szCs w:val="9"/>
          <w:color w:val="auto"/>
        </w:rPr>
        <w:t>☒</w:t>
      </w:r>
    </w:p>
    <w:p>
      <w:pPr>
        <w:spacing w:after="0" w:line="90" w:lineRule="exact"/>
        <w:rPr>
          <w:sz w:val="24"/>
          <w:szCs w:val="24"/>
          <w:color w:val="auto"/>
        </w:rPr>
      </w:pPr>
    </w:p>
    <w:p>
      <w:pPr>
        <w:ind w:left="520"/>
        <w:spacing w:after="0" w:line="104" w:lineRule="exact"/>
        <w:rPr>
          <w:sz w:val="20"/>
          <w:szCs w:val="20"/>
          <w:color w:val="auto"/>
        </w:rPr>
      </w:pPr>
      <w:r>
        <w:rPr>
          <w:rFonts w:ascii="Times New Roman" w:cs="Times New Roman" w:eastAsia="Times New Roman" w:hAnsi="Times New Roman"/>
          <w:sz w:val="9"/>
          <w:szCs w:val="9"/>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9"/>
          <w:szCs w:val="9"/>
          <w:color w:val="auto"/>
        </w:rPr>
        <w:t>☐</w:t>
      </w:r>
    </w:p>
    <w:p>
      <w:pPr>
        <w:spacing w:after="0" w:line="112"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8"/>
          <w:szCs w:val="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w:t>
      </w:r>
    </w:p>
    <w:tbl>
      <w:tblPr>
        <w:tblLayout w:type="fixed"/>
        <w:tblInd w:w="0" w:type="dxa"/>
        <w:tblCellMar>
          <w:top w:w="0" w:type="dxa"/>
          <w:left w:w="0" w:type="dxa"/>
          <w:bottom w:w="0" w:type="dxa"/>
          <w:right w:w="0" w:type="dxa"/>
        </w:tblCellMar>
      </w:tblPr>
      <w:tr>
        <w:trPr>
          <w:trHeight w:val="102"/>
        </w:trPr>
        <w:tc>
          <w:tcPr>
            <w:tcW w:w="2100" w:type="dxa"/>
            <w:vAlign w:val="bottom"/>
          </w:tcPr>
          <w:p>
            <w:pPr>
              <w:spacing w:after="0" w:line="102" w:lineRule="exact"/>
              <w:rPr>
                <w:sz w:val="20"/>
                <w:szCs w:val="20"/>
                <w:color w:val="auto"/>
              </w:rPr>
            </w:pPr>
            <w:r>
              <w:rPr>
                <w:rFonts w:ascii="Times New Roman" w:cs="Times New Roman" w:eastAsia="Times New Roman" w:hAnsi="Times New Roman"/>
                <w:sz w:val="9"/>
                <w:szCs w:val="9"/>
                <w:color w:val="auto"/>
              </w:rPr>
              <w:t>Rule 12b-2 of the Exchange Act.</w:t>
            </w:r>
          </w:p>
        </w:tc>
        <w:tc>
          <w:tcPr>
            <w:tcW w:w="3480" w:type="dxa"/>
            <w:vAlign w:val="bottom"/>
            <w:vMerge w:val="restart"/>
          </w:tcPr>
          <w:p>
            <w:pPr>
              <w:ind w:left="960"/>
              <w:spacing w:after="0" w:line="91" w:lineRule="exact"/>
              <w:rPr>
                <w:sz w:val="20"/>
                <w:szCs w:val="20"/>
                <w:color w:val="auto"/>
              </w:rPr>
            </w:pPr>
            <w:r>
              <w:rPr>
                <w:rFonts w:ascii="MS PGothic" w:cs="MS PGothic" w:eastAsia="MS PGothic" w:hAnsi="MS PGothic"/>
                <w:sz w:val="9"/>
                <w:szCs w:val="9"/>
                <w:color w:val="auto"/>
              </w:rPr>
              <w:t>☒</w:t>
            </w:r>
          </w:p>
        </w:tc>
        <w:tc>
          <w:tcPr>
            <w:tcW w:w="4440" w:type="dxa"/>
            <w:vAlign w:val="bottom"/>
          </w:tcPr>
          <w:p>
            <w:pPr>
              <w:spacing w:after="0"/>
              <w:rPr>
                <w:sz w:val="8"/>
                <w:szCs w:val="8"/>
                <w:color w:val="auto"/>
              </w:rPr>
            </w:pPr>
          </w:p>
        </w:tc>
        <w:tc>
          <w:tcPr>
            <w:tcW w:w="1120" w:type="dxa"/>
            <w:vAlign w:val="bottom"/>
            <w:vMerge w:val="restart"/>
          </w:tcPr>
          <w:p>
            <w:pPr>
              <w:ind w:left="1040"/>
              <w:spacing w:after="0" w:line="81" w:lineRule="exact"/>
              <w:rPr>
                <w:sz w:val="20"/>
                <w:szCs w:val="20"/>
                <w:color w:val="auto"/>
              </w:rPr>
            </w:pPr>
            <w:r>
              <w:rPr>
                <w:rFonts w:ascii="MS PGothic" w:cs="MS PGothic" w:eastAsia="MS PGothic" w:hAnsi="MS PGothic"/>
                <w:sz w:val="8"/>
                <w:szCs w:val="8"/>
                <w:color w:val="auto"/>
                <w:w w:val="74"/>
              </w:rPr>
              <w:t>☐</w:t>
            </w:r>
          </w:p>
        </w:tc>
        <w:tc>
          <w:tcPr>
            <w:tcW w:w="0" w:type="dxa"/>
            <w:vAlign w:val="bottom"/>
          </w:tcPr>
          <w:p>
            <w:pPr>
              <w:spacing w:after="0"/>
              <w:rPr>
                <w:sz w:val="1"/>
                <w:szCs w:val="1"/>
                <w:color w:val="auto"/>
              </w:rPr>
            </w:pPr>
          </w:p>
        </w:tc>
      </w:tr>
      <w:tr>
        <w:trPr>
          <w:trHeight w:val="85"/>
        </w:trPr>
        <w:tc>
          <w:tcPr>
            <w:tcW w:w="2100" w:type="dxa"/>
            <w:vAlign w:val="bottom"/>
          </w:tcPr>
          <w:p>
            <w:pPr>
              <w:spacing w:after="0" w:line="85" w:lineRule="exact"/>
              <w:rPr>
                <w:sz w:val="20"/>
                <w:szCs w:val="20"/>
                <w:color w:val="auto"/>
              </w:rPr>
            </w:pPr>
            <w:r>
              <w:rPr>
                <w:rFonts w:ascii="Times New Roman" w:cs="Times New Roman" w:eastAsia="Times New Roman" w:hAnsi="Times New Roman"/>
                <w:sz w:val="9"/>
                <w:szCs w:val="9"/>
                <w:color w:val="auto"/>
              </w:rPr>
              <w:t>Large accelerated filer</w:t>
            </w:r>
          </w:p>
        </w:tc>
        <w:tc>
          <w:tcPr>
            <w:tcW w:w="3480" w:type="dxa"/>
            <w:vAlign w:val="bottom"/>
            <w:vMerge w:val="continue"/>
          </w:tcPr>
          <w:p>
            <w:pPr>
              <w:spacing w:after="0"/>
              <w:rPr>
                <w:sz w:val="7"/>
                <w:szCs w:val="7"/>
                <w:color w:val="auto"/>
              </w:rPr>
            </w:pPr>
          </w:p>
        </w:tc>
        <w:tc>
          <w:tcPr>
            <w:tcW w:w="4440" w:type="dxa"/>
            <w:vAlign w:val="bottom"/>
          </w:tcPr>
          <w:p>
            <w:pPr>
              <w:ind w:left="2440"/>
              <w:spacing w:after="0" w:line="85" w:lineRule="exact"/>
              <w:rPr>
                <w:sz w:val="20"/>
                <w:szCs w:val="20"/>
                <w:color w:val="auto"/>
              </w:rPr>
            </w:pPr>
            <w:r>
              <w:rPr>
                <w:rFonts w:ascii="Times New Roman" w:cs="Times New Roman" w:eastAsia="Times New Roman" w:hAnsi="Times New Roman"/>
                <w:sz w:val="9"/>
                <w:szCs w:val="9"/>
                <w:color w:val="auto"/>
              </w:rPr>
              <w:t>Accelerated filer</w:t>
            </w: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100" w:type="dxa"/>
            <w:vAlign w:val="bottom"/>
          </w:tcPr>
          <w:p>
            <w:pPr>
              <w:spacing w:after="0" w:line="97" w:lineRule="exact"/>
              <w:rPr>
                <w:sz w:val="20"/>
                <w:szCs w:val="20"/>
                <w:color w:val="auto"/>
              </w:rPr>
            </w:pPr>
            <w:r>
              <w:rPr>
                <w:rFonts w:ascii="Times New Roman" w:cs="Times New Roman" w:eastAsia="Times New Roman" w:hAnsi="Times New Roman"/>
                <w:sz w:val="9"/>
                <w:szCs w:val="9"/>
                <w:color w:val="auto"/>
              </w:rPr>
              <w:t>Non-accelerated filer</w:t>
            </w:r>
          </w:p>
        </w:tc>
        <w:tc>
          <w:tcPr>
            <w:tcW w:w="3480" w:type="dxa"/>
            <w:vAlign w:val="bottom"/>
          </w:tcPr>
          <w:p>
            <w:pPr>
              <w:ind w:left="960"/>
              <w:spacing w:after="0" w:line="91" w:lineRule="exact"/>
              <w:rPr>
                <w:sz w:val="20"/>
                <w:szCs w:val="20"/>
                <w:color w:val="auto"/>
              </w:rPr>
            </w:pPr>
            <w:r>
              <w:rPr>
                <w:rFonts w:ascii="MS PGothic" w:cs="MS PGothic" w:eastAsia="MS PGothic" w:hAnsi="MS PGothic"/>
                <w:sz w:val="9"/>
                <w:szCs w:val="9"/>
                <w:color w:val="auto"/>
              </w:rPr>
              <w:t>☐</w:t>
            </w:r>
          </w:p>
        </w:tc>
        <w:tc>
          <w:tcPr>
            <w:tcW w:w="4440" w:type="dxa"/>
            <w:vAlign w:val="bottom"/>
          </w:tcPr>
          <w:p>
            <w:pPr>
              <w:ind w:left="2440"/>
              <w:spacing w:after="0" w:line="97" w:lineRule="exact"/>
              <w:rPr>
                <w:sz w:val="20"/>
                <w:szCs w:val="20"/>
                <w:color w:val="auto"/>
              </w:rPr>
            </w:pPr>
            <w:r>
              <w:rPr>
                <w:rFonts w:ascii="Times New Roman" w:cs="Times New Roman" w:eastAsia="Times New Roman" w:hAnsi="Times New Roman"/>
                <w:sz w:val="9"/>
                <w:szCs w:val="9"/>
                <w:color w:val="auto"/>
              </w:rPr>
              <w:t>Smaller reporting company</w:t>
            </w:r>
          </w:p>
        </w:tc>
        <w:tc>
          <w:tcPr>
            <w:tcW w:w="1120" w:type="dxa"/>
            <w:vAlign w:val="bottom"/>
          </w:tcPr>
          <w:p>
            <w:pPr>
              <w:ind w:left="1040"/>
              <w:spacing w:after="0" w:line="81" w:lineRule="exact"/>
              <w:rPr>
                <w:sz w:val="20"/>
                <w:szCs w:val="20"/>
                <w:color w:val="auto"/>
              </w:rPr>
            </w:pPr>
            <w:r>
              <w:rPr>
                <w:rFonts w:ascii="MS PGothic" w:cs="MS PGothic" w:eastAsia="MS PGothic" w:hAnsi="MS PGothic"/>
                <w:sz w:val="8"/>
                <w:szCs w:val="8"/>
                <w:color w:val="auto"/>
                <w:w w:val="74"/>
              </w:rPr>
              <w:t>☐</w:t>
            </w:r>
          </w:p>
        </w:tc>
        <w:tc>
          <w:tcPr>
            <w:tcW w:w="0" w:type="dxa"/>
            <w:vAlign w:val="bottom"/>
          </w:tcPr>
          <w:p>
            <w:pPr>
              <w:spacing w:after="0"/>
              <w:rPr>
                <w:sz w:val="1"/>
                <w:szCs w:val="1"/>
                <w:color w:val="auto"/>
              </w:rPr>
            </w:pPr>
          </w:p>
        </w:tc>
      </w:tr>
      <w:tr>
        <w:trPr>
          <w:trHeight w:val="144"/>
        </w:trPr>
        <w:tc>
          <w:tcPr>
            <w:tcW w:w="21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440" w:type="dxa"/>
            <w:vAlign w:val="bottom"/>
          </w:tcPr>
          <w:p>
            <w:pPr>
              <w:ind w:left="2440"/>
              <w:spacing w:after="0"/>
              <w:rPr>
                <w:sz w:val="20"/>
                <w:szCs w:val="20"/>
                <w:color w:val="auto"/>
              </w:rPr>
            </w:pPr>
            <w:r>
              <w:rPr>
                <w:rFonts w:ascii="Times New Roman" w:cs="Times New Roman" w:eastAsia="Times New Roman" w:hAnsi="Times New Roman"/>
                <w:sz w:val="9"/>
                <w:szCs w:val="9"/>
                <w:color w:val="auto"/>
              </w:rPr>
              <w:t>Emerging growth company</w:t>
            </w:r>
          </w:p>
        </w:tc>
        <w:tc>
          <w:tcPr>
            <w:tcW w:w="1120" w:type="dxa"/>
            <w:vAlign w:val="bottom"/>
          </w:tcPr>
          <w:p>
            <w:pPr>
              <w:ind w:left="1040"/>
              <w:spacing w:after="0" w:line="81" w:lineRule="exact"/>
              <w:rPr>
                <w:sz w:val="20"/>
                <w:szCs w:val="20"/>
                <w:color w:val="auto"/>
              </w:rPr>
            </w:pPr>
            <w:r>
              <w:rPr>
                <w:rFonts w:ascii="MS PGothic" w:cs="MS PGothic" w:eastAsia="MS PGothic" w:hAnsi="MS PGothic"/>
                <w:sz w:val="8"/>
                <w:szCs w:val="8"/>
                <w:color w:val="auto"/>
                <w:w w:val="74"/>
              </w:rPr>
              <w:t>☐</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520"/>
        <w:spacing w:after="0" w:line="104" w:lineRule="exact"/>
        <w:rPr>
          <w:sz w:val="20"/>
          <w:szCs w:val="20"/>
          <w:color w:val="auto"/>
        </w:rPr>
      </w:pPr>
      <w:r>
        <w:rPr>
          <w:rFonts w:ascii="Times New Roman" w:cs="Times New Roman" w:eastAsia="Times New Roman" w:hAnsi="Times New Roman"/>
          <w:sz w:val="9"/>
          <w:szCs w:val="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42545</wp:posOffset>
            </wp:positionV>
            <wp:extent cx="716026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76835</wp:posOffset>
            </wp:positionV>
            <wp:extent cx="716026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203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370840</wp:posOffset>
            </wp:positionV>
            <wp:extent cx="7160260"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211"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2055495</wp:posOffset>
            </wp:positionH>
            <wp:positionV relativeFrom="paragraph">
              <wp:posOffset>17780</wp:posOffset>
            </wp:positionV>
            <wp:extent cx="3063875" cy="8343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63875" cy="834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Debt Securities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are types of securities that we may offer, issue and sell from time to time, together or separately:</w:t>
      </w:r>
    </w:p>
    <w:p>
      <w:pPr>
        <w:spacing w:after="0" w:line="184" w:lineRule="exact"/>
        <w:rPr>
          <w:sz w:val="20"/>
          <w:szCs w:val="20"/>
          <w:color w:val="auto"/>
        </w:rPr>
      </w:pPr>
    </w:p>
    <w:p>
      <w:pPr>
        <w:ind w:left="780" w:hanging="257"/>
        <w:spacing w:after="0"/>
        <w:tabs>
          <w:tab w:leader="none" w:pos="7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our common stock;</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our preferred stock;</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 and</w:t>
      </w:r>
    </w:p>
    <w:p>
      <w:pPr>
        <w:spacing w:after="0" w:line="183"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consisting of any combination of our common stock, preferred stock, warrants or debt securities.</w:t>
      </w:r>
    </w:p>
    <w:p>
      <w:pPr>
        <w:spacing w:after="0" w:line="184"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We may offer our securities from time to time in one or more offerings in amounts, at prices, and on terms determined at the time of the offering. We may sell our securities through agents we select or through underwriters and dealers we select. If we use agents, underwriters or dealers, we will name them and describe their compensation in a prospectus or prospectus supplement.</w:t>
      </w:r>
    </w:p>
    <w:p>
      <w:pPr>
        <w:spacing w:after="0" w:line="123"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4"/>
          <w:szCs w:val="14"/>
          <w:color w:val="auto"/>
        </w:rPr>
        <w:t>This prospectus provides a general description of the securities we may offer. Each time we sell securities, we will provide specific terms of the securities offered in a supplement to this prospectus. The prospectus supplement may also add, update or change information contained in, or incorporated by reference into, this prospectus. You should read this prospectus and the applicable prospectus supplement carefully before you invest in any securities. This prospectus may not be used to consummate a sale of securities unless accompanied by the applicable prospectus supplement.</w:t>
      </w:r>
    </w:p>
    <w:p>
      <w:pPr>
        <w:spacing w:after="0" w:line="314"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Our common stock is listed on the Nasdaq Capital Market under the symbol “TGTX.” On August 6, 2025, the per share closing price of our common stock as reported on the Nasdaq Capital Market was $27.70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264795</wp:posOffset>
            </wp:positionV>
            <wp:extent cx="7160260" cy="13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ind w:firstLine="517"/>
        <w:spacing w:after="0" w:line="297" w:lineRule="auto"/>
        <w:rPr>
          <w:sz w:val="20"/>
          <w:szCs w:val="20"/>
          <w:color w:val="auto"/>
        </w:rPr>
      </w:pPr>
      <w:r>
        <w:rPr>
          <w:rFonts w:ascii="Times New Roman" w:cs="Times New Roman" w:eastAsia="Times New Roman" w:hAnsi="Times New Roman"/>
          <w:sz w:val="14"/>
          <w:szCs w:val="14"/>
          <w:b w:val="1"/>
          <w:bCs w:val="1"/>
          <w:color w:val="auto"/>
        </w:rPr>
        <w:t xml:space="preserve">Investing in our securities involves certain risks. See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Risk Factors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in our most recent Annual Report on Form 10-K, our Quarterly Reports on Form 10-Q and other reports, which are filed with the SEC and incorporated by reference into this prospectus. You should read the entire prospectus carefully before you make your investment decision.</w:t>
      </w:r>
    </w:p>
    <w:p>
      <w:pPr>
        <w:spacing w:after="0" w:line="118" w:lineRule="exact"/>
        <w:rPr>
          <w:sz w:val="20"/>
          <w:szCs w:val="20"/>
          <w:color w:val="auto"/>
        </w:rPr>
      </w:pPr>
    </w:p>
    <w:p>
      <w:pPr>
        <w:ind w:firstLine="517"/>
        <w:spacing w:after="0" w:line="297"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date of this prospectus is August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304800</wp:posOffset>
            </wp:positionV>
            <wp:extent cx="7160260" cy="13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11140" w:type="dxa"/>
            <w:vAlign w:val="bottom"/>
            <w:gridSpan w:val="17"/>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140" w:type="dxa"/>
            <w:vAlign w:val="bottom"/>
          </w:tcPr>
          <w:p>
            <w:pPr>
              <w:spacing w:after="0"/>
              <w:rPr>
                <w:sz w:val="13"/>
                <w:szCs w:val="13"/>
                <w:color w:val="auto"/>
              </w:rPr>
            </w:pPr>
          </w:p>
        </w:tc>
      </w:tr>
      <w:tr>
        <w:trPr>
          <w:trHeight w:val="356"/>
        </w:trPr>
        <w:tc>
          <w:tcPr>
            <w:tcW w:w="6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0" w:type="dxa"/>
            <w:vAlign w:val="bottom"/>
            <w:gridSpan w:val="4"/>
          </w:tcPr>
          <w:p>
            <w:pPr>
              <w:jc w:val="center"/>
              <w:ind w:right="39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40" w:type="dxa"/>
            <w:vAlign w:val="bottom"/>
          </w:tcPr>
          <w:p>
            <w:pPr>
              <w:spacing w:after="0"/>
              <w:rPr>
                <w:sz w:val="24"/>
                <w:szCs w:val="24"/>
                <w:color w:val="auto"/>
              </w:rPr>
            </w:pPr>
          </w:p>
        </w:tc>
      </w:tr>
      <w:tr>
        <w:trPr>
          <w:trHeight w:val="313"/>
        </w:trPr>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0" w:type="dxa"/>
            <w:vAlign w:val="bottom"/>
            <w:gridSpan w:val="4"/>
          </w:tcPr>
          <w:p>
            <w:pPr>
              <w:jc w:val="center"/>
              <w:ind w:right="3980"/>
              <w:spacing w:after="0"/>
              <w:rPr>
                <w:sz w:val="20"/>
                <w:szCs w:val="20"/>
                <w:color w:val="auto"/>
              </w:rPr>
            </w:pPr>
            <w:r>
              <w:rPr>
                <w:rFonts w:ascii="Times New Roman" w:cs="Times New Roman" w:eastAsia="Times New Roman" w:hAnsi="Times New Roman"/>
                <w:sz w:val="14"/>
                <w:szCs w:val="14"/>
                <w:color w:val="auto"/>
              </w:rPr>
              <w:t>Prospectus</w:t>
            </w:r>
          </w:p>
        </w:tc>
        <w:tc>
          <w:tcPr>
            <w:tcW w:w="140" w:type="dxa"/>
            <w:vAlign w:val="bottom"/>
          </w:tcPr>
          <w:p>
            <w:pPr>
              <w:spacing w:after="0"/>
              <w:rPr>
                <w:sz w:val="24"/>
                <w:szCs w:val="24"/>
                <w:color w:val="auto"/>
              </w:rPr>
            </w:pPr>
          </w:p>
        </w:tc>
      </w:tr>
      <w:tr>
        <w:trPr>
          <w:trHeight w:val="325"/>
        </w:trPr>
        <w:tc>
          <w:tcPr>
            <w:tcW w:w="534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620" w:type="dxa"/>
            <w:vAlign w:val="bottom"/>
            <w:tcBorders>
              <w:top w:val="single" w:sz="8" w:color="auto"/>
            </w:tcBorders>
            <w:gridSpan w:val="2"/>
          </w:tcPr>
          <w:p>
            <w:pPr>
              <w:spacing w:after="0"/>
              <w:rPr>
                <w:sz w:val="24"/>
                <w:szCs w:val="24"/>
                <w:color w:val="auto"/>
              </w:rPr>
            </w:pPr>
          </w:p>
        </w:tc>
        <w:tc>
          <w:tcPr>
            <w:tcW w:w="5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0000EE"/>
              </w:rPr>
              <w:t>1</w:t>
            </w:r>
          </w:p>
        </w:tc>
      </w:tr>
      <w:tr>
        <w:trPr>
          <w:trHeight w:val="20"/>
        </w:trPr>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76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r>
      <w:tr>
        <w:trPr>
          <w:trHeight w:val="325"/>
        </w:trPr>
        <w:tc>
          <w:tcPr>
            <w:tcW w:w="1640" w:type="dxa"/>
            <w:vAlign w:val="bottom"/>
            <w:gridSpan w:val="7"/>
          </w:tcPr>
          <w:p>
            <w:pPr>
              <w:spacing w:after="0"/>
              <w:rPr>
                <w:sz w:val="20"/>
                <w:szCs w:val="20"/>
                <w:color w:val="auto"/>
              </w:rPr>
            </w:pPr>
            <w:r>
              <w:rPr>
                <w:rFonts w:ascii="Times New Roman" w:cs="Times New Roman" w:eastAsia="Times New Roman" w:hAnsi="Times New Roman"/>
                <w:sz w:val="14"/>
                <w:szCs w:val="14"/>
                <w:color w:val="0000EE"/>
                <w:w w:val="99"/>
              </w:rPr>
              <w:t>TG THERAPEUTICS, INC.</w:t>
            </w:r>
          </w:p>
        </w:tc>
        <w:tc>
          <w:tcPr>
            <w:tcW w:w="140" w:type="dxa"/>
            <w:vAlign w:val="bottom"/>
          </w:tcPr>
          <w:p>
            <w:pPr>
              <w:spacing w:after="0"/>
              <w:rPr>
                <w:sz w:val="24"/>
                <w:szCs w:val="24"/>
                <w:color w:val="auto"/>
              </w:rPr>
            </w:pPr>
          </w:p>
        </w:tc>
        <w:tc>
          <w:tcPr>
            <w:tcW w:w="9360" w:type="dxa"/>
            <w:vAlign w:val="bottom"/>
            <w:gridSpan w:val="9"/>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0000EE"/>
              </w:rPr>
              <w:t>2</w:t>
            </w:r>
          </w:p>
        </w:tc>
      </w:tr>
      <w:tr>
        <w:trPr>
          <w:trHeight w:val="20"/>
        </w:trPr>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76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r>
      <w:tr>
        <w:trPr>
          <w:trHeight w:val="325"/>
        </w:trPr>
        <w:tc>
          <w:tcPr>
            <w:tcW w:w="1640" w:type="dxa"/>
            <w:vAlign w:val="bottom"/>
            <w:gridSpan w:val="7"/>
          </w:tcPr>
          <w:p>
            <w:pPr>
              <w:spacing w:after="0"/>
              <w:rPr>
                <w:sz w:val="20"/>
                <w:szCs w:val="20"/>
                <w:color w:val="auto"/>
              </w:rPr>
            </w:pPr>
            <w:r>
              <w:rPr>
                <w:rFonts w:ascii="Times New Roman" w:cs="Times New Roman" w:eastAsia="Times New Roman" w:hAnsi="Times New Roman"/>
                <w:sz w:val="14"/>
                <w:szCs w:val="14"/>
                <w:color w:val="0000EE"/>
              </w:rPr>
              <w:t>RISK FACTORS</w:t>
            </w:r>
          </w:p>
        </w:tc>
        <w:tc>
          <w:tcPr>
            <w:tcW w:w="9500" w:type="dxa"/>
            <w:vAlign w:val="bottom"/>
            <w:gridSpan w:val="10"/>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0000EE"/>
              </w:rPr>
              <w:t>3</w:t>
            </w:r>
          </w:p>
        </w:tc>
      </w:tr>
      <w:tr>
        <w:trPr>
          <w:trHeight w:val="20"/>
        </w:trPr>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76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r>
      <w:tr>
        <w:trPr>
          <w:trHeight w:val="325"/>
        </w:trPr>
        <w:tc>
          <w:tcPr>
            <w:tcW w:w="11140" w:type="dxa"/>
            <w:vAlign w:val="bottom"/>
            <w:gridSpan w:val="17"/>
          </w:tcPr>
          <w:p>
            <w:pPr>
              <w:spacing w:after="0"/>
              <w:rPr>
                <w:sz w:val="20"/>
                <w:szCs w:val="20"/>
                <w:color w:val="auto"/>
              </w:rPr>
            </w:pPr>
            <w:r>
              <w:rPr>
                <w:rFonts w:ascii="Times New Roman" w:cs="Times New Roman" w:eastAsia="Times New Roman" w:hAnsi="Times New Roman"/>
                <w:sz w:val="14"/>
                <w:szCs w:val="14"/>
                <w:color w:val="0000EE"/>
              </w:rPr>
              <w:t>SPECIAL CAUTIONARY NOTICE REGARDING FORWARD-LOOKING STATEMENTS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0000EE"/>
              </w:rPr>
              <w:t>4</w:t>
            </w:r>
          </w:p>
        </w:tc>
      </w:tr>
      <w:tr>
        <w:trPr>
          <w:trHeight w:val="20"/>
        </w:trPr>
        <w:tc>
          <w:tcPr>
            <w:tcW w:w="6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5760" w:type="dxa"/>
            <w:vAlign w:val="bottom"/>
            <w:gridSpan w:val="2"/>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r>
      <w:tr>
        <w:trPr>
          <w:trHeight w:val="325"/>
        </w:trPr>
        <w:tc>
          <w:tcPr>
            <w:tcW w:w="538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USE OF PROCEEDS</w:t>
            </w:r>
          </w:p>
        </w:tc>
        <w:tc>
          <w:tcPr>
            <w:tcW w:w="5760" w:type="dxa"/>
            <w:vAlign w:val="bottom"/>
            <w:gridSpan w:val="2"/>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0000EE"/>
              </w:rPr>
              <w:t>6</w:t>
            </w:r>
          </w:p>
        </w:tc>
      </w:tr>
      <w:tr>
        <w:trPr>
          <w:trHeight w:val="20"/>
        </w:trPr>
        <w:tc>
          <w:tcPr>
            <w:tcW w:w="6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0" w:type="dxa"/>
            <w:vAlign w:val="bottom"/>
            <w:gridSpan w:val="4"/>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r>
      <w:tr>
        <w:trPr>
          <w:trHeight w:val="325"/>
        </w:trPr>
        <w:tc>
          <w:tcPr>
            <w:tcW w:w="2300" w:type="dxa"/>
            <w:vAlign w:val="bottom"/>
            <w:gridSpan w:val="10"/>
          </w:tcPr>
          <w:p>
            <w:pPr>
              <w:spacing w:after="0"/>
              <w:rPr>
                <w:sz w:val="20"/>
                <w:szCs w:val="20"/>
                <w:color w:val="auto"/>
              </w:rPr>
            </w:pPr>
            <w:r>
              <w:rPr>
                <w:rFonts w:ascii="Times New Roman" w:cs="Times New Roman" w:eastAsia="Times New Roman" w:hAnsi="Times New Roman"/>
                <w:sz w:val="14"/>
                <w:szCs w:val="14"/>
                <w:color w:val="0000EE"/>
              </w:rPr>
              <w:t>DESCRIPTION OF CAPITAL STOCK</w:t>
            </w:r>
          </w:p>
        </w:tc>
        <w:tc>
          <w:tcPr>
            <w:tcW w:w="8840" w:type="dxa"/>
            <w:vAlign w:val="bottom"/>
            <w:gridSpan w:val="7"/>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0000EE"/>
              </w:rPr>
              <w:t>7</w:t>
            </w:r>
          </w:p>
        </w:tc>
      </w:tr>
      <w:tr>
        <w:trPr>
          <w:trHeight w:val="20"/>
        </w:trPr>
        <w:tc>
          <w:tcPr>
            <w:tcW w:w="6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0" w:type="dxa"/>
            <w:vAlign w:val="bottom"/>
            <w:gridSpan w:val="4"/>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r>
      <w:tr>
        <w:trPr>
          <w:trHeight w:val="325"/>
        </w:trPr>
        <w:tc>
          <w:tcPr>
            <w:tcW w:w="2300" w:type="dxa"/>
            <w:vAlign w:val="bottom"/>
            <w:gridSpan w:val="10"/>
          </w:tcPr>
          <w:p>
            <w:pPr>
              <w:spacing w:after="0"/>
              <w:rPr>
                <w:sz w:val="20"/>
                <w:szCs w:val="20"/>
                <w:color w:val="auto"/>
              </w:rPr>
            </w:pPr>
            <w:r>
              <w:rPr>
                <w:rFonts w:ascii="Times New Roman" w:cs="Times New Roman" w:eastAsia="Times New Roman" w:hAnsi="Times New Roman"/>
                <w:sz w:val="14"/>
                <w:szCs w:val="14"/>
                <w:color w:val="0000EE"/>
              </w:rPr>
              <w:t>DESCRIPTION OF WARRANTS</w:t>
            </w:r>
          </w:p>
        </w:tc>
        <w:tc>
          <w:tcPr>
            <w:tcW w:w="8840" w:type="dxa"/>
            <w:vAlign w:val="bottom"/>
            <w:gridSpan w:val="7"/>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0000EE"/>
              </w:rPr>
              <w:t>9</w:t>
            </w:r>
          </w:p>
        </w:tc>
      </w:tr>
      <w:tr>
        <w:trPr>
          <w:trHeight w:val="20"/>
        </w:trPr>
        <w:tc>
          <w:tcPr>
            <w:tcW w:w="6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0" w:type="dxa"/>
            <w:vAlign w:val="bottom"/>
            <w:gridSpan w:val="4"/>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r>
      <w:tr>
        <w:trPr>
          <w:trHeight w:val="325"/>
        </w:trPr>
        <w:tc>
          <w:tcPr>
            <w:tcW w:w="24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4"/>
                <w:szCs w:val="14"/>
                <w:color w:val="0000EE"/>
              </w:rPr>
              <w:t>DESCRIPTION OF DEBT SECURITIES</w:t>
            </w:r>
          </w:p>
        </w:tc>
        <w:tc>
          <w:tcPr>
            <w:tcW w:w="8720" w:type="dxa"/>
            <w:vAlign w:val="bottom"/>
            <w:gridSpan w:val="6"/>
          </w:tcPr>
          <w:p>
            <w:pPr>
              <w:spacing w:after="0"/>
              <w:rPr>
                <w:sz w:val="24"/>
                <w:szCs w:val="24"/>
                <w:color w:val="auto"/>
              </w:rPr>
            </w:pPr>
          </w:p>
        </w:tc>
        <w:tc>
          <w:tcPr>
            <w:tcW w:w="1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85"/>
              </w:rPr>
              <w:t>10</w:t>
            </w:r>
          </w:p>
        </w:tc>
      </w:tr>
      <w:tr>
        <w:trPr>
          <w:trHeight w:val="325"/>
        </w:trPr>
        <w:tc>
          <w:tcPr>
            <w:tcW w:w="16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EE"/>
              </w:rPr>
              <w:t>DESCRIPTION OF UNITS</w:t>
            </w:r>
          </w:p>
        </w:tc>
        <w:tc>
          <w:tcPr>
            <w:tcW w:w="9520" w:type="dxa"/>
            <w:vAlign w:val="bottom"/>
            <w:gridSpan w:val="11"/>
          </w:tcPr>
          <w:p>
            <w:pPr>
              <w:spacing w:after="0"/>
              <w:rPr>
                <w:sz w:val="24"/>
                <w:szCs w:val="24"/>
                <w:color w:val="auto"/>
              </w:rPr>
            </w:pPr>
          </w:p>
        </w:tc>
        <w:tc>
          <w:tcPr>
            <w:tcW w:w="1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85"/>
              </w:rPr>
              <w:t>13</w:t>
            </w:r>
          </w:p>
        </w:tc>
      </w:tr>
      <w:tr>
        <w:trPr>
          <w:trHeight w:val="325"/>
        </w:trPr>
        <w:tc>
          <w:tcPr>
            <w:tcW w:w="11140" w:type="dxa"/>
            <w:vAlign w:val="bottom"/>
            <w:gridSpan w:val="17"/>
          </w:tcPr>
          <w:p>
            <w:pPr>
              <w:spacing w:after="0"/>
              <w:rPr>
                <w:sz w:val="20"/>
                <w:szCs w:val="20"/>
                <w:color w:val="auto"/>
              </w:rPr>
            </w:pPr>
            <w:r>
              <w:rPr>
                <w:rFonts w:ascii="Times New Roman" w:cs="Times New Roman" w:eastAsia="Times New Roman" w:hAnsi="Times New Roman"/>
                <w:sz w:val="14"/>
                <w:szCs w:val="14"/>
                <w:color w:val="0000EE"/>
              </w:rPr>
              <w:t>PLAN OF DISTRIBUTION</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0000EE"/>
                <w:w w:val="85"/>
              </w:rPr>
              <w:t>14</w:t>
            </w:r>
          </w:p>
        </w:tc>
      </w:tr>
      <w:tr>
        <w:trPr>
          <w:trHeight w:val="20"/>
        </w:trPr>
        <w:tc>
          <w:tcPr>
            <w:tcW w:w="6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0" w:type="dxa"/>
            <w:vAlign w:val="bottom"/>
            <w:gridSpan w:val="4"/>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r>
      <w:tr>
        <w:trPr>
          <w:trHeight w:val="325"/>
        </w:trPr>
        <w:tc>
          <w:tcPr>
            <w:tcW w:w="11140" w:type="dxa"/>
            <w:vAlign w:val="bottom"/>
            <w:gridSpan w:val="17"/>
          </w:tcPr>
          <w:p>
            <w:pPr>
              <w:spacing w:after="0"/>
              <w:rPr>
                <w:sz w:val="20"/>
                <w:szCs w:val="20"/>
                <w:color w:val="auto"/>
              </w:rPr>
            </w:pPr>
            <w:r>
              <w:rPr>
                <w:rFonts w:ascii="Times New Roman" w:cs="Times New Roman" w:eastAsia="Times New Roman" w:hAnsi="Times New Roman"/>
                <w:sz w:val="14"/>
                <w:szCs w:val="14"/>
                <w:color w:val="0000EE"/>
              </w:rPr>
              <w:t>WHERE YOU CAN FIND MORE INFORMATION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0000EE"/>
                <w:w w:val="85"/>
              </w:rPr>
              <w:t>15</w:t>
            </w:r>
          </w:p>
        </w:tc>
      </w:tr>
      <w:tr>
        <w:trPr>
          <w:trHeight w:val="20"/>
        </w:trPr>
        <w:tc>
          <w:tcPr>
            <w:tcW w:w="6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880" w:type="dxa"/>
            <w:vAlign w:val="bottom"/>
            <w:gridSpan w:val="8"/>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0" w:type="dxa"/>
            <w:vAlign w:val="bottom"/>
            <w:gridSpan w:val="4"/>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r>
      <w:tr>
        <w:trPr>
          <w:trHeight w:val="325"/>
        </w:trPr>
        <w:tc>
          <w:tcPr>
            <w:tcW w:w="41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4"/>
                <w:szCs w:val="14"/>
                <w:color w:val="0000EE"/>
              </w:rPr>
              <w:t>INCORPORATION OF CERTAIN INFORMATION BY REFERENCE</w:t>
            </w:r>
          </w:p>
        </w:tc>
        <w:tc>
          <w:tcPr>
            <w:tcW w:w="7000" w:type="dxa"/>
            <w:vAlign w:val="bottom"/>
            <w:gridSpan w:val="4"/>
          </w:tcPr>
          <w:p>
            <w:pPr>
              <w:spacing w:after="0"/>
              <w:rPr>
                <w:sz w:val="24"/>
                <w:szCs w:val="24"/>
                <w:color w:val="auto"/>
              </w:rPr>
            </w:pPr>
          </w:p>
        </w:tc>
        <w:tc>
          <w:tcPr>
            <w:tcW w:w="1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85"/>
              </w:rPr>
              <w:t>16</w:t>
            </w:r>
          </w:p>
        </w:tc>
      </w:tr>
      <w:tr>
        <w:trPr>
          <w:trHeight w:val="325"/>
        </w:trPr>
        <w:tc>
          <w:tcPr>
            <w:tcW w:w="11140" w:type="dxa"/>
            <w:vAlign w:val="bottom"/>
            <w:gridSpan w:val="17"/>
          </w:tcPr>
          <w:p>
            <w:pPr>
              <w:spacing w:after="0"/>
              <w:rPr>
                <w:sz w:val="20"/>
                <w:szCs w:val="20"/>
                <w:color w:val="auto"/>
              </w:rPr>
            </w:pPr>
            <w:r>
              <w:rPr>
                <w:rFonts w:ascii="Times New Roman" w:cs="Times New Roman" w:eastAsia="Times New Roman" w:hAnsi="Times New Roman"/>
                <w:sz w:val="14"/>
                <w:szCs w:val="14"/>
                <w:color w:val="0000EE"/>
              </w:rPr>
              <w:t>LEGAL MATTERS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0000EE"/>
                <w:w w:val="85"/>
              </w:rPr>
              <w:t>17</w:t>
            </w:r>
          </w:p>
        </w:tc>
      </w:tr>
      <w:tr>
        <w:trPr>
          <w:trHeight w:val="325"/>
        </w:trPr>
        <w:tc>
          <w:tcPr>
            <w:tcW w:w="6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8"/>
              </w:rPr>
              <w:t>EXPERTS</w:t>
            </w:r>
          </w:p>
        </w:tc>
        <w:tc>
          <w:tcPr>
            <w:tcW w:w="540" w:type="dxa"/>
            <w:vAlign w:val="bottom"/>
            <w:tcBorders>
              <w:top w:val="single" w:sz="8" w:color="0000EE"/>
            </w:tcBorders>
            <w:gridSpan w:val="3"/>
          </w:tcPr>
          <w:p>
            <w:pPr>
              <w:spacing w:after="0"/>
              <w:rPr>
                <w:sz w:val="24"/>
                <w:szCs w:val="24"/>
                <w:color w:val="auto"/>
              </w:rPr>
            </w:pPr>
          </w:p>
        </w:tc>
        <w:tc>
          <w:tcPr>
            <w:tcW w:w="9980" w:type="dxa"/>
            <w:vAlign w:val="bottom"/>
            <w:gridSpan w:val="13"/>
          </w:tcPr>
          <w:p>
            <w:pPr>
              <w:spacing w:after="0"/>
              <w:rPr>
                <w:sz w:val="24"/>
                <w:szCs w:val="24"/>
                <w:color w:val="auto"/>
              </w:rPr>
            </w:pPr>
          </w:p>
        </w:tc>
        <w:tc>
          <w:tcPr>
            <w:tcW w:w="14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85"/>
              </w:rPr>
              <w:t>17</w:t>
            </w:r>
          </w:p>
        </w:tc>
      </w:tr>
    </w:tbl>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160260" cy="13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9"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86" w:lineRule="exact"/>
        <w:rPr>
          <w:sz w:val="20"/>
          <w:szCs w:val="20"/>
          <w:color w:val="auto"/>
        </w:rPr>
      </w:pPr>
    </w:p>
    <w:p>
      <w:pPr>
        <w:jc w:val="both"/>
        <w:ind w:firstLine="517"/>
        <w:spacing w:after="0" w:line="263"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on Form S-3 that we filed with the Securities and Exchange Commission (“Commission” or “SEC”), as a “well-known seasoned issuer” as defined in Rule 405 under the Securities Act of 1933, as amended (the “Securities Act”). Under this shelf registration process, we may sell or issue any combination of the securities described in this prospectus in one or more offerings. This prospectus provides you with a general description of the securities we may offer. We will provide the terms of these securities in supplements to this prospectus. The prospectus supplement may also add, update, or change information contained in, or incorporated by reference into, this prospectus. This prospectus also contains summaries of certain documents, but reference is made to the actual documents for complete information. All such summaries are qualified in their entirety by such reference. We urge you to read both this prospectus and any prospectus supplement together with additional information described under the heading “Where You Can Find More Information” on page 15.</w:t>
      </w:r>
    </w:p>
    <w:p>
      <w:pPr>
        <w:spacing w:after="0" w:line="320" w:lineRule="exact"/>
        <w:rPr>
          <w:sz w:val="20"/>
          <w:szCs w:val="20"/>
          <w:color w:val="auto"/>
        </w:rPr>
      </w:pPr>
    </w:p>
    <w:p>
      <w:pPr>
        <w:jc w:val="both"/>
        <w:ind w:firstLine="517"/>
        <w:spacing w:after="0" w:line="269" w:lineRule="auto"/>
        <w:rPr>
          <w:sz w:val="20"/>
          <w:szCs w:val="20"/>
          <w:color w:val="auto"/>
        </w:rPr>
      </w:pPr>
      <w:r>
        <w:rPr>
          <w:rFonts w:ascii="Times New Roman" w:cs="Times New Roman" w:eastAsia="Times New Roman" w:hAnsi="Times New Roman"/>
          <w:sz w:val="14"/>
          <w:szCs w:val="14"/>
          <w:color w:val="auto"/>
        </w:rPr>
        <w:t>You should rely only on the information contained or incorporated by reference in this prospectus and any prospectus or prospectus supplement. We have not authorized any other person to provide you with different information. If anyone provides you with different or inconsistent information, you should not rely on it. We will not make an offer to sell securities in any jurisdiction where the offer or sale is not permitted. You should assume that the information contained or incorporated by reference into this prospectus is only accurate as of the date on the front cover of this prospectus or the date of the document incorporated by reference. Our business, financial condition, results of operations and prospects may have changed since the relevant date.</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will not use this prospectus to offer and sell securities unless it is accompanied by a prospectus or prospectus supplement that more fully describes the terms of the offering.</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Unless the context requires otherwise, references in this prospectus to “TG,” “the Company,” “we,” “us” and “our” refer to TG Therapeutics, Inc. and its subsidiaries.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TG THERAPEUTICS, INC.</w:t>
      </w:r>
    </w:p>
    <w:p>
      <w:pPr>
        <w:spacing w:after="0" w:line="186" w:lineRule="exact"/>
        <w:rPr>
          <w:sz w:val="20"/>
          <w:szCs w:val="20"/>
          <w:color w:val="auto"/>
        </w:rPr>
      </w:pPr>
    </w:p>
    <w:p>
      <w:pPr>
        <w:jc w:val="both"/>
        <w:ind w:firstLine="517"/>
        <w:spacing w:after="0" w:line="266" w:lineRule="auto"/>
        <w:rPr>
          <w:sz w:val="20"/>
          <w:szCs w:val="20"/>
          <w:color w:val="auto"/>
        </w:rPr>
      </w:pPr>
      <w:r>
        <w:rPr>
          <w:rFonts w:ascii="Times New Roman" w:cs="Times New Roman" w:eastAsia="Times New Roman" w:hAnsi="Times New Roman"/>
          <w:sz w:val="14"/>
          <w:szCs w:val="14"/>
          <w:color w:val="auto"/>
        </w:rPr>
        <w:t>TG Therapeutics is a fully-integrated, commercial stage, biopharmaceutical company focused on the acquisition, development and commercialization of novel treatments for B-cell mediated diseases. TG has received approval from the U.S. Food and Drug Administration for BRIUMVI® (ublituximab-xiiy) for the treatment of adult patients with relapsing forms of multiple sclerosis (RMS), to include clinically isolated syndrome, relapsing-remitting disease and active secondary progressive disease, in adults, as well as approval by the European Commission and the Medicines and Healthcare products Regulatory Agency for BRIUMVI to treat adult patients with RMS who have active disease defined by clinical or imaging features in Europe and the United Kingdom, respectively. We also actively evaluate complementary products, technologies and companies for in-licensing, partnership, acquisition and/or investment opportunities.</w:t>
      </w:r>
    </w:p>
    <w:p>
      <w:pPr>
        <w:spacing w:after="0" w:line="142"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Our principal executive offices are located at 3020 Carrington Mill Blvd, Suite 475, Morrisville, North Carolina, 27560. Our telephone number is 1-877-575-TGTX(8489) and our e-mail address is info@tgtxinc.com. The information contained in, or that can be accessed through, our website is not part of, and is not incorporated into, this prospectus or any accompanying prospectus supplement, and you should not consider any such information as part of this prospectus or in deciding whether to purchase our securities.</w:t>
      </w:r>
    </w:p>
    <w:p>
      <w:pPr>
        <w:spacing w:after="0" w:line="136"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We make available free of charge through our corporate website our Annual Reports on Form 10-K, Quarterly Reports on Form 10-Q and Current Reports on Form 8-K, as well as any amendments to these reports, as soon as reasonably practicable after we electronically file such material with, or furnish such material to, the SEC. The SEC maintains a website that contains annual, quarterly, and current reports, proxy statements, and other information that issuers (including us) file electronically with the SEC. The SEC’s website address is www.sec.gov.</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6" w:lineRule="exact"/>
        <w:rPr>
          <w:sz w:val="20"/>
          <w:szCs w:val="20"/>
          <w:color w:val="auto"/>
        </w:rPr>
      </w:pPr>
    </w:p>
    <w:p>
      <w:pPr>
        <w:jc w:val="both"/>
        <w:ind w:firstLine="517"/>
        <w:spacing w:after="0" w:line="267" w:lineRule="auto"/>
        <w:rPr>
          <w:sz w:val="20"/>
          <w:szCs w:val="20"/>
          <w:color w:val="auto"/>
        </w:rPr>
      </w:pPr>
      <w:r>
        <w:rPr>
          <w:rFonts w:ascii="Times New Roman" w:cs="Times New Roman" w:eastAsia="Times New Roman" w:hAnsi="Times New Roman"/>
          <w:sz w:val="14"/>
          <w:szCs w:val="14"/>
          <w:color w:val="auto"/>
        </w:rPr>
        <w:t>Investing in our securities involves risks. You should carefully consider the risk factors contained or incorporated by reference in this prospectus and the applicable prospectus supplement, together with all other information contained in or incorporated by reference into this prospectus and the applicable prospectus supplement. You should also consider the risks, uncertainties and assumptions discussed under the caption “Risk Factors” included in our most recent Annual Report on Form 10-K, our Quarterly Reports on Form 10-Q and other reports, which are filed with the SEC and is incorporated by reference in this prospectus, and which may be amended, supplemented or superseded from time to time by other reports we file with the SEC in the future</w:t>
      </w:r>
      <w:r>
        <w:rPr>
          <w:rFonts w:ascii="Times New Roman" w:cs="Times New Roman" w:eastAsia="Times New Roman" w:hAnsi="Times New Roman"/>
          <w:sz w:val="14"/>
          <w:szCs w:val="14"/>
          <w:i w:val="1"/>
          <w:iCs w:val="1"/>
          <w:color w:val="auto"/>
        </w:rPr>
        <w:t>.</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SPECIAL CAUTIONARY NOTICE REGARDING FORWARD-LOOKING STATEMENTS</w:t>
      </w:r>
    </w:p>
    <w:p>
      <w:pPr>
        <w:spacing w:after="0" w:line="186" w:lineRule="exact"/>
        <w:rPr>
          <w:sz w:val="20"/>
          <w:szCs w:val="20"/>
          <w:color w:val="auto"/>
        </w:rPr>
      </w:pPr>
    </w:p>
    <w:p>
      <w:pPr>
        <w:jc w:val="both"/>
        <w:ind w:firstLine="517"/>
        <w:spacing w:after="0" w:line="262" w:lineRule="auto"/>
        <w:rPr>
          <w:sz w:val="20"/>
          <w:szCs w:val="20"/>
          <w:color w:val="auto"/>
        </w:rPr>
      </w:pPr>
      <w:r>
        <w:rPr>
          <w:rFonts w:ascii="Times New Roman" w:cs="Times New Roman" w:eastAsia="Times New Roman" w:hAnsi="Times New Roman"/>
          <w:sz w:val="14"/>
          <w:szCs w:val="14"/>
          <w:color w:val="auto"/>
        </w:rPr>
        <w:t>Certain matters discussed in this prospectus, any prospectus supplement and the documents incorporated by reference herein and therein contains forward-looking statements. All statements other than statements of historical facts, may constitute forward-looking statements. We intend such forward-looking statements to be subject to the safe harbor provisions of the Private Securities Litigation Reform Act of 1995, including Section 27A of the Securities Act of 1933, as amended (Securities Act) and Section 21E of the Securities Exchange Act of 1934, as amended (Exchange Act). Forward-looking statements involve known and unknown risks, uncertainties and other factors that may cause our actual results, performance or achievements to be materially different from the future results, performance or achievements expressed or implied by such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All written or oral forward-looking statements attributable to us are expressly qualified in their entirety by these cautionary statements. Such forward-looking statements include, but are not limited to, statements about:</w:t>
      </w:r>
    </w:p>
    <w:p>
      <w:pPr>
        <w:spacing w:after="0" w:line="145" w:lineRule="exact"/>
        <w:rPr>
          <w:sz w:val="20"/>
          <w:szCs w:val="20"/>
          <w:color w:val="auto"/>
        </w:rPr>
      </w:pPr>
    </w:p>
    <w:p>
      <w:pPr>
        <w:jc w:val="both"/>
        <w:ind w:left="260" w:hanging="254"/>
        <w:spacing w:after="0" w:line="263" w:lineRule="auto"/>
        <w:tabs>
          <w:tab w:leader="none" w:pos="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regulatory approvals for our product candidates, including azercabtagene zapreleucel (azer-cel), and our ability to maintain regulatory approval of BRIUMVI® (ublituximab-xiiy) 150 mg/6 mL Injection for intravenous therapy for the treatment of relapsing forms of multiple sclerosis (RMS) or any other future indication in the United States (U.S.), the European Union (EU), the United Kingdom (UK), Switzerland, Australia, and other jurisdictions;</w:t>
      </w:r>
    </w:p>
    <w:p>
      <w:pPr>
        <w:spacing w:after="0" w:line="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adapt and expand our commercial infrastructure to successfully, or in the timeframe projected, market and sell BRIUMVI and our other product candidates;</w:t>
      </w:r>
    </w:p>
    <w:p>
      <w:pPr>
        <w:spacing w:after="0" w:line="1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 reliable supply of our products that meets market demand;</w:t>
      </w:r>
    </w:p>
    <w:p>
      <w:pPr>
        <w:spacing w:after="0" w:line="11" w:lineRule="exact"/>
        <w:rPr>
          <w:rFonts w:ascii="Times New Roman" w:cs="Times New Roman" w:eastAsia="Times New Roman" w:hAnsi="Times New Roman"/>
          <w:sz w:val="14"/>
          <w:szCs w:val="14"/>
          <w:color w:val="auto"/>
        </w:rPr>
      </w:pPr>
    </w:p>
    <w:p>
      <w:pPr>
        <w:ind w:left="260" w:hanging="254"/>
        <w:spacing w:after="0" w:line="256" w:lineRule="auto"/>
        <w:tabs>
          <w:tab w:leader="none" w:pos="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success of the ongoing commercialization and availability of BRIUMVI or any future products or combinations of products, including the anticipated rate and degree of market acceptance and pricing and reimbursement;</w:t>
      </w:r>
    </w:p>
    <w:p>
      <w:pPr>
        <w:spacing w:after="0" w:line="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timing, progress and results of our preclinical studies and clinical trials;</w:t>
      </w:r>
    </w:p>
    <w:p>
      <w:pPr>
        <w:spacing w:after="0" w:line="1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advance drug candidates into, and successfully complete, clinical trials;</w:t>
      </w:r>
    </w:p>
    <w:p>
      <w:pPr>
        <w:spacing w:after="0" w:line="1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formulate, manufacture and commercialize our product candidates;</w:t>
      </w:r>
    </w:p>
    <w:p>
      <w:pPr>
        <w:spacing w:after="0" w:line="11" w:lineRule="exact"/>
        <w:rPr>
          <w:rFonts w:ascii="Times New Roman" w:cs="Times New Roman" w:eastAsia="Times New Roman" w:hAnsi="Times New Roman"/>
          <w:sz w:val="14"/>
          <w:szCs w:val="14"/>
          <w:color w:val="auto"/>
        </w:rPr>
      </w:pPr>
    </w:p>
    <w:p>
      <w:pPr>
        <w:ind w:left="260" w:hanging="254"/>
        <w:spacing w:after="0" w:line="256" w:lineRule="auto"/>
        <w:tabs>
          <w:tab w:leader="none" w:pos="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contractual relationships and partnerships, on commercially reasonable terms, with third parties for manufacturing, distribution, marketing and supply and a range of other support functions for our clinical development and commercialization efforts;</w:t>
      </w:r>
    </w:p>
    <w:p>
      <w:pPr>
        <w:spacing w:after="0" w:line="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business model and strategic plans for our business and drug candidates;</w:t>
      </w:r>
    </w:p>
    <w:p>
      <w:pPr>
        <w:spacing w:after="0" w:line="1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we are able to establish and maintain for intellectual property rights covering our product and product candidates;</w:t>
      </w:r>
    </w:p>
    <w:p>
      <w:pPr>
        <w:spacing w:after="0" w:line="1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of our expenses, future revenues, capital requirements and our needs for additional financing;</w:t>
      </w:r>
    </w:p>
    <w:p>
      <w:pPr>
        <w:spacing w:after="0" w:line="1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and establish collaborations and enter into strategic arrangements, if desired;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ind w:left="260" w:hanging="254"/>
        <w:spacing w:after="0" w:line="267" w:lineRule="auto"/>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meet any of our financial projections or guidance, including without limitation short and long-term revenue and operating expense projections or guidance and changes to the assumptions underlying those projections or guidance;</w:t>
      </w:r>
    </w:p>
    <w:p>
      <w:pPr>
        <w:ind w:left="260" w:hanging="254"/>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sufficient capital to fund our planned operations;</w:t>
      </w:r>
    </w:p>
    <w:p>
      <w:pPr>
        <w:spacing w:after="0" w:line="1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performance and cash burn management;</w:t>
      </w:r>
    </w:p>
    <w:p>
      <w:pPr>
        <w:spacing w:after="0" w:line="1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or obtain adequate product liability and other insurance coverage;</w:t>
      </w:r>
    </w:p>
    <w:p>
      <w:pPr>
        <w:spacing w:after="0" w:line="1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competitors and our industry;</w:t>
      </w:r>
    </w:p>
    <w:p>
      <w:pPr>
        <w:spacing w:after="0" w:line="11" w:lineRule="exact"/>
        <w:rPr>
          <w:rFonts w:ascii="Times New Roman" w:cs="Times New Roman" w:eastAsia="Times New Roman" w:hAnsi="Times New Roman"/>
          <w:sz w:val="14"/>
          <w:szCs w:val="14"/>
          <w:color w:val="auto"/>
        </w:rPr>
      </w:pPr>
    </w:p>
    <w:p>
      <w:pPr>
        <w:ind w:left="260" w:hanging="254"/>
        <w:spacing w:after="0" w:line="256" w:lineRule="auto"/>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on our company of future regulatory developments or legislative actions, including changes in healthcare, environmental and other laws and regulations to which we are subject, including tariffs that may apply to products that we purchase or sell;</w:t>
      </w:r>
    </w:p>
    <w:p>
      <w:pPr>
        <w:spacing w:after="0" w:line="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prevailing economic, market and business conditions;</w:t>
      </w:r>
    </w:p>
    <w:p>
      <w:pPr>
        <w:spacing w:after="0" w:line="1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attract and hire key personnel;</w:t>
      </w:r>
    </w:p>
    <w:p>
      <w:pPr>
        <w:spacing w:after="0" w:line="1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competitive position;</w:t>
      </w:r>
    </w:p>
    <w:p>
      <w:pPr>
        <w:spacing w:after="0" w:line="1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trading price of our common stock;</w:t>
      </w:r>
    </w:p>
    <w:p>
      <w:pPr>
        <w:spacing w:after="0" w:line="1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use of cash and other resources; and</w:t>
      </w:r>
    </w:p>
    <w:p>
      <w:pPr>
        <w:spacing w:after="0" w:line="1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implement our strategy.</w:t>
      </w:r>
    </w:p>
    <w:p>
      <w:pPr>
        <w:spacing w:after="0" w:line="170" w:lineRule="exact"/>
        <w:rPr>
          <w:sz w:val="20"/>
          <w:szCs w:val="20"/>
          <w:color w:val="auto"/>
        </w:rPr>
      </w:pPr>
    </w:p>
    <w:p>
      <w:pPr>
        <w:jc w:val="both"/>
        <w:ind w:firstLine="517"/>
        <w:spacing w:after="0" w:line="266" w:lineRule="auto"/>
        <w:rPr>
          <w:sz w:val="20"/>
          <w:szCs w:val="20"/>
          <w:color w:val="auto"/>
        </w:rPr>
      </w:pPr>
      <w:r>
        <w:rPr>
          <w:rFonts w:ascii="Times New Roman" w:cs="Times New Roman" w:eastAsia="Times New Roman" w:hAnsi="Times New Roman"/>
          <w:sz w:val="14"/>
          <w:szCs w:val="14"/>
          <w:color w:val="auto"/>
        </w:rPr>
        <w:t>Forward-looking statements are not guarantees of performance. They involve risks, uncertainties and assumptions. You should refer to the “Risk Factors” section in this prospectus and in any accompanying prospectus supplement, together with all information incorporated by reference herein and therein, including our most recent Annual Report on Form 10-K, Quarterly Reports on Form 10-Q and other reports with the SEC for a discussion of important factors that may cause our actual results to differ materially from those expressed or implied by our forward-looking statements. Although we make such statements based on assumptions that we believe to be reasonable, there can be no assurance that actual results will not differ materially from our expectations. We caution you not to rely unduly on any forward-looking statements.</w:t>
      </w:r>
    </w:p>
    <w:p>
      <w:pPr>
        <w:spacing w:after="0" w:line="142"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These forward-looking statements speak only as of the date of this prospectus. We do not undertake any obligation to update or revise any forward-looking statements, whether as a result of new information, future events or otherwise, except as may be required under applicable securities laws. You should therefore not rely on these forward-looking statements as representing our views as of any date subsequent to the date of this prospectus.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6" w:lineRule="exact"/>
        <w:rPr>
          <w:sz w:val="20"/>
          <w:szCs w:val="20"/>
          <w:color w:val="auto"/>
        </w:rPr>
      </w:pPr>
    </w:p>
    <w:p>
      <w:pPr>
        <w:ind w:firstLine="517"/>
        <w:spacing w:after="0" w:line="294" w:lineRule="auto"/>
        <w:rPr>
          <w:sz w:val="20"/>
          <w:szCs w:val="20"/>
          <w:color w:val="auto"/>
        </w:rPr>
      </w:pPr>
      <w:r>
        <w:rPr>
          <w:rFonts w:ascii="Times New Roman" w:cs="Times New Roman" w:eastAsia="Times New Roman" w:hAnsi="Times New Roman"/>
          <w:sz w:val="14"/>
          <w:szCs w:val="14"/>
          <w:color w:val="auto"/>
        </w:rPr>
        <w:t>Unless otherwise specified in a prospectus supplement accompanying this prospectus, the net proceeds from the sale of the securities to which this prospectus relates will be used for general corporate purposes.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86"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 following summary of the terms of our capital stock may not be complete and is subject to, and qualified in its entirety by reference to, the terms and provisions of our amended and restated certificate of incorporation, as amended (“amended and restated certificate of incorporation”), and our amended and restated bylaws. You should refer to, and read this summary together with, our amended and restated certificate of incorporation and our amended and restated bylaws to review all of the terms of our capital stock that may be important to you.</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86"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Under our amended and restated certificate of incorporation, we are authorized to issue a total of 190,000,000 shares of common stock, par value $0.001 per share. As of August 5, 2025, we had 158,665,613 shares of our common stock issued and outstanding. As of August 5, 2025, we have approximately 199 holders of record. All outstanding shares of our common stock are fully paid and nonassessable. Our common stock is listed on the Nasdaq Capital Market under the symbol “TGTX.”</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88"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Subject to the dividend rights of the holders of any outstanding series of preferred stock, holders of our common stock are entitled to receive ratably such dividends and other distributions of cash or any other right or property as may be declared by our board of directors out of our assets or funds legally available for such dividends or distributions.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holders of our common stock are entitled to one vote for each share of common stock owned by that stockholder on every matter properly submitted to the stockholders for their vote.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Stockholders are not entitled to vote cumulatively for the election of directors.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Liquidation and Dissolution</w:t>
      </w:r>
    </w:p>
    <w:p>
      <w:pPr>
        <w:spacing w:after="0" w:line="188"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In the event of any voluntary or involuntary liquidation, dissolution or winding up of our affairs, holders of common stock would be entitled to share ratably in our assets that are legally available for distribution to stockholders after payment of liabilities. If we have any preferred stock outstanding at such time, holders of the preferred stock may be entitled to distributions and/or liquidation preferences. In either such case, we must pay the applicable distribution to the holders of our preferred stock (if any) before we may pay distributions to the holders of common stock.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Holders of our common stock have no conversion, redemption, preemptive, subscription or similar rights.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Transfer Agent</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American Stock Transfer and Trust Company serves as the transfer agent and registrar for all of our common stock.</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86" w:lineRule="exact"/>
        <w:rPr>
          <w:sz w:val="20"/>
          <w:szCs w:val="20"/>
          <w:color w:val="auto"/>
        </w:rPr>
      </w:pPr>
    </w:p>
    <w:p>
      <w:pPr>
        <w:jc w:val="both"/>
        <w:ind w:firstLine="517"/>
        <w:spacing w:after="0" w:line="266" w:lineRule="auto"/>
        <w:rPr>
          <w:sz w:val="20"/>
          <w:szCs w:val="20"/>
          <w:color w:val="auto"/>
        </w:rPr>
      </w:pPr>
      <w:r>
        <w:rPr>
          <w:rFonts w:ascii="Times New Roman" w:cs="Times New Roman" w:eastAsia="Times New Roman" w:hAnsi="Times New Roman"/>
          <w:sz w:val="14"/>
          <w:szCs w:val="14"/>
          <w:color w:val="auto"/>
        </w:rPr>
        <w:t>Under the terms of our amended and restated certificate of incorporation, our board of directors is authorized to issue up to 10,000,000 shares of preferred stock, par value $0.001 per share. Our board of directors may issue shares of preferred stock in one or more series without stockholder approval, and has the discretion to determine the rights, preferences, privileges and restrictions, including voting rights, dividend rights, conversion rights, redemption privileges and liquidation preferences, of each series of preferred stock. We may amend from time to time our amended and restated certificate of incorporation to increase the number of authorized shares of preferred stock. Any such amendment would require the approval of the holders of a majority of the voting power of the shares entitled to vote thereon. As of the date of this prospectus, we have 10,000,000 shares of preferred shares authorized, but no shares of preferred stock outstanding.</w:t>
      </w:r>
    </w:p>
    <w:p>
      <w:pPr>
        <w:spacing w:after="0" w:line="142" w:lineRule="exact"/>
        <w:rPr>
          <w:sz w:val="20"/>
          <w:szCs w:val="20"/>
          <w:color w:val="auto"/>
        </w:rPr>
      </w:pPr>
    </w:p>
    <w:p>
      <w:pPr>
        <w:jc w:val="both"/>
        <w:ind w:firstLine="517"/>
        <w:spacing w:after="0" w:line="269" w:lineRule="auto"/>
        <w:rPr>
          <w:sz w:val="20"/>
          <w:szCs w:val="20"/>
          <w:color w:val="auto"/>
        </w:rPr>
      </w:pPr>
      <w:r>
        <w:rPr>
          <w:rFonts w:ascii="Times New Roman" w:cs="Times New Roman" w:eastAsia="Times New Roman" w:hAnsi="Times New Roman"/>
          <w:sz w:val="14"/>
          <w:szCs w:val="14"/>
          <w:color w:val="auto"/>
        </w:rPr>
        <w:t>It is not possible to state the actual effect of the issuance of any shares of preferred stock upon the rights of the holders of common stock until the board of directors determines the specific rights of the holders of preferred stock. However, effects of the issuance of preferred stock include restricting dividends on common stock, diluting the voting power of common stock, impairing the liquidation rights of common stock, and making it more difficult for a third party to acquire us, which could have the effect of discouraging a third party from acquiring, or deterring a third party from paying a premium to acquire, a majority of our outstanding voting stock.</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particular terms of any series of preferred stock being offered by us will be described in the prospectus supplement relating to that series of preferred stock. Those terms may include:</w:t>
      </w:r>
    </w:p>
    <w:p>
      <w:pPr>
        <w:spacing w:after="0" w:line="184" w:lineRule="exact"/>
        <w:rPr>
          <w:sz w:val="20"/>
          <w:szCs w:val="20"/>
          <w:color w:val="auto"/>
        </w:rPr>
      </w:pPr>
    </w:p>
    <w:p>
      <w:pPr>
        <w:ind w:left="260" w:hanging="254"/>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liquidation preference per share of the preferred stock and the number of shares offered;</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preferred stock;</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rate (or method of calculation);</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dividends will be paid and the date from which dividends will begin to accumulate;</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redemption or sinking fund provisions of the preferred stock;</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listing of the preferred stock on any securities exchange or market;</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conversion provisions of the preferred stock;</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voting rights, if any, of the preferred stock; and</w:t>
      </w:r>
    </w:p>
    <w:p>
      <w:pPr>
        <w:spacing w:after="0" w:line="183" w:lineRule="exact"/>
        <w:rPr>
          <w:rFonts w:ascii="Times New Roman" w:cs="Times New Roman" w:eastAsia="Times New Roman" w:hAnsi="Times New Roman"/>
          <w:sz w:val="14"/>
          <w:szCs w:val="14"/>
          <w:color w:val="auto"/>
        </w:rPr>
      </w:pPr>
    </w:p>
    <w:p>
      <w:pPr>
        <w:ind w:left="520" w:right="2240" w:hanging="514"/>
        <w:spacing w:after="0" w:line="513" w:lineRule="auto"/>
        <w:tabs>
          <w:tab w:leader="none" w:pos="26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dividend, liquidation, redemption, sinking fund and other rights, preferences, privileges, limitations and restrictions of the preferred stock. The preferred stock will, when issued, be fully paid and non-assessable.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86" w:lineRule="exact"/>
        <w:rPr>
          <w:sz w:val="20"/>
          <w:szCs w:val="20"/>
          <w:color w:val="auto"/>
        </w:rPr>
      </w:pPr>
    </w:p>
    <w:p>
      <w:pPr>
        <w:ind w:firstLine="517"/>
        <w:spacing w:after="0" w:line="294" w:lineRule="auto"/>
        <w:rPr>
          <w:sz w:val="20"/>
          <w:szCs w:val="20"/>
          <w:color w:val="auto"/>
        </w:rPr>
      </w:pPr>
      <w:r>
        <w:rPr>
          <w:rFonts w:ascii="Times New Roman" w:cs="Times New Roman" w:eastAsia="Times New Roman" w:hAnsi="Times New Roman"/>
          <w:sz w:val="14"/>
          <w:szCs w:val="14"/>
          <w:color w:val="auto"/>
        </w:rPr>
        <w:t>We may issue warrants to purchase shares of our common stock and/or preferred stock in one or more series together with other securities or separately, as described in each applicable prospectus supplement.</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prospectus supplement relating to any warrants we offer will include specific terms relating to the offering. These terms will include some or all of the following:</w:t>
      </w:r>
    </w:p>
    <w:p>
      <w:pPr>
        <w:spacing w:after="0" w:line="184" w:lineRule="exact"/>
        <w:rPr>
          <w:sz w:val="20"/>
          <w:szCs w:val="20"/>
          <w:color w:val="auto"/>
        </w:rPr>
      </w:pPr>
    </w:p>
    <w:p>
      <w:pPr>
        <w:ind w:left="260" w:hanging="254"/>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warrants;</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warrants offered;</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number and terms of the shares of common stock purchasable upon exercise of the warrants and procedures by which those numbers may be adjusted;</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of the warrants;</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or periods during which the warrants are exercisable;</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any securities with which the warrants are issued;</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warrants are issued as a unit with another security, the date on and after which the warrants and the other security will be separately transferable;</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exercise price is not payable in U.S. dollars, the foreign currency, currency unit or composite currency in which the exercise price is denominated;</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minimum or maximum amount of warrants that may be exercised at any one time;</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terms relating to the modification of the warrants;</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terms, procedures and limitations relating to the transferability, exchange or exercise of the warrants; and</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of the warrants.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86" w:lineRule="exact"/>
        <w:rPr>
          <w:sz w:val="20"/>
          <w:szCs w:val="20"/>
          <w:color w:val="auto"/>
        </w:rPr>
      </w:pPr>
    </w:p>
    <w:p>
      <w:pPr>
        <w:jc w:val="both"/>
        <w:ind w:firstLine="517"/>
        <w:spacing w:after="0" w:line="266" w:lineRule="auto"/>
        <w:rPr>
          <w:sz w:val="20"/>
          <w:szCs w:val="20"/>
          <w:color w:val="auto"/>
        </w:rPr>
      </w:pPr>
      <w:r>
        <w:rPr>
          <w:rFonts w:ascii="Times New Roman" w:cs="Times New Roman" w:eastAsia="Times New Roman" w:hAnsi="Times New Roman"/>
          <w:sz w:val="14"/>
          <w:szCs w:val="14"/>
          <w:color w:val="auto"/>
        </w:rPr>
        <w:t>We may offer debt securities which may be senior, subordinated or junior subordinated and may be convertible. Unless otherwise specified in the applicable prospectus supplement, our debt securities will be issued in one or more series under an indenture to be entered into between us and a trustee. We will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w:t>
      </w:r>
    </w:p>
    <w:p>
      <w:pPr>
        <w:spacing w:after="0" w:line="142"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 following description briefly sets forth certain general terms and provisions of the debt securities that we may offer. The particular terms of the debt securities offered by any prospectus supplement and the extent, if any, to which these general provisions may apply to the debt securities, will be described in the related prospectus supplement. Accordingly, for a description of the terms of a particular issue of debt securities, reference must be made to both the related prospectus supplement and to the following description.</w:t>
      </w:r>
    </w:p>
    <w:p>
      <w:pPr>
        <w:spacing w:after="0" w:line="136"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 aggregate principal amount of debt securities that may be issued under the indenture is unlimited. The debt securities may be issued in one or more series as may be authorized from time to time pursuant to a supplemental indenture entered into between us and the trustee or an order delivered by us to the trustee. For each series of debt securities we offer, a prospectus supplement accompanying this prospectus will describe the following terms and conditions of the series of debt securities that we are offering, to the extent applicable:</w:t>
      </w:r>
    </w:p>
    <w:p>
      <w:pPr>
        <w:spacing w:after="0" w:line="136"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title and aggregate principal amount;</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senior, subordinated or junior subordinated;</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subordination provisions, if any;</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regarding whether the debt securities will be convertible or exchangeable into other securities or property of the Company or any other person;</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or percentages of principal amount at which the debt securities will be issued;</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maturity date(s);</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rate(s) or the method for determining the interest rate(s);</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interest on the debt securities will be payable in cash or additional debt securities of the same series;</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dates on which interest will accrue or the method for determining dates on which interest will accrue and dates on which interest will be payable;</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amount of payment of principal of, premium, if any, or interest on the debt securities may be determined with reference to an index, formula or other method;</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repurchase or early repayment provisions, including our obligation or right to redeem, purchase or repay debt securities under a sinking fund, amortization or analogous provision;</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debt securities’ principal amount, the portion of the principal amount of the debt securities that will be payable upon declaration of acceleration of the maturity;</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authorized denominations;</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of discount or premium, if any, with which the debt securities will be issued, including whether the debt securities will be issued as “original issue discount” securities;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the principal of, premium, if any, and interest on the debt securities will be payable;</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debt securities may be presented for registration of transfer, exchange or conversion;</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notices and demands to or upon the Company in respect of the debt securities may be made;</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whole or in part in the form of one or more global securities;</w:t>
      </w:r>
    </w:p>
    <w:p>
      <w:pPr>
        <w:spacing w:after="0" w:line="183" w:lineRule="exact"/>
        <w:rPr>
          <w:rFonts w:ascii="Times New Roman" w:cs="Times New Roman" w:eastAsia="Times New Roman" w:hAnsi="Times New Roman"/>
          <w:sz w:val="14"/>
          <w:szCs w:val="14"/>
          <w:color w:val="auto"/>
        </w:rPr>
      </w:pPr>
    </w:p>
    <w:p>
      <w:pPr>
        <w:ind w:left="260" w:hanging="254"/>
        <w:spacing w:after="0" w:line="294" w:lineRule="auto"/>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will be issued in whole or in part in the form of a book-entry security, the depository or its nominee with respect to the debt securities and the circumstances under which the book-entry security may be registered for transfer or exchange or authenticated and delivered in the name of a person other than the depository or its nominee;</w:t>
      </w:r>
    </w:p>
    <w:p>
      <w:pPr>
        <w:spacing w:after="0" w:line="122" w:lineRule="exact"/>
        <w:rPr>
          <w:rFonts w:ascii="Times New Roman" w:cs="Times New Roman" w:eastAsia="Times New Roman" w:hAnsi="Times New Roman"/>
          <w:sz w:val="14"/>
          <w:szCs w:val="14"/>
          <w:color w:val="auto"/>
        </w:rPr>
      </w:pPr>
    </w:p>
    <w:p>
      <w:pPr>
        <w:ind w:left="260" w:hanging="254"/>
        <w:spacing w:after="0" w:line="294" w:lineRule="auto"/>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 temporary security is to be issued with respect to such series and whether any interest payable prior to the issuance of definitive securities of the series will be credited to the account of the persons entitled thereto;</w:t>
      </w:r>
    </w:p>
    <w:p>
      <w:pPr>
        <w:spacing w:after="0" w:line="122" w:lineRule="exact"/>
        <w:rPr>
          <w:rFonts w:ascii="Times New Roman" w:cs="Times New Roman" w:eastAsia="Times New Roman" w:hAnsi="Times New Roman"/>
          <w:sz w:val="14"/>
          <w:szCs w:val="14"/>
          <w:color w:val="auto"/>
        </w:rPr>
      </w:pPr>
    </w:p>
    <w:p>
      <w:pPr>
        <w:ind w:left="260" w:hanging="254"/>
        <w:spacing w:after="0" w:line="294" w:lineRule="auto"/>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upon which beneficial interests in a temporary global security may be exchanged in whole or in part for beneficial interests in a definitive global security or for individual definitive securities;</w:t>
      </w:r>
    </w:p>
    <w:p>
      <w:pPr>
        <w:spacing w:after="0" w:line="122"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guarantors, if any, of the debt securities, and the extent of the guarantees and any additions or changes to permit or facilitate guarantees of such debt securities;</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covenants applicable to the particular debt securities being issued;</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defaults and events of default applicable to the debt securities, including the remedies available in connection therewith;</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currencies or currency units in which the purchase price for, the principal of and any premium and any interest on, such debt securities will be payable;</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 period within which, the manner in which and the terms and conditions upon which the Company or the purchaser of the debt securities can select the payment currency;</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exchange(s) on which the debt securities will be listed, if any;</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underwriter(s) will act as market maker(s) for the debt securities;</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extent to which a secondary market for the debt securities is expected to develop;</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relating to defeasance;</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relating to satisfaction and discharge of the indenture;</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or conditions on the transferability of the debt securities;</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relating to the modification of the indenture both with and without the consent of holders of debt securities issued under the indenture;</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or change in the provisions related to compensation and reimbursement of the trustee;</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if any, granting special rights to holders upon the occurrence of specified events;</w:t>
      </w:r>
    </w:p>
    <w:p>
      <w:pPr>
        <w:spacing w:after="0" w:line="183" w:lineRule="exact"/>
        <w:rPr>
          <w:rFonts w:ascii="Times New Roman" w:cs="Times New Roman" w:eastAsia="Times New Roman" w:hAnsi="Times New Roman"/>
          <w:sz w:val="14"/>
          <w:szCs w:val="14"/>
          <w:color w:val="auto"/>
        </w:rPr>
      </w:pPr>
    </w:p>
    <w:p>
      <w:pPr>
        <w:ind w:left="260" w:hanging="254"/>
        <w:spacing w:after="0" w:line="267" w:lineRule="auto"/>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secured or unsecured, and, if secured, the terms upon which the debt securities will be secured and any other additions or changes relating to such security; and</w:t>
      </w:r>
    </w:p>
    <w:p>
      <w:pPr>
        <w:spacing w:after="0" w:line="337" w:lineRule="exact"/>
        <w:rPr>
          <w:rFonts w:ascii="Times New Roman" w:cs="Times New Roman" w:eastAsia="Times New Roman" w:hAnsi="Times New Roman"/>
          <w:sz w:val="14"/>
          <w:szCs w:val="14"/>
          <w:color w:val="auto"/>
        </w:rPr>
      </w:pPr>
    </w:p>
    <w:p>
      <w:pPr>
        <w:ind w:left="260" w:hanging="254"/>
        <w:spacing w:after="0" w:line="294" w:lineRule="auto"/>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that are not inconsistent with the provisions of the Trust Indenture Act (but may modify, amend, supplement or delete any of the terms of the indenture with respect to such series of debt securities).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86"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One or more series of debt securities may be sold as “original issue discount” securities. These debt securities would be sold at a substantial discount below their stated principal amount, bearing no interest or interest at a rate which at the time of issuance is below market rates. One or more series of debt securities may be variable rate debt securities that may be exchanged for fixed rate debt securities.</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United States federal income tax consequences and special considerations, if any, applicable to any such series will be described in the applicable prospectus supplement.</w:t>
      </w:r>
    </w:p>
    <w:p>
      <w:pPr>
        <w:spacing w:after="0" w:line="184" w:lineRule="exact"/>
        <w:rPr>
          <w:sz w:val="20"/>
          <w:szCs w:val="20"/>
          <w:color w:val="auto"/>
        </w:rPr>
      </w:pPr>
    </w:p>
    <w:p>
      <w:pPr>
        <w:jc w:val="both"/>
        <w:ind w:firstLine="517"/>
        <w:spacing w:after="0" w:line="266" w:lineRule="auto"/>
        <w:rPr>
          <w:sz w:val="20"/>
          <w:szCs w:val="20"/>
          <w:color w:val="auto"/>
        </w:rPr>
      </w:pPr>
      <w:r>
        <w:rPr>
          <w:rFonts w:ascii="Times New Roman" w:cs="Times New Roman" w:eastAsia="Times New Roman" w:hAnsi="Times New Roman"/>
          <w:sz w:val="14"/>
          <w:szCs w:val="14"/>
          <w:color w:val="auto"/>
        </w:rPr>
        <w:t>Debt securities may be issued where the amount of principal and/or interest payable is determined by reference to one or more currency exchange rates, commodity prices, equity indices or other factors. Holders of such debt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the currencies, commodities, equity indices or other factors to which the amount payable on such date is linked and certain additional United States federal income tax considerations will be set forth in the applicable prospectus supplement.</w:t>
      </w:r>
    </w:p>
    <w:p>
      <w:pPr>
        <w:spacing w:after="0" w:line="142"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The term “debt securities” includes debt securities denominated in U.S. dollars or, if specified in the applicable prospectus supplement, in any other freely transferable currency or units based on or relating to foreign currencies.</w:t>
      </w:r>
    </w:p>
    <w:p>
      <w:pPr>
        <w:spacing w:after="0" w:line="123"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We expect most debt securities to be issued in fully registered form without coupons and in denominations of $2,000 and any integral multiples thereof. Subject to the limitations provided in the indenture and in the prospectus supplement, debt securities that are issued in registered form may be transferred or exchanged at the principal corporate trust office of the trustee, without the payment of any service charge, other than any tax or other governmental charge payable in connection therewith.</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186"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The debt securities of a series may be issued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indenture and the debt securities shall be construed in accordance with and governed by the laws of the State of New York.</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86" w:lineRule="exact"/>
        <w:rPr>
          <w:sz w:val="20"/>
          <w:szCs w:val="20"/>
          <w:color w:val="auto"/>
        </w:rPr>
      </w:pPr>
    </w:p>
    <w:p>
      <w:pPr>
        <w:jc w:val="both"/>
        <w:ind w:firstLine="517"/>
        <w:spacing w:after="0" w:line="269" w:lineRule="auto"/>
        <w:rPr>
          <w:sz w:val="20"/>
          <w:szCs w:val="20"/>
          <w:color w:val="auto"/>
        </w:rPr>
      </w:pPr>
      <w:r>
        <w:rPr>
          <w:rFonts w:ascii="Times New Roman" w:cs="Times New Roman" w:eastAsia="Times New Roman" w:hAnsi="Times New Roman"/>
          <w:sz w:val="14"/>
          <w:szCs w:val="14"/>
          <w:color w:val="auto"/>
        </w:rPr>
        <w:t>We may issue, in one more series, units comprised of shares of our common stock or preferred stock, warrants to purchase common stock or preferred stock, debt securities or any combination of those securities.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40" w:lineRule="exact"/>
        <w:rPr>
          <w:sz w:val="20"/>
          <w:szCs w:val="20"/>
          <w:color w:val="auto"/>
        </w:rPr>
      </w:pPr>
    </w:p>
    <w:p>
      <w:pPr>
        <w:jc w:val="both"/>
        <w:ind w:firstLine="517"/>
        <w:spacing w:after="0" w:line="269" w:lineRule="auto"/>
        <w:rPr>
          <w:sz w:val="20"/>
          <w:szCs w:val="20"/>
          <w:color w:val="auto"/>
        </w:rPr>
      </w:pPr>
      <w:r>
        <w:rPr>
          <w:rFonts w:ascii="Times New Roman" w:cs="Times New Roman" w:eastAsia="Times New Roman" w:hAnsi="Times New Roman"/>
          <w:sz w:val="14"/>
          <w:szCs w:val="14"/>
          <w:color w:val="auto"/>
        </w:rPr>
        <w:t>We may evidence units by unit certificates that we issue under a separate agreement. We may issue the units under a unit agreement between us and one or more unit agents. If we elect to enter into a unit agreement with a unit agent, the unit agent will act solely as our agent in connection with the units and will not assume any obligation or relationship of agency or trust for or with any registered holders of units or beneficial owners of units. We will indicate the name and address and other information regarding the unit agent in the applicable prospectus supplement relating to a particular series of units if we elect to use a unit agent.</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the terms of the series of units being offered, including:</w:t>
      </w:r>
    </w:p>
    <w:p>
      <w:pPr>
        <w:spacing w:after="0" w:line="184" w:lineRule="exact"/>
        <w:rPr>
          <w:sz w:val="20"/>
          <w:szCs w:val="20"/>
          <w:color w:val="auto"/>
        </w:rPr>
      </w:pPr>
    </w:p>
    <w:p>
      <w:pPr>
        <w:ind w:left="260" w:hanging="254"/>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units and of the securities comprising the units, including whether and under what circumstances those securities may be held or transferred separately;</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of the governing unit agreement that differ from those described herein; and</w:t>
      </w:r>
    </w:p>
    <w:p>
      <w:pPr>
        <w:spacing w:after="0" w:line="183"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the issuance, payment, settlement, transfer or exchange of the units or of the securities comprising the units.</w:t>
      </w:r>
    </w:p>
    <w:p>
      <w:pPr>
        <w:spacing w:after="0" w:line="184" w:lineRule="exact"/>
        <w:rPr>
          <w:sz w:val="20"/>
          <w:szCs w:val="20"/>
          <w:color w:val="auto"/>
        </w:rPr>
      </w:pPr>
    </w:p>
    <w:p>
      <w:pPr>
        <w:ind w:firstLine="517"/>
        <w:spacing w:after="0" w:line="294" w:lineRule="auto"/>
        <w:rPr>
          <w:sz w:val="20"/>
          <w:szCs w:val="20"/>
          <w:color w:val="auto"/>
        </w:rPr>
      </w:pPr>
      <w:r>
        <w:rPr>
          <w:rFonts w:ascii="Times New Roman" w:cs="Times New Roman" w:eastAsia="Times New Roman" w:hAnsi="Times New Roman"/>
          <w:sz w:val="14"/>
          <w:szCs w:val="14"/>
          <w:color w:val="auto"/>
        </w:rPr>
        <w:t>The other provisions regarding our common stock, preferred stock, warrants and debt securities as described in this section will apply to each unit to the extent such unit consists of shares of our common stock, preferred stock, warrants and/or debt securities.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6" w:lineRule="exact"/>
        <w:rPr>
          <w:sz w:val="20"/>
          <w:szCs w:val="20"/>
          <w:color w:val="auto"/>
        </w:rPr>
      </w:pPr>
    </w:p>
    <w:p>
      <w:pPr>
        <w:ind w:firstLine="517"/>
        <w:spacing w:after="0" w:line="294" w:lineRule="auto"/>
        <w:rPr>
          <w:sz w:val="20"/>
          <w:szCs w:val="20"/>
          <w:color w:val="auto"/>
        </w:rPr>
      </w:pPr>
      <w:r>
        <w:rPr>
          <w:rFonts w:ascii="Times New Roman" w:cs="Times New Roman" w:eastAsia="Times New Roman" w:hAnsi="Times New Roman"/>
          <w:sz w:val="14"/>
          <w:szCs w:val="14"/>
          <w:color w:val="auto"/>
        </w:rPr>
        <w:t>We may sell the securities covered in this prospectus pursuant to underwritten public offerings, direct sales to the public, “at-the-market” offerings, negotiated transactions, block trades or a combination of these methods. We may sell the securities through underwriters or dealers, directly to a limited number of purchasers or to a single purchaser, or through agents.</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may distribute securities from time to time in one or more transactions:</w:t>
      </w:r>
    </w:p>
    <w:p>
      <w:pPr>
        <w:spacing w:after="0" w:line="184" w:lineRule="exact"/>
        <w:rPr>
          <w:sz w:val="20"/>
          <w:szCs w:val="20"/>
          <w:color w:val="auto"/>
        </w:rPr>
      </w:pPr>
    </w:p>
    <w:p>
      <w:pPr>
        <w:ind w:left="780" w:hanging="257"/>
        <w:spacing w:after="0"/>
        <w:tabs>
          <w:tab w:leader="none" w:pos="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w:t>
      </w:r>
    </w:p>
    <w:p>
      <w:pPr>
        <w:spacing w:after="0" w:line="205"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205"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such prevailing market prices; or</w:t>
      </w:r>
    </w:p>
    <w:p>
      <w:pPr>
        <w:spacing w:after="0" w:line="205" w:lineRule="exact"/>
        <w:rPr>
          <w:rFonts w:ascii="Times New Roman" w:cs="Times New Roman" w:eastAsia="Times New Roman" w:hAnsi="Times New Roman"/>
          <w:sz w:val="14"/>
          <w:szCs w:val="14"/>
          <w:color w:val="auto"/>
        </w:rPr>
      </w:pPr>
    </w:p>
    <w:p>
      <w:pPr>
        <w:ind w:left="780" w:hanging="257"/>
        <w:spacing w:after="0"/>
        <w:tabs>
          <w:tab w:leader="none" w:pos="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205" w:lineRule="exact"/>
        <w:rPr>
          <w:sz w:val="20"/>
          <w:szCs w:val="20"/>
          <w:color w:val="auto"/>
        </w:rPr>
      </w:pPr>
    </w:p>
    <w:p>
      <w:pPr>
        <w:ind w:firstLine="517"/>
        <w:spacing w:after="0" w:line="294" w:lineRule="auto"/>
        <w:rPr>
          <w:sz w:val="20"/>
          <w:szCs w:val="20"/>
          <w:color w:val="auto"/>
        </w:rPr>
      </w:pPr>
      <w:r>
        <w:rPr>
          <w:rFonts w:ascii="Times New Roman" w:cs="Times New Roman" w:eastAsia="Times New Roman" w:hAnsi="Times New Roman"/>
          <w:sz w:val="14"/>
          <w:szCs w:val="14"/>
          <w:color w:val="auto"/>
        </w:rPr>
        <w:t>Each time that we use this prospectus to sell or issue securities, we will also provide a prospectus supplement that contains the specific terms of the offering. The prospectus supplement will set forth the terms of the offering of the securities, including:</w:t>
      </w:r>
    </w:p>
    <w:p>
      <w:pPr>
        <w:spacing w:after="0" w:line="123" w:lineRule="exact"/>
        <w:rPr>
          <w:sz w:val="20"/>
          <w:szCs w:val="20"/>
          <w:color w:val="auto"/>
        </w:rPr>
      </w:pPr>
    </w:p>
    <w:p>
      <w:pPr>
        <w:ind w:left="780" w:hanging="257"/>
        <w:spacing w:after="0"/>
        <w:tabs>
          <w:tab w:leader="none" w:pos="7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underwriters, dealers or agents and the amounts of any securities underwritten or purchased by each of them; and</w:t>
      </w:r>
    </w:p>
    <w:p>
      <w:pPr>
        <w:spacing w:after="0" w:line="205" w:lineRule="exact"/>
        <w:rPr>
          <w:rFonts w:ascii="Times New Roman" w:cs="Times New Roman" w:eastAsia="Times New Roman" w:hAnsi="Times New Roman"/>
          <w:sz w:val="14"/>
          <w:szCs w:val="14"/>
          <w:color w:val="auto"/>
        </w:rPr>
      </w:pPr>
    </w:p>
    <w:p>
      <w:pPr>
        <w:ind w:left="520" w:right="2720" w:firstLine="3"/>
        <w:spacing w:after="0" w:line="529" w:lineRule="auto"/>
        <w:tabs>
          <w:tab w:leader="none" w:pos="779"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 offering price and the proceeds to us and any discounts, commissions or concessions allowed or reallowed or paid to dealers. Any public offering price and any discounts or concessions allowed or reallowed or paid to dealers may be changed from time to time.</w:t>
      </w:r>
    </w:p>
    <w:p>
      <w:pPr>
        <w:spacing w:after="0" w:line="1" w:lineRule="exact"/>
        <w:rPr>
          <w:sz w:val="20"/>
          <w:szCs w:val="20"/>
          <w:color w:val="auto"/>
        </w:rPr>
      </w:pPr>
    </w:p>
    <w:p>
      <w:pPr>
        <w:jc w:val="both"/>
        <w:ind w:firstLine="517"/>
        <w:spacing w:after="0" w:line="269" w:lineRule="auto"/>
        <w:rPr>
          <w:sz w:val="20"/>
          <w:szCs w:val="20"/>
          <w:color w:val="auto"/>
        </w:rPr>
      </w:pPr>
      <w:r>
        <w:rPr>
          <w:rFonts w:ascii="Times New Roman" w:cs="Times New Roman" w:eastAsia="Times New Roman" w:hAnsi="Times New Roman"/>
          <w:sz w:val="14"/>
          <w:szCs w:val="14"/>
          <w:color w:val="auto"/>
        </w:rPr>
        <w:t>If underwriters are used in the sale of any securities, an underwriting agreement will be executed with the underwriters at the time of sale. The securities will be acquired by the underwriters for their own account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as set forth in the applicable underwriting agreement.</w:t>
      </w:r>
    </w:p>
    <w:p>
      <w:pPr>
        <w:spacing w:after="0" w:line="140"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23"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solicitation of these contracts.</w:t>
      </w:r>
    </w:p>
    <w:p>
      <w:pPr>
        <w:spacing w:after="0" w:line="136"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w:t>
      </w:r>
    </w:p>
    <w:p>
      <w:pPr>
        <w:spacing w:after="0" w:line="136" w:lineRule="exact"/>
        <w:rPr>
          <w:sz w:val="20"/>
          <w:szCs w:val="20"/>
          <w:color w:val="auto"/>
        </w:rPr>
      </w:pPr>
    </w:p>
    <w:p>
      <w:pPr>
        <w:jc w:val="both"/>
        <w:ind w:firstLine="517"/>
        <w:spacing w:after="0" w:line="266" w:lineRule="auto"/>
        <w:rPr>
          <w:sz w:val="20"/>
          <w:szCs w:val="20"/>
          <w:color w:val="auto"/>
        </w:rPr>
      </w:pPr>
      <w:r>
        <w:rPr>
          <w:rFonts w:ascii="Times New Roman" w:cs="Times New Roman" w:eastAsia="Times New Roman" w:hAnsi="Times New Roman"/>
          <w:sz w:val="14"/>
          <w:szCs w:val="14"/>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securities, and may use securities received from us in settlement of those derivatives to close out any related open borrowings of securities. The third party in such sale transactions will be an underwriter and will be identified in the applicable prospectus supplement.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86" w:lineRule="exact"/>
        <w:rPr>
          <w:sz w:val="20"/>
          <w:szCs w:val="20"/>
          <w:color w:val="auto"/>
        </w:rPr>
      </w:pPr>
    </w:p>
    <w:p>
      <w:pPr>
        <w:jc w:val="both"/>
        <w:ind w:firstLine="517"/>
        <w:spacing w:after="0" w:line="267" w:lineRule="auto"/>
        <w:rPr>
          <w:sz w:val="20"/>
          <w:szCs w:val="20"/>
          <w:color w:val="auto"/>
        </w:rPr>
      </w:pPr>
      <w:r>
        <w:rPr>
          <w:rFonts w:ascii="Times New Roman" w:cs="Times New Roman" w:eastAsia="Times New Roman" w:hAnsi="Times New Roman"/>
          <w:sz w:val="14"/>
          <w:szCs w:val="14"/>
          <w:color w:val="auto"/>
        </w:rPr>
        <w:t>We file reports with the SEC, including our Annual Reports on Form 10-K, Quarterly Reports on Form 10-Q, Current Reports on Form 8-K, proxy statements and other information. The SEC maintains a website that contains annual, quarterly, and current reports, proxy statements, and other information that issuers (including us) file electronically with the SEC. The SEC’s website address is www.sec.gov. You can also obtain copies of materials we file with the SEC from our website at www.tgtherapeutics.com. The information contained in, or that can be accessed through, our website is not part of, and is not incorporated into, this prospectus or any accompanying prospectus supplement. Our common stock is listed on the Nasdaq Capital Market under the symbol “TGTX.”</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86" w:lineRule="exact"/>
        <w:rPr>
          <w:sz w:val="20"/>
          <w:szCs w:val="20"/>
          <w:color w:val="auto"/>
        </w:rPr>
      </w:pPr>
    </w:p>
    <w:p>
      <w:pPr>
        <w:jc w:val="both"/>
        <w:ind w:firstLine="517"/>
        <w:spacing w:after="0" w:line="269" w:lineRule="auto"/>
        <w:rPr>
          <w:sz w:val="20"/>
          <w:szCs w:val="20"/>
          <w:color w:val="auto"/>
        </w:rPr>
      </w:pPr>
      <w:r>
        <w:rPr>
          <w:rFonts w:ascii="Times New Roman" w:cs="Times New Roman" w:eastAsia="Times New Roman" w:hAnsi="Times New Roman"/>
          <w:sz w:val="14"/>
          <w:szCs w:val="14"/>
          <w:color w:val="auto"/>
        </w:rPr>
        <w:t>The SEC allows us to “incorporate by reference” the information we file with the SEC, which means that we can disclose important information to you by referring you to those documents. The information incorporated by reference into this prospectus is considered to be part of this prospectus, and information we file with the SEC after the date of this prospectus will automatically update and supersede this information. We incorporate by reference into this prospectus the documents listed below and any future filings made by us with the SEC under Sections 13(a), 13(c), 14 or 15(d) of the Exchange Act between the date of this prospectus and the termination of the offering of the securities:</w:t>
      </w:r>
    </w:p>
    <w:p>
      <w:pPr>
        <w:spacing w:after="0" w:line="140" w:lineRule="exact"/>
        <w:rPr>
          <w:sz w:val="20"/>
          <w:szCs w:val="20"/>
          <w:color w:val="auto"/>
        </w:rPr>
      </w:pPr>
    </w:p>
    <w:p>
      <w:pPr>
        <w:ind w:left="920" w:hanging="397"/>
        <w:spacing w:after="0"/>
        <w:tabs>
          <w:tab w:leader="none" w:pos="9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33">
        <w:r>
          <w:rPr>
            <w:rFonts w:ascii="Times New Roman" w:cs="Times New Roman" w:eastAsia="Times New Roman" w:hAnsi="Times New Roman"/>
            <w:sz w:val="14"/>
            <w:szCs w:val="14"/>
            <w:u w:val="single" w:color="auto"/>
            <w:color w:val="0000EE"/>
          </w:rPr>
          <w:t>Form 10-K for the year ended December 31,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SEC on March 3, 2025;</w:t>
      </w:r>
    </w:p>
    <w:p>
      <w:pPr>
        <w:spacing w:after="0" w:line="205" w:lineRule="exact"/>
        <w:rPr>
          <w:rFonts w:ascii="Times New Roman" w:cs="Times New Roman" w:eastAsia="Times New Roman" w:hAnsi="Times New Roman"/>
          <w:sz w:val="14"/>
          <w:szCs w:val="14"/>
          <w:color w:val="auto"/>
        </w:rPr>
      </w:pPr>
    </w:p>
    <w:p>
      <w:pPr>
        <w:ind w:left="920" w:hanging="397"/>
        <w:spacing w:after="0" w:line="294" w:lineRule="auto"/>
        <w:tabs>
          <w:tab w:leader="none" w:pos="9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Reports on Form 10-Q for the period ended </w:t>
      </w:r>
      <w:hyperlink r:id="rId34">
        <w:r>
          <w:rPr>
            <w:rFonts w:ascii="Times New Roman" w:cs="Times New Roman" w:eastAsia="Times New Roman" w:hAnsi="Times New Roman"/>
            <w:sz w:val="14"/>
            <w:szCs w:val="14"/>
            <w:u w:val="single" w:color="auto"/>
            <w:color w:val="0000EE"/>
          </w:rPr>
          <w:t>March 31,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filed with the SEC on May 9, 2025 and for the period ended </w:t>
      </w:r>
      <w:hyperlink r:id="rId35">
        <w:r>
          <w:rPr>
            <w:rFonts w:ascii="Times New Roman" w:cs="Times New Roman" w:eastAsia="Times New Roman" w:hAnsi="Times New Roman"/>
            <w:sz w:val="14"/>
            <w:szCs w:val="14"/>
            <w:u w:val="single" w:color="auto"/>
            <w:color w:val="0000EE"/>
          </w:rPr>
          <w:t>June 30,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SEC on August 8, 2025;</w:t>
      </w:r>
    </w:p>
    <w:p>
      <w:pPr>
        <w:spacing w:after="0" w:line="122" w:lineRule="exact"/>
        <w:rPr>
          <w:rFonts w:ascii="Times New Roman" w:cs="Times New Roman" w:eastAsia="Times New Roman" w:hAnsi="Times New Roman"/>
          <w:sz w:val="14"/>
          <w:szCs w:val="14"/>
          <w:color w:val="auto"/>
        </w:rPr>
      </w:pPr>
    </w:p>
    <w:p>
      <w:pPr>
        <w:ind w:left="920" w:hanging="397"/>
        <w:spacing w:after="0"/>
        <w:tabs>
          <w:tab w:leader="none" w:pos="9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36">
        <w:r>
          <w:rPr>
            <w:rFonts w:ascii="Times New Roman" w:cs="Times New Roman" w:eastAsia="Times New Roman" w:hAnsi="Times New Roman"/>
            <w:sz w:val="14"/>
            <w:szCs w:val="14"/>
            <w:u w:val="single" w:color="auto"/>
            <w:color w:val="0000EE"/>
          </w:rPr>
          <w:t>June 13,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(excluding any information pursuant to Item 2.02 or Item 7.01);</w:t>
      </w:r>
    </w:p>
    <w:p>
      <w:pPr>
        <w:spacing w:after="0" w:line="205" w:lineRule="exact"/>
        <w:rPr>
          <w:rFonts w:ascii="Times New Roman" w:cs="Times New Roman" w:eastAsia="Times New Roman" w:hAnsi="Times New Roman"/>
          <w:sz w:val="14"/>
          <w:szCs w:val="14"/>
          <w:color w:val="auto"/>
        </w:rPr>
      </w:pPr>
    </w:p>
    <w:p>
      <w:pPr>
        <w:ind w:left="920" w:hanging="397"/>
        <w:spacing w:after="0" w:line="294" w:lineRule="auto"/>
        <w:tabs>
          <w:tab w:leader="none" w:pos="920" w:val="left"/>
        </w:tabs>
        <w:numPr>
          <w:ilvl w:val="0"/>
          <w:numId w:val="11"/>
        </w:numPr>
        <w:rPr>
          <w:rFonts w:ascii="Times New Roman" w:cs="Times New Roman" w:eastAsia="Times New Roman" w:hAnsi="Times New Roman"/>
          <w:sz w:val="14"/>
          <w:szCs w:val="14"/>
          <w:color w:val="0000EE"/>
        </w:rPr>
      </w:pPr>
      <w:hyperlink r:id="rId37">
        <w:r>
          <w:rPr>
            <w:rFonts w:ascii="Times New Roman" w:cs="Times New Roman" w:eastAsia="Times New Roman" w:hAnsi="Times New Roman"/>
            <w:sz w:val="14"/>
            <w:szCs w:val="14"/>
            <w:color w:val="auto"/>
          </w:rPr>
          <w:t xml:space="preserve">the information specifically incorporated by reference into our Annual Report on </w:t>
        </w:r>
        <w:r>
          <w:rPr>
            <w:rFonts w:ascii="Times New Roman" w:cs="Times New Roman" w:eastAsia="Times New Roman" w:hAnsi="Times New Roman"/>
            <w:sz w:val="14"/>
            <w:szCs w:val="14"/>
            <w:u w:val="single" w:color="auto"/>
            <w:color w:val="0000EE"/>
          </w:rPr>
          <w:t>Form 10-K for the year ended December 31, 2024</w:t>
        </w:r>
        <w:r>
          <w:rPr>
            <w:rFonts w:ascii="Times New Roman" w:cs="Times New Roman" w:eastAsia="Times New Roman" w:hAnsi="Times New Roman"/>
            <w:sz w:val="14"/>
            <w:szCs w:val="14"/>
            <w:color w:val="auto"/>
          </w:rPr>
          <w:t xml:space="preserve"> from our </w:t>
        </w:r>
        <w:r>
          <w:rPr>
            <w:rFonts w:ascii="Times New Roman" w:cs="Times New Roman" w:eastAsia="Times New Roman" w:hAnsi="Times New Roman"/>
            <w:sz w:val="14"/>
            <w:szCs w:val="14"/>
            <w:u w:val="single" w:color="auto"/>
            <w:color w:val="0000EE"/>
          </w:rPr>
          <w:t>Definitive Proxy Statement on</w:t>
        </w:r>
      </w:hyperlink>
      <w:r>
        <w:rPr>
          <w:rFonts w:ascii="Times New Roman" w:cs="Times New Roman" w:eastAsia="Times New Roman" w:hAnsi="Times New Roman"/>
          <w:sz w:val="14"/>
          <w:szCs w:val="14"/>
          <w:color w:val="auto"/>
        </w:rPr>
        <w:t xml:space="preserve"> </w:t>
      </w:r>
      <w:hyperlink r:id="rId37">
        <w:r>
          <w:rPr>
            <w:rFonts w:ascii="Times New Roman" w:cs="Times New Roman" w:eastAsia="Times New Roman" w:hAnsi="Times New Roman"/>
            <w:sz w:val="14"/>
            <w:szCs w:val="14"/>
            <w:u w:val="single" w:color="auto"/>
            <w:color w:val="0000EE"/>
          </w:rPr>
          <w:t>Schedule 14A, filed with the SEC on April 30, 2025</w:t>
        </w:r>
        <w:r>
          <w:rPr>
            <w:rFonts w:ascii="Times New Roman" w:cs="Times New Roman" w:eastAsia="Times New Roman" w:hAnsi="Times New Roman"/>
            <w:sz w:val="14"/>
            <w:szCs w:val="14"/>
            <w:color w:val="000000"/>
          </w:rPr>
          <w:t>; and</w:t>
        </w:r>
      </w:hyperlink>
    </w:p>
    <w:p>
      <w:pPr>
        <w:spacing w:after="0" w:line="122" w:lineRule="exact"/>
        <w:rPr>
          <w:rFonts w:ascii="Times New Roman" w:cs="Times New Roman" w:eastAsia="Times New Roman" w:hAnsi="Times New Roman"/>
          <w:sz w:val="14"/>
          <w:szCs w:val="14"/>
          <w:color w:val="0000EE"/>
        </w:rPr>
      </w:pPr>
    </w:p>
    <w:p>
      <w:pPr>
        <w:ind w:left="920" w:hanging="397"/>
        <w:spacing w:after="0" w:line="294" w:lineRule="auto"/>
        <w:tabs>
          <w:tab w:leader="none" w:pos="9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filed with the SEC as </w:t>
      </w:r>
      <w:hyperlink r:id="rId38">
        <w:r>
          <w:rPr>
            <w:rFonts w:ascii="Times New Roman" w:cs="Times New Roman" w:eastAsia="Times New Roman" w:hAnsi="Times New Roman"/>
            <w:sz w:val="14"/>
            <w:szCs w:val="14"/>
            <w:u w:val="single" w:color="auto"/>
            <w:color w:val="0000EE"/>
          </w:rPr>
          <w:t>Exhibit 4.2</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on our </w:t>
      </w:r>
      <w:hyperlink r:id="rId33">
        <w:r>
          <w:rPr>
            <w:rFonts w:ascii="Times New Roman" w:cs="Times New Roman" w:eastAsia="Times New Roman" w:hAnsi="Times New Roman"/>
            <w:sz w:val="14"/>
            <w:szCs w:val="14"/>
            <w:u w:val="single" w:color="auto"/>
            <w:color w:val="0000EE"/>
          </w:rPr>
          <w:t>Annual Report on Form 10-K for the year ended December 31,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and incorporated herein by reference.</w:t>
      </w:r>
    </w:p>
    <w:p>
      <w:pPr>
        <w:spacing w:after="0" w:line="123" w:lineRule="exact"/>
        <w:rPr>
          <w:rFonts w:ascii="Times New Roman" w:cs="Times New Roman" w:eastAsia="Times New Roman" w:hAnsi="Times New Roman"/>
          <w:sz w:val="14"/>
          <w:szCs w:val="14"/>
          <w:color w:val="auto"/>
        </w:rPr>
      </w:pPr>
    </w:p>
    <w:p>
      <w:pPr>
        <w:jc w:val="both"/>
        <w:ind w:firstLine="517"/>
        <w:spacing w:after="0" w:line="269" w:lineRule="auto"/>
        <w:rPr>
          <w:sz w:val="20"/>
          <w:szCs w:val="20"/>
          <w:color w:val="auto"/>
        </w:rPr>
      </w:pPr>
      <w:r>
        <w:rPr>
          <w:rFonts w:ascii="Times New Roman" w:cs="Times New Roman" w:eastAsia="Times New Roman" w:hAnsi="Times New Roman"/>
          <w:sz w:val="14"/>
          <w:szCs w:val="14"/>
          <w:color w:val="auto"/>
        </w:rPr>
        <w:t>We will provide to each person, including any beneficial owner, to whom a copy of this prospectus is delivered, a copy of any or all of the information that we have incorporated by reference into this prospectus. We will provide this information upon written or oral request at no cost to the requester. You may request this information by contacting our corporate headquarters at the following address or telephone number: TG Therapeutics, Inc., 3020 Carrington Mill Blvd, Suite 475, Morrisville, North Carolina 27560, Attention: Chief Financial Officer, (212) 554-4484. A copy of all documents that are incorporated by reference into this prospectus can also be found on our website at www.tgtherapeutics.com.</w:t>
      </w:r>
    </w:p>
    <w:p>
      <w:pPr>
        <w:spacing w:after="0" w:line="312"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6"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The validity of the securities offered from time to time under this prospectus will be passed upon for us by DLA Piper LLP (US), Short Hills, New Jersey. Additional legal matters may be passed upon for us or any underwriters, dealers or agents by counsel that we will name in the applicable prospectus supplement.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6"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 consolidated financial statements of TG Therapeutics, Inc. and subsidiaries as of December 31, 2024 and 2023, and for each of the years in the three-year period ended December 31, 2024, and management’s assessment of the effectiveness of internal control over financial reporting as of December 31, 2024, have been incorporated by reference herein in reliance upon the reports of KPMG LLP, independent registered public accounting firm, incorporated by reference herein, and upon the authority of said firm as experts in accounting and auditing.</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2055495</wp:posOffset>
            </wp:positionH>
            <wp:positionV relativeFrom="paragraph">
              <wp:posOffset>467995</wp:posOffset>
            </wp:positionV>
            <wp:extent cx="3063875" cy="8343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3063875" cy="834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Preferred Stock</w:t>
      </w:r>
    </w:p>
    <w:p>
      <w:pPr>
        <w:jc w:val="center"/>
        <w:ind w:right="-1120"/>
        <w:spacing w:after="0" w:line="237" w:lineRule="auto"/>
        <w:rPr>
          <w:sz w:val="20"/>
          <w:szCs w:val="20"/>
          <w:color w:val="auto"/>
        </w:rPr>
      </w:pPr>
      <w:r>
        <w:rPr>
          <w:rFonts w:ascii="Times New Roman" w:cs="Times New Roman" w:eastAsia="Times New Roman" w:hAnsi="Times New Roman"/>
          <w:sz w:val="17"/>
          <w:szCs w:val="17"/>
          <w:b w:val="1"/>
          <w:bCs w:val="1"/>
          <w:color w:val="auto"/>
        </w:rPr>
        <w:t>Warrants</w:t>
      </w: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Debt Securities</w:t>
      </w: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3225165</wp:posOffset>
            </wp:positionH>
            <wp:positionV relativeFrom="paragraph">
              <wp:posOffset>328930</wp:posOffset>
            </wp:positionV>
            <wp:extent cx="71818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818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3225165</wp:posOffset>
            </wp:positionH>
            <wp:positionV relativeFrom="paragraph">
              <wp:posOffset>233680</wp:posOffset>
            </wp:positionV>
            <wp:extent cx="71818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818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b w:val="1"/>
          <w:bCs w:val="1"/>
          <w:color w:val="auto"/>
        </w:rPr>
        <w:t>August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807720</wp:posOffset>
            </wp:positionV>
            <wp:extent cx="7160260" cy="139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8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INFORMATION NOT REQUIRED IN THE PROSPECTUS</w:t>
      </w:r>
    </w:p>
    <w:p>
      <w:pPr>
        <w:spacing w:after="0" w:line="18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color w:val="auto"/>
        </w:rPr>
        <w:t>OTHER EXPENSES OF ISSUANCE AND DISTRIBUTION.</w:t>
      </w:r>
    </w:p>
    <w:p>
      <w:pPr>
        <w:spacing w:after="0" w:line="186" w:lineRule="exact"/>
        <w:rPr>
          <w:sz w:val="20"/>
          <w:szCs w:val="20"/>
          <w:color w:val="auto"/>
        </w:rPr>
      </w:pPr>
    </w:p>
    <w:p>
      <w:pPr>
        <w:ind w:firstLine="517"/>
        <w:spacing w:after="0" w:line="294" w:lineRule="auto"/>
        <w:rPr>
          <w:sz w:val="20"/>
          <w:szCs w:val="20"/>
          <w:color w:val="auto"/>
        </w:rPr>
      </w:pPr>
      <w:r>
        <w:rPr>
          <w:rFonts w:ascii="Times New Roman" w:cs="Times New Roman" w:eastAsia="Times New Roman" w:hAnsi="Times New Roman"/>
          <w:sz w:val="14"/>
          <w:szCs w:val="14"/>
          <w:color w:val="auto"/>
        </w:rPr>
        <w:t>The following table sets forth the estimated expenses (all of which will be borne by the Registrant) incurred in connection with the issuance and distribution of the securities being registered, other than underwriting discounts and commissions (if any). All of the amounts shown are estimates, except the SEC registration fee.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47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Trustee fees and expenses</w:t>
            </w:r>
          </w:p>
        </w:tc>
        <w:tc>
          <w:tcPr>
            <w:tcW w:w="47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Printing and distributing</w:t>
            </w:r>
          </w:p>
        </w:tc>
        <w:tc>
          <w:tcPr>
            <w:tcW w:w="472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47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472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47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5840" w:type="dxa"/>
            <w:vAlign w:val="bottom"/>
            <w:shd w:val="clear" w:color="auto" w:fill="CCEEFF"/>
          </w:tcPr>
          <w:p>
            <w:pPr>
              <w:spacing w:after="0"/>
              <w:rPr>
                <w:sz w:val="14"/>
                <w:szCs w:val="14"/>
                <w:color w:val="auto"/>
              </w:rPr>
            </w:pPr>
          </w:p>
        </w:tc>
        <w:tc>
          <w:tcPr>
            <w:tcW w:w="472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58"/>
        </w:trPr>
        <w:tc>
          <w:tcPr>
            <w:tcW w:w="584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color w:val="auto"/>
              </w:rPr>
              <w:t>Total</w:t>
            </w:r>
          </w:p>
        </w:tc>
        <w:tc>
          <w:tcPr>
            <w:tcW w:w="4720" w:type="dxa"/>
            <w:vAlign w:val="bottom"/>
          </w:tcPr>
          <w:p>
            <w:pPr>
              <w:jc w:val="right"/>
              <w:ind w:right="488"/>
              <w:spacing w:after="0" w:line="158"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line="158" w:lineRule="exact"/>
              <w:rPr>
                <w:sz w:val="20"/>
                <w:szCs w:val="20"/>
                <w:color w:val="auto"/>
              </w:rPr>
            </w:pPr>
            <w:r>
              <w:rPr>
                <w:rFonts w:ascii="Times New Roman" w:cs="Times New Roman" w:eastAsia="Times New Roman" w:hAnsi="Times New Roman"/>
                <w:sz w:val="14"/>
                <w:szCs w:val="14"/>
                <w:color w:val="auto"/>
              </w:rPr>
              <w:t>+</w:t>
            </w:r>
          </w:p>
        </w:tc>
      </w:tr>
      <w:tr>
        <w:trPr>
          <w:trHeight w:val="186"/>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w:t>
            </w:r>
          </w:p>
        </w:tc>
        <w:tc>
          <w:tcPr>
            <w:tcW w:w="4720" w:type="dxa"/>
            <w:vAlign w:val="bottom"/>
          </w:tcPr>
          <w:p>
            <w:pPr>
              <w:spacing w:after="0"/>
              <w:rPr>
                <w:sz w:val="16"/>
                <w:szCs w:val="16"/>
                <w:color w:val="auto"/>
              </w:rPr>
            </w:pPr>
          </w:p>
        </w:tc>
        <w:tc>
          <w:tcPr>
            <w:tcW w:w="720" w:type="dxa"/>
            <w:vAlign w:val="bottom"/>
          </w:tcPr>
          <w:p>
            <w:pPr>
              <w:spacing w:after="0"/>
              <w:rPr>
                <w:sz w:val="16"/>
                <w:szCs w:val="16"/>
                <w:color w:val="auto"/>
              </w:rPr>
            </w:pPr>
          </w:p>
        </w:tc>
      </w:tr>
    </w:tbl>
    <w:p>
      <w:pPr>
        <w:spacing w:after="0" w:line="159" w:lineRule="exact"/>
        <w:rPr>
          <w:sz w:val="20"/>
          <w:szCs w:val="20"/>
          <w:color w:val="auto"/>
        </w:rPr>
      </w:pPr>
    </w:p>
    <w:p>
      <w:pPr>
        <w:ind w:left="260" w:hanging="254"/>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Rule 456(b) and Rule 457(r) under the Securities Act, the Registrant is deferring payment of all of the registration fee.</w:t>
      </w:r>
    </w:p>
    <w:p>
      <w:pPr>
        <w:spacing w:after="0" w:line="184" w:lineRule="exact"/>
        <w:rPr>
          <w:sz w:val="20"/>
          <w:szCs w:val="20"/>
          <w:color w:val="auto"/>
        </w:rPr>
      </w:pPr>
    </w:p>
    <w:p>
      <w:pPr>
        <w:ind w:left="260" w:hanging="254"/>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and expenses will be based upon the securities offered and the amount and number of securities offerings and accordingly cannot be estimated at this time.</w:t>
      </w:r>
    </w:p>
    <w:p>
      <w:pPr>
        <w:spacing w:after="0" w:line="18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4"/>
          <w:szCs w:val="14"/>
          <w:b w:val="1"/>
          <w:bCs w:val="1"/>
          <w:color w:val="auto"/>
        </w:rPr>
        <w:t>INDEMNIFICATION OF DIRECTORS AND OFFICERS.</w:t>
      </w:r>
    </w:p>
    <w:p>
      <w:pPr>
        <w:spacing w:after="0" w:line="186" w:lineRule="exact"/>
        <w:rPr>
          <w:sz w:val="20"/>
          <w:szCs w:val="20"/>
          <w:color w:val="auto"/>
        </w:rPr>
      </w:pPr>
    </w:p>
    <w:p>
      <w:pPr>
        <w:jc w:val="both"/>
        <w:ind w:firstLine="517"/>
        <w:spacing w:after="0" w:line="266" w:lineRule="auto"/>
        <w:rPr>
          <w:sz w:val="20"/>
          <w:szCs w:val="20"/>
          <w:color w:val="auto"/>
        </w:rPr>
      </w:pPr>
      <w:r>
        <w:rPr>
          <w:rFonts w:ascii="Times New Roman" w:cs="Times New Roman" w:eastAsia="Times New Roman" w:hAnsi="Times New Roman"/>
          <w:sz w:val="14"/>
          <w:szCs w:val="14"/>
          <w:color w:val="auto"/>
        </w:rPr>
        <w:t>Under the General Corporation Law of the State of Delaware, or DGCL, a corporation may include provisions in its certificate of incorporation that will relieve its directors of monetary liability for breaches of their fiduciary duty to the corporation, except under certain circumstances, including a breach of the director’s duty of loyalty, acts or omissions of the director not in good faith or which involve intentional misconduct or a knowing violation of law, the approval of an improper payment of a dividend or an improper purchase by the corporation of stock or any transaction from which the director derived an improper personal benefit. The Registrant’s amended and restated certificate of incorporation eliminates the personal liability of directors to the Registrant or its stockholders for monetary damages for breach of fiduciary duty as a director with certain limited exceptions set forth in the DGCL.</w:t>
      </w:r>
    </w:p>
    <w:p>
      <w:pPr>
        <w:spacing w:after="0" w:line="142"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Section 145 of the DGCL grants to corporations the power to indemnify each officer and director against liabilities and expenses incurred by reason of the fact that he or she is or was an officer or director of the corporation if he or she acted in good faith and in a manner he or she reasonably believed to be in or not opposed to the best interests of the corporation and, with respect to any criminal action or proceeding, had no reasonable cause to believe his or her conduct was unlawful. The Registrant’s amended and restated certificate of incorporation and Restated Bylaws provide for indemnification of each officer and director of the Registrant to the fullest extent permitted by the DGCL. Section 145 of the DGCL also empowers corporations to purchase and maintain insurance on behalf of any person who is or was an officer or director of the corporation against liability asserted against or incurred by him in any such capacity, whether or not the corporation would have the power to indemnify such officer or director against such liability under the provisions of Section 145 of the DGCL.</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4"/>
          <w:szCs w:val="14"/>
          <w:b w:val="1"/>
          <w:bCs w:val="1"/>
          <w:color w:val="auto"/>
        </w:rPr>
        <w:t>EXHIBITS AND FINANCIAL STATEMENT SCHEDULES.</w:t>
      </w:r>
    </w:p>
    <w:p>
      <w:pPr>
        <w:spacing w:after="0" w:line="184" w:lineRule="exact"/>
        <w:rPr>
          <w:sz w:val="20"/>
          <w:szCs w:val="20"/>
          <w:color w:val="auto"/>
        </w:rPr>
      </w:pPr>
    </w:p>
    <w:p>
      <w:pPr>
        <w:ind w:left="500" w:hanging="494"/>
        <w:spacing w:after="0"/>
        <w:tabs>
          <w:tab w:leader="none" w:pos="500"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Exhibits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list of exhibits on the Exhibit Index is incorporated herein by reference.</w:t>
      </w:r>
    </w:p>
    <w:p>
      <w:pPr>
        <w:spacing w:after="0" w:line="18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4"/>
          <w:szCs w:val="14"/>
          <w:b w:val="1"/>
          <w:bCs w:val="1"/>
          <w:color w:val="auto"/>
        </w:rPr>
        <w:t>ITEM 17.</w:t>
      </w:r>
      <w:r>
        <w:rPr>
          <w:sz w:val="20"/>
          <w:szCs w:val="20"/>
          <w:color w:val="auto"/>
        </w:rPr>
        <w:tab/>
      </w:r>
      <w:r>
        <w:rPr>
          <w:rFonts w:ascii="Times New Roman" w:cs="Times New Roman" w:eastAsia="Times New Roman" w:hAnsi="Times New Roman"/>
          <w:sz w:val="14"/>
          <w:szCs w:val="14"/>
          <w:b w:val="1"/>
          <w:bCs w:val="1"/>
          <w:color w:val="auto"/>
        </w:rPr>
        <w:t>UNDERTAKINGS.</w:t>
      </w:r>
    </w:p>
    <w:p>
      <w:pPr>
        <w:spacing w:after="0" w:line="186" w:lineRule="exact"/>
        <w:rPr>
          <w:sz w:val="20"/>
          <w:szCs w:val="20"/>
          <w:color w:val="auto"/>
        </w:rPr>
      </w:pPr>
    </w:p>
    <w:p>
      <w:pPr>
        <w:ind w:left="520" w:hanging="255"/>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83" w:lineRule="exact"/>
        <w:rPr>
          <w:rFonts w:ascii="Times New Roman" w:cs="Times New Roman" w:eastAsia="Times New Roman" w:hAnsi="Times New Roman"/>
          <w:sz w:val="14"/>
          <w:szCs w:val="14"/>
          <w:color w:val="auto"/>
        </w:rPr>
      </w:pPr>
    </w:p>
    <w:p>
      <w:pPr>
        <w:ind w:left="1020" w:hanging="497"/>
        <w:spacing w:after="0"/>
        <w:tabs>
          <w:tab w:leader="none" w:pos="102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83" w:lineRule="exact"/>
        <w:rPr>
          <w:rFonts w:ascii="Times New Roman" w:cs="Times New Roman" w:eastAsia="Times New Roman" w:hAnsi="Times New Roman"/>
          <w:sz w:val="14"/>
          <w:szCs w:val="14"/>
          <w:color w:val="auto"/>
        </w:rPr>
      </w:pPr>
    </w:p>
    <w:p>
      <w:pPr>
        <w:ind w:left="1040" w:hanging="258"/>
        <w:spacing w:after="0"/>
        <w:tabs>
          <w:tab w:leader="none" w:pos="1040" w:val="left"/>
        </w:tabs>
        <w:numPr>
          <w:ilvl w:val="2"/>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83" w:lineRule="exact"/>
        <w:rPr>
          <w:rFonts w:ascii="Times New Roman" w:cs="Times New Roman" w:eastAsia="Times New Roman" w:hAnsi="Times New Roman"/>
          <w:sz w:val="14"/>
          <w:szCs w:val="14"/>
          <w:color w:val="auto"/>
        </w:rPr>
      </w:pPr>
    </w:p>
    <w:p>
      <w:pPr>
        <w:jc w:val="both"/>
        <w:ind w:left="1040" w:hanging="258"/>
        <w:spacing w:after="0" w:line="266" w:lineRule="auto"/>
        <w:tabs>
          <w:tab w:leader="none" w:pos="1040" w:val="left"/>
        </w:tabs>
        <w:numPr>
          <w:ilvl w:val="2"/>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41" w:lineRule="exact"/>
        <w:rPr>
          <w:rFonts w:ascii="Times New Roman" w:cs="Times New Roman" w:eastAsia="Times New Roman" w:hAnsi="Times New Roman"/>
          <w:sz w:val="14"/>
          <w:szCs w:val="14"/>
          <w:color w:val="auto"/>
        </w:rPr>
      </w:pPr>
    </w:p>
    <w:p>
      <w:pPr>
        <w:ind w:left="1040" w:hanging="258"/>
        <w:spacing w:after="0" w:line="294" w:lineRule="auto"/>
        <w:tabs>
          <w:tab w:leader="none" w:pos="1040" w:val="left"/>
        </w:tabs>
        <w:numPr>
          <w:ilvl w:val="2"/>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20" w:lineRule="exact"/>
        <w:rPr>
          <w:rFonts w:ascii="Times New Roman" w:cs="Times New Roman" w:eastAsia="Times New Roman" w:hAnsi="Times New Roman"/>
          <w:sz w:val="14"/>
          <w:szCs w:val="14"/>
          <w:color w:val="auto"/>
        </w:rPr>
      </w:pPr>
    </w:p>
    <w:p>
      <w:pPr>
        <w:jc w:val="both"/>
        <w:ind w:left="1040"/>
        <w:spacing w:after="0" w:line="27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provided, however, </w:t>
      </w:r>
      <w:r>
        <w:rPr>
          <w:rFonts w:ascii="Times New Roman" w:cs="Times New Roman" w:eastAsia="Times New Roman" w:hAnsi="Times New Roman"/>
          <w:sz w:val="14"/>
          <w:szCs w:val="14"/>
          <w:color w:val="auto"/>
        </w:rPr>
        <w:t>that paragraphs (i), (ii) and (iii) above do not apply if the information required to be included in a post-effective amendment by those paragraphs is contained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35" w:lineRule="exact"/>
        <w:rPr>
          <w:rFonts w:ascii="Times New Roman" w:cs="Times New Roman" w:eastAsia="Times New Roman" w:hAnsi="Times New Roman"/>
          <w:sz w:val="14"/>
          <w:szCs w:val="14"/>
          <w:color w:val="auto"/>
        </w:rPr>
      </w:pPr>
    </w:p>
    <w:p>
      <w:pPr>
        <w:ind w:left="520" w:firstLine="3"/>
        <w:spacing w:after="0" w:line="294" w:lineRule="auto"/>
        <w:tabs>
          <w:tab w:leader="none" w:pos="1035"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2" w:lineRule="exact"/>
        <w:rPr>
          <w:rFonts w:ascii="Times New Roman" w:cs="Times New Roman" w:eastAsia="Times New Roman" w:hAnsi="Times New Roman"/>
          <w:sz w:val="14"/>
          <w:szCs w:val="14"/>
          <w:color w:val="auto"/>
        </w:rPr>
      </w:pPr>
    </w:p>
    <w:p>
      <w:pPr>
        <w:ind w:left="1020" w:hanging="497"/>
        <w:spacing w:after="0"/>
        <w:tabs>
          <w:tab w:leader="none" w:pos="102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83" w:lineRule="exact"/>
        <w:rPr>
          <w:rFonts w:ascii="Times New Roman" w:cs="Times New Roman" w:eastAsia="Times New Roman" w:hAnsi="Times New Roman"/>
          <w:sz w:val="14"/>
          <w:szCs w:val="14"/>
          <w:color w:val="auto"/>
        </w:rPr>
      </w:pPr>
    </w:p>
    <w:p>
      <w:pPr>
        <w:ind w:left="1020" w:hanging="497"/>
        <w:spacing w:after="0"/>
        <w:tabs>
          <w:tab w:leader="none" w:pos="102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83" w:lineRule="exact"/>
        <w:rPr>
          <w:rFonts w:ascii="Times New Roman" w:cs="Times New Roman" w:eastAsia="Times New Roman" w:hAnsi="Times New Roman"/>
          <w:sz w:val="14"/>
          <w:szCs w:val="14"/>
          <w:color w:val="auto"/>
        </w:rPr>
      </w:pPr>
    </w:p>
    <w:p>
      <w:pPr>
        <w:ind w:left="1040" w:hanging="258"/>
        <w:spacing w:after="0" w:line="294" w:lineRule="auto"/>
        <w:tabs>
          <w:tab w:leader="none" w:pos="1040" w:val="left"/>
        </w:tabs>
        <w:numPr>
          <w:ilvl w:val="2"/>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jc w:val="both"/>
        <w:ind w:left="1040" w:hanging="258"/>
        <w:spacing w:after="0" w:line="261" w:lineRule="auto"/>
        <w:tabs>
          <w:tab w:leader="none" w:pos="104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47" w:lineRule="exact"/>
        <w:rPr>
          <w:rFonts w:ascii="Times New Roman" w:cs="Times New Roman" w:eastAsia="Times New Roman" w:hAnsi="Times New Roman"/>
          <w:sz w:val="14"/>
          <w:szCs w:val="14"/>
          <w:color w:val="auto"/>
        </w:rPr>
      </w:pPr>
    </w:p>
    <w:p>
      <w:pPr>
        <w:ind w:left="1020" w:hanging="497"/>
        <w:spacing w:after="0"/>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w:t>
      </w:r>
    </w:p>
    <w:p>
      <w:pPr>
        <w:spacing w:after="0" w:line="184" w:lineRule="exact"/>
        <w:rPr>
          <w:sz w:val="20"/>
          <w:szCs w:val="20"/>
          <w:color w:val="auto"/>
        </w:rPr>
      </w:pPr>
    </w:p>
    <w:p>
      <w:pPr>
        <w:jc w:val="both"/>
        <w:ind w:left="520"/>
        <w:spacing w:after="0" w:line="275" w:lineRule="auto"/>
        <w:rPr>
          <w:sz w:val="20"/>
          <w:szCs w:val="20"/>
          <w:color w:val="auto"/>
        </w:rPr>
      </w:pPr>
      <w:r>
        <w:rPr>
          <w:rFonts w:ascii="Times New Roman" w:cs="Times New Roman" w:eastAsia="Times New Roman" w:hAnsi="Times New Roman"/>
          <w:sz w:val="14"/>
          <w:szCs w:val="14"/>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36" w:lineRule="exact"/>
        <w:rPr>
          <w:sz w:val="20"/>
          <w:szCs w:val="20"/>
          <w:color w:val="auto"/>
        </w:rPr>
      </w:pPr>
    </w:p>
    <w:p>
      <w:pPr>
        <w:ind w:left="1040" w:hanging="258"/>
        <w:spacing w:after="0"/>
        <w:tabs>
          <w:tab w:leader="none" w:pos="104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183" w:lineRule="exact"/>
        <w:rPr>
          <w:rFonts w:ascii="Times New Roman" w:cs="Times New Roman" w:eastAsia="Times New Roman" w:hAnsi="Times New Roman"/>
          <w:sz w:val="14"/>
          <w:szCs w:val="14"/>
          <w:color w:val="auto"/>
        </w:rPr>
      </w:pPr>
    </w:p>
    <w:p>
      <w:pPr>
        <w:ind w:left="1040" w:hanging="258"/>
        <w:spacing w:after="0"/>
        <w:tabs>
          <w:tab w:leader="none" w:pos="104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83" w:lineRule="exact"/>
        <w:rPr>
          <w:rFonts w:ascii="Times New Roman" w:cs="Times New Roman" w:eastAsia="Times New Roman" w:hAnsi="Times New Roman"/>
          <w:sz w:val="14"/>
          <w:szCs w:val="14"/>
          <w:color w:val="auto"/>
        </w:rPr>
      </w:pPr>
    </w:p>
    <w:p>
      <w:pPr>
        <w:ind w:left="1040" w:hanging="258"/>
        <w:spacing w:after="0" w:line="294" w:lineRule="auto"/>
        <w:tabs>
          <w:tab w:leader="none" w:pos="104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122" w:lineRule="exact"/>
        <w:rPr>
          <w:rFonts w:ascii="Times New Roman" w:cs="Times New Roman" w:eastAsia="Times New Roman" w:hAnsi="Times New Roman"/>
          <w:sz w:val="14"/>
          <w:szCs w:val="14"/>
          <w:color w:val="auto"/>
        </w:rPr>
      </w:pPr>
    </w:p>
    <w:p>
      <w:pPr>
        <w:ind w:left="1040" w:hanging="258"/>
        <w:spacing w:after="0"/>
        <w:tabs>
          <w:tab w:leader="none" w:pos="104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83" w:lineRule="exact"/>
        <w:rPr>
          <w:rFonts w:ascii="Times New Roman" w:cs="Times New Roman" w:eastAsia="Times New Roman" w:hAnsi="Times New Roman"/>
          <w:sz w:val="14"/>
          <w:szCs w:val="14"/>
          <w:color w:val="auto"/>
        </w:rPr>
      </w:pPr>
    </w:p>
    <w:p>
      <w:pPr>
        <w:jc w:val="both"/>
        <w:ind w:left="520" w:hanging="255"/>
        <w:spacing w:after="0" w:line="269" w:lineRule="auto"/>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39" w:lineRule="exact"/>
        <w:rPr>
          <w:rFonts w:ascii="Times New Roman" w:cs="Times New Roman" w:eastAsia="Times New Roman" w:hAnsi="Times New Roman"/>
          <w:sz w:val="14"/>
          <w:szCs w:val="14"/>
          <w:color w:val="auto"/>
        </w:rPr>
      </w:pPr>
    </w:p>
    <w:p>
      <w:pPr>
        <w:jc w:val="both"/>
        <w:ind w:left="520" w:hanging="255"/>
        <w:spacing w:after="0" w:line="264" w:lineRule="auto"/>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6" w:lineRule="exact"/>
        <w:rPr>
          <w:sz w:val="20"/>
          <w:szCs w:val="20"/>
          <w:color w:val="auto"/>
        </w:rPr>
      </w:pPr>
    </w:p>
    <w:p>
      <w:pPr>
        <w:jc w:val="both"/>
        <w:ind w:firstLine="517"/>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Morrisville, State of North Carolina, on August 8, 2025.</w:t>
      </w:r>
    </w:p>
    <w:p>
      <w:pPr>
        <w:spacing w:after="0" w:line="3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TG Therapeutics, Inc.</w:t>
      </w:r>
    </w:p>
    <w:p>
      <w:pPr>
        <w:spacing w:after="0" w:line="27" w:lineRule="exact"/>
        <w:rPr>
          <w:sz w:val="20"/>
          <w:szCs w:val="20"/>
          <w:color w:val="auto"/>
        </w:rPr>
      </w:pPr>
    </w:p>
    <w:p>
      <w:pPr>
        <w:ind w:left="5640"/>
        <w:spacing w:after="0"/>
        <w:tabs>
          <w:tab w:leader="none" w:pos="5960" w:val="left"/>
        </w:tabs>
        <w:rPr>
          <w:sz w:val="20"/>
          <w:szCs w:val="20"/>
          <w:color w:val="auto"/>
        </w:rPr>
      </w:pPr>
      <w:r>
        <w:rPr>
          <w:rFonts w:ascii="Times New Roman" w:cs="Times New Roman" w:eastAsia="Times New Roman" w:hAnsi="Times New Roman"/>
          <w:sz w:val="14"/>
          <w:szCs w:val="14"/>
          <w:color w:val="auto"/>
        </w:rPr>
        <w:t>By:</w:t>
        <w:tab/>
        <w:t>/s/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3799205</wp:posOffset>
            </wp:positionH>
            <wp:positionV relativeFrom="paragraph">
              <wp:posOffset>7620</wp:posOffset>
            </wp:positionV>
            <wp:extent cx="336486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3364865" cy="6985"/>
                    </a:xfrm>
                    <a:prstGeom prst="rect">
                      <a:avLst/>
                    </a:prstGeom>
                    <a:noFill/>
                  </pic:spPr>
                </pic:pic>
              </a:graphicData>
            </a:graphic>
          </wp:anchor>
        </w:drawing>
      </w:r>
    </w:p>
    <w:p>
      <w:pPr>
        <w:spacing w:after="0" w:line="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Michael S. Weiss</w:t>
      </w:r>
    </w:p>
    <w:p>
      <w:pPr>
        <w:spacing w:after="0" w:line="1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Chairman, Chief Executive Officer and President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6"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constitutes and appoints each of Michael S. Weiss and Sean A. Power, his true and lawful attorney-in-fact and agent, with full power of substitution and resubstitution, for him and his name, place and stead, in any and all capacities, to sign any or all amendments (including pre-effective and post-effective amendments) to this registration statement, and to file the same, with all exhibits thereto and other documents in connection therewith, including any registration statement filed pursuant to Rule 462(b) under the Securities Act of 1933, with the SEC,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any of his substitutes, may lawfully do or cause to be done by virtue hereof.</w:t>
      </w:r>
    </w:p>
    <w:p>
      <w:pPr>
        <w:spacing w:after="0" w:line="144"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on behalf of the Registrant on August 8, 2025, and in the capacities indicated: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2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220" w:type="dxa"/>
            <w:vAlign w:val="bottom"/>
          </w:tcPr>
          <w:p>
            <w:pPr>
              <w:spacing w:after="0"/>
              <w:rPr>
                <w:sz w:val="16"/>
                <w:szCs w:val="16"/>
                <w:color w:val="auto"/>
              </w:rPr>
            </w:pPr>
          </w:p>
        </w:tc>
        <w:tc>
          <w:tcPr>
            <w:tcW w:w="5740" w:type="dxa"/>
            <w:vAlign w:val="bottom"/>
            <w:tcBorders>
              <w:bottom w:val="single" w:sz="8" w:color="auto"/>
            </w:tcBorders>
          </w:tcPr>
          <w:p>
            <w:pPr>
              <w:ind w:left="272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336"/>
        </w:trPr>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Michael S. Weiss</w:t>
            </w:r>
          </w:p>
        </w:tc>
        <w:tc>
          <w:tcPr>
            <w:tcW w:w="22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Chairman, Chief Executive Officer and President</w:t>
            </w:r>
          </w:p>
        </w:tc>
      </w:tr>
      <w:tr>
        <w:trPr>
          <w:trHeight w:val="177"/>
        </w:trPr>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Michael S. Weiss</w:t>
            </w:r>
          </w:p>
        </w:tc>
        <w:tc>
          <w:tcPr>
            <w:tcW w:w="220" w:type="dxa"/>
            <w:vAlign w:val="bottom"/>
          </w:tcPr>
          <w:p>
            <w:pPr>
              <w:spacing w:after="0"/>
              <w:rPr>
                <w:sz w:val="15"/>
                <w:szCs w:val="15"/>
                <w:color w:val="auto"/>
              </w:rPr>
            </w:pPr>
          </w:p>
        </w:tc>
        <w:tc>
          <w:tcPr>
            <w:tcW w:w="5740" w:type="dxa"/>
            <w:vAlign w:val="bottom"/>
          </w:tcPr>
          <w:p>
            <w:pPr>
              <w:spacing w:after="0"/>
              <w:rPr>
                <w:sz w:val="15"/>
                <w:szCs w:val="15"/>
                <w:color w:val="auto"/>
              </w:rPr>
            </w:pPr>
          </w:p>
        </w:tc>
      </w:tr>
      <w:tr>
        <w:trPr>
          <w:trHeight w:val="331"/>
        </w:trPr>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Sean A. Power</w:t>
            </w:r>
          </w:p>
        </w:tc>
        <w:tc>
          <w:tcPr>
            <w:tcW w:w="22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 Treasurer and Corporate Secretary</w:t>
            </w:r>
          </w:p>
        </w:tc>
      </w:tr>
      <w:tr>
        <w:trPr>
          <w:trHeight w:val="177"/>
        </w:trPr>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Sean A. Power</w:t>
            </w:r>
          </w:p>
        </w:tc>
        <w:tc>
          <w:tcPr>
            <w:tcW w:w="220" w:type="dxa"/>
            <w:vAlign w:val="bottom"/>
          </w:tcPr>
          <w:p>
            <w:pPr>
              <w:spacing w:after="0"/>
              <w:rPr>
                <w:sz w:val="15"/>
                <w:szCs w:val="15"/>
                <w:color w:val="auto"/>
              </w:rPr>
            </w:pPr>
          </w:p>
        </w:tc>
        <w:tc>
          <w:tcPr>
            <w:tcW w:w="5740" w:type="dxa"/>
            <w:vAlign w:val="bottom"/>
          </w:tcPr>
          <w:p>
            <w:pPr>
              <w:spacing w:after="0"/>
              <w:rPr>
                <w:sz w:val="15"/>
                <w:szCs w:val="15"/>
                <w:color w:val="auto"/>
              </w:rPr>
            </w:pPr>
          </w:p>
        </w:tc>
      </w:tr>
      <w:tr>
        <w:trPr>
          <w:trHeight w:val="331"/>
        </w:trPr>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Laurence N. Charney</w:t>
            </w:r>
          </w:p>
        </w:tc>
        <w:tc>
          <w:tcPr>
            <w:tcW w:w="22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77"/>
        </w:trPr>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Laurence N. Charney</w:t>
            </w:r>
          </w:p>
        </w:tc>
        <w:tc>
          <w:tcPr>
            <w:tcW w:w="220" w:type="dxa"/>
            <w:vAlign w:val="bottom"/>
          </w:tcPr>
          <w:p>
            <w:pPr>
              <w:spacing w:after="0"/>
              <w:rPr>
                <w:sz w:val="15"/>
                <w:szCs w:val="15"/>
                <w:color w:val="auto"/>
              </w:rPr>
            </w:pPr>
          </w:p>
        </w:tc>
        <w:tc>
          <w:tcPr>
            <w:tcW w:w="5740" w:type="dxa"/>
            <w:vAlign w:val="bottom"/>
          </w:tcPr>
          <w:p>
            <w:pPr>
              <w:spacing w:after="0"/>
              <w:rPr>
                <w:sz w:val="15"/>
                <w:szCs w:val="15"/>
                <w:color w:val="auto"/>
              </w:rPr>
            </w:pPr>
          </w:p>
        </w:tc>
      </w:tr>
      <w:tr>
        <w:trPr>
          <w:trHeight w:val="331"/>
        </w:trPr>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Yann Echelard</w:t>
            </w:r>
          </w:p>
        </w:tc>
        <w:tc>
          <w:tcPr>
            <w:tcW w:w="22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77"/>
        </w:trPr>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Yann Echelard</w:t>
            </w:r>
          </w:p>
        </w:tc>
        <w:tc>
          <w:tcPr>
            <w:tcW w:w="220" w:type="dxa"/>
            <w:vAlign w:val="bottom"/>
          </w:tcPr>
          <w:p>
            <w:pPr>
              <w:spacing w:after="0"/>
              <w:rPr>
                <w:sz w:val="15"/>
                <w:szCs w:val="15"/>
                <w:color w:val="auto"/>
              </w:rPr>
            </w:pPr>
          </w:p>
        </w:tc>
        <w:tc>
          <w:tcPr>
            <w:tcW w:w="5740" w:type="dxa"/>
            <w:vAlign w:val="bottom"/>
          </w:tcPr>
          <w:p>
            <w:pPr>
              <w:spacing w:after="0"/>
              <w:rPr>
                <w:sz w:val="15"/>
                <w:szCs w:val="15"/>
                <w:color w:val="auto"/>
              </w:rPr>
            </w:pPr>
          </w:p>
        </w:tc>
      </w:tr>
      <w:tr>
        <w:trPr>
          <w:trHeight w:val="331"/>
        </w:trPr>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Kenneth Hoberman</w:t>
            </w:r>
          </w:p>
        </w:tc>
        <w:tc>
          <w:tcPr>
            <w:tcW w:w="22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77"/>
        </w:trPr>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Kenneth Hoberman</w:t>
            </w:r>
          </w:p>
        </w:tc>
        <w:tc>
          <w:tcPr>
            <w:tcW w:w="220" w:type="dxa"/>
            <w:vAlign w:val="bottom"/>
          </w:tcPr>
          <w:p>
            <w:pPr>
              <w:spacing w:after="0"/>
              <w:rPr>
                <w:sz w:val="15"/>
                <w:szCs w:val="15"/>
                <w:color w:val="auto"/>
              </w:rPr>
            </w:pPr>
          </w:p>
        </w:tc>
        <w:tc>
          <w:tcPr>
            <w:tcW w:w="5740" w:type="dxa"/>
            <w:vAlign w:val="bottom"/>
          </w:tcPr>
          <w:p>
            <w:pPr>
              <w:spacing w:after="0"/>
              <w:rPr>
                <w:sz w:val="15"/>
                <w:szCs w:val="15"/>
                <w:color w:val="auto"/>
              </w:rPr>
            </w:pPr>
          </w:p>
        </w:tc>
      </w:tr>
      <w:tr>
        <w:trPr>
          <w:trHeight w:val="331"/>
        </w:trPr>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Daniel Hume</w:t>
            </w:r>
          </w:p>
        </w:tc>
        <w:tc>
          <w:tcPr>
            <w:tcW w:w="22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77"/>
        </w:trPr>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Daniel Hume</w:t>
            </w:r>
          </w:p>
        </w:tc>
        <w:tc>
          <w:tcPr>
            <w:tcW w:w="220" w:type="dxa"/>
            <w:vAlign w:val="bottom"/>
          </w:tcPr>
          <w:p>
            <w:pPr>
              <w:spacing w:after="0"/>
              <w:rPr>
                <w:sz w:val="15"/>
                <w:szCs w:val="15"/>
                <w:color w:val="auto"/>
              </w:rPr>
            </w:pPr>
          </w:p>
        </w:tc>
        <w:tc>
          <w:tcPr>
            <w:tcW w:w="5740" w:type="dxa"/>
            <w:vAlign w:val="bottom"/>
          </w:tcPr>
          <w:p>
            <w:pPr>
              <w:spacing w:after="0"/>
              <w:rPr>
                <w:sz w:val="15"/>
                <w:szCs w:val="15"/>
                <w:color w:val="auto"/>
              </w:rPr>
            </w:pPr>
          </w:p>
        </w:tc>
      </w:tr>
      <w:tr>
        <w:trPr>
          <w:trHeight w:val="331"/>
        </w:trPr>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Sagar Lonial</w:t>
            </w:r>
          </w:p>
        </w:tc>
        <w:tc>
          <w:tcPr>
            <w:tcW w:w="22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77"/>
        </w:trPr>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Sagar Lonial</w:t>
            </w:r>
          </w:p>
        </w:tc>
        <w:tc>
          <w:tcPr>
            <w:tcW w:w="220" w:type="dxa"/>
            <w:vAlign w:val="bottom"/>
          </w:tcPr>
          <w:p>
            <w:pPr>
              <w:spacing w:after="0"/>
              <w:rPr>
                <w:sz w:val="15"/>
                <w:szCs w:val="15"/>
                <w:color w:val="auto"/>
              </w:rPr>
            </w:pPr>
          </w:p>
        </w:tc>
        <w:tc>
          <w:tcPr>
            <w:tcW w:w="5740" w:type="dxa"/>
            <w:vAlign w:val="bottom"/>
          </w:tcPr>
          <w:p>
            <w:pPr>
              <w:spacing w:after="0"/>
              <w:rPr>
                <w:sz w:val="15"/>
                <w:szCs w:val="15"/>
                <w:color w:val="auto"/>
              </w:rPr>
            </w:pPr>
          </w:p>
        </w:tc>
      </w:tr>
      <w:tr>
        <w:trPr>
          <w:trHeight w:val="330"/>
        </w:trPr>
        <w:tc>
          <w:tcPr>
            <w:tcW w:w="5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II-4</w:t>
            </w:r>
          </w:p>
        </w:tc>
      </w:tr>
      <w:tr>
        <w:trPr>
          <w:trHeight w:val="89"/>
        </w:trPr>
        <w:tc>
          <w:tcPr>
            <w:tcW w:w="53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74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60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501"/>
        </w:trPr>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8"/>
        </w:trPr>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6"/>
                <w:szCs w:val="16"/>
                <w:color w:val="auto"/>
              </w:rPr>
            </w:pPr>
          </w:p>
        </w:tc>
        <w:tc>
          <w:tcPr>
            <w:tcW w:w="100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49"/>
        </w:trPr>
        <w:tc>
          <w:tcPr>
            <w:tcW w:w="102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auto"/>
            </w:tcBorders>
            <w:gridSpan w:val="7"/>
          </w:tcPr>
          <w:p>
            <w:pPr>
              <w:spacing w:after="0" w:line="149" w:lineRule="exact"/>
              <w:rPr>
                <w:sz w:val="20"/>
                <w:szCs w:val="20"/>
                <w:color w:val="auto"/>
              </w:rPr>
            </w:pPr>
            <w:r>
              <w:rPr>
                <w:rFonts w:ascii="Times New Roman" w:cs="Times New Roman" w:eastAsia="Times New Roman" w:hAnsi="Times New Roman"/>
                <w:sz w:val="14"/>
                <w:szCs w:val="14"/>
                <w:color w:val="auto"/>
              </w:rPr>
              <w:t>Form of Underwriting Agreement*</w:t>
            </w: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4.1</w:t>
            </w:r>
          </w:p>
        </w:tc>
        <w:tc>
          <w:tcPr>
            <w:tcW w:w="240" w:type="dxa"/>
            <w:vAlign w:val="bottom"/>
          </w:tcPr>
          <w:p>
            <w:pPr>
              <w:spacing w:after="0"/>
              <w:rPr>
                <w:sz w:val="13"/>
                <w:szCs w:val="13"/>
                <w:color w:val="auto"/>
              </w:rPr>
            </w:pPr>
          </w:p>
        </w:tc>
        <w:tc>
          <w:tcPr>
            <w:tcW w:w="10020" w:type="dxa"/>
            <w:vAlign w:val="bottom"/>
            <w:gridSpan w:val="8"/>
          </w:tcPr>
          <w:p>
            <w:pPr>
              <w:spacing w:after="0" w:line="155" w:lineRule="exact"/>
              <w:rPr>
                <w:rFonts w:ascii="Times New Roman" w:cs="Times New Roman" w:eastAsia="Times New Roman" w:hAnsi="Times New Roman"/>
                <w:sz w:val="14"/>
                <w:szCs w:val="14"/>
                <w:color w:val="0000EE"/>
              </w:rPr>
            </w:pPr>
            <w:hyperlink r:id="rId49">
              <w:r>
                <w:rPr>
                  <w:rFonts w:ascii="Times New Roman" w:cs="Times New Roman" w:eastAsia="Times New Roman" w:hAnsi="Times New Roman"/>
                  <w:sz w:val="14"/>
                  <w:szCs w:val="14"/>
                  <w:color w:val="0000EE"/>
                </w:rPr>
                <w:t>Specimen common stock certificate (incorporated by reference to Exhibit 4.1 to the Registrant’s Form 10-K for the year ended December 31, 2011).</w:t>
              </w:r>
            </w:hyperlink>
          </w:p>
        </w:tc>
      </w:tr>
      <w:tr>
        <w:trPr>
          <w:trHeight w:val="17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4.2</w:t>
            </w:r>
          </w:p>
        </w:tc>
        <w:tc>
          <w:tcPr>
            <w:tcW w:w="240" w:type="dxa"/>
            <w:vAlign w:val="bottom"/>
          </w:tcPr>
          <w:p>
            <w:pPr>
              <w:spacing w:after="0"/>
              <w:rPr>
                <w:sz w:val="14"/>
                <w:szCs w:val="14"/>
                <w:color w:val="auto"/>
              </w:rPr>
            </w:pPr>
          </w:p>
        </w:tc>
        <w:tc>
          <w:tcPr>
            <w:tcW w:w="85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auto"/>
              </w:rPr>
              <w:t>Form of Preferred Stock Certificate*</w:t>
            </w:r>
          </w:p>
        </w:tc>
        <w:tc>
          <w:tcPr>
            <w:tcW w:w="1520" w:type="dxa"/>
            <w:vAlign w:val="bottom"/>
          </w:tcPr>
          <w:p>
            <w:pPr>
              <w:spacing w:after="0"/>
              <w:rPr>
                <w:sz w:val="14"/>
                <w:szCs w:val="14"/>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4.3</w:t>
            </w:r>
          </w:p>
        </w:tc>
        <w:tc>
          <w:tcPr>
            <w:tcW w:w="240" w:type="dxa"/>
            <w:vAlign w:val="bottom"/>
          </w:tcPr>
          <w:p>
            <w:pPr>
              <w:spacing w:after="0"/>
              <w:rPr>
                <w:sz w:val="13"/>
                <w:szCs w:val="13"/>
                <w:color w:val="auto"/>
              </w:rPr>
            </w:pPr>
          </w:p>
        </w:tc>
        <w:tc>
          <w:tcPr>
            <w:tcW w:w="1120" w:type="dxa"/>
            <w:vAlign w:val="bottom"/>
            <w:tcBorders>
              <w:bottom w:val="single" w:sz="8" w:color="0000EE"/>
            </w:tcBorders>
            <w:gridSpan w:val="2"/>
          </w:tcPr>
          <w:p>
            <w:pPr>
              <w:spacing w:after="0" w:line="155" w:lineRule="exact"/>
              <w:rPr>
                <w:sz w:val="20"/>
                <w:szCs w:val="20"/>
                <w:color w:val="auto"/>
              </w:rPr>
            </w:pPr>
            <w:r>
              <w:rPr>
                <w:rFonts w:ascii="Times New Roman" w:cs="Times New Roman" w:eastAsia="Times New Roman" w:hAnsi="Times New Roman"/>
                <w:sz w:val="14"/>
                <w:szCs w:val="14"/>
                <w:color w:val="0000EE"/>
              </w:rPr>
              <w:t>Form of Indenture†</w:t>
            </w:r>
          </w:p>
        </w:tc>
        <w:tc>
          <w:tcPr>
            <w:tcW w:w="8900" w:type="dxa"/>
            <w:vAlign w:val="bottom"/>
            <w:gridSpan w:val="6"/>
          </w:tcPr>
          <w:p>
            <w:pPr>
              <w:spacing w:after="0"/>
              <w:rPr>
                <w:sz w:val="13"/>
                <w:szCs w:val="13"/>
                <w:color w:val="auto"/>
              </w:rPr>
            </w:pPr>
          </w:p>
        </w:tc>
      </w:tr>
      <w:tr>
        <w:trPr>
          <w:trHeight w:val="17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4.4</w:t>
            </w:r>
          </w:p>
        </w:tc>
        <w:tc>
          <w:tcPr>
            <w:tcW w:w="240" w:type="dxa"/>
            <w:vAlign w:val="bottom"/>
          </w:tcPr>
          <w:p>
            <w:pPr>
              <w:spacing w:after="0"/>
              <w:rPr>
                <w:sz w:val="14"/>
                <w:szCs w:val="14"/>
                <w:color w:val="auto"/>
              </w:rPr>
            </w:pPr>
          </w:p>
        </w:tc>
        <w:tc>
          <w:tcPr>
            <w:tcW w:w="100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Form of Warrant Agreement*</w:t>
            </w:r>
          </w:p>
        </w:tc>
      </w:tr>
      <w:tr>
        <w:trPr>
          <w:trHeight w:val="172"/>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4.5</w:t>
            </w:r>
          </w:p>
        </w:tc>
        <w:tc>
          <w:tcPr>
            <w:tcW w:w="240" w:type="dxa"/>
            <w:vAlign w:val="bottom"/>
          </w:tcPr>
          <w:p>
            <w:pPr>
              <w:spacing w:after="0"/>
              <w:rPr>
                <w:sz w:val="14"/>
                <w:szCs w:val="14"/>
                <w:color w:val="auto"/>
              </w:rPr>
            </w:pPr>
          </w:p>
        </w:tc>
        <w:tc>
          <w:tcPr>
            <w:tcW w:w="100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Form of Warrant Certificate*</w:t>
            </w:r>
          </w:p>
        </w:tc>
      </w:tr>
      <w:tr>
        <w:trPr>
          <w:trHeight w:val="172"/>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4.6</w:t>
            </w:r>
          </w:p>
        </w:tc>
        <w:tc>
          <w:tcPr>
            <w:tcW w:w="240" w:type="dxa"/>
            <w:vAlign w:val="bottom"/>
          </w:tcPr>
          <w:p>
            <w:pPr>
              <w:spacing w:after="0"/>
              <w:rPr>
                <w:sz w:val="14"/>
                <w:szCs w:val="14"/>
                <w:color w:val="auto"/>
              </w:rPr>
            </w:pPr>
          </w:p>
        </w:tc>
        <w:tc>
          <w:tcPr>
            <w:tcW w:w="100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Form of Unit Agreement*</w:t>
            </w:r>
          </w:p>
        </w:tc>
      </w:tr>
      <w:tr>
        <w:trPr>
          <w:trHeight w:val="172"/>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4.7</w:t>
            </w:r>
          </w:p>
        </w:tc>
        <w:tc>
          <w:tcPr>
            <w:tcW w:w="240" w:type="dxa"/>
            <w:vAlign w:val="bottom"/>
          </w:tcPr>
          <w:p>
            <w:pPr>
              <w:spacing w:after="0"/>
              <w:rPr>
                <w:sz w:val="14"/>
                <w:szCs w:val="14"/>
                <w:color w:val="auto"/>
              </w:rPr>
            </w:pPr>
          </w:p>
        </w:tc>
        <w:tc>
          <w:tcPr>
            <w:tcW w:w="100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Form of Unit Certificate*</w:t>
            </w: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5.1</w:t>
            </w:r>
          </w:p>
        </w:tc>
        <w:tc>
          <w:tcPr>
            <w:tcW w:w="240" w:type="dxa"/>
            <w:vAlign w:val="bottom"/>
          </w:tcPr>
          <w:p>
            <w:pPr>
              <w:spacing w:after="0"/>
              <w:rPr>
                <w:sz w:val="13"/>
                <w:szCs w:val="13"/>
                <w:color w:val="auto"/>
              </w:rPr>
            </w:pPr>
          </w:p>
        </w:tc>
        <w:tc>
          <w:tcPr>
            <w:tcW w:w="1002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0000EE"/>
              </w:rPr>
              <w:t>Opinion of DLA Piper LLP (US)†</w:t>
            </w: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r>
      <w:tr>
        <w:trPr>
          <w:trHeight w:val="152"/>
        </w:trPr>
        <w:tc>
          <w:tcPr>
            <w:tcW w:w="10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23.1</w:t>
            </w:r>
          </w:p>
        </w:tc>
        <w:tc>
          <w:tcPr>
            <w:tcW w:w="240" w:type="dxa"/>
            <w:vAlign w:val="bottom"/>
          </w:tcPr>
          <w:p>
            <w:pPr>
              <w:spacing w:after="0"/>
              <w:rPr>
                <w:sz w:val="13"/>
                <w:szCs w:val="13"/>
                <w:color w:val="auto"/>
              </w:rPr>
            </w:pPr>
          </w:p>
        </w:tc>
        <w:tc>
          <w:tcPr>
            <w:tcW w:w="10020" w:type="dxa"/>
            <w:vAlign w:val="bottom"/>
            <w:gridSpan w:val="8"/>
          </w:tcPr>
          <w:p>
            <w:pPr>
              <w:spacing w:after="0" w:line="153" w:lineRule="exact"/>
              <w:rPr>
                <w:sz w:val="20"/>
                <w:szCs w:val="20"/>
                <w:color w:val="auto"/>
              </w:rPr>
            </w:pPr>
            <w:r>
              <w:rPr>
                <w:rFonts w:ascii="Times New Roman" w:cs="Times New Roman" w:eastAsia="Times New Roman" w:hAnsi="Times New Roman"/>
                <w:sz w:val="14"/>
                <w:szCs w:val="14"/>
                <w:color w:val="0000EE"/>
              </w:rPr>
              <w:t>Consent of KPMG LLP, Independent Registered Public Accounting Firm †</w:t>
            </w:r>
          </w:p>
        </w:tc>
      </w:tr>
      <w:tr>
        <w:trPr>
          <w:trHeight w:val="152"/>
        </w:trPr>
        <w:tc>
          <w:tcPr>
            <w:tcW w:w="10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23.2</w:t>
            </w:r>
          </w:p>
        </w:tc>
        <w:tc>
          <w:tcPr>
            <w:tcW w:w="240" w:type="dxa"/>
            <w:vAlign w:val="bottom"/>
          </w:tcPr>
          <w:p>
            <w:pPr>
              <w:spacing w:after="0"/>
              <w:rPr>
                <w:sz w:val="13"/>
                <w:szCs w:val="13"/>
                <w:color w:val="auto"/>
              </w:rPr>
            </w:pPr>
          </w:p>
        </w:tc>
        <w:tc>
          <w:tcPr>
            <w:tcW w:w="3420" w:type="dxa"/>
            <w:vAlign w:val="bottom"/>
            <w:tcBorders>
              <w:top w:val="single" w:sz="8" w:color="0000EE"/>
              <w:bottom w:val="single" w:sz="8" w:color="0000EE"/>
            </w:tcBorders>
            <w:gridSpan w:val="4"/>
          </w:tcPr>
          <w:p>
            <w:pPr>
              <w:spacing w:after="0" w:line="153" w:lineRule="exact"/>
              <w:rPr>
                <w:sz w:val="20"/>
                <w:szCs w:val="20"/>
                <w:color w:val="auto"/>
              </w:rPr>
            </w:pPr>
            <w:r>
              <w:rPr>
                <w:rFonts w:ascii="Times New Roman" w:cs="Times New Roman" w:eastAsia="Times New Roman" w:hAnsi="Times New Roman"/>
                <w:sz w:val="14"/>
                <w:szCs w:val="14"/>
                <w:color w:val="0000EE"/>
              </w:rPr>
              <w:t>Consent of DLA Piper LLP (US) (included in Exhibit 5.1)†</w:t>
            </w:r>
          </w:p>
        </w:tc>
        <w:tc>
          <w:tcPr>
            <w:tcW w:w="880" w:type="dxa"/>
            <w:vAlign w:val="bottom"/>
            <w:tcBorders>
              <w:top w:val="single" w:sz="8" w:color="0000EE"/>
            </w:tcBorders>
          </w:tcPr>
          <w:p>
            <w:pPr>
              <w:spacing w:after="0"/>
              <w:rPr>
                <w:sz w:val="13"/>
                <w:szCs w:val="13"/>
                <w:color w:val="auto"/>
              </w:rPr>
            </w:pPr>
          </w:p>
        </w:tc>
        <w:tc>
          <w:tcPr>
            <w:tcW w:w="5720" w:type="dxa"/>
            <w:vAlign w:val="bottom"/>
            <w:gridSpan w:val="3"/>
          </w:tcPr>
          <w:p>
            <w:pPr>
              <w:spacing w:after="0"/>
              <w:rPr>
                <w:sz w:val="13"/>
                <w:szCs w:val="13"/>
                <w:color w:val="auto"/>
              </w:rPr>
            </w:pPr>
          </w:p>
        </w:tc>
      </w:tr>
      <w:tr>
        <w:trPr>
          <w:trHeight w:val="152"/>
        </w:trPr>
        <w:tc>
          <w:tcPr>
            <w:tcW w:w="10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24.1</w:t>
            </w:r>
          </w:p>
        </w:tc>
        <w:tc>
          <w:tcPr>
            <w:tcW w:w="240" w:type="dxa"/>
            <w:vAlign w:val="bottom"/>
          </w:tcPr>
          <w:p>
            <w:pPr>
              <w:spacing w:after="0"/>
              <w:rPr>
                <w:sz w:val="13"/>
                <w:szCs w:val="13"/>
                <w:color w:val="auto"/>
              </w:rPr>
            </w:pPr>
          </w:p>
        </w:tc>
        <w:tc>
          <w:tcPr>
            <w:tcW w:w="4760" w:type="dxa"/>
            <w:vAlign w:val="bottom"/>
            <w:tcBorders>
              <w:bottom w:val="single" w:sz="8" w:color="0000EE"/>
            </w:tcBorders>
            <w:gridSpan w:val="6"/>
          </w:tcPr>
          <w:p>
            <w:pPr>
              <w:spacing w:after="0" w:line="153" w:lineRule="exact"/>
              <w:rPr>
                <w:sz w:val="20"/>
                <w:szCs w:val="20"/>
                <w:color w:val="auto"/>
              </w:rPr>
            </w:pPr>
            <w:r>
              <w:rPr>
                <w:rFonts w:ascii="Times New Roman" w:cs="Times New Roman" w:eastAsia="Times New Roman" w:hAnsi="Times New Roman"/>
                <w:sz w:val="14"/>
                <w:szCs w:val="14"/>
                <w:color w:val="0000EE"/>
              </w:rPr>
              <w:t>Power of Attorney (included on the signature page to this Registration Statement)†</w:t>
            </w:r>
          </w:p>
        </w:tc>
        <w:tc>
          <w:tcPr>
            <w:tcW w:w="5260" w:type="dxa"/>
            <w:vAlign w:val="bottom"/>
            <w:gridSpan w:val="2"/>
          </w:tcPr>
          <w:p>
            <w:pPr>
              <w:spacing w:after="0"/>
              <w:rPr>
                <w:sz w:val="13"/>
                <w:szCs w:val="13"/>
                <w:color w:val="auto"/>
              </w:rPr>
            </w:pPr>
          </w:p>
        </w:tc>
      </w:tr>
      <w:tr>
        <w:trPr>
          <w:trHeight w:val="184"/>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25.1</w:t>
            </w:r>
          </w:p>
        </w:tc>
        <w:tc>
          <w:tcPr>
            <w:tcW w:w="240" w:type="dxa"/>
            <w:vAlign w:val="bottom"/>
          </w:tcPr>
          <w:p>
            <w:pPr>
              <w:spacing w:after="0"/>
              <w:rPr>
                <w:sz w:val="15"/>
                <w:szCs w:val="15"/>
                <w:color w:val="auto"/>
              </w:rPr>
            </w:pPr>
          </w:p>
        </w:tc>
        <w:tc>
          <w:tcPr>
            <w:tcW w:w="100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Statement of Eligibility of Trust Under Debt Indenture**</w:t>
            </w:r>
          </w:p>
        </w:tc>
      </w:tr>
    </w:tbl>
    <w:p>
      <w:pPr>
        <w:ind w:left="1260" w:hanging="1254"/>
        <w:spacing w:after="0"/>
        <w:tabs>
          <w:tab w:leader="none" w:pos="1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pacing w:after="0" w:line="1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______________________</w:t>
      </w:r>
    </w:p>
    <w:p>
      <w:pPr>
        <w:spacing w:after="0" w:line="170" w:lineRule="exact"/>
        <w:rPr>
          <w:sz w:val="20"/>
          <w:szCs w:val="20"/>
          <w:color w:val="auto"/>
        </w:rPr>
      </w:pPr>
    </w:p>
    <w:p>
      <w:pPr>
        <w:ind w:left="260" w:hanging="254"/>
        <w:spacing w:after="0"/>
        <w:tabs>
          <w:tab w:leader="none" w:pos="2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84" w:lineRule="exact"/>
        <w:rPr>
          <w:sz w:val="20"/>
          <w:szCs w:val="20"/>
          <w:color w:val="auto"/>
        </w:rPr>
      </w:pPr>
    </w:p>
    <w:p>
      <w:pPr>
        <w:ind w:right="920" w:firstLine="6"/>
        <w:spacing w:after="0" w:line="550" w:lineRule="auto"/>
        <w:tabs>
          <w:tab w:leader="none" w:pos="258"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as an exhibit to a document to be incorporated by reference herein in connection with an offering of the offered securities, to the extent applicable. ** To be filed in accordance with the requirements of Section 305(b)(2) of the Trust Indenture Act of 1939, as amended, to the extent applicable.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1280"/>
          </w:cols>
          <w:pgMar w:left="300" w:top="125" w:right="31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4"/>
          <w:szCs w:val="14"/>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TG THERAPEUTICS, INC.</w:t>
      </w:r>
    </w:p>
    <w:p>
      <w:pPr>
        <w:spacing w:after="0" w:line="18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FORM OF</w:t>
      </w:r>
    </w:p>
    <w:p>
      <w:pPr>
        <w:spacing w:after="0" w:line="18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INDENTURE</w:t>
      </w:r>
    </w:p>
    <w:p>
      <w:pPr>
        <w:spacing w:after="0" w:line="18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Dated as of</w:t>
      </w:r>
    </w:p>
    <w:p>
      <w:pPr>
        <w:spacing w:after="0" w:line="184" w:lineRule="exact"/>
        <w:rPr>
          <w:sz w:val="20"/>
          <w:szCs w:val="20"/>
          <w:color w:val="auto"/>
        </w:rPr>
      </w:pPr>
    </w:p>
    <w:p>
      <w:pPr>
        <w:ind w:left="4340" w:hanging="75"/>
        <w:spacing w:after="0"/>
        <w:tabs>
          <w:tab w:leader="none" w:pos="4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20[ ]</w:t>
      </w:r>
    </w:p>
    <w:p>
      <w:pPr>
        <w:spacing w:after="0" w:line="183" w:lineRule="exact"/>
        <w:rPr>
          <w:rFonts w:ascii="Times New Roman" w:cs="Times New Roman" w:eastAsia="Times New Roman" w:hAnsi="Times New Roman"/>
          <w:sz w:val="14"/>
          <w:szCs w:val="14"/>
          <w:color w:val="auto"/>
        </w:rPr>
      </w:pPr>
    </w:p>
    <w:p>
      <w:pPr>
        <w:ind w:left="39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w:t>
      </w:r>
    </w:p>
    <w:p>
      <w:pPr>
        <w:spacing w:after="0" w:line="183" w:lineRule="exact"/>
        <w:rPr>
          <w:rFonts w:ascii="Times New Roman" w:cs="Times New Roman" w:eastAsia="Times New Roman" w:hAnsi="Times New Roman"/>
          <w:sz w:val="14"/>
          <w:szCs w:val="14"/>
          <w:color w:val="auto"/>
        </w:rPr>
      </w:pPr>
    </w:p>
    <w:p>
      <w:pPr>
        <w:ind w:left="4700" w:hanging="441"/>
        <w:spacing w:after="0"/>
        <w:tabs>
          <w:tab w:leader="none" w:pos="4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83" w:lineRule="exact"/>
        <w:rPr>
          <w:rFonts w:ascii="Times New Roman" w:cs="Times New Roman" w:eastAsia="Times New Roman" w:hAnsi="Times New Roman"/>
          <w:sz w:val="14"/>
          <w:szCs w:val="14"/>
          <w:color w:val="auto"/>
        </w:rPr>
      </w:pPr>
    </w:p>
    <w:p>
      <w:pPr>
        <w:ind w:left="43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741680</wp:posOffset>
            </wp:positionV>
            <wp:extent cx="7160260" cy="139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60260" cy="13970"/>
                    </a:xfrm>
                    <a:prstGeom prst="rect">
                      <a:avLst/>
                    </a:prstGeom>
                    <a:noFill/>
                  </pic:spPr>
                </pic:pic>
              </a:graphicData>
            </a:graphic>
          </wp:anchor>
        </w:drawing>
        <w:drawing>
          <wp:anchor simplePos="0" relativeHeight="251657728" behindDoc="1" locked="0" layoutInCell="0" allowOverlap="1">
            <wp:simplePos x="0" y="0"/>
            <wp:positionH relativeFrom="column">
              <wp:posOffset>2734945</wp:posOffset>
            </wp:positionH>
            <wp:positionV relativeFrom="paragraph">
              <wp:posOffset>-222250</wp:posOffset>
            </wp:positionV>
            <wp:extent cx="25082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250825" cy="6985"/>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8"/>
        </w:trPr>
        <w:tc>
          <w:tcPr>
            <w:tcW w:w="4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8140" w:type="dxa"/>
            <w:vAlign w:val="bottom"/>
            <w:gridSpan w:val="3"/>
          </w:tcPr>
          <w:p>
            <w:pPr>
              <w:ind w:left="1540"/>
              <w:spacing w:after="0"/>
              <w:rPr>
                <w:sz w:val="20"/>
                <w:szCs w:val="20"/>
                <w:color w:val="auto"/>
              </w:rPr>
            </w:pPr>
            <w:r>
              <w:rPr>
                <w:rFonts w:ascii="Times New Roman" w:cs="Times New Roman" w:eastAsia="Times New Roman" w:hAnsi="Times New Roman"/>
                <w:sz w:val="14"/>
                <w:szCs w:val="14"/>
                <w:b w:val="1"/>
                <w:bCs w:val="1"/>
                <w:color w:val="auto"/>
              </w:rPr>
              <w:t>CROSS REFERENCE SHEET</w:t>
            </w:r>
          </w:p>
        </w:tc>
        <w:tc>
          <w:tcPr>
            <w:tcW w:w="0" w:type="dxa"/>
            <w:vAlign w:val="bottom"/>
          </w:tcPr>
          <w:p>
            <w:pPr>
              <w:spacing w:after="0"/>
              <w:rPr>
                <w:sz w:val="1"/>
                <w:szCs w:val="1"/>
                <w:color w:val="auto"/>
              </w:rPr>
            </w:pPr>
          </w:p>
        </w:tc>
      </w:tr>
      <w:tr>
        <w:trPr>
          <w:trHeight w:val="345"/>
        </w:trPr>
        <w:tc>
          <w:tcPr>
            <w:tcW w:w="400" w:type="dxa"/>
            <w:vAlign w:val="bottom"/>
          </w:tcPr>
          <w:p>
            <w:pPr>
              <w:spacing w:after="0"/>
              <w:rPr>
                <w:sz w:val="24"/>
                <w:szCs w:val="24"/>
                <w:color w:val="auto"/>
              </w:rPr>
            </w:pPr>
          </w:p>
        </w:tc>
        <w:tc>
          <w:tcPr>
            <w:tcW w:w="1088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Cross-reference sheet of provisions of the Trust Indenture Act of 1939 and this indenture*</w:t>
            </w:r>
          </w:p>
        </w:tc>
        <w:tc>
          <w:tcPr>
            <w:tcW w:w="0" w:type="dxa"/>
            <w:vAlign w:val="bottom"/>
          </w:tcPr>
          <w:p>
            <w:pPr>
              <w:spacing w:after="0"/>
              <w:rPr>
                <w:sz w:val="1"/>
                <w:szCs w:val="1"/>
                <w:color w:val="auto"/>
              </w:rPr>
            </w:pPr>
          </w:p>
        </w:tc>
      </w:tr>
      <w:tr>
        <w:trPr>
          <w:trHeight w:val="173"/>
        </w:trPr>
        <w:tc>
          <w:tcPr>
            <w:tcW w:w="3140" w:type="dxa"/>
            <w:vAlign w:val="bottom"/>
            <w:tcBorders>
              <w:bottom w:val="single" w:sz="8" w:color="auto"/>
            </w:tcBorders>
            <w:gridSpan w:val="2"/>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240" w:type="dxa"/>
            <w:vAlign w:val="bottom"/>
            <w:vMerge w:val="restart"/>
          </w:tcPr>
          <w:p>
            <w:pPr>
              <w:spacing w:after="0"/>
              <w:rPr>
                <w:sz w:val="15"/>
                <w:szCs w:val="15"/>
                <w:color w:val="auto"/>
              </w:rPr>
            </w:pPr>
          </w:p>
        </w:tc>
        <w:tc>
          <w:tcPr>
            <w:tcW w:w="5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Trust Indenture Act Section</w:t>
            </w:r>
          </w:p>
        </w:tc>
        <w:tc>
          <w:tcPr>
            <w:tcW w:w="2500" w:type="dxa"/>
            <w:vAlign w:val="bottom"/>
            <w:tcBorders>
              <w:bottom w:val="single" w:sz="8" w:color="auto"/>
            </w:tcBorders>
          </w:tcPr>
          <w:p>
            <w:pPr>
              <w:spacing w:after="0"/>
              <w:rPr>
                <w:sz w:val="14"/>
                <w:szCs w:val="14"/>
                <w:color w:val="auto"/>
              </w:rPr>
            </w:pPr>
          </w:p>
        </w:tc>
        <w:tc>
          <w:tcPr>
            <w:tcW w:w="240" w:type="dxa"/>
            <w:vAlign w:val="bottom"/>
            <w:vMerge w:val="continue"/>
          </w:tcPr>
          <w:p>
            <w:pPr>
              <w:spacing w:after="0"/>
              <w:rPr>
                <w:sz w:val="14"/>
                <w:szCs w:val="14"/>
                <w:color w:val="auto"/>
              </w:rPr>
            </w:pP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Indenture Section</w:t>
            </w:r>
          </w:p>
        </w:tc>
        <w:tc>
          <w:tcPr>
            <w:tcW w:w="0" w:type="dxa"/>
            <w:vAlign w:val="bottom"/>
          </w:tcPr>
          <w:p>
            <w:pPr>
              <w:spacing w:after="0"/>
              <w:rPr>
                <w:sz w:val="1"/>
                <w:szCs w:val="1"/>
                <w:color w:val="auto"/>
              </w:rPr>
            </w:pPr>
          </w:p>
        </w:tc>
      </w:tr>
      <w:tr>
        <w:trPr>
          <w:trHeight w:val="163"/>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§310</w:t>
            </w:r>
          </w:p>
        </w:tc>
        <w:tc>
          <w:tcPr>
            <w:tcW w:w="2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w:t>
            </w:r>
          </w:p>
        </w:tc>
        <w:tc>
          <w:tcPr>
            <w:tcW w:w="2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11.04(a), 16.02</w:t>
            </w:r>
          </w:p>
        </w:tc>
        <w:tc>
          <w:tcPr>
            <w:tcW w:w="0" w:type="dxa"/>
            <w:vAlign w:val="bottom"/>
          </w:tcPr>
          <w:p>
            <w:pPr>
              <w:spacing w:after="0"/>
              <w:rPr>
                <w:sz w:val="1"/>
                <w:szCs w:val="1"/>
                <w:color w:val="auto"/>
              </w:rPr>
            </w:pPr>
          </w:p>
        </w:tc>
      </w:tr>
      <w:tr>
        <w:trPr>
          <w:trHeight w:val="172"/>
        </w:trPr>
        <w:tc>
          <w:tcPr>
            <w:tcW w:w="400" w:type="dxa"/>
            <w:vAlign w:val="bottom"/>
          </w:tcPr>
          <w:p>
            <w:pPr>
              <w:spacing w:after="0"/>
              <w:rPr>
                <w:sz w:val="14"/>
                <w:szCs w:val="14"/>
                <w:color w:val="auto"/>
              </w:rPr>
            </w:pPr>
          </w:p>
        </w:tc>
        <w:tc>
          <w:tcPr>
            <w:tcW w:w="27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(b)</w:t>
            </w:r>
          </w:p>
        </w:tc>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11.01(f), 11.04(b), 11.05(1), 16.02</w:t>
            </w:r>
          </w:p>
        </w:tc>
        <w:tc>
          <w:tcPr>
            <w:tcW w:w="0" w:type="dxa"/>
            <w:vAlign w:val="bottom"/>
          </w:tcPr>
          <w:p>
            <w:pPr>
              <w:spacing w:after="0"/>
              <w:rPr>
                <w:sz w:val="1"/>
                <w:szCs w:val="1"/>
                <w:color w:val="auto"/>
              </w:rPr>
            </w:pPr>
          </w:p>
        </w:tc>
      </w:tr>
      <w:tr>
        <w:trPr>
          <w:trHeight w:val="172"/>
        </w:trPr>
        <w:tc>
          <w:tcPr>
            <w:tcW w:w="400" w:type="dxa"/>
            <w:vAlign w:val="bottom"/>
            <w:shd w:val="clear" w:color="auto" w:fill="CCEEFF"/>
          </w:tcPr>
          <w:p>
            <w:pPr>
              <w:spacing w:after="0"/>
              <w:rPr>
                <w:sz w:val="14"/>
                <w:szCs w:val="14"/>
                <w:color w:val="auto"/>
              </w:rPr>
            </w:pPr>
          </w:p>
        </w:tc>
        <w:tc>
          <w:tcPr>
            <w:tcW w:w="2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(b)(1)</w:t>
            </w:r>
          </w:p>
        </w:tc>
        <w:tc>
          <w:tcPr>
            <w:tcW w:w="2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11.04(b), 16.02</w:t>
            </w:r>
          </w:p>
        </w:tc>
        <w:tc>
          <w:tcPr>
            <w:tcW w:w="0" w:type="dxa"/>
            <w:vAlign w:val="bottom"/>
          </w:tcPr>
          <w:p>
            <w:pPr>
              <w:spacing w:after="0"/>
              <w:rPr>
                <w:sz w:val="1"/>
                <w:szCs w:val="1"/>
                <w:color w:val="auto"/>
              </w:rPr>
            </w:pPr>
          </w:p>
        </w:tc>
      </w:tr>
      <w:tr>
        <w:trPr>
          <w:trHeight w:val="172"/>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27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11.01(f), 16.02</w:t>
            </w:r>
          </w:p>
        </w:tc>
        <w:tc>
          <w:tcPr>
            <w:tcW w:w="0" w:type="dxa"/>
            <w:vAlign w:val="bottom"/>
          </w:tcPr>
          <w:p>
            <w:pPr>
              <w:spacing w:after="0"/>
              <w:rPr>
                <w:sz w:val="1"/>
                <w:szCs w:val="1"/>
                <w:color w:val="auto"/>
              </w:rPr>
            </w:pPr>
          </w:p>
        </w:tc>
      </w:tr>
      <w:tr>
        <w:trPr>
          <w:trHeight w:val="172"/>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§312</w:t>
            </w:r>
          </w:p>
        </w:tc>
        <w:tc>
          <w:tcPr>
            <w:tcW w:w="27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14.02(d), 16.02</w:t>
            </w:r>
          </w:p>
        </w:tc>
        <w:tc>
          <w:tcPr>
            <w:tcW w:w="0" w:type="dxa"/>
            <w:vAlign w:val="bottom"/>
          </w:tcPr>
          <w:p>
            <w:pPr>
              <w:spacing w:after="0"/>
              <w:rPr>
                <w:sz w:val="1"/>
                <w:szCs w:val="1"/>
                <w:color w:val="auto"/>
              </w:rPr>
            </w:pPr>
          </w:p>
        </w:tc>
      </w:tr>
      <w:tr>
        <w:trPr>
          <w:trHeight w:val="172"/>
        </w:trPr>
        <w:tc>
          <w:tcPr>
            <w:tcW w:w="400" w:type="dxa"/>
            <w:vAlign w:val="bottom"/>
          </w:tcPr>
          <w:p>
            <w:pPr>
              <w:spacing w:after="0"/>
              <w:rPr>
                <w:sz w:val="14"/>
                <w:szCs w:val="14"/>
                <w:color w:val="auto"/>
              </w:rPr>
            </w:pPr>
          </w:p>
        </w:tc>
        <w:tc>
          <w:tcPr>
            <w:tcW w:w="27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(b)</w:t>
            </w:r>
          </w:p>
        </w:tc>
        <w:tc>
          <w:tcPr>
            <w:tcW w:w="8140" w:type="dxa"/>
            <w:vAlign w:val="bottom"/>
            <w:gridSpan w:val="3"/>
          </w:tcPr>
          <w:p>
            <w:pPr>
              <w:ind w:left="2740"/>
              <w:spacing w:after="0"/>
              <w:rPr>
                <w:sz w:val="20"/>
                <w:szCs w:val="20"/>
                <w:color w:val="auto"/>
              </w:rPr>
            </w:pPr>
            <w:r>
              <w:rPr>
                <w:rFonts w:ascii="Times New Roman" w:cs="Times New Roman" w:eastAsia="Times New Roman" w:hAnsi="Times New Roman"/>
                <w:sz w:val="14"/>
                <w:szCs w:val="14"/>
                <w:color w:val="auto"/>
              </w:rPr>
              <w:t>11.10, 16.02</w:t>
            </w:r>
          </w:p>
        </w:tc>
        <w:tc>
          <w:tcPr>
            <w:tcW w:w="0" w:type="dxa"/>
            <w:vAlign w:val="bottom"/>
          </w:tcPr>
          <w:p>
            <w:pPr>
              <w:spacing w:after="0"/>
              <w:rPr>
                <w:sz w:val="1"/>
                <w:szCs w:val="1"/>
                <w:color w:val="auto"/>
              </w:rPr>
            </w:pPr>
          </w:p>
        </w:tc>
      </w:tr>
      <w:tr>
        <w:trPr>
          <w:trHeight w:val="172"/>
        </w:trPr>
        <w:tc>
          <w:tcPr>
            <w:tcW w:w="400" w:type="dxa"/>
            <w:vAlign w:val="bottom"/>
            <w:shd w:val="clear" w:color="auto" w:fill="CCEEFF"/>
          </w:tcPr>
          <w:p>
            <w:pPr>
              <w:spacing w:after="0"/>
              <w:rPr>
                <w:sz w:val="14"/>
                <w:szCs w:val="14"/>
                <w:color w:val="auto"/>
              </w:rPr>
            </w:pPr>
          </w:p>
        </w:tc>
        <w:tc>
          <w:tcPr>
            <w:tcW w:w="2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w:t>
            </w:r>
          </w:p>
        </w:tc>
        <w:tc>
          <w:tcPr>
            <w:tcW w:w="8140" w:type="dxa"/>
            <w:vAlign w:val="bottom"/>
            <w:gridSpan w:val="3"/>
            <w:shd w:val="clear" w:color="auto" w:fill="CCEEFF"/>
          </w:tcPr>
          <w:p>
            <w:pPr>
              <w:ind w:left="2740"/>
              <w:spacing w:after="0"/>
              <w:rPr>
                <w:sz w:val="20"/>
                <w:szCs w:val="20"/>
                <w:color w:val="auto"/>
              </w:rPr>
            </w:pPr>
            <w:r>
              <w:rPr>
                <w:rFonts w:ascii="Times New Roman" w:cs="Times New Roman" w:eastAsia="Times New Roman" w:hAnsi="Times New Roman"/>
                <w:sz w:val="14"/>
                <w:szCs w:val="14"/>
                <w:color w:val="auto"/>
              </w:rPr>
              <w:t>11.10, 16.02</w:t>
            </w:r>
          </w:p>
        </w:tc>
        <w:tc>
          <w:tcPr>
            <w:tcW w:w="0" w:type="dxa"/>
            <w:vAlign w:val="bottom"/>
          </w:tcPr>
          <w:p>
            <w:pPr>
              <w:spacing w:after="0"/>
              <w:rPr>
                <w:sz w:val="1"/>
                <w:szCs w:val="1"/>
                <w:color w:val="auto"/>
              </w:rPr>
            </w:pPr>
          </w:p>
        </w:tc>
      </w:tr>
      <w:tr>
        <w:trPr>
          <w:trHeight w:val="172"/>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§313</w:t>
            </w:r>
          </w:p>
        </w:tc>
        <w:tc>
          <w:tcPr>
            <w:tcW w:w="27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w:t>
            </w:r>
          </w:p>
        </w:tc>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10.01(a), 16.02</w:t>
            </w:r>
          </w:p>
        </w:tc>
        <w:tc>
          <w:tcPr>
            <w:tcW w:w="0" w:type="dxa"/>
            <w:vAlign w:val="bottom"/>
          </w:tcPr>
          <w:p>
            <w:pPr>
              <w:spacing w:after="0"/>
              <w:rPr>
                <w:sz w:val="1"/>
                <w:szCs w:val="1"/>
                <w:color w:val="auto"/>
              </w:rPr>
            </w:pPr>
          </w:p>
        </w:tc>
      </w:tr>
      <w:tr>
        <w:trPr>
          <w:trHeight w:val="172"/>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§314</w:t>
            </w:r>
          </w:p>
        </w:tc>
        <w:tc>
          <w:tcPr>
            <w:tcW w:w="2740" w:type="dxa"/>
            <w:vAlign w:val="bottom"/>
            <w:shd w:val="clear" w:color="auto" w:fill="CCEEFF"/>
          </w:tcPr>
          <w:p>
            <w:pPr>
              <w:spacing w:after="0"/>
              <w:rPr>
                <w:sz w:val="14"/>
                <w:szCs w:val="14"/>
                <w:color w:val="auto"/>
              </w:rPr>
            </w:pPr>
          </w:p>
        </w:tc>
        <w:tc>
          <w:tcPr>
            <w:tcW w:w="8140" w:type="dxa"/>
            <w:vAlign w:val="bottom"/>
            <w:gridSpan w:val="3"/>
            <w:shd w:val="clear" w:color="auto" w:fill="CCEEFF"/>
          </w:tcPr>
          <w:p>
            <w:pPr>
              <w:ind w:left="2740"/>
              <w:spacing w:after="0"/>
              <w:rPr>
                <w:sz w:val="20"/>
                <w:szCs w:val="20"/>
                <w:color w:val="auto"/>
              </w:rPr>
            </w:pPr>
            <w:r>
              <w:rPr>
                <w:rFonts w:ascii="Times New Roman" w:cs="Times New Roman" w:eastAsia="Times New Roman" w:hAnsi="Times New Roman"/>
                <w:sz w:val="14"/>
                <w:szCs w:val="14"/>
                <w:color w:val="auto"/>
              </w:rPr>
              <w:t>16.02</w:t>
            </w:r>
          </w:p>
        </w:tc>
        <w:tc>
          <w:tcPr>
            <w:tcW w:w="0" w:type="dxa"/>
            <w:vAlign w:val="bottom"/>
          </w:tcPr>
          <w:p>
            <w:pPr>
              <w:spacing w:after="0"/>
              <w:rPr>
                <w:sz w:val="1"/>
                <w:szCs w:val="1"/>
                <w:color w:val="auto"/>
              </w:rPr>
            </w:pPr>
          </w:p>
        </w:tc>
      </w:tr>
      <w:tr>
        <w:trPr>
          <w:trHeight w:val="172"/>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§315</w:t>
            </w:r>
          </w:p>
        </w:tc>
        <w:tc>
          <w:tcPr>
            <w:tcW w:w="27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(e)</w:t>
            </w:r>
          </w:p>
        </w:tc>
        <w:tc>
          <w:tcPr>
            <w:tcW w:w="8140" w:type="dxa"/>
            <w:vAlign w:val="bottom"/>
            <w:gridSpan w:val="3"/>
          </w:tcPr>
          <w:p>
            <w:pPr>
              <w:ind w:left="2740"/>
              <w:spacing w:after="0"/>
              <w:rPr>
                <w:sz w:val="20"/>
                <w:szCs w:val="20"/>
                <w:color w:val="auto"/>
              </w:rPr>
            </w:pPr>
            <w:r>
              <w:rPr>
                <w:rFonts w:ascii="Times New Roman" w:cs="Times New Roman" w:eastAsia="Times New Roman" w:hAnsi="Times New Roman"/>
                <w:sz w:val="14"/>
                <w:szCs w:val="14"/>
                <w:color w:val="auto"/>
              </w:rPr>
              <w:t>11.05, 16.02</w:t>
            </w:r>
          </w:p>
        </w:tc>
        <w:tc>
          <w:tcPr>
            <w:tcW w:w="0" w:type="dxa"/>
            <w:vAlign w:val="bottom"/>
          </w:tcPr>
          <w:p>
            <w:pPr>
              <w:spacing w:after="0"/>
              <w:rPr>
                <w:sz w:val="1"/>
                <w:szCs w:val="1"/>
                <w:color w:val="auto"/>
              </w:rPr>
            </w:pPr>
          </w:p>
        </w:tc>
      </w:tr>
      <w:tr>
        <w:trPr>
          <w:trHeight w:val="172"/>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§316</w:t>
            </w:r>
          </w:p>
        </w:tc>
        <w:tc>
          <w:tcPr>
            <w:tcW w:w="2740" w:type="dxa"/>
            <w:vAlign w:val="bottom"/>
            <w:shd w:val="clear" w:color="auto" w:fill="CCEEFF"/>
          </w:tcPr>
          <w:p>
            <w:pPr>
              <w:spacing w:after="0"/>
              <w:rPr>
                <w:sz w:val="14"/>
                <w:szCs w:val="14"/>
                <w:color w:val="auto"/>
              </w:rPr>
            </w:pPr>
          </w:p>
        </w:tc>
        <w:tc>
          <w:tcPr>
            <w:tcW w:w="8140" w:type="dxa"/>
            <w:vAlign w:val="bottom"/>
            <w:gridSpan w:val="3"/>
            <w:shd w:val="clear" w:color="auto" w:fill="CCEEFF"/>
          </w:tcPr>
          <w:p>
            <w:pPr>
              <w:ind w:left="2740"/>
              <w:spacing w:after="0"/>
              <w:rPr>
                <w:sz w:val="20"/>
                <w:szCs w:val="20"/>
                <w:color w:val="auto"/>
              </w:rPr>
            </w:pPr>
            <w:r>
              <w:rPr>
                <w:rFonts w:ascii="Times New Roman" w:cs="Times New Roman" w:eastAsia="Times New Roman" w:hAnsi="Times New Roman"/>
                <w:sz w:val="14"/>
                <w:szCs w:val="14"/>
                <w:color w:val="auto"/>
              </w:rPr>
              <w:t>16.02</w:t>
            </w:r>
          </w:p>
        </w:tc>
        <w:tc>
          <w:tcPr>
            <w:tcW w:w="0" w:type="dxa"/>
            <w:vAlign w:val="bottom"/>
          </w:tcPr>
          <w:p>
            <w:pPr>
              <w:spacing w:after="0"/>
              <w:rPr>
                <w:sz w:val="1"/>
                <w:szCs w:val="1"/>
                <w:color w:val="auto"/>
              </w:rPr>
            </w:pPr>
          </w:p>
        </w:tc>
      </w:tr>
      <w:tr>
        <w:trPr>
          <w:trHeight w:val="172"/>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§317</w:t>
            </w:r>
          </w:p>
        </w:tc>
        <w:tc>
          <w:tcPr>
            <w:tcW w:w="2740" w:type="dxa"/>
            <w:vAlign w:val="bottom"/>
          </w:tcPr>
          <w:p>
            <w:pPr>
              <w:spacing w:after="0"/>
              <w:rPr>
                <w:sz w:val="14"/>
                <w:szCs w:val="14"/>
                <w:color w:val="auto"/>
              </w:rPr>
            </w:pPr>
          </w:p>
        </w:tc>
        <w:tc>
          <w:tcPr>
            <w:tcW w:w="8140" w:type="dxa"/>
            <w:vAlign w:val="bottom"/>
            <w:gridSpan w:val="3"/>
          </w:tcPr>
          <w:p>
            <w:pPr>
              <w:ind w:left="2740"/>
              <w:spacing w:after="0"/>
              <w:rPr>
                <w:sz w:val="20"/>
                <w:szCs w:val="20"/>
                <w:color w:val="auto"/>
              </w:rPr>
            </w:pPr>
            <w:r>
              <w:rPr>
                <w:rFonts w:ascii="Times New Roman" w:cs="Times New Roman" w:eastAsia="Times New Roman" w:hAnsi="Times New Roman"/>
                <w:sz w:val="14"/>
                <w:szCs w:val="14"/>
                <w:color w:val="auto"/>
              </w:rPr>
              <w:t>16.02</w:t>
            </w:r>
          </w:p>
        </w:tc>
        <w:tc>
          <w:tcPr>
            <w:tcW w:w="0" w:type="dxa"/>
            <w:vAlign w:val="bottom"/>
          </w:tcPr>
          <w:p>
            <w:pPr>
              <w:spacing w:after="0"/>
              <w:rPr>
                <w:sz w:val="1"/>
                <w:szCs w:val="1"/>
                <w:color w:val="auto"/>
              </w:rPr>
            </w:pPr>
          </w:p>
        </w:tc>
      </w:tr>
      <w:tr>
        <w:trPr>
          <w:trHeight w:val="172"/>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§317</w:t>
            </w:r>
          </w:p>
        </w:tc>
        <w:tc>
          <w:tcPr>
            <w:tcW w:w="2740" w:type="dxa"/>
            <w:vAlign w:val="bottom"/>
            <w:shd w:val="clear" w:color="auto" w:fill="CCEEFF"/>
          </w:tcPr>
          <w:p>
            <w:pPr>
              <w:spacing w:after="0"/>
              <w:rPr>
                <w:sz w:val="14"/>
                <w:szCs w:val="14"/>
                <w:color w:val="auto"/>
              </w:rPr>
            </w:pPr>
          </w:p>
        </w:tc>
        <w:tc>
          <w:tcPr>
            <w:tcW w:w="8140" w:type="dxa"/>
            <w:vAlign w:val="bottom"/>
            <w:gridSpan w:val="3"/>
            <w:shd w:val="clear" w:color="auto" w:fill="CCEEFF"/>
          </w:tcPr>
          <w:p>
            <w:pPr>
              <w:ind w:left="2740"/>
              <w:spacing w:after="0"/>
              <w:rPr>
                <w:sz w:val="20"/>
                <w:szCs w:val="20"/>
                <w:color w:val="auto"/>
              </w:rPr>
            </w:pPr>
            <w:r>
              <w:rPr>
                <w:rFonts w:ascii="Times New Roman" w:cs="Times New Roman" w:eastAsia="Times New Roman" w:hAnsi="Times New Roman"/>
                <w:sz w:val="14"/>
                <w:szCs w:val="14"/>
                <w:color w:val="auto"/>
              </w:rPr>
              <w:t>16.02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246380</wp:posOffset>
            </wp:positionV>
            <wp:extent cx="71818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8185" cy="698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ind w:left="260" w:right="260" w:hanging="254"/>
        <w:spacing w:after="0" w:line="275" w:lineRule="auto"/>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reconciliation and tie shall not, for any purpose, be deemed to be a part of the Indenture. Attention should also be directed to Section 318(c) of the Trust Indenture Act of 1939, which provides that the provisions of Sections 310 to and including 317 of the Trust Indenture Act of 1939 are a part of and govern every qualified indenture, whether or not physically contained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273685</wp:posOffset>
            </wp:positionV>
            <wp:extent cx="7160260" cy="139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89" w:right="3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8"/>
        </w:trPr>
        <w:tc>
          <w:tcPr>
            <w:tcW w:w="11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6520" w:type="dxa"/>
            <w:vAlign w:val="bottom"/>
          </w:tcPr>
          <w:p>
            <w:pPr>
              <w:jc w:val="right"/>
              <w:ind w:right="4788"/>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366"/>
        </w:trPr>
        <w:tc>
          <w:tcPr>
            <w:tcW w:w="11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73"/>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I DEFINITIONS</w:t>
            </w:r>
          </w:p>
        </w:tc>
        <w:tc>
          <w:tcPr>
            <w:tcW w:w="6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2"/>
        </w:trPr>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1.01</w:t>
            </w:r>
          </w:p>
        </w:tc>
        <w:tc>
          <w:tcPr>
            <w:tcW w:w="3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Definitions.</w:t>
            </w:r>
          </w:p>
        </w:tc>
        <w:tc>
          <w:tcPr>
            <w:tcW w:w="6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2"/>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II FORMS OF SECURITIES</w:t>
            </w:r>
          </w:p>
        </w:tc>
        <w:tc>
          <w:tcPr>
            <w:tcW w:w="6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2"/>
        </w:trPr>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2.01</w:t>
            </w:r>
          </w:p>
        </w:tc>
        <w:tc>
          <w:tcPr>
            <w:tcW w:w="3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Terms of the Securities.</w:t>
            </w:r>
          </w:p>
        </w:tc>
        <w:tc>
          <w:tcPr>
            <w:tcW w:w="6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2"/>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2.02</w:t>
            </w:r>
          </w:p>
        </w:tc>
        <w:tc>
          <w:tcPr>
            <w:tcW w:w="3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Form of Trustee’s Certificate of Authentication.</w:t>
            </w:r>
          </w:p>
        </w:tc>
        <w:tc>
          <w:tcPr>
            <w:tcW w:w="6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2"/>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III THE DEBT SECURITIES</w:t>
            </w:r>
          </w:p>
        </w:tc>
        <w:tc>
          <w:tcPr>
            <w:tcW w:w="6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2"/>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3.01</w:t>
            </w:r>
          </w:p>
        </w:tc>
        <w:tc>
          <w:tcPr>
            <w:tcW w:w="3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Amount Unlimited; Issuable in Series.</w:t>
            </w:r>
          </w:p>
        </w:tc>
        <w:tc>
          <w:tcPr>
            <w:tcW w:w="6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2"/>
        </w:trPr>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3.02</w:t>
            </w:r>
          </w:p>
        </w:tc>
        <w:tc>
          <w:tcPr>
            <w:tcW w:w="3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Denominations.</w:t>
            </w:r>
          </w:p>
        </w:tc>
        <w:tc>
          <w:tcPr>
            <w:tcW w:w="6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72"/>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3.03</w:t>
            </w:r>
          </w:p>
        </w:tc>
        <w:tc>
          <w:tcPr>
            <w:tcW w:w="3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Execution, Authentication, Delivery and Dating.</w:t>
            </w:r>
          </w:p>
        </w:tc>
        <w:tc>
          <w:tcPr>
            <w:tcW w:w="6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72"/>
        </w:trPr>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3.04</w:t>
            </w:r>
          </w:p>
        </w:tc>
        <w:tc>
          <w:tcPr>
            <w:tcW w:w="3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Temporary Securities.</w:t>
            </w:r>
          </w:p>
        </w:tc>
        <w:tc>
          <w:tcPr>
            <w:tcW w:w="6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72"/>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3.05</w:t>
            </w:r>
          </w:p>
        </w:tc>
        <w:tc>
          <w:tcPr>
            <w:tcW w:w="3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Registrar and Paying Agent.</w:t>
            </w:r>
          </w:p>
        </w:tc>
        <w:tc>
          <w:tcPr>
            <w:tcW w:w="6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72"/>
        </w:trPr>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3.06</w:t>
            </w:r>
          </w:p>
        </w:tc>
        <w:tc>
          <w:tcPr>
            <w:tcW w:w="3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Transfer and Exchange.</w:t>
            </w:r>
          </w:p>
        </w:tc>
        <w:tc>
          <w:tcPr>
            <w:tcW w:w="6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72"/>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3.07</w:t>
            </w:r>
          </w:p>
        </w:tc>
        <w:tc>
          <w:tcPr>
            <w:tcW w:w="3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Mutilated, Destroyed, Lost and Stolen Securities.</w:t>
            </w:r>
          </w:p>
        </w:tc>
        <w:tc>
          <w:tcPr>
            <w:tcW w:w="6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72"/>
        </w:trPr>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3.08</w:t>
            </w:r>
          </w:p>
        </w:tc>
        <w:tc>
          <w:tcPr>
            <w:tcW w:w="3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Payment of Interest; Interest Rights Preserved.</w:t>
            </w:r>
          </w:p>
        </w:tc>
        <w:tc>
          <w:tcPr>
            <w:tcW w:w="6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72"/>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3.09</w:t>
            </w:r>
          </w:p>
        </w:tc>
        <w:tc>
          <w:tcPr>
            <w:tcW w:w="3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Cancellation.</w:t>
            </w:r>
          </w:p>
        </w:tc>
        <w:tc>
          <w:tcPr>
            <w:tcW w:w="6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72"/>
        </w:trPr>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3.10</w:t>
            </w:r>
          </w:p>
        </w:tc>
        <w:tc>
          <w:tcPr>
            <w:tcW w:w="3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Computation of Interest.</w:t>
            </w:r>
          </w:p>
        </w:tc>
        <w:tc>
          <w:tcPr>
            <w:tcW w:w="6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72"/>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3.11</w:t>
            </w:r>
          </w:p>
        </w:tc>
        <w:tc>
          <w:tcPr>
            <w:tcW w:w="3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Currency of Payments in Respect of Securities.</w:t>
            </w:r>
          </w:p>
        </w:tc>
        <w:tc>
          <w:tcPr>
            <w:tcW w:w="6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72"/>
        </w:trPr>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3.12</w:t>
            </w:r>
          </w:p>
        </w:tc>
        <w:tc>
          <w:tcPr>
            <w:tcW w:w="3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Judgments.</w:t>
            </w:r>
          </w:p>
        </w:tc>
        <w:tc>
          <w:tcPr>
            <w:tcW w:w="6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72"/>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3.13</w:t>
            </w:r>
          </w:p>
        </w:tc>
        <w:tc>
          <w:tcPr>
            <w:tcW w:w="3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CUSIP Numbers.</w:t>
            </w:r>
          </w:p>
        </w:tc>
        <w:tc>
          <w:tcPr>
            <w:tcW w:w="6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72"/>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IV REDEMPTION OF SECURITIES</w:t>
            </w:r>
          </w:p>
        </w:tc>
        <w:tc>
          <w:tcPr>
            <w:tcW w:w="6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72"/>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4.01</w:t>
            </w:r>
          </w:p>
        </w:tc>
        <w:tc>
          <w:tcPr>
            <w:tcW w:w="3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Applicability of Right of Redemption.</w:t>
            </w:r>
          </w:p>
        </w:tc>
        <w:tc>
          <w:tcPr>
            <w:tcW w:w="6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72"/>
        </w:trPr>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4.02</w:t>
            </w:r>
          </w:p>
        </w:tc>
        <w:tc>
          <w:tcPr>
            <w:tcW w:w="3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Selection of Securities to be Redeemed.</w:t>
            </w:r>
          </w:p>
        </w:tc>
        <w:tc>
          <w:tcPr>
            <w:tcW w:w="6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72"/>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4.03</w:t>
            </w:r>
          </w:p>
        </w:tc>
        <w:tc>
          <w:tcPr>
            <w:tcW w:w="3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Notice of Redemption.</w:t>
            </w:r>
          </w:p>
        </w:tc>
        <w:tc>
          <w:tcPr>
            <w:tcW w:w="6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2"/>
        </w:trPr>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4.04</w:t>
            </w:r>
          </w:p>
        </w:tc>
        <w:tc>
          <w:tcPr>
            <w:tcW w:w="3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Deposit of Redemption Price.</w:t>
            </w:r>
          </w:p>
        </w:tc>
        <w:tc>
          <w:tcPr>
            <w:tcW w:w="6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72"/>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4.05</w:t>
            </w:r>
          </w:p>
        </w:tc>
        <w:tc>
          <w:tcPr>
            <w:tcW w:w="3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Securities Payable on Redemption Date.</w:t>
            </w:r>
          </w:p>
        </w:tc>
        <w:tc>
          <w:tcPr>
            <w:tcW w:w="6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72"/>
        </w:trPr>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4.06</w:t>
            </w:r>
          </w:p>
        </w:tc>
        <w:tc>
          <w:tcPr>
            <w:tcW w:w="3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Securities Redeemed in Part.</w:t>
            </w:r>
          </w:p>
        </w:tc>
        <w:tc>
          <w:tcPr>
            <w:tcW w:w="6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72"/>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V SINKING FUNDS</w:t>
            </w:r>
          </w:p>
        </w:tc>
        <w:tc>
          <w:tcPr>
            <w:tcW w:w="6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72"/>
        </w:trPr>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5.01</w:t>
            </w:r>
          </w:p>
        </w:tc>
        <w:tc>
          <w:tcPr>
            <w:tcW w:w="3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Applicability of Sinking Fund.</w:t>
            </w:r>
          </w:p>
        </w:tc>
        <w:tc>
          <w:tcPr>
            <w:tcW w:w="6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72"/>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5.02</w:t>
            </w:r>
          </w:p>
        </w:tc>
        <w:tc>
          <w:tcPr>
            <w:tcW w:w="3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Mandatory Sinking Fund Obligation.</w:t>
            </w:r>
          </w:p>
        </w:tc>
        <w:tc>
          <w:tcPr>
            <w:tcW w:w="6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72"/>
        </w:trPr>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5.03</w:t>
            </w:r>
          </w:p>
        </w:tc>
        <w:tc>
          <w:tcPr>
            <w:tcW w:w="3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Optional Redemption at Sinking Fund Redemption Price.</w:t>
            </w:r>
          </w:p>
        </w:tc>
        <w:tc>
          <w:tcPr>
            <w:tcW w:w="6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72"/>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5.04</w:t>
            </w:r>
          </w:p>
        </w:tc>
        <w:tc>
          <w:tcPr>
            <w:tcW w:w="3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Application of Sinking Fund Payment.</w:t>
            </w:r>
          </w:p>
        </w:tc>
        <w:tc>
          <w:tcPr>
            <w:tcW w:w="6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bl>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89" w:right="3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2"/>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VI PARTICULAR COVENANTS OF THE COMPANY</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6.01</w:t>
            </w:r>
          </w:p>
        </w:tc>
        <w:tc>
          <w:tcPr>
            <w:tcW w:w="7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Payments of Securities.</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6.02</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Paying Agent.</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6.03</w:t>
            </w:r>
          </w:p>
        </w:tc>
        <w:tc>
          <w:tcPr>
            <w:tcW w:w="7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 Hold Payment in Trust.</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6.04</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Merger, Consolidation and Sale of Assets.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6.05</w:t>
            </w:r>
          </w:p>
        </w:tc>
        <w:tc>
          <w:tcPr>
            <w:tcW w:w="7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Compliance Certificate.</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6.06</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Conditional Waiver by Holders of Securities.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6.07</w:t>
            </w:r>
          </w:p>
        </w:tc>
        <w:tc>
          <w:tcPr>
            <w:tcW w:w="7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Statement by Officers as to Default.</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72"/>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VII REMEDIES OF TRUSTEE AND SECURITYHOLDERS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7.01</w:t>
            </w:r>
          </w:p>
        </w:tc>
        <w:tc>
          <w:tcPr>
            <w:tcW w:w="7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Events of Default.</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7.02</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Acceleration; Rescission and Annulment.</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7.03</w:t>
            </w:r>
          </w:p>
        </w:tc>
        <w:tc>
          <w:tcPr>
            <w:tcW w:w="7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Remedies.</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7.04</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Trustee as Attorney-in-Fact.</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7.05</w:t>
            </w:r>
          </w:p>
        </w:tc>
        <w:tc>
          <w:tcPr>
            <w:tcW w:w="7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Priorities.</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7.06</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Control by Securityholders; Waiver of Past Defaults.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7.07</w:t>
            </w:r>
          </w:p>
        </w:tc>
        <w:tc>
          <w:tcPr>
            <w:tcW w:w="7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Limitation on Suits.</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7.08</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Undertaking for Costs.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7.09</w:t>
            </w:r>
          </w:p>
        </w:tc>
        <w:tc>
          <w:tcPr>
            <w:tcW w:w="7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Remedies Cumulative.</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72"/>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VIII CONCERNING THE SECURITYHOLDERS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8.01</w:t>
            </w:r>
          </w:p>
        </w:tc>
        <w:tc>
          <w:tcPr>
            <w:tcW w:w="7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Evidence of Action of Securityholders.</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8.02</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Proof of Execution or Holding of Securities.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8.03</w:t>
            </w:r>
          </w:p>
        </w:tc>
        <w:tc>
          <w:tcPr>
            <w:tcW w:w="7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Persons Deemed Owners.</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8.04</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Effect of Consents.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72"/>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IX SECURITYHOLDERS’ MEETINGS</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9.01</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Purposes of Meetings.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9.02</w:t>
            </w:r>
          </w:p>
        </w:tc>
        <w:tc>
          <w:tcPr>
            <w:tcW w:w="7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Call of Meetings by Trustee.</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9.03</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Call of Meetings by Company or Securityholders.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9.04</w:t>
            </w:r>
          </w:p>
        </w:tc>
        <w:tc>
          <w:tcPr>
            <w:tcW w:w="7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Qualifications for Voting.</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9.05</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Regulation of Meetings.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9.06</w:t>
            </w:r>
          </w:p>
        </w:tc>
        <w:tc>
          <w:tcPr>
            <w:tcW w:w="7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Voting.</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9.07</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 Delay of Rights by Meeting.</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72"/>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 REPORTS BY THE COMPANY AND THE TRUSTEE AND SECURITYHOLDERS’ LISTS</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10.01</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Reports by Trustee.</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10.02</w:t>
            </w:r>
          </w:p>
        </w:tc>
        <w:tc>
          <w:tcPr>
            <w:tcW w:w="7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Reports by the Company.</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10.03</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Securityholders’ Lists.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bl>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506" w:right="3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2"/>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XI CONCERNING THE TRUSTEE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11.01</w:t>
            </w:r>
          </w:p>
        </w:tc>
        <w:tc>
          <w:tcPr>
            <w:tcW w:w="7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Rights of Trustees; Compensation and Indemnity.</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11.02</w:t>
            </w:r>
          </w:p>
        </w:tc>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Duties of Trustee.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11.03</w:t>
            </w:r>
          </w:p>
        </w:tc>
        <w:tc>
          <w:tcPr>
            <w:tcW w:w="7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Notice of Defaults.</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11.04</w:t>
            </w:r>
          </w:p>
        </w:tc>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Eligibility; Disqualification.</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11.05</w:t>
            </w:r>
          </w:p>
        </w:tc>
        <w:tc>
          <w:tcPr>
            <w:tcW w:w="7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Registration and Notice; Removal.</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11.06</w:t>
            </w:r>
          </w:p>
        </w:tc>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Successor Trustee by Appointment.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11.07</w:t>
            </w:r>
          </w:p>
        </w:tc>
        <w:tc>
          <w:tcPr>
            <w:tcW w:w="7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Successor Trustee by Merger, Conversion, Consolidation or Succession to Business.</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11.08</w:t>
            </w:r>
          </w:p>
        </w:tc>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Right to Rely on Officer’s Certificate.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11.09</w:t>
            </w:r>
          </w:p>
        </w:tc>
        <w:tc>
          <w:tcPr>
            <w:tcW w:w="7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Appointment of Authenticating Agent.</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11.10</w:t>
            </w:r>
          </w:p>
        </w:tc>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Communications by Securityholders with Other Securityholders.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72"/>
        </w:trPr>
        <w:tc>
          <w:tcPr>
            <w:tcW w:w="8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XII SATISFACTION AND DISCHARGE; DEFEASANCE</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12.01</w:t>
            </w:r>
          </w:p>
        </w:tc>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Applicability of Article.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12.02</w:t>
            </w:r>
          </w:p>
        </w:tc>
        <w:tc>
          <w:tcPr>
            <w:tcW w:w="7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Satisfaction and Discharge of Indenture.</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12.03</w:t>
            </w:r>
          </w:p>
        </w:tc>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Defeasance upon Deposit of Moneys or U.S. Government Obligations.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12.04</w:t>
            </w:r>
          </w:p>
        </w:tc>
        <w:tc>
          <w:tcPr>
            <w:tcW w:w="7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Repayment to Company.</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12.05</w:t>
            </w:r>
          </w:p>
        </w:tc>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Indemnity for U.S. Government Obligations.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12.06</w:t>
            </w:r>
          </w:p>
        </w:tc>
        <w:tc>
          <w:tcPr>
            <w:tcW w:w="7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Deposits to Be Held in Escrow.</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12.07</w:t>
            </w:r>
          </w:p>
        </w:tc>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Application of Trust Money.</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12.08</w:t>
            </w:r>
          </w:p>
        </w:tc>
        <w:tc>
          <w:tcPr>
            <w:tcW w:w="7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Deposits of Non-U.S. Currencies.</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72"/>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XIII IMMUNITY OF CERTAIN PERSONS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13.01</w:t>
            </w:r>
          </w:p>
        </w:tc>
        <w:tc>
          <w:tcPr>
            <w:tcW w:w="7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 Personal Liability.</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72"/>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XIV SUPPLEMENTAL INDENTURES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14.01</w:t>
            </w:r>
          </w:p>
        </w:tc>
        <w:tc>
          <w:tcPr>
            <w:tcW w:w="7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Without Consent of Securityholders.</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14.02</w:t>
            </w:r>
          </w:p>
        </w:tc>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With Consent of Securityholders; Limitations.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14.03</w:t>
            </w:r>
          </w:p>
        </w:tc>
        <w:tc>
          <w:tcPr>
            <w:tcW w:w="7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Trustee Protected.</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14.04</w:t>
            </w:r>
          </w:p>
        </w:tc>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Effect of Execution of Supplemental Indenture.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14.05</w:t>
            </w:r>
          </w:p>
        </w:tc>
        <w:tc>
          <w:tcPr>
            <w:tcW w:w="7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Notation on or Exchange of Securities.</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14.06</w:t>
            </w:r>
          </w:p>
        </w:tc>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Conformity with TIA.</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72"/>
        </w:trPr>
        <w:tc>
          <w:tcPr>
            <w:tcW w:w="8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XV SUBORDINATION OF SECURITIES</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15.01</w:t>
            </w:r>
          </w:p>
        </w:tc>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Agreement to Subordinate.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15.02</w:t>
            </w:r>
          </w:p>
        </w:tc>
        <w:tc>
          <w:tcPr>
            <w:tcW w:w="7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Distribution on Dissolution, Liquidation and Reorganization; Subrogation of Securities.</w:t>
            </w: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15.03</w:t>
            </w:r>
          </w:p>
        </w:tc>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 Payment on Securities in Event of Default on Senior Indebtedness.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r>
    </w:tbl>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506" w:right="3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15.04</w:t>
            </w:r>
          </w:p>
        </w:tc>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Payments on Securities Permitted.</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15.05</w:t>
            </w:r>
          </w:p>
        </w:tc>
        <w:tc>
          <w:tcPr>
            <w:tcW w:w="7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Authorization of Securityholders to Trustee to Effect Subordination.</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15.06</w:t>
            </w:r>
          </w:p>
        </w:tc>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Notices to Trustee.</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15.07</w:t>
            </w:r>
          </w:p>
        </w:tc>
        <w:tc>
          <w:tcPr>
            <w:tcW w:w="7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Trustee as Holder of Senior Indebtedness.</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15.08</w:t>
            </w:r>
          </w:p>
        </w:tc>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Modifications of Terms of Senior Indebtedness.</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15.09</w:t>
            </w:r>
          </w:p>
        </w:tc>
        <w:tc>
          <w:tcPr>
            <w:tcW w:w="7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Reliance on Judicial Order or Certificate of Liquidating Agent.</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15.10</w:t>
            </w:r>
          </w:p>
        </w:tc>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Satisfaction and Discharge; Defeasance and Covenant Defeasance.</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15.11</w:t>
            </w:r>
          </w:p>
        </w:tc>
        <w:tc>
          <w:tcPr>
            <w:tcW w:w="7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Trustee Not Fiduciary for Holders of Senior Indebtedness.</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72"/>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XVI MISCELLANEOUS PROVISIONS</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16.01</w:t>
            </w:r>
          </w:p>
        </w:tc>
        <w:tc>
          <w:tcPr>
            <w:tcW w:w="7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Certificates and Opinions as to Conditions Precedent.</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16.02</w:t>
            </w:r>
          </w:p>
        </w:tc>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Trust Indenture Act Controls.</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16.03</w:t>
            </w:r>
          </w:p>
        </w:tc>
        <w:tc>
          <w:tcPr>
            <w:tcW w:w="7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Notices to the Company and Trustee.</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16.04</w:t>
            </w:r>
          </w:p>
        </w:tc>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Notices to Securityholders; Waiver.</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16.05</w:t>
            </w:r>
          </w:p>
        </w:tc>
        <w:tc>
          <w:tcPr>
            <w:tcW w:w="7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Legal Holiday.</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16.06</w:t>
            </w:r>
          </w:p>
        </w:tc>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Effects of Headings and Table of Contents.</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16.07</w:t>
            </w:r>
          </w:p>
        </w:tc>
        <w:tc>
          <w:tcPr>
            <w:tcW w:w="7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Successors and Assigns.</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16.08</w:t>
            </w:r>
          </w:p>
        </w:tc>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Separability Clause.</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72"/>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16.09</w:t>
            </w:r>
          </w:p>
        </w:tc>
        <w:tc>
          <w:tcPr>
            <w:tcW w:w="7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Benefits of Indenture.</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72"/>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16.10</w:t>
            </w:r>
          </w:p>
        </w:tc>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Counterparts Originals.</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86"/>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16.11</w:t>
            </w:r>
          </w:p>
        </w:tc>
        <w:tc>
          <w:tcPr>
            <w:tcW w:w="7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Governing Law; Waiver of Trial by Jury.</w:t>
            </w:r>
          </w:p>
        </w:tc>
        <w:tc>
          <w:tcPr>
            <w:tcW w:w="3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506" w:right="319" w:bottom="1440" w:gutter="0" w:footer="0" w:header="0"/>
        </w:sectPr>
      </w:pPr>
    </w:p>
    <w:bookmarkStart w:id="33" w:name="page34"/>
    <w:bookmarkEnd w:id="33"/>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INDENTURE </w:t>
      </w:r>
      <w:r>
        <w:rPr>
          <w:rFonts w:ascii="Times New Roman" w:cs="Times New Roman" w:eastAsia="Times New Roman" w:hAnsi="Times New Roman"/>
          <w:sz w:val="14"/>
          <w:szCs w:val="14"/>
          <w:color w:val="auto"/>
        </w:rPr>
        <w:t>dated as of _________, 20__, among TG Therapeutics, Inc., a Delaware corporation (the “Company”), and__________, as trustee (the “Trustee”).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WITNESSETH:</w:t>
      </w:r>
    </w:p>
    <w:p>
      <w:pPr>
        <w:spacing w:after="0" w:line="184" w:lineRule="exact"/>
        <w:rPr>
          <w:sz w:val="20"/>
          <w:szCs w:val="20"/>
          <w:color w:val="auto"/>
        </w:rPr>
      </w:pPr>
    </w:p>
    <w:p>
      <w:pPr>
        <w:ind w:firstLine="517"/>
        <w:spacing w:after="0" w:line="297"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Company has duly authorized the execution and delivery of this Indenture to provide for the issuance of secured or unsecured debentures, notes, bonds or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evidences of indebtedness (the “Securities”) in an unlimited aggregate principal amount to be issued from time to time in one or more series as provided in this Indenture; and</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all things necessary to make this Indenture a valid and legally binding agreement of the Company, in accordance with its terms, have been done.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NOW, THEREFORE, THIS INDENTURE WITNESSETH:</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That, in consideration of the premises and the purchase of the Securities by the Holders thereof for the equal and proportionate benefit of all of the present and future Holders of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each party agrees and covenants as follows: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DEFINITIONS</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all purposes of this Indenture, except as otherwise expressly provided or unless the context otherwise requires:</w:t>
      </w:r>
    </w:p>
    <w:p>
      <w:pPr>
        <w:spacing w:after="0" w:line="184" w:lineRule="exact"/>
        <w:rPr>
          <w:sz w:val="20"/>
          <w:szCs w:val="20"/>
          <w:color w:val="auto"/>
        </w:rPr>
      </w:pPr>
    </w:p>
    <w:p>
      <w:pPr>
        <w:ind w:left="920" w:hanging="397"/>
        <w:spacing w:after="0"/>
        <w:tabs>
          <w:tab w:leader="none" w:pos="9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defined in this Article have the meanings assigned to them in this Article and include the plural as well as the singular;</w:t>
      </w:r>
    </w:p>
    <w:p>
      <w:pPr>
        <w:spacing w:after="0" w:line="205" w:lineRule="exact"/>
        <w:rPr>
          <w:rFonts w:ascii="Times New Roman" w:cs="Times New Roman" w:eastAsia="Times New Roman" w:hAnsi="Times New Roman"/>
          <w:sz w:val="14"/>
          <w:szCs w:val="14"/>
          <w:color w:val="auto"/>
        </w:rPr>
      </w:pPr>
    </w:p>
    <w:p>
      <w:pPr>
        <w:ind w:left="920" w:hanging="397"/>
        <w:spacing w:after="0" w:line="294" w:lineRule="auto"/>
        <w:tabs>
          <w:tab w:leader="none" w:pos="9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defined in this Indenture or the context otherwise requires, all terms used herein without definition which are defined in the Trust Indenture Act, either directly or by reference therein, have the meanings assigned to them therein;</w:t>
      </w:r>
    </w:p>
    <w:p>
      <w:pPr>
        <w:spacing w:after="0" w:line="122" w:lineRule="exact"/>
        <w:rPr>
          <w:rFonts w:ascii="Times New Roman" w:cs="Times New Roman" w:eastAsia="Times New Roman" w:hAnsi="Times New Roman"/>
          <w:sz w:val="14"/>
          <w:szCs w:val="14"/>
          <w:color w:val="auto"/>
        </w:rPr>
      </w:pPr>
    </w:p>
    <w:p>
      <w:pPr>
        <w:ind w:left="920" w:hanging="397"/>
        <w:spacing w:after="0"/>
        <w:tabs>
          <w:tab w:leader="none" w:pos="9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words “herein”, “hereof” and “hereunder” and other words of similar import refer to this Indenture as a whole and not to any particular Article, Section or other subdivision; and</w:t>
      </w:r>
    </w:p>
    <w:p>
      <w:pPr>
        <w:spacing w:after="0" w:line="205" w:lineRule="exact"/>
        <w:rPr>
          <w:rFonts w:ascii="Times New Roman" w:cs="Times New Roman" w:eastAsia="Times New Roman" w:hAnsi="Times New Roman"/>
          <w:sz w:val="14"/>
          <w:szCs w:val="14"/>
          <w:color w:val="auto"/>
        </w:rPr>
      </w:pPr>
    </w:p>
    <w:p>
      <w:pPr>
        <w:ind w:left="920" w:hanging="397"/>
        <w:spacing w:after="0"/>
        <w:tabs>
          <w:tab w:leader="none" w:pos="9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references to “Article” or “Section” or other subdivision herein are references to an Article, Section or other subdivision of the Indenture, unless the context otherwise requires.</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89" w:right="319" w:bottom="1440" w:gutter="0" w:footer="0" w:header="0"/>
        </w:sectPr>
      </w:pPr>
    </w:p>
    <w:bookmarkStart w:id="34" w:name="page35"/>
    <w:bookmarkEnd w:id="34"/>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1.01</w:t>
      </w:r>
      <w:r>
        <w:rPr>
          <w:sz w:val="20"/>
          <w:szCs w:val="20"/>
          <w:color w:val="auto"/>
        </w:rPr>
        <w:tab/>
      </w:r>
      <w:r>
        <w:rPr>
          <w:rFonts w:ascii="Times New Roman" w:cs="Times New Roman" w:eastAsia="Times New Roman" w:hAnsi="Times New Roman"/>
          <w:sz w:val="14"/>
          <w:szCs w:val="14"/>
          <w:u w:val="single" w:color="auto"/>
          <w:color w:val="auto"/>
        </w:rPr>
        <w:t>Definitions.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Unless the context otherwise requires, the terms defined in this Section 1.01 shall for all purposes of this Indenture have the meanings hereinafter set forth:</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Affiliate:</w:t>
      </w:r>
    </w:p>
    <w:p>
      <w:pPr>
        <w:spacing w:after="0" w:line="186"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 term “Affiliate” with respect to any specified Person shall mean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Authenticating Agent:</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“Authenticating Agent” shall have the meaning assigned to it in Section 11.09.</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of Directors: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“Board of Directors” shall mean the board of directors of the Company or any committee thereof duly authorized to act on behalf of such board.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Resolution:</w:t>
      </w:r>
    </w:p>
    <w:p>
      <w:pPr>
        <w:spacing w:after="0" w:line="186"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 term “Board Resolution” shall mean a copy of a resolution or resolutions certified by the Secretary or an Assistant Secretary of the Company to have been duly adopted by the Board of Directors (or by a committee of the Board of Directors to the extent that any such other committee has been authorized by the Board of Directors to establish or approve the matters contemplated) and to be in full force and effect on the date of such certification and delivered to the Trustee.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Day:</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“Business Day” shall mean each day which is not a Saturday, a Sunday or a day on which banking institutions are not required to be open in the State of New York.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 Stock:</w:t>
      </w:r>
    </w:p>
    <w:p>
      <w:pPr>
        <w:spacing w:after="0" w:line="186"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The term “Capital Stock” of any Person shall mean any and all shares, interests (including partnership interests), rights to purchase, warrants, options, participations or other equivalents of or interests in (however designated) equity of such Person, including any Preferred Stock, but excluding any debt securities convertible into such equity.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Code:</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“Code” shall mean the Internal Revenue Code of 1986 as in effect on the date hereof.</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w:t>
      </w:r>
    </w:p>
    <w:p>
      <w:pPr>
        <w:spacing w:after="0" w:line="186"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The term “Company” shall mean the Person named as the “Company” in the first paragraph of this Indenture until a successor Person shall have become such pursuant to the applicable provisions of this Indenture, and thereafter “Company” shall mean such successor Person.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color w:val="auto"/>
        </w:rPr>
        <w:t>Company Order:</w:t>
      </w:r>
    </w:p>
    <w:p>
      <w:pPr>
        <w:spacing w:after="0" w:line="186"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 term “Company Order” shall mean a written order signed in the name of the Company by the Chairman of the Board of Directors, Chief Executive Officer, Chief Financial Officer, President, Executive Vice President, Senior Vice President, Treasurer, Assistant Treasurer, Controller, Assistant Controller, Secretary or Assistant Secretary of the Company, and delivered to the Trustee.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Trust Office:</w:t>
      </w:r>
    </w:p>
    <w:p>
      <w:pPr>
        <w:spacing w:after="0" w:line="186"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 term “Corporate Trust Office,” or other similar term, shall mean the principal office of the Trustee at which at any particular time its corporate trust business shall be administered, which office at the date hereof is located at , or such other address as the Trustee may designate from time to time by notice to the Holders and the Company, or the principal corporate trust officer of any successor Trustee (or such other address as such successor Trustee may designate from time to time by notice to the Holders and the Company).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Currency:</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“Currency” shall mean U.S. Dollars or Foreign Currency.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Default:</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“Default” shall have the meaning assigned to it in Section 11.03.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Defaulted Interest:</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“Defaulted Interest” shall have the same meaning assigned to it in Section 3.08(b).</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Depositary:</w:t>
      </w:r>
    </w:p>
    <w:p>
      <w:pPr>
        <w:spacing w:after="0" w:line="186" w:lineRule="exact"/>
        <w:rPr>
          <w:sz w:val="20"/>
          <w:szCs w:val="20"/>
          <w:color w:val="auto"/>
        </w:rPr>
      </w:pPr>
    </w:p>
    <w:p>
      <w:pPr>
        <w:jc w:val="both"/>
        <w:ind w:firstLine="517"/>
        <w:spacing w:after="0" w:line="269" w:lineRule="auto"/>
        <w:rPr>
          <w:sz w:val="20"/>
          <w:szCs w:val="20"/>
          <w:color w:val="auto"/>
        </w:rPr>
      </w:pPr>
      <w:r>
        <w:rPr>
          <w:rFonts w:ascii="Times New Roman" w:cs="Times New Roman" w:eastAsia="Times New Roman" w:hAnsi="Times New Roman"/>
          <w:sz w:val="14"/>
          <w:szCs w:val="14"/>
          <w:color w:val="auto"/>
        </w:rPr>
        <w:t>The term “Depositary” shall mean, with respect to the Securities of any series issuable in whole or in part in the form of one or more Global Securities, the Person designated as Depositary by the Company pursuant to Section 3.01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Securities of that series.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Designated Currency:</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“Designated Currency” shall have the same meaning assigned to it in Section 3.12.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Discharged:</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“Discharged” shall have the meaning assigned to it in Section 12.03.</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89"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color w:val="auto"/>
        </w:rPr>
        <w:t>Event of Default:</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“Event of Default” shall have the meaning specified in Section 7.01.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Exchange Act:</w:t>
      </w:r>
    </w:p>
    <w:p>
      <w:pPr>
        <w:spacing w:after="0" w:line="186" w:lineRule="exact"/>
        <w:rPr>
          <w:sz w:val="20"/>
          <w:szCs w:val="20"/>
          <w:color w:val="auto"/>
        </w:rPr>
      </w:pPr>
    </w:p>
    <w:p>
      <w:pPr>
        <w:ind w:firstLine="517"/>
        <w:spacing w:after="0" w:line="294" w:lineRule="auto"/>
        <w:rPr>
          <w:sz w:val="20"/>
          <w:szCs w:val="20"/>
          <w:color w:val="auto"/>
        </w:rPr>
      </w:pPr>
      <w:r>
        <w:rPr>
          <w:rFonts w:ascii="Times New Roman" w:cs="Times New Roman" w:eastAsia="Times New Roman" w:hAnsi="Times New Roman"/>
          <w:sz w:val="14"/>
          <w:szCs w:val="14"/>
          <w:color w:val="auto"/>
        </w:rPr>
        <w:t>The term “Exchange Act” shall mean the United States Securities Exchange Act of 1934, and the rules and regulations promulgated by the SEC thereunder and any statute successor thereto, in each case as amended from time to time.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Exchange Rate:</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“Exchange Rate” shall have the meaning assigned to it in Section 7.01.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Floating Rate Security:</w:t>
      </w:r>
    </w:p>
    <w:p>
      <w:pPr>
        <w:spacing w:after="0" w:line="186" w:lineRule="exact"/>
        <w:rPr>
          <w:sz w:val="20"/>
          <w:szCs w:val="20"/>
          <w:color w:val="auto"/>
        </w:rPr>
      </w:pPr>
    </w:p>
    <w:p>
      <w:pPr>
        <w:ind w:firstLine="517"/>
        <w:spacing w:after="0" w:line="294" w:lineRule="auto"/>
        <w:rPr>
          <w:sz w:val="20"/>
          <w:szCs w:val="20"/>
          <w:color w:val="auto"/>
        </w:rPr>
      </w:pPr>
      <w:r>
        <w:rPr>
          <w:rFonts w:ascii="Times New Roman" w:cs="Times New Roman" w:eastAsia="Times New Roman" w:hAnsi="Times New Roman"/>
          <w:sz w:val="14"/>
          <w:szCs w:val="14"/>
          <w:color w:val="auto"/>
        </w:rPr>
        <w:t>The term “Floating Rate Security” shall mean a Security that provides for the payment of interest at a variable rate determined periodically by reference to an interest rate index specified pursuant to Section 3.01.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w:t>
      </w:r>
    </w:p>
    <w:p>
      <w:pPr>
        <w:spacing w:after="0" w:line="186" w:lineRule="exact"/>
        <w:rPr>
          <w:sz w:val="20"/>
          <w:szCs w:val="20"/>
          <w:color w:val="auto"/>
        </w:rPr>
      </w:pPr>
    </w:p>
    <w:p>
      <w:pPr>
        <w:ind w:firstLine="517"/>
        <w:spacing w:after="0" w:line="294" w:lineRule="auto"/>
        <w:rPr>
          <w:sz w:val="20"/>
          <w:szCs w:val="20"/>
          <w:color w:val="auto"/>
        </w:rPr>
      </w:pPr>
      <w:r>
        <w:rPr>
          <w:rFonts w:ascii="Times New Roman" w:cs="Times New Roman" w:eastAsia="Times New Roman" w:hAnsi="Times New Roman"/>
          <w:sz w:val="14"/>
          <w:szCs w:val="14"/>
          <w:color w:val="auto"/>
        </w:rPr>
        <w:t>The term “Foreign Currency” shall mean a currency issued by the government of any country other than the United States or a composite currency, the value of which is determined by reference to the values of the currencies of any group of countries.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GAAP:</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“GAAP” shall mean generally accepted accounting principles in the United States of America as in effect as of the date of issuance of any series of Securities, including those set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forth in:</w:t>
      </w:r>
    </w:p>
    <w:p>
      <w:pPr>
        <w:spacing w:after="0" w:line="170" w:lineRule="exact"/>
        <w:rPr>
          <w:sz w:val="20"/>
          <w:szCs w:val="20"/>
          <w:color w:val="auto"/>
        </w:rPr>
      </w:pPr>
    </w:p>
    <w:p>
      <w:pPr>
        <w:ind w:left="920" w:hanging="397"/>
        <w:spacing w:after="0"/>
        <w:tabs>
          <w:tab w:leader="none" w:pos="9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opinions and pronouncements of the Accounting Principles Board of the American Institute of Certified Public Accountants;</w:t>
      </w:r>
    </w:p>
    <w:p>
      <w:pPr>
        <w:spacing w:after="0" w:line="205" w:lineRule="exact"/>
        <w:rPr>
          <w:rFonts w:ascii="Times New Roman" w:cs="Times New Roman" w:eastAsia="Times New Roman" w:hAnsi="Times New Roman"/>
          <w:sz w:val="14"/>
          <w:szCs w:val="14"/>
          <w:color w:val="auto"/>
        </w:rPr>
      </w:pPr>
    </w:p>
    <w:p>
      <w:pPr>
        <w:ind w:left="920" w:hanging="397"/>
        <w:spacing w:after="0"/>
        <w:tabs>
          <w:tab w:leader="none" w:pos="9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statements and pronouncements of the Financial Accounting Standards Board;</w:t>
      </w:r>
    </w:p>
    <w:p>
      <w:pPr>
        <w:spacing w:after="0" w:line="205" w:lineRule="exact"/>
        <w:rPr>
          <w:rFonts w:ascii="Times New Roman" w:cs="Times New Roman" w:eastAsia="Times New Roman" w:hAnsi="Times New Roman"/>
          <w:sz w:val="14"/>
          <w:szCs w:val="14"/>
          <w:color w:val="auto"/>
        </w:rPr>
      </w:pPr>
    </w:p>
    <w:p>
      <w:pPr>
        <w:ind w:left="920" w:hanging="397"/>
        <w:spacing w:after="0"/>
        <w:tabs>
          <w:tab w:leader="none" w:pos="9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other statements by such other entity as approved by a significant segment of the accounting profession; and</w:t>
      </w:r>
    </w:p>
    <w:p>
      <w:pPr>
        <w:spacing w:after="0" w:line="205" w:lineRule="exact"/>
        <w:rPr>
          <w:rFonts w:ascii="Times New Roman" w:cs="Times New Roman" w:eastAsia="Times New Roman" w:hAnsi="Times New Roman"/>
          <w:sz w:val="14"/>
          <w:szCs w:val="14"/>
          <w:color w:val="auto"/>
        </w:rPr>
      </w:pPr>
    </w:p>
    <w:p>
      <w:pPr>
        <w:ind w:left="920" w:hanging="397"/>
        <w:spacing w:after="0" w:line="294" w:lineRule="auto"/>
        <w:tabs>
          <w:tab w:leader="none" w:pos="9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rules and regulations of the SEC governing the inclusion of financial statements (including pro forma financial statements) in periodic reports required to be filed pursuant to Section 13 of the Exchange Act, including opinions and pronouncements in staff accounting bulletins and similar written statements from the accounting staff of the SEC.</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89"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color w:val="auto"/>
        </w:rPr>
        <w:t>Global Security:</w:t>
      </w:r>
    </w:p>
    <w:p>
      <w:pPr>
        <w:spacing w:after="0" w:line="186"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The term “Global Security” shall mean any Security that evidences all or part of a series of Securities, issued in fully-registered certificated form to the Depositary for such series in accordance with Section 3.03 and bearing the legend prescribed in Section 3.03(g).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 Holder of Securities: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terms “Holder” and “Holder of Securities” are defined under “Security holder; Holder of Securities; Holder.”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Indebtedness:</w:t>
      </w:r>
    </w:p>
    <w:p>
      <w:pPr>
        <w:spacing w:after="0" w:line="186"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The term “Indebtedness” shall mean any and all obligations of a Person for money borrowed which, in accordance with GAAP, would be reflected on the balance sheet of such Person as a liability on the date as of which Indebtedness is to be determined.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Indenture:</w:t>
      </w:r>
    </w:p>
    <w:p>
      <w:pPr>
        <w:spacing w:after="0" w:line="186" w:lineRule="exact"/>
        <w:rPr>
          <w:sz w:val="20"/>
          <w:szCs w:val="20"/>
          <w:color w:val="auto"/>
        </w:rPr>
      </w:pPr>
    </w:p>
    <w:p>
      <w:pPr>
        <w:jc w:val="both"/>
        <w:ind w:firstLine="517"/>
        <w:spacing w:after="0" w:line="260" w:lineRule="auto"/>
        <w:rPr>
          <w:sz w:val="20"/>
          <w:szCs w:val="20"/>
          <w:color w:val="auto"/>
        </w:rPr>
      </w:pPr>
      <w:r>
        <w:rPr>
          <w:rFonts w:ascii="Times New Roman" w:cs="Times New Roman" w:eastAsia="Times New Roman" w:hAnsi="Times New Roman"/>
          <w:sz w:val="14"/>
          <w:szCs w:val="14"/>
          <w:color w:val="auto"/>
        </w:rPr>
        <w:t>The term “Indenture” or “this Indenture” shall mean this instrument as originally executed or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3.01; provided, however, that if at any time more than one Person is acting as Trustee under this Indenture due to the appointment of one or more 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3.01,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provided, further that in the event that this Indenture is supplemented or amended by one or more indentures supplemental hereto which are only applicable to certain series of Securities, the term “Indenture” for a particular series of Securities shall only include the supplemental indentures applicable thereto.</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Individual Securities: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“Individual Securities” shall have the meaning specified in Section 3.01(p).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w:t>
      </w:r>
    </w:p>
    <w:p>
      <w:pPr>
        <w:spacing w:after="0" w:line="186"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The term “interest” shall mean, unless the context otherwise requires, interest payable on any Securities, and with respect to an Original Issue Discount Security that by its terms bears interest only after Maturity, interest payable after Maturity.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89"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color w:val="auto"/>
        </w:rPr>
        <w:t>Interest Payment Date:</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“Interest Payment Date” shall mean, with respect to any Security, the Stated Maturity of an installment of interest on such Security.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Mandatory Sinking Fund Payment:</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“Mandatory Sinking Fund Payment” shall have the meaning assigned to it in Section 5.01(b).</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Maturity:</w:t>
      </w:r>
    </w:p>
    <w:p>
      <w:pPr>
        <w:spacing w:after="0" w:line="186"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The term “Maturity,” with respect to any Security, shall mean the date on which the principal of such Security shall become due and payable as therein and herein provided, whether by declaration, call for redemption or otherwise.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Members: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“Members” shall have the meaning assigned to it in Section 3.03(i).</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Officer</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Certificate:</w:t>
      </w:r>
    </w:p>
    <w:p>
      <w:pPr>
        <w:spacing w:after="0" w:line="186"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 term “Officer’s Certificate” shall mean a certificate signed by any of the Chairman of the Board of Directors, Chief Executive Officer, Chief Financial Officer, President or a Vice President, Treasurer, an Assistant Treasurer, Controller, Secretary or an Assistant Secretary of the Company and delivered to the Trustee. Each such certificate shall include the statements provided for in Section 16.01 if and to the extent required by the provisions of such Section.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of Counsel:</w:t>
      </w:r>
    </w:p>
    <w:p>
      <w:pPr>
        <w:spacing w:after="0" w:line="186"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The term “Opinion of Counsel” shall mean an opinion in writing signed by legal counsel, who may be an employee of or of counsel to the Company, or may be other counsel that meets the requirements provided for in Section 16.01, each reasonably acceptable to the Trustee.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Optional Sinking Fund Payment:</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“Optional Sinking Fund Payment” shall have the meaning assigned to it in Section 5.01(b).</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Original Issue Discount Security:</w:t>
      </w:r>
    </w:p>
    <w:p>
      <w:pPr>
        <w:spacing w:after="0" w:line="186"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The term “Original Issue Discount Security” shall mean any Security that is issued with “original issue discount” within the meaning of Section 1273(a) of the Code and the regulations thereunder and any other Security designated by the Company as issued with original issue discount for United States federal income tax purposes.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89"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color w:val="auto"/>
        </w:rPr>
        <w:t>Outstanding:</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“Outstanding,” when used with respect to Securities means, as of the date of determination, all Securities theretofore authenticated and delivered under this Indenture, except:</w:t>
      </w:r>
    </w:p>
    <w:p>
      <w:pPr>
        <w:spacing w:after="0" w:line="184" w:lineRule="exact"/>
        <w:rPr>
          <w:sz w:val="20"/>
          <w:szCs w:val="20"/>
          <w:color w:val="auto"/>
        </w:rPr>
      </w:pPr>
    </w:p>
    <w:p>
      <w:pPr>
        <w:ind w:left="920" w:hanging="397"/>
        <w:spacing w:after="0"/>
        <w:tabs>
          <w:tab w:leader="none" w:pos="9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theretofore canceled by the Trustee or delivered to the Trustee for cancellation;</w:t>
      </w:r>
    </w:p>
    <w:p>
      <w:pPr>
        <w:spacing w:after="0" w:line="205" w:lineRule="exact"/>
        <w:rPr>
          <w:rFonts w:ascii="Times New Roman" w:cs="Times New Roman" w:eastAsia="Times New Roman" w:hAnsi="Times New Roman"/>
          <w:sz w:val="14"/>
          <w:szCs w:val="14"/>
          <w:color w:val="auto"/>
        </w:rPr>
      </w:pPr>
    </w:p>
    <w:p>
      <w:pPr>
        <w:jc w:val="both"/>
        <w:ind w:left="920" w:hanging="397"/>
        <w:spacing w:after="0" w:line="269" w:lineRule="auto"/>
        <w:tabs>
          <w:tab w:leader="none" w:pos="9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or portions thereof for which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or Securities as to which the Company’s obligations have been Discharged; provided, however, that if such Securities or portions thereof are to be redeemed, notice of such redemption has been duly given pursuant to this Indenture or provision therefor satisfactory to the Trustee has been made; and</w:t>
      </w:r>
    </w:p>
    <w:p>
      <w:pPr>
        <w:spacing w:after="0" w:line="139" w:lineRule="exact"/>
        <w:rPr>
          <w:rFonts w:ascii="Times New Roman" w:cs="Times New Roman" w:eastAsia="Times New Roman" w:hAnsi="Times New Roman"/>
          <w:sz w:val="14"/>
          <w:szCs w:val="14"/>
          <w:color w:val="auto"/>
        </w:rPr>
      </w:pPr>
    </w:p>
    <w:p>
      <w:pPr>
        <w:jc w:val="both"/>
        <w:ind w:left="920" w:hanging="397"/>
        <w:spacing w:after="0" w:line="260" w:lineRule="auto"/>
        <w:tabs>
          <w:tab w:leader="none" w:pos="9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that have been paid pursuant to Section 3.07(b) or in exchange for or in lieu of which other Securities have been authenticated and delivered pursuant to this Indenture, other than any such Securities in respect of which there shall have been presented to a Responsible Officer of the Trustee proof satisfactory to it that such Securities are held by a protected purchaser in whose hands such Securities are valid obligations of the Company; provided, however, that in determining whether the Holders of the requisite principal amount of Securities of a series Outstanding have performed any action hereunder, Securities owned by the Company or any other obligor upon the Securities of such series or any Affiliate of the Company or of such other obligor shall be disregarded and deemed not to be Outstanding, except that, in determining whether the Trustee shall be protected in relying upon any such action, only Securities of such series that a Responsible Officer of the Trustee actually knows to be so owned shall be so disregarded. Securities so owned that have been pledged in good faith may be regarded as Outstanding if the pledgee establishes to the satisfaction of the Trustee the pledgee’s right to act with respect to such Securities and that the pledgee is not the Company or any other obligor upon such Securities or any Affiliate of the Company or of such other obligor. In determining whether the Holders of the requisite principal amount of Outstanding Securities of a series have performed any action hereunder, the principal amount of an Original Issue Discount Security that shall be deemed to be Outstanding for such purpose shall be the amount of the principal thereof that would be due and payable as of the date of such determination upon a declaration of acceleration of the Maturity thereof pursuant to Section 7.02 and the principal amount of a Security denominated in a Foreign Currency that shall be deemed to be Outstanding for such purpose shall be the amount calculated pursuant to Section 3.11(b).</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Paying Agent:</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“Paying Agent” shall have the meaning assigned to it in Section 6.02(a).</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89"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color w:val="auto"/>
        </w:rPr>
        <w:t>Person:</w:t>
      </w:r>
    </w:p>
    <w:p>
      <w:pPr>
        <w:spacing w:after="0" w:line="186"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The term “Person” shall mean an individual, a corporation, a limited liability company, a partnership, an association, a joint stock company, a trust, an unincorporated organization or a government or an agency or political subdivision thereof.</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Place of Payment:</w:t>
      </w:r>
    </w:p>
    <w:p>
      <w:pPr>
        <w:spacing w:after="0" w:line="186"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The term “Place of Payment” shall mean, when used with respect to the Securities of any series, the place or places where the principal of and premium, if any, and interest on the Securities of that series are payable as specified pursuant to Section 3.01.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Predecessor Security:</w:t>
      </w:r>
    </w:p>
    <w:p>
      <w:pPr>
        <w:spacing w:after="0" w:line="186"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 term “Predecessor Security” shall mean, with respect to any Security, every previous Security evidencing all or a portion of the same debt as that evidenced by such particular Security, and, for the purposes of this definition, any Security authenticated and delivered under Section 3.07 in lieu of a lost, destroyed or stolen Security shall be deemed to evidence the same debt as the lost, destroyed or stolen Security.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86" w:lineRule="exact"/>
        <w:rPr>
          <w:sz w:val="20"/>
          <w:szCs w:val="20"/>
          <w:color w:val="auto"/>
        </w:rPr>
      </w:pPr>
    </w:p>
    <w:p>
      <w:pPr>
        <w:jc w:val="both"/>
        <w:ind w:firstLine="517"/>
        <w:spacing w:after="0" w:line="287" w:lineRule="auto"/>
        <w:rPr>
          <w:sz w:val="20"/>
          <w:szCs w:val="20"/>
          <w:color w:val="auto"/>
        </w:rPr>
      </w:pPr>
      <w:r>
        <w:rPr>
          <w:rFonts w:ascii="Times New Roman" w:cs="Times New Roman" w:eastAsia="Times New Roman" w:hAnsi="Times New Roman"/>
          <w:sz w:val="14"/>
          <w:szCs w:val="14"/>
          <w:color w:val="auto"/>
        </w:rPr>
        <w:t>The term “Preferred Stock”, as applied to the Capital Stock of any Person, shall mean Capital Stock of any class or classes (however designated) which is preferred as to the payment of dividends or distributions, or as to the distribution of assets upon any voluntary or involuntary liquidation or dissolution of such Person, over shares of Capital Stock of any other class of such Person.</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Record Date:</w:t>
      </w:r>
    </w:p>
    <w:p>
      <w:pPr>
        <w:spacing w:after="0" w:line="186"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The term “Record Date” shall mean, with respect to any interest payable on any Security on any Interest Payment Date, the close of business on any date specified in such Security for the payment of interest pursuant to Section 3.01.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Redemption Date:</w:t>
      </w:r>
    </w:p>
    <w:p>
      <w:pPr>
        <w:spacing w:after="0" w:line="186"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The term “Redemption Date” shall mean, when used with respect to any Security to be redeemed, in whole or in part, the date fixed for such redemption by or pursuant to this Indenture and the terms of such Security, which, in the case of a Floating Rate Security, unless otherwise specified pursuant to Section 3.01, shall be an Interest Payment Date only.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Redemption Price:</w:t>
      </w:r>
    </w:p>
    <w:p>
      <w:pPr>
        <w:spacing w:after="0" w:line="186"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The term “Redemption Price,” when used with respect to any Security to be redeemed, in whole or in part, shall mean the price at which it is to be redeemed pursuant to the terms of the Security and this Indenture.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Register:</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“Register” shall have the meaning assigned to it in Section 3.05(a).</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89"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color w:val="auto"/>
        </w:rPr>
        <w:t>Registrar:</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“Registrar” shall have the meaning assigned to it in Section 3.05(a).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Responsible Officers:</w:t>
      </w:r>
    </w:p>
    <w:p>
      <w:pPr>
        <w:spacing w:after="0" w:line="186" w:lineRule="exact"/>
        <w:rPr>
          <w:sz w:val="20"/>
          <w:szCs w:val="20"/>
          <w:color w:val="auto"/>
        </w:rPr>
      </w:pPr>
    </w:p>
    <w:p>
      <w:pPr>
        <w:jc w:val="both"/>
        <w:ind w:firstLine="517"/>
        <w:spacing w:after="0" w:line="269" w:lineRule="auto"/>
        <w:rPr>
          <w:sz w:val="20"/>
          <w:szCs w:val="20"/>
          <w:color w:val="auto"/>
        </w:rPr>
      </w:pPr>
      <w:r>
        <w:rPr>
          <w:rFonts w:ascii="Times New Roman" w:cs="Times New Roman" w:eastAsia="Times New Roman" w:hAnsi="Times New Roman"/>
          <w:sz w:val="14"/>
          <w:szCs w:val="14"/>
          <w:color w:val="auto"/>
        </w:rPr>
        <w:t>The term “Responsible Officers” of the Trustee hereunder shall mean any vice president, any assistant vice president, any trust officer, any assistant trust officer or any other officer associated with the corporate trust department of the Trustee customarily performing functions similar to those performed by any of the above designated officers, and also means, with respect to a particular corporate trust matter, any other officer of the Trustee to whom such matter is referred because of such person’s knowledge of and familiarity with the particular subject and who shall have direct responsibility for the administration of this Indenture.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“SEC” shall mean the United States Securities and Exchange Commission, as constituted from time to time.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Act:</w:t>
      </w:r>
    </w:p>
    <w:p>
      <w:pPr>
        <w:spacing w:after="0" w:line="186"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The term “Securities Act” shall mean the United States Securities Act of 1933 and the rules and regulations promulgated by the SEC thereunder and any statute successor thereto, in each case as amended from time to time.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Security:</w:t>
      </w:r>
    </w:p>
    <w:p>
      <w:pPr>
        <w:spacing w:after="0" w:line="186"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The term “Security” or “Securities” shall have the meaning stated in the recitals and shall more particularly mean one or more of the Securities duly authenticated by the Trustee and delivered pursuant to the provisions of this Indenture.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Security Custodian:</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“Security Custodian” shall mean the custodian with respect to any Global Security appointed by the Depositary, or any successor Person thereto, and shall initially be the Paying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Securityholder; Holder of Securities; Holder:</w:t>
      </w:r>
    </w:p>
    <w:p>
      <w:pPr>
        <w:spacing w:after="0" w:line="1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The term “Securityholder” or “Holder of Securities” or “Holder,” shall mean the Person in whose name Securities shall be registered in the Register kept for that purpose hereunder.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89"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color w:val="auto"/>
        </w:rPr>
        <w:t>Senior Indebtedness:</w:t>
      </w:r>
    </w:p>
    <w:p>
      <w:pPr>
        <w:spacing w:after="0" w:line="186" w:lineRule="exact"/>
        <w:rPr>
          <w:sz w:val="20"/>
          <w:szCs w:val="20"/>
          <w:color w:val="auto"/>
        </w:rPr>
      </w:pPr>
    </w:p>
    <w:p>
      <w:pPr>
        <w:jc w:val="both"/>
        <w:ind w:firstLine="517"/>
        <w:spacing w:after="0" w:line="262" w:lineRule="auto"/>
        <w:rPr>
          <w:sz w:val="20"/>
          <w:szCs w:val="20"/>
          <w:color w:val="auto"/>
        </w:rPr>
      </w:pPr>
      <w:r>
        <w:rPr>
          <w:rFonts w:ascii="Times New Roman" w:cs="Times New Roman" w:eastAsia="Times New Roman" w:hAnsi="Times New Roman"/>
          <w:sz w:val="14"/>
          <w:szCs w:val="14"/>
          <w:color w:val="auto"/>
        </w:rPr>
        <w:t>The term “Senior Indebtedness” means the principal of (and premium, if any) and unpaid interest on (x) Indebtedness of the Company, whether outstanding on the date hereof or thereafter created, incurred, assumed or guaranteed, for money borrowed other than (a) any Indebtedness of the Company which when incurred, and without respect to any election under Section 1111(b) of the Federal Bankruptcy Code, was without recourse to the Company, (b) any Indebtedness of the Company to any of its Subsidiaries, (c) Indebtedness to any employee of the Company, (d) any liability for taxes, (e) Trade Payables and (f) any Indebtedness of the Company which is expressly subordinate in right of payment to any other Indebtedness of the Company, and (y) renewals, extensions, modifications and refundings of any such Indebtedness. For purposes of the foregoing and the definition of “Senior Indebtedness,” the phrase “subordinated in right of payment” means debt subordination only and not lien subordination, and accordingly, (i) unsecured indebtedness shall not be deemed to be subordinated in right of payment to secured indebtedness merely by virtue of the fact that it is unsecured, and (ii) junior liens, second liens and other contractual arrangements that provide for priorities among Holders of the same or different issues of indebtedness with respect to any collateral or the proceeds of collateral shall not constitute subordination in right of payment. This definition may be modified or superseded by a supplemental indenture.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Special Record Date:</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“Special Record Date” shall have the meaning assigned to it in Section 3.08(b)(i).</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Stated Maturity:</w:t>
      </w:r>
    </w:p>
    <w:p>
      <w:pPr>
        <w:spacing w:after="0" w:line="186"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The term “Stated Maturity” when used with respect to any Security or any installment of interest thereon, shall mean the date specified in such Security as the fixed date on which the principal (or any portion thereof) of or premium, if any, on such Security or such installment of interest is due and payable.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Subsidiary:</w:t>
      </w:r>
    </w:p>
    <w:p>
      <w:pPr>
        <w:spacing w:after="0" w:line="186"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 term “Subsidiary” shall mean, with respect to any Person, any corporation, association, partnership or other business entity of which more than 50% of the total voting power of all classes of Capital Stock of such Person then outstanding and normally entitled (without regard to the occurrence of any contingency) to vote in the election of directors, managers or trustees is at the time owned or controlled, directly or indirectly, by:</w:t>
      </w:r>
    </w:p>
    <w:p>
      <w:pPr>
        <w:spacing w:after="0" w:line="136" w:lineRule="exact"/>
        <w:rPr>
          <w:sz w:val="20"/>
          <w:szCs w:val="20"/>
          <w:color w:val="auto"/>
        </w:rPr>
      </w:pPr>
    </w:p>
    <w:p>
      <w:pPr>
        <w:ind w:left="920" w:hanging="397"/>
        <w:spacing w:after="0"/>
        <w:tabs>
          <w:tab w:leader="none" w:pos="9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Person;</w:t>
      </w:r>
    </w:p>
    <w:p>
      <w:pPr>
        <w:spacing w:after="0" w:line="205" w:lineRule="exact"/>
        <w:rPr>
          <w:rFonts w:ascii="Times New Roman" w:cs="Times New Roman" w:eastAsia="Times New Roman" w:hAnsi="Times New Roman"/>
          <w:sz w:val="14"/>
          <w:szCs w:val="14"/>
          <w:color w:val="auto"/>
        </w:rPr>
      </w:pPr>
    </w:p>
    <w:p>
      <w:pPr>
        <w:ind w:left="920" w:hanging="397"/>
        <w:spacing w:after="0"/>
        <w:tabs>
          <w:tab w:leader="none" w:pos="9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Person and one or more Subsidiaries of such Person; or</w:t>
      </w:r>
    </w:p>
    <w:p>
      <w:pPr>
        <w:spacing w:after="0" w:line="205" w:lineRule="exact"/>
        <w:rPr>
          <w:rFonts w:ascii="Times New Roman" w:cs="Times New Roman" w:eastAsia="Times New Roman" w:hAnsi="Times New Roman"/>
          <w:sz w:val="14"/>
          <w:szCs w:val="14"/>
          <w:color w:val="auto"/>
        </w:rPr>
      </w:pPr>
    </w:p>
    <w:p>
      <w:pPr>
        <w:ind w:left="920" w:hanging="397"/>
        <w:spacing w:after="0"/>
        <w:tabs>
          <w:tab w:leader="none" w:pos="9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or more Subsidiaries of such 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Successor Company:</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“Successor Company” shall have the meaning assigned to it in Section 3.06(i).</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89"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color w:val="auto"/>
        </w:rPr>
        <w:t>Trade Payables:</w:t>
      </w:r>
    </w:p>
    <w:p>
      <w:pPr>
        <w:spacing w:after="0" w:line="186"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The term “Trade Payables” means accounts payable or any other Indebtedness or monetary obligations to trade creditors created or assumed by the Company or any Subsidiary of the Company in the ordinary course of business (including guarantees thereof or instruments evidencing such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Trust Indenture Act; TIA:</w:t>
      </w:r>
    </w:p>
    <w:p>
      <w:pPr>
        <w:spacing w:after="0" w:line="186"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The term “Trust Indenture Act” or “TIA” shall mean the Trust Indenture Act of 1939, as amended, and the rules and regulations thereunder as in effect on the date of this Indenture, except as provided in Section 14.06 and except to the extent any amendment to the Trust Indenture Act expressly provides for application of the Trust Indenture Act as in effect on another date.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186"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 term “Trustee” shall mean the Person named as the “Trustee” in the first paragraph of this Indenture until a successor Trustee shall have become such with respect to one or more series of Securities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 Dollars: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“U.S. Dollars” shall mean such currency of the United States as at the time of payment shall be legal tender for the payment of public and private debts.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 Government Obligations: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“U.S. Government Obligations” shall have the meaning assigned to it in Section 12.03.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186"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The term “United States” shall mean the United States of America (including the States and the District of Columbia), its territories and its possessions and other areas subject to its jurisdiction.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FORMS OF SECURITIES</w:t>
      </w:r>
    </w:p>
    <w:p>
      <w:pPr>
        <w:spacing w:after="0" w:line="17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2.01</w:t>
      </w:r>
      <w:r>
        <w:rPr>
          <w:sz w:val="20"/>
          <w:szCs w:val="20"/>
          <w:color w:val="auto"/>
        </w:rPr>
        <w:tab/>
      </w:r>
      <w:r>
        <w:rPr>
          <w:rFonts w:ascii="Times New Roman" w:cs="Times New Roman" w:eastAsia="Times New Roman" w:hAnsi="Times New Roman"/>
          <w:sz w:val="14"/>
          <w:szCs w:val="14"/>
          <w:u w:val="single" w:color="auto"/>
          <w:color w:val="auto"/>
        </w:rPr>
        <w:t>Terms of the Securities.</w:t>
      </w:r>
    </w:p>
    <w:p>
      <w:pPr>
        <w:spacing w:after="0" w:line="184" w:lineRule="exact"/>
        <w:rPr>
          <w:sz w:val="20"/>
          <w:szCs w:val="20"/>
          <w:color w:val="auto"/>
        </w:rPr>
      </w:pPr>
    </w:p>
    <w:p>
      <w:pPr>
        <w:jc w:val="both"/>
        <w:ind w:left="520" w:firstLine="391"/>
        <w:spacing w:after="0" w:line="264" w:lineRule="auto"/>
        <w:tabs>
          <w:tab w:leader="none" w:pos="1213"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Securities of each series shall be substantially in the form set forth in a Company Order or in one or more indentures supplemental hereto, and shall have such appropriate insertions, omissions, substitutions and other variations as are required or permitted by this Indenture,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securities exchange on which any series of the Securities may be listed or of any automated quotation system on which any such series may be quoted, or to conform to usage, all as determined by the officers executing such Securities as conclusively evidenced by their execution of such Securities.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89" w:right="319" w:bottom="1440" w:gutter="0" w:footer="0" w:header="0"/>
        </w:sectPr>
      </w:pPr>
    </w:p>
    <w:bookmarkStart w:id="44" w:name="page45"/>
    <w:bookmarkEnd w:id="44"/>
    <w:p>
      <w:pPr>
        <w:ind w:left="520" w:firstLine="391"/>
        <w:spacing w:after="0" w:line="294" w:lineRule="auto"/>
        <w:tabs>
          <w:tab w:leader="none" w:pos="1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provisions of the Securities shall constitute, and are hereby expressly made, a part of this Indenture, and, to the extent applicable, the Company and the Trustee, by their execution and delivery of this Indenture expressly agree to such terms and provisions and to be bound thereby.</w:t>
      </w:r>
    </w:p>
    <w:p>
      <w:pPr>
        <w:spacing w:after="0" w:line="12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2.02</w:t>
      </w:r>
      <w:r>
        <w:rPr>
          <w:sz w:val="20"/>
          <w:szCs w:val="20"/>
          <w:color w:val="auto"/>
        </w:rPr>
        <w:tab/>
      </w:r>
      <w:r>
        <w:rPr>
          <w:rFonts w:ascii="Times New Roman" w:cs="Times New Roman" w:eastAsia="Times New Roman" w:hAnsi="Times New Roman"/>
          <w:sz w:val="14"/>
          <w:szCs w:val="14"/>
          <w:u w:val="single" w:color="auto"/>
          <w:color w:val="auto"/>
        </w:rPr>
        <w:t>Form of Trustee’s Certificate of Authentication.</w:t>
      </w:r>
    </w:p>
    <w:p>
      <w:pPr>
        <w:spacing w:after="0" w:line="184" w:lineRule="exact"/>
        <w:rPr>
          <w:sz w:val="20"/>
          <w:szCs w:val="20"/>
          <w:color w:val="auto"/>
        </w:rPr>
      </w:pPr>
    </w:p>
    <w:p>
      <w:pPr>
        <w:ind w:left="520" w:firstLine="391"/>
        <w:spacing w:after="0" w:line="294" w:lineRule="auto"/>
        <w:tabs>
          <w:tab w:leader="none" w:pos="1224"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Only such of the Securities as shall bear thereon a certificate substantially in the form of the Trustee’s certificate of authentication hereinafter recited, executed by the Trustee by manual signature, shall be valid or become obligatory for any purpose or entitle the Holder thereof to any right or benefit under this Indenture.</w:t>
      </w:r>
    </w:p>
    <w:p>
      <w:pPr>
        <w:spacing w:after="0" w:line="122" w:lineRule="exact"/>
        <w:rPr>
          <w:rFonts w:ascii="Times New Roman" w:cs="Times New Roman" w:eastAsia="Times New Roman" w:hAnsi="Times New Roman"/>
          <w:sz w:val="14"/>
          <w:szCs w:val="14"/>
          <w:color w:val="auto"/>
        </w:rPr>
      </w:pPr>
    </w:p>
    <w:p>
      <w:pPr>
        <w:ind w:left="1220" w:hanging="309"/>
        <w:spacing w:after="0"/>
        <w:tabs>
          <w:tab w:leader="none" w:pos="1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Security shall be dated the date of its authentication, except that any Global Security shall be dated as of the date specified as contemplated in Section 3.01.</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DEBT SECURITIES</w:t>
      </w:r>
    </w:p>
    <w:p>
      <w:pPr>
        <w:spacing w:after="0" w:line="17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3.01</w:t>
      </w:r>
      <w:r>
        <w:rPr>
          <w:sz w:val="20"/>
          <w:szCs w:val="20"/>
          <w:color w:val="auto"/>
        </w:rPr>
        <w:tab/>
      </w:r>
      <w:r>
        <w:rPr>
          <w:rFonts w:ascii="Times New Roman" w:cs="Times New Roman" w:eastAsia="Times New Roman" w:hAnsi="Times New Roman"/>
          <w:sz w:val="14"/>
          <w:szCs w:val="14"/>
          <w:u w:val="single" w:color="auto"/>
          <w:color w:val="auto"/>
        </w:rPr>
        <w:t>Amount Unlimited; Issuable in Series.</w:t>
      </w:r>
    </w:p>
    <w:p>
      <w:pPr>
        <w:spacing w:after="0" w:line="184" w:lineRule="exact"/>
        <w:rPr>
          <w:sz w:val="20"/>
          <w:szCs w:val="20"/>
          <w:color w:val="auto"/>
        </w:rPr>
      </w:pPr>
    </w:p>
    <w:p>
      <w:pPr>
        <w:ind w:firstLine="517"/>
        <w:spacing w:after="0" w:line="294" w:lineRule="auto"/>
        <w:rPr>
          <w:sz w:val="20"/>
          <w:szCs w:val="20"/>
          <w:color w:val="auto"/>
        </w:rPr>
      </w:pPr>
      <w:r>
        <w:rPr>
          <w:rFonts w:ascii="Times New Roman" w:cs="Times New Roman" w:eastAsia="Times New Roman" w:hAnsi="Times New Roman"/>
          <w:sz w:val="14"/>
          <w:szCs w:val="14"/>
          <w:color w:val="auto"/>
        </w:rPr>
        <w:t>The aggregate principal amount of Securities that may be authenticated and delivered under this Indenture is unlimited. The Securities may be issued in one or more series. There shall be set forth in a Company Order or in one or more indentures supplemental hereto, prior to the issuance of Securities of any series:</w:t>
      </w:r>
    </w:p>
    <w:p>
      <w:pPr>
        <w:spacing w:after="0" w:line="123" w:lineRule="exact"/>
        <w:rPr>
          <w:sz w:val="20"/>
          <w:szCs w:val="20"/>
          <w:color w:val="auto"/>
        </w:rPr>
      </w:pPr>
    </w:p>
    <w:p>
      <w:pPr>
        <w:ind w:left="520" w:firstLine="391"/>
        <w:spacing w:after="0" w:line="294" w:lineRule="auto"/>
        <w:tabs>
          <w:tab w:leader="none" w:pos="1221"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Securities of the series (which shall distinguish the Securities of such series from the Securities of all other series, except to the extent that additional Securities of an existing series are being issued);</w:t>
      </w:r>
    </w:p>
    <w:p>
      <w:pPr>
        <w:spacing w:after="0" w:line="122" w:lineRule="exact"/>
        <w:rPr>
          <w:rFonts w:ascii="Times New Roman" w:cs="Times New Roman" w:eastAsia="Times New Roman" w:hAnsi="Times New Roman"/>
          <w:sz w:val="14"/>
          <w:szCs w:val="14"/>
          <w:color w:val="auto"/>
        </w:rPr>
      </w:pPr>
    </w:p>
    <w:p>
      <w:pPr>
        <w:ind w:left="520" w:firstLine="391"/>
        <w:spacing w:after="0" w:line="294" w:lineRule="auto"/>
        <w:tabs>
          <w:tab w:leader="none" w:pos="123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upon the aggregate principal amount of the Securities of the series that may be authenticated and delivered under this Indenture (except for Securities authenticated and delivered upon transfer of, or in exchange for, or in lieu of, other Securities of such series pursuant to Section 3.04, 3.06, 3.07, 4.06, or 14.05);</w:t>
      </w:r>
    </w:p>
    <w:p>
      <w:pPr>
        <w:spacing w:after="0" w:line="122" w:lineRule="exact"/>
        <w:rPr>
          <w:rFonts w:ascii="Times New Roman" w:cs="Times New Roman" w:eastAsia="Times New Roman" w:hAnsi="Times New Roman"/>
          <w:sz w:val="14"/>
          <w:szCs w:val="14"/>
          <w:color w:val="auto"/>
        </w:rPr>
      </w:pPr>
    </w:p>
    <w:p>
      <w:pPr>
        <w:ind w:left="520" w:firstLine="391"/>
        <w:spacing w:after="0" w:line="294" w:lineRule="auto"/>
        <w:tabs>
          <w:tab w:leader="none" w:pos="1238"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or periods during which the Securities of the series may be issued, and the dates on, or the range of dates within, which the principal of and premium, if any, on the Securities of such series are or may be payable or the method by which such date or dates shall be determined or extended;</w:t>
      </w:r>
    </w:p>
    <w:p>
      <w:pPr>
        <w:spacing w:after="0" w:line="122" w:lineRule="exact"/>
        <w:rPr>
          <w:rFonts w:ascii="Times New Roman" w:cs="Times New Roman" w:eastAsia="Times New Roman" w:hAnsi="Times New Roman"/>
          <w:sz w:val="14"/>
          <w:szCs w:val="14"/>
          <w:color w:val="auto"/>
        </w:rPr>
      </w:pPr>
    </w:p>
    <w:p>
      <w:pPr>
        <w:jc w:val="both"/>
        <w:ind w:left="520" w:firstLine="391"/>
        <w:spacing w:after="0" w:line="266" w:lineRule="auto"/>
        <w:tabs>
          <w:tab w:leader="none" w:pos="125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at which the Securities of the series shall bear interest, if any, or the method by which such rate or rates shall be determined, whether such interest shall be payable in cash or additional Securities of the same series or shall accrue and increase the aggregate principal amount outstanding of such series (including if such Securities were originally issued at a discount), the date or dates from which such interest shall accrue, or the method by which such date or dates shall be determined, the Interest Payment Dates on which any such interest shall be payable, and the Record Dates for the determination of Holders to whom interest is payable on such Interest Payment Dates or the method by which such date or dates shall be determined, the right, if any, to extend or defer interest payments and the duration of such extension or deferral;</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45" w:name="page46"/>
    <w:bookmarkEnd w:id="45"/>
    <w:p>
      <w:pPr>
        <w:ind w:firstLine="391"/>
        <w:spacing w:after="0" w:line="294" w:lineRule="auto"/>
        <w:tabs>
          <w:tab w:leader="none" w:pos="691"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U.S. Dollars, the Foreign Currency in which Securities of the series shall be denominated or in which payment of the principal of, premium, if any, or interest on the Securities of the series shall be payable and any other terms concerning such payment;</w:t>
      </w:r>
    </w:p>
    <w:p>
      <w:pPr>
        <w:spacing w:after="0" w:line="122" w:lineRule="exact"/>
        <w:rPr>
          <w:rFonts w:ascii="Times New Roman" w:cs="Times New Roman" w:eastAsia="Times New Roman" w:hAnsi="Times New Roman"/>
          <w:sz w:val="14"/>
          <w:szCs w:val="14"/>
          <w:color w:val="auto"/>
        </w:rPr>
      </w:pPr>
    </w:p>
    <w:p>
      <w:pPr>
        <w:jc w:val="both"/>
        <w:ind w:firstLine="391"/>
        <w:spacing w:after="0" w:line="275" w:lineRule="auto"/>
        <w:tabs>
          <w:tab w:leader="none" w:pos="72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payment of principal of, premium, if any, or interest on the Securities of the series may be determined with reference to an index, formula or other method including, but not limited to, an index based on a Currency or Currencies other than that in which the Securities are stated to be payable, the manner in which such amounts shall be determined;</w:t>
      </w:r>
    </w:p>
    <w:p>
      <w:pPr>
        <w:spacing w:after="0" w:line="135" w:lineRule="exact"/>
        <w:rPr>
          <w:rFonts w:ascii="Times New Roman" w:cs="Times New Roman" w:eastAsia="Times New Roman" w:hAnsi="Times New Roman"/>
          <w:sz w:val="14"/>
          <w:szCs w:val="14"/>
          <w:color w:val="auto"/>
        </w:rPr>
      </w:pPr>
    </w:p>
    <w:p>
      <w:pPr>
        <w:jc w:val="both"/>
        <w:ind w:firstLine="391"/>
        <w:spacing w:after="0" w:line="269" w:lineRule="auto"/>
        <w:tabs>
          <w:tab w:leader="none" w:pos="718"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of, premium, if any, or interest on Securities of the series are to be payable, at the election of the Company or a Holder thereof, in a Currency other than that in which the Securities are denominated or stated to be payable without such election, the period or periods within which, and the terms and conditions upon which, such election may be made and the time and the manner of determining the exchange rate between the Currency in which the Securities are denominated or payable without such election and the Currency in which the Securities are to be paid if such election is made;</w:t>
      </w:r>
    </w:p>
    <w:p>
      <w:pPr>
        <w:spacing w:after="0" w:line="139" w:lineRule="exact"/>
        <w:rPr>
          <w:rFonts w:ascii="Times New Roman" w:cs="Times New Roman" w:eastAsia="Times New Roman" w:hAnsi="Times New Roman"/>
          <w:sz w:val="14"/>
          <w:szCs w:val="14"/>
          <w:color w:val="auto"/>
        </w:rPr>
      </w:pPr>
    </w:p>
    <w:p>
      <w:pPr>
        <w:jc w:val="both"/>
        <w:ind w:firstLine="391"/>
        <w:spacing w:after="0" w:line="275" w:lineRule="auto"/>
        <w:tabs>
          <w:tab w:leader="none" w:pos="70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if any, in addition to or instead of the Corporate Trust Office of the Trustee where the principal of, premium, if any, and interest on Securities of the series shall be payable, and where Securities of any series may be presented for registration of transfer, exchange or conversion, and the place or places where notices and demands to or upon the Company in respect of the Securities of such series may be made;</w:t>
      </w:r>
    </w:p>
    <w:p>
      <w:pPr>
        <w:spacing w:after="0" w:line="135" w:lineRule="exact"/>
        <w:rPr>
          <w:rFonts w:ascii="Times New Roman" w:cs="Times New Roman" w:eastAsia="Times New Roman" w:hAnsi="Times New Roman"/>
          <w:sz w:val="14"/>
          <w:szCs w:val="14"/>
          <w:color w:val="auto"/>
        </w:rPr>
      </w:pPr>
    </w:p>
    <w:p>
      <w:pPr>
        <w:ind w:firstLine="391"/>
        <w:spacing w:after="0" w:line="294" w:lineRule="auto"/>
        <w:tabs>
          <w:tab w:leader="none" w:pos="7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(i)the price or prices at which, the period or periods within which or the date or dates on which, and the terms and conditions upon which Securities of the series may be redeemed, in whole or in part, at the option of the Company, if the Company is to have that option;</w:t>
      </w:r>
    </w:p>
    <w:p>
      <w:pPr>
        <w:spacing w:after="0" w:line="122" w:lineRule="exact"/>
        <w:rPr>
          <w:rFonts w:ascii="Times New Roman" w:cs="Times New Roman" w:eastAsia="Times New Roman" w:hAnsi="Times New Roman"/>
          <w:sz w:val="14"/>
          <w:szCs w:val="14"/>
          <w:color w:val="auto"/>
        </w:rPr>
      </w:pPr>
    </w:p>
    <w:p>
      <w:pPr>
        <w:jc w:val="both"/>
        <w:ind w:firstLine="391"/>
        <w:spacing w:after="0" w:line="275" w:lineRule="auto"/>
        <w:tabs>
          <w:tab w:leader="none" w:pos="66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 or right, if any, of the Company to redeem, purchase or repay Securities of the series pursuant to any sinking fund, amortization or analogous provisions or at the option of a Holder thereof and the price or prices at which, the period or periods within which or the date or dates on which, the Currency or Currencies in which and the terms and conditions upon which Securities of the series shall be redeemed, purchased or repaid, in whole or in part, pursuant to such obligation;</w:t>
      </w:r>
    </w:p>
    <w:p>
      <w:pPr>
        <w:spacing w:after="0" w:line="135" w:lineRule="exact"/>
        <w:rPr>
          <w:rFonts w:ascii="Times New Roman" w:cs="Times New Roman" w:eastAsia="Times New Roman" w:hAnsi="Times New Roman"/>
          <w:sz w:val="14"/>
          <w:szCs w:val="14"/>
          <w:color w:val="auto"/>
        </w:rPr>
      </w:pPr>
    </w:p>
    <w:p>
      <w:pPr>
        <w:ind w:left="700" w:hanging="309"/>
        <w:spacing w:after="0"/>
        <w:tabs>
          <w:tab w:leader="none" w:pos="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denominations of $2,000 or any integral multiple thereof, the denominations in which Securities of the series shall be issuable;</w:t>
      </w:r>
    </w:p>
    <w:p>
      <w:pPr>
        <w:spacing w:after="0" w:line="18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71120</wp:posOffset>
            </wp:positionV>
            <wp:extent cx="7160260" cy="139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0760"/>
          </w:cols>
          <w:pgMar w:left="820" w:top="491" w:right="319" w:bottom="1440" w:gutter="0" w:footer="0" w:header="0"/>
        </w:sectPr>
      </w:pPr>
    </w:p>
    <w:bookmarkStart w:id="46" w:name="page47"/>
    <w:bookmarkEnd w:id="46"/>
    <w:p>
      <w:pPr>
        <w:ind w:firstLine="391"/>
        <w:spacing w:after="0" w:line="294" w:lineRule="auto"/>
        <w:tabs>
          <w:tab w:leader="none" w:pos="728"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the principal amount thereof, the portion of the principal amount of the Securities of the series which shall be payable upon declaration of acceleration of the Maturity thereof pursuant to Section 7.02;</w:t>
      </w:r>
    </w:p>
    <w:p>
      <w:pPr>
        <w:spacing w:after="0" w:line="122" w:lineRule="exact"/>
        <w:rPr>
          <w:rFonts w:ascii="Times New Roman" w:cs="Times New Roman" w:eastAsia="Times New Roman" w:hAnsi="Times New Roman"/>
          <w:sz w:val="14"/>
          <w:szCs w:val="14"/>
          <w:color w:val="auto"/>
        </w:rPr>
      </w:pPr>
    </w:p>
    <w:p>
      <w:pPr>
        <w:ind w:firstLine="391"/>
        <w:spacing w:after="0" w:line="294" w:lineRule="auto"/>
        <w:tabs>
          <w:tab w:leader="none" w:pos="8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guarantors, if any, of the Securities of the series, and the extent of the guarantees (including provisions relating to seniority, subordination, and the release of the guarantors), if any, and any additions or changes to permit or facilitate guarantees of such Securities;</w:t>
      </w:r>
    </w:p>
    <w:p>
      <w:pPr>
        <w:spacing w:after="0" w:line="122" w:lineRule="exact"/>
        <w:rPr>
          <w:rFonts w:ascii="Times New Roman" w:cs="Times New Roman" w:eastAsia="Times New Roman" w:hAnsi="Times New Roman"/>
          <w:sz w:val="14"/>
          <w:szCs w:val="14"/>
          <w:color w:val="auto"/>
        </w:rPr>
      </w:pPr>
    </w:p>
    <w:p>
      <w:pPr>
        <w:ind w:left="700" w:hanging="309"/>
        <w:spacing w:after="0"/>
        <w:tabs>
          <w:tab w:leader="none" w:pos="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Securities of the series are to be issued as Original Issue Discount Securities and the amount of discount with which such Securities may be issued;</w:t>
      </w:r>
    </w:p>
    <w:p>
      <w:pPr>
        <w:spacing w:after="0" w:line="183" w:lineRule="exact"/>
        <w:rPr>
          <w:rFonts w:ascii="Times New Roman" w:cs="Times New Roman" w:eastAsia="Times New Roman" w:hAnsi="Times New Roman"/>
          <w:sz w:val="14"/>
          <w:szCs w:val="14"/>
          <w:color w:val="auto"/>
        </w:rPr>
      </w:pPr>
    </w:p>
    <w:p>
      <w:pPr>
        <w:ind w:left="700" w:hanging="309"/>
        <w:spacing w:after="0"/>
        <w:tabs>
          <w:tab w:leader="none" w:pos="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if any, for the defeasance of Securities of the series in whole or in part and any addition or change in the provisions related to satisfaction and discharge;</w:t>
      </w:r>
    </w:p>
    <w:p>
      <w:pPr>
        <w:spacing w:after="0" w:line="183" w:lineRule="exact"/>
        <w:rPr>
          <w:rFonts w:ascii="Times New Roman" w:cs="Times New Roman" w:eastAsia="Times New Roman" w:hAnsi="Times New Roman"/>
          <w:sz w:val="14"/>
          <w:szCs w:val="14"/>
          <w:color w:val="auto"/>
        </w:rPr>
      </w:pPr>
    </w:p>
    <w:p>
      <w:pPr>
        <w:jc w:val="both"/>
        <w:ind w:firstLine="391"/>
        <w:spacing w:after="0" w:line="275" w:lineRule="auto"/>
        <w:tabs>
          <w:tab w:leader="none" w:pos="70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Securities of the series are to be issued in whole or in part in the form of one or more Global Securities and, in such case, the Depositary for such Global Security or Global Securities, and the terms and conditions, if any, upon which interests in such Global Security or Global Securities may be exchanged in whole or in part for the Individual Securities represented thereby in definitive form registered in the name or names of Persons other than such Depositary or a nominee or nominees thereof (“Individual Securities”);</w:t>
      </w:r>
    </w:p>
    <w:p>
      <w:pPr>
        <w:spacing w:after="0" w:line="135" w:lineRule="exact"/>
        <w:rPr>
          <w:rFonts w:ascii="Times New Roman" w:cs="Times New Roman" w:eastAsia="Times New Roman" w:hAnsi="Times New Roman"/>
          <w:sz w:val="14"/>
          <w:szCs w:val="14"/>
          <w:color w:val="auto"/>
        </w:rPr>
      </w:pPr>
    </w:p>
    <w:p>
      <w:pPr>
        <w:ind w:left="700" w:hanging="309"/>
        <w:spacing w:after="0"/>
        <w:tabs>
          <w:tab w:leader="none" w:pos="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as of which any Global Security of the series shall be dated if other than the original issuance of the first Security of the series to be issued;</w:t>
      </w:r>
    </w:p>
    <w:p>
      <w:pPr>
        <w:spacing w:after="0" w:line="183" w:lineRule="exact"/>
        <w:rPr>
          <w:rFonts w:ascii="Times New Roman" w:cs="Times New Roman" w:eastAsia="Times New Roman" w:hAnsi="Times New Roman"/>
          <w:sz w:val="14"/>
          <w:szCs w:val="14"/>
          <w:color w:val="auto"/>
        </w:rPr>
      </w:pPr>
    </w:p>
    <w:p>
      <w:pPr>
        <w:ind w:left="680" w:hanging="289"/>
        <w:spacing w:after="0"/>
        <w:tabs>
          <w:tab w:leader="none" w:pos="6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the Securities of the series;</w:t>
      </w:r>
    </w:p>
    <w:p>
      <w:pPr>
        <w:spacing w:after="0" w:line="183" w:lineRule="exact"/>
        <w:rPr>
          <w:rFonts w:ascii="Times New Roman" w:cs="Times New Roman" w:eastAsia="Times New Roman" w:hAnsi="Times New Roman"/>
          <w:sz w:val="14"/>
          <w:szCs w:val="14"/>
          <w:color w:val="auto"/>
        </w:rPr>
      </w:pPr>
    </w:p>
    <w:p>
      <w:pPr>
        <w:ind w:firstLine="391"/>
        <w:spacing w:after="0" w:line="294" w:lineRule="auto"/>
        <w:tabs>
          <w:tab w:leader="none" w:pos="723"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Securities of the series are to be convertible into or exchangeable for any securities or property of any Person (including the Company), the terms and conditions upon which such Securities will be so convertible or exchangeable, and any additions or changes, if any, to permit or facilitate such conversion or exchange;</w:t>
      </w:r>
    </w:p>
    <w:p>
      <w:pPr>
        <w:spacing w:after="0" w:line="122" w:lineRule="exact"/>
        <w:rPr>
          <w:rFonts w:ascii="Times New Roman" w:cs="Times New Roman" w:eastAsia="Times New Roman" w:hAnsi="Times New Roman"/>
          <w:sz w:val="14"/>
          <w:szCs w:val="14"/>
          <w:color w:val="auto"/>
        </w:rPr>
      </w:pPr>
    </w:p>
    <w:p>
      <w:pPr>
        <w:ind w:left="660" w:hanging="269"/>
        <w:spacing w:after="0"/>
        <w:tabs>
          <w:tab w:leader="none" w:pos="6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Securities of such series are subject to subordination and the terms of such subordination;</w:t>
      </w:r>
    </w:p>
    <w:p>
      <w:pPr>
        <w:spacing w:after="0" w:line="183" w:lineRule="exact"/>
        <w:rPr>
          <w:rFonts w:ascii="Times New Roman" w:cs="Times New Roman" w:eastAsia="Times New Roman" w:hAnsi="Times New Roman"/>
          <w:sz w:val="14"/>
          <w:szCs w:val="14"/>
          <w:color w:val="auto"/>
        </w:rPr>
      </w:pPr>
    </w:p>
    <w:p>
      <w:pPr>
        <w:ind w:left="700" w:hanging="309"/>
        <w:spacing w:after="0"/>
        <w:tabs>
          <w:tab w:leader="none" w:pos="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 or condition on the transferability of the Securities of such series;</w:t>
      </w:r>
    </w:p>
    <w:p>
      <w:pPr>
        <w:spacing w:after="0" w:line="183" w:lineRule="exact"/>
        <w:rPr>
          <w:rFonts w:ascii="Times New Roman" w:cs="Times New Roman" w:eastAsia="Times New Roman" w:hAnsi="Times New Roman"/>
          <w:sz w:val="14"/>
          <w:szCs w:val="14"/>
          <w:color w:val="auto"/>
        </w:rPr>
      </w:pPr>
    </w:p>
    <w:p>
      <w:pPr>
        <w:ind w:left="700" w:hanging="309"/>
        <w:spacing w:after="0"/>
        <w:tabs>
          <w:tab w:leader="none" w:pos="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or change in the provisions related to compensation and reimbursement of the Trustee which applies to Securities of such series;</w:t>
      </w:r>
    </w:p>
    <w:p>
      <w:pPr>
        <w:spacing w:after="0" w:line="183" w:lineRule="exact"/>
        <w:rPr>
          <w:rFonts w:ascii="Times New Roman" w:cs="Times New Roman" w:eastAsia="Times New Roman" w:hAnsi="Times New Roman"/>
          <w:sz w:val="14"/>
          <w:szCs w:val="14"/>
          <w:color w:val="auto"/>
        </w:rPr>
      </w:pPr>
    </w:p>
    <w:p>
      <w:pPr>
        <w:ind w:left="740" w:hanging="349"/>
        <w:spacing w:after="0"/>
        <w:tabs>
          <w:tab w:leader="none" w:pos="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or change in the provisions related to supplemental indentures set forth in Sections 14.02 and 14.04 which applies to Securities of such series;</w:t>
      </w:r>
    </w:p>
    <w:p>
      <w:pPr>
        <w:spacing w:after="0" w:line="183" w:lineRule="exact"/>
        <w:rPr>
          <w:rFonts w:ascii="Times New Roman" w:cs="Times New Roman" w:eastAsia="Times New Roman" w:hAnsi="Times New Roman"/>
          <w:sz w:val="14"/>
          <w:szCs w:val="14"/>
          <w:color w:val="auto"/>
        </w:rPr>
      </w:pPr>
    </w:p>
    <w:p>
      <w:pPr>
        <w:ind w:left="700" w:hanging="309"/>
        <w:spacing w:after="0"/>
        <w:tabs>
          <w:tab w:leader="none" w:pos="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(x)provisions, if any, granting special rights to Holders upon the occurrence of specified events;</w:t>
      </w:r>
    </w:p>
    <w:p>
      <w:pPr>
        <w:spacing w:after="0" w:line="18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71120</wp:posOffset>
            </wp:positionV>
            <wp:extent cx="7160260" cy="139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0760"/>
          </w:cols>
          <w:pgMar w:left="820" w:top="491" w:right="319" w:bottom="1440" w:gutter="0" w:footer="0" w:header="0"/>
        </w:sectPr>
      </w:pPr>
    </w:p>
    <w:bookmarkStart w:id="47" w:name="page48"/>
    <w:bookmarkEnd w:id="47"/>
    <w:p>
      <w:pPr>
        <w:jc w:val="both"/>
        <w:ind w:left="520" w:firstLine="391"/>
        <w:spacing w:after="0" w:line="275" w:lineRule="auto"/>
        <w:tabs>
          <w:tab w:leader="none" w:pos="1261"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7.02 and any addition or change in the provisions set forth in Article VII which applies to Securities of the series;</w:t>
      </w:r>
    </w:p>
    <w:p>
      <w:pPr>
        <w:spacing w:after="0" w:line="135" w:lineRule="exact"/>
        <w:rPr>
          <w:rFonts w:ascii="Times New Roman" w:cs="Times New Roman" w:eastAsia="Times New Roman" w:hAnsi="Times New Roman"/>
          <w:sz w:val="14"/>
          <w:szCs w:val="14"/>
          <w:color w:val="auto"/>
        </w:rPr>
      </w:pPr>
    </w:p>
    <w:p>
      <w:pPr>
        <w:ind w:left="1220" w:hanging="309"/>
        <w:spacing w:after="0"/>
        <w:tabs>
          <w:tab w:leader="none" w:pos="1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covenants set forth in Article VI which applies to Securities of the series;</w:t>
      </w:r>
    </w:p>
    <w:p>
      <w:pPr>
        <w:spacing w:after="0" w:line="184" w:lineRule="exact"/>
        <w:rPr>
          <w:sz w:val="20"/>
          <w:szCs w:val="20"/>
          <w:color w:val="auto"/>
        </w:rPr>
      </w:pPr>
    </w:p>
    <w:p>
      <w:pPr>
        <w:ind w:left="520" w:firstLine="391"/>
        <w:spacing w:after="0" w:line="294" w:lineRule="auto"/>
        <w:tabs>
          <w:tab w:leader="none" w:pos="1278"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Securities of the series are to be secured or unsecured, and, if secured, the terms upon which the Securities of such series shall be secured and any other additions or changes relating to such security; and</w:t>
      </w:r>
    </w:p>
    <w:p>
      <w:pPr>
        <w:spacing w:after="0" w:line="122" w:lineRule="exact"/>
        <w:rPr>
          <w:rFonts w:ascii="Times New Roman" w:cs="Times New Roman" w:eastAsia="Times New Roman" w:hAnsi="Times New Roman"/>
          <w:sz w:val="14"/>
          <w:szCs w:val="14"/>
          <w:color w:val="auto"/>
        </w:rPr>
      </w:pPr>
    </w:p>
    <w:p>
      <w:pPr>
        <w:ind w:left="520" w:firstLine="391"/>
        <w:spacing w:after="0" w:line="294" w:lineRule="auto"/>
        <w:tabs>
          <w:tab w:leader="none" w:pos="129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Securities of such series (which terms shall not be inconsistent with the provisions of the TIA, but may modify, amend, supplement or delete any of the terms of this Indenture with respect to such series).</w:t>
      </w:r>
    </w:p>
    <w:p>
      <w:pPr>
        <w:spacing w:after="0" w:line="123" w:lineRule="exact"/>
        <w:rPr>
          <w:sz w:val="20"/>
          <w:szCs w:val="20"/>
          <w:color w:val="auto"/>
        </w:rPr>
      </w:pPr>
    </w:p>
    <w:p>
      <w:pPr>
        <w:ind w:firstLine="517"/>
        <w:spacing w:after="0" w:line="294" w:lineRule="auto"/>
        <w:rPr>
          <w:sz w:val="20"/>
          <w:szCs w:val="20"/>
          <w:color w:val="auto"/>
        </w:rPr>
      </w:pPr>
      <w:r>
        <w:rPr>
          <w:rFonts w:ascii="Times New Roman" w:cs="Times New Roman" w:eastAsia="Times New Roman" w:hAnsi="Times New Roman"/>
          <w:sz w:val="14"/>
          <w:szCs w:val="14"/>
          <w:color w:val="auto"/>
        </w:rPr>
        <w:t>All Securities of any one series shall be substantially identical, except as to denomination and except as may otherwise be provided herein or set forth in a Company Order or in one or more indentures supplemental hereto.</w:t>
      </w:r>
    </w:p>
    <w:p>
      <w:pPr>
        <w:spacing w:after="0" w:line="12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3.02</w:t>
      </w:r>
      <w:r>
        <w:rPr>
          <w:sz w:val="20"/>
          <w:szCs w:val="20"/>
          <w:color w:val="auto"/>
        </w:rPr>
        <w:tab/>
      </w:r>
      <w:r>
        <w:rPr>
          <w:rFonts w:ascii="Times New Roman" w:cs="Times New Roman" w:eastAsia="Times New Roman" w:hAnsi="Times New Roman"/>
          <w:sz w:val="14"/>
          <w:szCs w:val="14"/>
          <w:u w:val="single" w:color="auto"/>
          <w:color w:val="auto"/>
        </w:rPr>
        <w:t>Denominations.</w:t>
      </w:r>
    </w:p>
    <w:p>
      <w:pPr>
        <w:spacing w:after="0" w:line="184" w:lineRule="exact"/>
        <w:rPr>
          <w:sz w:val="20"/>
          <w:szCs w:val="20"/>
          <w:color w:val="auto"/>
        </w:rPr>
      </w:pPr>
    </w:p>
    <w:p>
      <w:pPr>
        <w:ind w:firstLine="517"/>
        <w:spacing w:after="0" w:line="294" w:lineRule="auto"/>
        <w:rPr>
          <w:sz w:val="20"/>
          <w:szCs w:val="20"/>
          <w:color w:val="auto"/>
        </w:rPr>
      </w:pPr>
      <w:r>
        <w:rPr>
          <w:rFonts w:ascii="Times New Roman" w:cs="Times New Roman" w:eastAsia="Times New Roman" w:hAnsi="Times New Roman"/>
          <w:sz w:val="14"/>
          <w:szCs w:val="14"/>
          <w:color w:val="auto"/>
        </w:rPr>
        <w:t>In the absence of any specification pursuant to Section 3.01 with respect to Securities of any series, the Securities of such series shall be issuable only as Securities in denominations of any integral multiple of $1,000, and shall be payable only in U.S. Dollars.</w:t>
      </w:r>
    </w:p>
    <w:p>
      <w:pPr>
        <w:spacing w:after="0" w:line="12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3.03</w:t>
      </w:r>
      <w:r>
        <w:rPr>
          <w:sz w:val="20"/>
          <w:szCs w:val="20"/>
          <w:color w:val="auto"/>
        </w:rPr>
        <w:tab/>
      </w:r>
      <w:r>
        <w:rPr>
          <w:rFonts w:ascii="Times New Roman" w:cs="Times New Roman" w:eastAsia="Times New Roman" w:hAnsi="Times New Roman"/>
          <w:sz w:val="14"/>
          <w:szCs w:val="14"/>
          <w:u w:val="single" w:color="auto"/>
          <w:color w:val="auto"/>
        </w:rPr>
        <w:t>Execution, Authentication, Delivery and Dating.</w:t>
      </w:r>
    </w:p>
    <w:p>
      <w:pPr>
        <w:spacing w:after="0" w:line="184" w:lineRule="exact"/>
        <w:rPr>
          <w:sz w:val="20"/>
          <w:szCs w:val="20"/>
          <w:color w:val="auto"/>
        </w:rPr>
      </w:pPr>
    </w:p>
    <w:p>
      <w:pPr>
        <w:jc w:val="both"/>
        <w:ind w:left="520" w:firstLine="391"/>
        <w:spacing w:after="0" w:line="275" w:lineRule="auto"/>
        <w:tabs>
          <w:tab w:leader="none" w:pos="1211"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Securities shall be executed in the name and on behalf of the Company by the manual or facsimile signature of its Chairman of the Board of Directors, its Chief Executive Officer, President, one of its Vice Presidents or Treasurer. If the Person whose signature is on a Security no longer holds that office at the time the Security is authenticated and delivered, the Security shall nevertheless be valid.</w:t>
      </w:r>
    </w:p>
    <w:p>
      <w:pPr>
        <w:spacing w:after="0" w:line="135" w:lineRule="exact"/>
        <w:rPr>
          <w:rFonts w:ascii="Times New Roman" w:cs="Times New Roman" w:eastAsia="Times New Roman" w:hAnsi="Times New Roman"/>
          <w:sz w:val="14"/>
          <w:szCs w:val="14"/>
          <w:color w:val="auto"/>
        </w:rPr>
      </w:pPr>
    </w:p>
    <w:p>
      <w:pPr>
        <w:jc w:val="both"/>
        <w:ind w:left="520" w:firstLine="391"/>
        <w:spacing w:after="0" w:line="269" w:lineRule="auto"/>
        <w:tabs>
          <w:tab w:leader="none" w:pos="126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if required pursuant to Section 3.01, a supplemental indenture or Company Order setting forth the terms of the Securities of a series. The Trustee shall thereupon authenticate and deliver such Securities without any further action by the Company. The Company Order shall specify the amount of Securities to be authenticated and the date on which the original issue of Securities is to be authenticated.</w:t>
      </w:r>
    </w:p>
    <w:p>
      <w:pPr>
        <w:spacing w:after="0" w:line="139" w:lineRule="exact"/>
        <w:rPr>
          <w:rFonts w:ascii="Times New Roman" w:cs="Times New Roman" w:eastAsia="Times New Roman" w:hAnsi="Times New Roman"/>
          <w:sz w:val="14"/>
          <w:szCs w:val="14"/>
          <w:color w:val="auto"/>
        </w:rPr>
      </w:pPr>
    </w:p>
    <w:p>
      <w:pPr>
        <w:jc w:val="both"/>
        <w:ind w:left="520" w:firstLine="391"/>
        <w:spacing w:after="0" w:line="275" w:lineRule="auto"/>
        <w:tabs>
          <w:tab w:leader="none" w:pos="1228"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authenticating the first Securities of any series and accepting the additional responsibilities under this Indenture in relation to such Securities the Trustee shall receive, and (subject to Section 11.02) shall be fully protected in relying upon an Officer’s Certificate and an Opinion of Counsel, each prepared in accordance with Section 16.01 stating that the conditions precedent, if any, provided for in the Indenture have been complied with.</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48" w:name="page49"/>
    <w:bookmarkEnd w:id="48"/>
    <w:p>
      <w:pPr>
        <w:ind w:left="520" w:firstLine="391"/>
        <w:spacing w:after="0" w:line="294" w:lineRule="auto"/>
        <w:tabs>
          <w:tab w:leader="none" w:pos="123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have the right to decline to authenticate and deliver the Securities under this Section 3.03 if the issue of the Securities pursuant to this Indenture will affect the Trustee’s own rights, duties or immunities under the Securities and this Indenture or otherwise in a manner which is not reasonably acceptable to the Trustee.</w:t>
      </w:r>
    </w:p>
    <w:p>
      <w:pPr>
        <w:spacing w:after="0" w:line="122" w:lineRule="exact"/>
        <w:rPr>
          <w:rFonts w:ascii="Times New Roman" w:cs="Times New Roman" w:eastAsia="Times New Roman" w:hAnsi="Times New Roman"/>
          <w:sz w:val="14"/>
          <w:szCs w:val="14"/>
          <w:color w:val="auto"/>
        </w:rPr>
      </w:pPr>
    </w:p>
    <w:p>
      <w:pPr>
        <w:ind w:left="1220" w:hanging="309"/>
        <w:spacing w:after="0"/>
        <w:tabs>
          <w:tab w:leader="none" w:pos="1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Security shall be dated the date of its authentication, except as otherwise provided pursuant to Section 3.01 with respect to the Securities of such series.</w:t>
      </w:r>
    </w:p>
    <w:p>
      <w:pPr>
        <w:spacing w:after="0" w:line="183" w:lineRule="exact"/>
        <w:rPr>
          <w:rFonts w:ascii="Times New Roman" w:cs="Times New Roman" w:eastAsia="Times New Roman" w:hAnsi="Times New Roman"/>
          <w:sz w:val="14"/>
          <w:szCs w:val="14"/>
          <w:color w:val="auto"/>
        </w:rPr>
      </w:pPr>
    </w:p>
    <w:p>
      <w:pPr>
        <w:ind w:left="520" w:firstLine="391"/>
        <w:spacing w:after="0" w:line="294" w:lineRule="auto"/>
        <w:tabs>
          <w:tab w:leader="none" w:pos="1195"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provisions of Section 3.01 and of this Section 3.03, if all of the Securities of any series are not to be originally issued at the same time, then the documents required to be delivered pursuant to this Section 3.03 must be delivered only once prior to the authentication and delivery of the first Security of such series.</w:t>
      </w:r>
    </w:p>
    <w:p>
      <w:pPr>
        <w:spacing w:after="0" w:line="122" w:lineRule="exact"/>
        <w:rPr>
          <w:rFonts w:ascii="Times New Roman" w:cs="Times New Roman" w:eastAsia="Times New Roman" w:hAnsi="Times New Roman"/>
          <w:sz w:val="14"/>
          <w:szCs w:val="14"/>
          <w:color w:val="auto"/>
        </w:rPr>
      </w:pPr>
    </w:p>
    <w:p>
      <w:pPr>
        <w:jc w:val="both"/>
        <w:ind w:left="520" w:firstLine="391"/>
        <w:spacing w:after="0" w:line="266" w:lineRule="auto"/>
        <w:tabs>
          <w:tab w:leader="none" w:pos="1224"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shall establish pursuant to Section 3.01 that the Securities of a series are to be issued in whole or in part in the form of one or more Global Securities, then the Company shall execute and the Trustee shall authenticate and deliver one or more Global Securities that (i) shall represent an aggregate amount equal to the aggregate principal amount of the Outstanding Securities of such series to be represented by such Global Securities, (ii) shall be registered, if in registered form, in the name of the Depositary for such Global Security or Global Securities or the nominee of such Depositary, (iii) shall be delivered by the Trustee to such Depositary or pursuant to such Depositary’s instruction and (iv) shall bear a legend substantially to the following effect:</w:t>
      </w:r>
    </w:p>
    <w:p>
      <w:pPr>
        <w:spacing w:after="0" w:line="142"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“THIS SECURITY IS A GLOBAL SECURITY WITHIN THE MEANING OF THE INDENTURE HEREINAFTER REFERRED TO AND IS REGISTERED IN THE NAME OF THE DEPOSITARY OR A NOMINEE OF THE DEPOSITARY, WHICH MAY BE TREATED BY THE COMPANY, THE TRUSTEE AND ANY AGENT THEREOF AS OWNER AND HOLDER OF THIS SECURITY FOR ALL PURPOSES.</w:t>
      </w:r>
    </w:p>
    <w:p>
      <w:pPr>
        <w:spacing w:after="0" w:line="136"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UNLESS THIS CERTIFICATE IS PRESENTED BY AN AUTHORIZED REPRESENTATIVE OF THE DEPOSITARY TO THE COMPANY OR ITS AGENT FOR REGISTRATION OF TRANSFER, EXCHANGE OR PAYMENT, AND ANY CERTIFICATE ISSUED IS REGISTERED IN THE NAME OF THE NOMINEE OF THE DEPOSITARY OR IN SUCH OTHER NAME AS IS REQUESTED BY AN AUTHORIZED REPRESENTATIVE OF THE DEPOSITARY (AND ANY PAYMENT HEREON IS MADE TO THE NOMINEE OF THE DEPOSITARY OR TO SUCH OTHER ENTITY AS IS REQUESTED BY AN AUTHORIZED REPRESENTATIVE OF THE DEPOSITARY), ANY TRANSFER, PLEDGE OR OTHER USE HEREOF FOR VALUE OR OTHERWISE BY OR TO ANY PERSON IS WRONGFUL SINCE THE REGISTERED OWNER HEREOF, THE NOMINEE OF THE DEPOSITARY, HAS AN INTEREST HEREIN.</w:t>
      </w:r>
    </w:p>
    <w:p>
      <w:pPr>
        <w:spacing w:after="0" w:line="317"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TRANSFERS OF THIS GLOBAL SECURITY SHALL BE LIMITED TO TRANSFERS IN WHOLE, BUT NOT IN PART,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49" w:name="page50"/>
    <w:bookmarkEnd w:id="49"/>
    <w:p>
      <w:pPr>
        <w:ind w:firstLine="517"/>
        <w:spacing w:after="0" w:line="294" w:lineRule="auto"/>
        <w:rPr>
          <w:sz w:val="20"/>
          <w:szCs w:val="20"/>
          <w:color w:val="auto"/>
        </w:rPr>
      </w:pPr>
      <w:r>
        <w:rPr>
          <w:rFonts w:ascii="Times New Roman" w:cs="Times New Roman" w:eastAsia="Times New Roman" w:hAnsi="Times New Roman"/>
          <w:sz w:val="14"/>
          <w:szCs w:val="14"/>
          <w:color w:val="auto"/>
        </w:rPr>
        <w:t>The aggregate principal amount of each Global Security may from time to time be increased or decreased by adjustments made on the records of the Security Custodian, as provided in this Indenture.</w:t>
      </w:r>
    </w:p>
    <w:p>
      <w:pPr>
        <w:spacing w:after="0" w:line="123" w:lineRule="exact"/>
        <w:rPr>
          <w:sz w:val="20"/>
          <w:szCs w:val="20"/>
          <w:color w:val="auto"/>
        </w:rPr>
      </w:pPr>
    </w:p>
    <w:p>
      <w:pPr>
        <w:ind w:left="520" w:firstLine="391"/>
        <w:spacing w:after="0" w:line="294" w:lineRule="auto"/>
        <w:tabs>
          <w:tab w:leader="none" w:pos="1275"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Depositary designated pursuant to Section 3.01 for a Global Security in registered form must, at the time of its designation and at all times while it serves as such Depositary, be a clearing agency registered under the Exchange Act and any other applicable statute or regulation.</w:t>
      </w:r>
    </w:p>
    <w:p>
      <w:pPr>
        <w:spacing w:after="0" w:line="122" w:lineRule="exact"/>
        <w:rPr>
          <w:rFonts w:ascii="Times New Roman" w:cs="Times New Roman" w:eastAsia="Times New Roman" w:hAnsi="Times New Roman"/>
          <w:sz w:val="14"/>
          <w:szCs w:val="14"/>
          <w:color w:val="auto"/>
        </w:rPr>
      </w:pPr>
    </w:p>
    <w:p>
      <w:pPr>
        <w:jc w:val="both"/>
        <w:ind w:left="520" w:firstLine="391"/>
        <w:spacing w:after="0" w:line="263" w:lineRule="auto"/>
        <w:tabs>
          <w:tab w:leader="none" w:pos="1188"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Members of, or participants in, the Depositary (“Members”) shall have no rights under this Indenture with respect to any Global Security held on their behalf by the Depositary or by the Security Custodian under such Global Security, and the Depositary may be treated by the Company, the Trustee, the Paying Agent and the Registrar and any of their agents as the absolute owner of such Global Security for all purposes whatsoever. Notwithstanding the foregoing, nothing herein shall prevent the Company, the Trustee, the Paying Agent or the Registrar or any of their agents from giving effect to any written certification, proxy or other authorization furnished by the Depositary or impair, as between the Depositary and its Members, the operation of customary practices of the Depositary governing the exercise of the rights of an owner of a beneficial interest in any Global Security. The Holder of a Global Security may grant proxies and otherwise authorize any Person, including Members and Persons that may hold interests through Members, to take any action that a Holder is entitled to take under this Indenture or the Securities.</w:t>
      </w:r>
    </w:p>
    <w:p>
      <w:pPr>
        <w:spacing w:after="0" w:line="143" w:lineRule="exact"/>
        <w:rPr>
          <w:rFonts w:ascii="Times New Roman" w:cs="Times New Roman" w:eastAsia="Times New Roman" w:hAnsi="Times New Roman"/>
          <w:sz w:val="14"/>
          <w:szCs w:val="14"/>
          <w:color w:val="auto"/>
        </w:rPr>
      </w:pPr>
    </w:p>
    <w:p>
      <w:pPr>
        <w:jc w:val="both"/>
        <w:ind w:left="520" w:firstLine="391"/>
        <w:spacing w:after="0" w:line="269" w:lineRule="auto"/>
        <w:tabs>
          <w:tab w:leader="none" w:pos="1208"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Security shall be entitled to any benefit under this Indenture or be valid or obligatory for any purpose unless there appears on such Security a certificate of authentication substantially in one of the forms provided for herein duly executed by the Trustee or by an Authenticating Agent by manual or facsimile signature of an authorized signatory of the Trustee, and such certificate upon any Security shall be conclusive evidence, and the only evidence, that such Security has been duly authenticated and delivered hereunder and is entitled to the benefits of this Indenture.</w:t>
      </w:r>
    </w:p>
    <w:p>
      <w:pPr>
        <w:spacing w:after="0" w:line="14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3.04</w:t>
      </w:r>
      <w:r>
        <w:rPr>
          <w:sz w:val="20"/>
          <w:szCs w:val="20"/>
          <w:color w:val="auto"/>
        </w:rPr>
        <w:tab/>
      </w:r>
      <w:r>
        <w:rPr>
          <w:rFonts w:ascii="Times New Roman" w:cs="Times New Roman" w:eastAsia="Times New Roman" w:hAnsi="Times New Roman"/>
          <w:sz w:val="14"/>
          <w:szCs w:val="14"/>
          <w:u w:val="single" w:color="auto"/>
          <w:color w:val="auto"/>
        </w:rPr>
        <w:t>Temporary Securities.</w:t>
      </w:r>
    </w:p>
    <w:p>
      <w:pPr>
        <w:spacing w:after="0" w:line="184" w:lineRule="exact"/>
        <w:rPr>
          <w:sz w:val="20"/>
          <w:szCs w:val="20"/>
          <w:color w:val="auto"/>
        </w:rPr>
      </w:pPr>
    </w:p>
    <w:p>
      <w:pPr>
        <w:jc w:val="both"/>
        <w:ind w:left="520" w:firstLine="391"/>
        <w:spacing w:after="0" w:line="264" w:lineRule="auto"/>
        <w:tabs>
          <w:tab w:leader="none" w:pos="126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Pending the preparation of definitive Securities of any series, the Company may execute, and upon Company Order the Trustee shall authenticate and deliver, temporary Securities that are printed, lithographed, typewritten, mimeographed or otherwise reproduced, in any authorized denomination, substantially of the tenor of the definitive Securities in lieu of which they are issued, in registered form and with such appropriate insertions, omissions, substitutions and other variations as the officers executing such Securities may determine, as conclusively evidenced by their execution of such Securities. Any such temporary Security may be in the form of one or more Global Securities, representing all or a portion of the Outstanding Securities of such series. Every such temporary Security shall be executed by the Company and shall be authenticated and delivered by the Trustee upon the same conditions and in substantially the same manner, and with the same effect, as the definitive Security or Securities in lieu of which it is issued.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50" w:name="page51"/>
    <w:bookmarkEnd w:id="50"/>
    <w:p>
      <w:pPr>
        <w:jc w:val="both"/>
        <w:ind w:left="520" w:firstLine="391"/>
        <w:spacing w:after="0" w:line="265" w:lineRule="auto"/>
        <w:tabs>
          <w:tab w:leader="none" w:pos="1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temporary Securities of any series are issued, the Company will cause definitive Securities of such series to be prepared without unreasonable delay. After the preparation of definitive Securities of such series, the temporary Securities of such series shall be exchangeable for definitive Securities of such series upon surrender of such temporary Securities at the office or agency of the Company in a Place of Payment for such series, without charge to the Holder. Upon surrender for cancellation of any one or more temporary Securities of any series, the Company shall execute and the Trustee shall authenticate and deliver in exchange therefor a like principal amount of definitive Securities of the same series of authorized denominations and of like tenor. Until so exchanged, the temporary Securities of any series shall in all respects be entitled to the same benefits under this Indenture as definitive Securities of such series.</w:t>
      </w:r>
    </w:p>
    <w:p>
      <w:pPr>
        <w:spacing w:after="0" w:line="317" w:lineRule="exact"/>
        <w:rPr>
          <w:rFonts w:ascii="Times New Roman" w:cs="Times New Roman" w:eastAsia="Times New Roman" w:hAnsi="Times New Roman"/>
          <w:sz w:val="14"/>
          <w:szCs w:val="14"/>
          <w:color w:val="auto"/>
        </w:rPr>
      </w:pPr>
    </w:p>
    <w:p>
      <w:pPr>
        <w:jc w:val="both"/>
        <w:ind w:left="520" w:firstLine="391"/>
        <w:spacing w:after="0" w:line="275" w:lineRule="auto"/>
        <w:tabs>
          <w:tab w:leader="none" w:pos="1239"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any exchange of a portion of a temporary Global Security for a definitive Global Security or for the Individual Securities represented thereby pursuant to this Section 3.04 or Section 3.06, the temporary Global Security shall be endorsed by the Trustee to reflect the reduction of the principal amount evidenced thereby, whereupon the principal amount of such temporary Global Security shall be reduced for all purposes by the amount so exchanged and endorsed.</w:t>
      </w:r>
    </w:p>
    <w:p>
      <w:pPr>
        <w:spacing w:after="0" w:line="13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3.05</w:t>
      </w:r>
      <w:r>
        <w:rPr>
          <w:sz w:val="20"/>
          <w:szCs w:val="20"/>
          <w:color w:val="auto"/>
        </w:rPr>
        <w:tab/>
      </w:r>
      <w:r>
        <w:rPr>
          <w:rFonts w:ascii="Times New Roman" w:cs="Times New Roman" w:eastAsia="Times New Roman" w:hAnsi="Times New Roman"/>
          <w:sz w:val="14"/>
          <w:szCs w:val="14"/>
          <w:u w:val="single" w:color="auto"/>
          <w:color w:val="auto"/>
        </w:rPr>
        <w:t>Registrar and Paying Agent.</w:t>
      </w:r>
    </w:p>
    <w:p>
      <w:pPr>
        <w:spacing w:after="0" w:line="184" w:lineRule="exact"/>
        <w:rPr>
          <w:sz w:val="20"/>
          <w:szCs w:val="20"/>
          <w:color w:val="auto"/>
        </w:rPr>
      </w:pPr>
    </w:p>
    <w:p>
      <w:pPr>
        <w:jc w:val="both"/>
        <w:ind w:left="520" w:firstLine="391"/>
        <w:spacing w:after="0" w:line="264" w:lineRule="auto"/>
        <w:tabs>
          <w:tab w:leader="none" w:pos="1229"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will keep, at an office or agency to be maintained by it in a Place of Payment where Securities may be presented for registration or presented and surrendered for registration of transfer or of exchange, and where Securities of any series that are convertible or exchangeable may be surrendered for conversion or exchange, as applicable (the “Registrar”), a security register for the registration and the registration of transfer or of exchange of the Securities (the registers maintained in such office and in any other office or agency of the Company in a Place of Payment being herein sometimes collectively referred to as the “Register”), as in this Indenture provided, which Register shall at all reasonable times be open for inspection by the Trustee. Such Register shall be in written form or in any other form capable of being converted into written form within a reasonable time. The Company may have one or more co-Registrars; the term “Registrar” includes any co-registrar.</w:t>
      </w:r>
    </w:p>
    <w:p>
      <w:pPr>
        <w:spacing w:after="0" w:line="143" w:lineRule="exact"/>
        <w:rPr>
          <w:rFonts w:ascii="Times New Roman" w:cs="Times New Roman" w:eastAsia="Times New Roman" w:hAnsi="Times New Roman"/>
          <w:sz w:val="14"/>
          <w:szCs w:val="14"/>
          <w:color w:val="auto"/>
        </w:rPr>
      </w:pPr>
    </w:p>
    <w:p>
      <w:pPr>
        <w:jc w:val="both"/>
        <w:ind w:left="520" w:firstLine="391"/>
        <w:spacing w:after="0" w:line="269" w:lineRule="auto"/>
        <w:tabs>
          <w:tab w:leader="none" w:pos="1225"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enter into an appropriate agency agreement with any Registrar or co-Registrar not a party to this Indenture. The agreement shall implement the provisions of this Indenture that relate to such agent. The Company shall notify the Trustee of the name and address of each such agent. If the Company fails to maintain a Registrar for any series, the Trustee shall act as such and shall be entitled to appropriate compensation therefor pursuant to Section 11.01. The Company or any Affiliate thereof may act as Registrar, co-Registrar or transfer agent.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51" w:name="page52"/>
    <w:bookmarkEnd w:id="51"/>
    <w:p>
      <w:pPr>
        <w:ind w:left="520" w:firstLine="391"/>
        <w:spacing w:after="0" w:line="294" w:lineRule="auto"/>
        <w:tabs>
          <w:tab w:leader="none" w:pos="1229"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hereby appoints the Trustee at its Corporate Trust Office as Registrar in connection with the Securities and this Indenture, until such time as another Person is appointed as such.</w:t>
      </w:r>
    </w:p>
    <w:p>
      <w:pPr>
        <w:spacing w:after="0" w:line="12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3.06</w:t>
      </w:r>
      <w:r>
        <w:rPr>
          <w:sz w:val="20"/>
          <w:szCs w:val="20"/>
          <w:color w:val="auto"/>
        </w:rPr>
        <w:tab/>
      </w:r>
      <w:r>
        <w:rPr>
          <w:rFonts w:ascii="Times New Roman" w:cs="Times New Roman" w:eastAsia="Times New Roman" w:hAnsi="Times New Roman"/>
          <w:sz w:val="14"/>
          <w:szCs w:val="14"/>
          <w:u w:val="single" w:color="auto"/>
          <w:color w:val="auto"/>
        </w:rPr>
        <w:t>Transfer and Exchange.</w:t>
      </w:r>
    </w:p>
    <w:p>
      <w:pPr>
        <w:spacing w:after="0" w:line="184" w:lineRule="exact"/>
        <w:rPr>
          <w:sz w:val="20"/>
          <w:szCs w:val="20"/>
          <w:color w:val="auto"/>
        </w:rPr>
      </w:pPr>
    </w:p>
    <w:p>
      <w:pPr>
        <w:ind w:left="1220" w:hanging="309"/>
        <w:spacing w:after="0"/>
        <w:tabs>
          <w:tab w:leader="none" w:pos="12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w:t>
      </w:r>
    </w:p>
    <w:p>
      <w:pPr>
        <w:spacing w:after="0" w:line="183" w:lineRule="exact"/>
        <w:rPr>
          <w:rFonts w:ascii="Times New Roman" w:cs="Times New Roman" w:eastAsia="Times New Roman" w:hAnsi="Times New Roman"/>
          <w:sz w:val="14"/>
          <w:szCs w:val="14"/>
          <w:color w:val="auto"/>
        </w:rPr>
      </w:pPr>
    </w:p>
    <w:p>
      <w:pPr>
        <w:jc w:val="both"/>
        <w:ind w:left="920" w:firstLine="378"/>
        <w:spacing w:after="0" w:line="269" w:lineRule="auto"/>
        <w:tabs>
          <w:tab w:leader="none" w:pos="161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surrender for registration of transfer of any Security of any series at the Registrar the Company shall execute, and the Trustee or any Authenticating Agent shall authenticate and deliver, in the name of the designated transferee, one or more new Securities of the same series for like aggregate principal amount of any authorized denomination or denominations. The transfer of any Security shall not be valid as against the Company or the Trustee unless registered at the Registrar at the request of the Holder, or at the request of his, her or its attorney duly authorized in writing.</w:t>
      </w:r>
    </w:p>
    <w:p>
      <w:pPr>
        <w:spacing w:after="0" w:line="139" w:lineRule="exact"/>
        <w:rPr>
          <w:rFonts w:ascii="Times New Roman" w:cs="Times New Roman" w:eastAsia="Times New Roman" w:hAnsi="Times New Roman"/>
          <w:sz w:val="14"/>
          <w:szCs w:val="14"/>
          <w:color w:val="auto"/>
        </w:rPr>
      </w:pPr>
    </w:p>
    <w:p>
      <w:pPr>
        <w:jc w:val="both"/>
        <w:ind w:left="920" w:firstLine="378"/>
        <w:spacing w:after="0" w:line="269" w:lineRule="auto"/>
        <w:tabs>
          <w:tab w:leader="none" w:pos="1676"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other provision of this Section, unless and until it is exchanged in whole or in part for the Individual Securities represented thereby,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39" w:lineRule="exact"/>
        <w:rPr>
          <w:rFonts w:ascii="Times New Roman" w:cs="Times New Roman" w:eastAsia="Times New Roman" w:hAnsi="Times New Roman"/>
          <w:sz w:val="14"/>
          <w:szCs w:val="14"/>
          <w:color w:val="auto"/>
        </w:rPr>
      </w:pPr>
    </w:p>
    <w:p>
      <w:pPr>
        <w:ind w:left="1220" w:hanging="309"/>
        <w:spacing w:after="0"/>
        <w:tabs>
          <w:tab w:leader="none" w:pos="12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Exchange.</w:t>
      </w:r>
    </w:p>
    <w:p>
      <w:pPr>
        <w:spacing w:after="0" w:line="183" w:lineRule="exact"/>
        <w:rPr>
          <w:rFonts w:ascii="Times New Roman" w:cs="Times New Roman" w:eastAsia="Times New Roman" w:hAnsi="Times New Roman"/>
          <w:sz w:val="14"/>
          <w:szCs w:val="14"/>
          <w:color w:val="auto"/>
        </w:rPr>
      </w:pPr>
    </w:p>
    <w:p>
      <w:pPr>
        <w:ind w:left="920" w:firstLine="378"/>
        <w:spacing w:after="0" w:line="294" w:lineRule="auto"/>
        <w:tabs>
          <w:tab w:leader="none" w:pos="158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option of the Holder, Securities of any series (other than a Global Security, except as set forth below) may be exchanged for other Securities of the same series for like aggregate principal amount of any authorized denomination or denominations, upon surrender of the Securities to be exchanged at the Registrar.</w:t>
      </w:r>
    </w:p>
    <w:p>
      <w:pPr>
        <w:spacing w:after="0" w:line="122" w:lineRule="exact"/>
        <w:rPr>
          <w:rFonts w:ascii="Times New Roman" w:cs="Times New Roman" w:eastAsia="Times New Roman" w:hAnsi="Times New Roman"/>
          <w:sz w:val="14"/>
          <w:szCs w:val="14"/>
          <w:color w:val="auto"/>
        </w:rPr>
      </w:pPr>
    </w:p>
    <w:p>
      <w:pPr>
        <w:ind w:left="920" w:firstLine="378"/>
        <w:spacing w:after="0" w:line="294" w:lineRule="auto"/>
        <w:tabs>
          <w:tab w:leader="none" w:pos="1673"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Whenever any Securities are so surrendered for exchange, the Company shall execute, and the Trustee shall authenticate and deliver, the Securities that the Holder making the exchange is entitled to receive.</w:t>
      </w:r>
    </w:p>
    <w:p>
      <w:pPr>
        <w:spacing w:after="0" w:line="122" w:lineRule="exact"/>
        <w:rPr>
          <w:rFonts w:ascii="Times New Roman" w:cs="Times New Roman" w:eastAsia="Times New Roman" w:hAnsi="Times New Roman"/>
          <w:sz w:val="14"/>
          <w:szCs w:val="14"/>
          <w:color w:val="auto"/>
        </w:rPr>
      </w:pPr>
    </w:p>
    <w:p>
      <w:pPr>
        <w:ind w:left="1220" w:hanging="309"/>
        <w:spacing w:after="0"/>
        <w:tabs>
          <w:tab w:leader="none" w:pos="12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Exchange of Global Securities for Individual Securities. Except as provided below, owners of beneficial interests in Global Securities will not be entitled to receive Individual</w:t>
      </w:r>
    </w:p>
    <w:p>
      <w:pPr>
        <w:spacing w:after="0" w:line="24"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w:t>
      </w:r>
    </w:p>
    <w:p>
      <w:pPr>
        <w:spacing w:after="0" w:line="170" w:lineRule="exact"/>
        <w:rPr>
          <w:rFonts w:ascii="Times New Roman" w:cs="Times New Roman" w:eastAsia="Times New Roman" w:hAnsi="Times New Roman"/>
          <w:sz w:val="14"/>
          <w:szCs w:val="14"/>
          <w:color w:val="auto"/>
        </w:rPr>
      </w:pPr>
    </w:p>
    <w:p>
      <w:pPr>
        <w:jc w:val="both"/>
        <w:ind w:left="920" w:firstLine="378"/>
        <w:spacing w:after="0" w:line="269" w:lineRule="auto"/>
        <w:tabs>
          <w:tab w:leader="none" w:pos="1623"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Securities shall be issued to all owners of beneficial interests in a Global Security in exchange for such interests if: (A) at any time the Depositary for the Securities of a series notifies the Company that it is unwilling or unable to continue as Depositary for the Securities of such series or if at any time the Depositary for the Securities of such series shall no longer be eligible under Section 3.03(h) and, in each case, a successor Depositary is not appointed by the Company within 90 days of such notice, or (B) the Company executes and delivers to the Trustee and the Registrar an Officer’s Certificate stating that such Global Security shall be so exchangeable.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52" w:name="page53"/>
    <w:bookmarkEnd w:id="52"/>
    <w:p>
      <w:pPr>
        <w:jc w:val="both"/>
        <w:ind w:firstLine="517"/>
        <w:spacing w:after="0" w:line="269" w:lineRule="auto"/>
        <w:rPr>
          <w:sz w:val="20"/>
          <w:szCs w:val="20"/>
          <w:color w:val="auto"/>
        </w:rPr>
      </w:pPr>
      <w:r>
        <w:rPr>
          <w:rFonts w:ascii="Times New Roman" w:cs="Times New Roman" w:eastAsia="Times New Roman" w:hAnsi="Times New Roman"/>
          <w:sz w:val="14"/>
          <w:szCs w:val="14"/>
          <w:color w:val="auto"/>
        </w:rPr>
        <w:t>In connection with the exchange of an entire Global Security for Individual Securities pursuant to this subsection (c), such Global Security shall be deemed to be surrendered to the Trustee for cancellation, and the Company shall execute, and the Trustee, upon receipt of a Company Order for the authentication and delivery of Individual Securities of such series, will authenticate and deliver to each beneficial owner identified by the Depositary in exchange for its beneficial interest in such Global Security, an equal aggregate principal amount of Individual Securities of authorized denominations.</w:t>
      </w:r>
    </w:p>
    <w:p>
      <w:pPr>
        <w:spacing w:after="0" w:line="140" w:lineRule="exact"/>
        <w:rPr>
          <w:sz w:val="20"/>
          <w:szCs w:val="20"/>
          <w:color w:val="auto"/>
        </w:rPr>
      </w:pPr>
    </w:p>
    <w:p>
      <w:pPr>
        <w:jc w:val="both"/>
        <w:ind w:left="920" w:firstLine="378"/>
        <w:spacing w:after="0" w:line="269" w:lineRule="auto"/>
        <w:tabs>
          <w:tab w:leader="none" w:pos="1624"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 of a beneficial interest in a Global Security will be entitled to receive an Individual Security in exchange for such interest if an Event of Default has occurred and is continuing. Upon receipt by the Security Custodian and Registrar of instructions from the Holder of a Global Security directing the Security Custodian and Registrar to (x) issue one or more Individual Securities in the amounts specified to the owner of a beneficial interest in such Global Security and (y) debit or cause to be debited an equivalent amount of beneficial interest in such Global Security, subject to the rules and regulations of the Depositary:</w:t>
      </w:r>
    </w:p>
    <w:p>
      <w:pPr>
        <w:spacing w:after="0" w:line="139" w:lineRule="exact"/>
        <w:rPr>
          <w:rFonts w:ascii="Times New Roman" w:cs="Times New Roman" w:eastAsia="Times New Roman" w:hAnsi="Times New Roman"/>
          <w:sz w:val="14"/>
          <w:szCs w:val="14"/>
          <w:color w:val="auto"/>
        </w:rPr>
      </w:pPr>
    </w:p>
    <w:p>
      <w:pPr>
        <w:ind w:left="1300" w:firstLine="386"/>
        <w:spacing w:after="0" w:line="294" w:lineRule="auto"/>
        <w:tabs>
          <w:tab w:leader="none" w:pos="2035"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Security Custodian and Registrar shall notify the Company and the Trustee of such instructions, identifying the owner and amount of such beneficial interest in such Global Security;</w:t>
      </w:r>
    </w:p>
    <w:p>
      <w:pPr>
        <w:spacing w:after="0" w:line="122" w:lineRule="exact"/>
        <w:rPr>
          <w:rFonts w:ascii="Times New Roman" w:cs="Times New Roman" w:eastAsia="Times New Roman" w:hAnsi="Times New Roman"/>
          <w:sz w:val="14"/>
          <w:szCs w:val="14"/>
          <w:color w:val="auto"/>
        </w:rPr>
      </w:pPr>
    </w:p>
    <w:p>
      <w:pPr>
        <w:ind w:left="1300" w:firstLine="386"/>
        <w:spacing w:after="0" w:line="294" w:lineRule="auto"/>
        <w:tabs>
          <w:tab w:leader="none" w:pos="2079"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promptly execute and the Trustee, upon receipt of a Company Order for the authentication and delivery of Individual Securities of such series, shall authenticate and deliver to such beneficial owner Individual Securities in an equivalent amount to such beneficial interest in such Global Security; and</w:t>
      </w:r>
    </w:p>
    <w:p>
      <w:pPr>
        <w:spacing w:after="0" w:line="122" w:lineRule="exact"/>
        <w:rPr>
          <w:rFonts w:ascii="Times New Roman" w:cs="Times New Roman" w:eastAsia="Times New Roman" w:hAnsi="Times New Roman"/>
          <w:sz w:val="14"/>
          <w:szCs w:val="14"/>
          <w:color w:val="auto"/>
        </w:rPr>
      </w:pPr>
    </w:p>
    <w:p>
      <w:pPr>
        <w:jc w:val="both"/>
        <w:ind w:left="1300" w:firstLine="386"/>
        <w:spacing w:after="0" w:line="266" w:lineRule="auto"/>
        <w:tabs>
          <w:tab w:leader="none" w:pos="2075"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Security Custodian and Registrar shall decrease such Global Security by such amount in accordance with the foregoing. In the event that the Individual Securities are not issued to each such beneficial owner promptly after the Registrar has received a request from the Holder of a Global Security to issue such Individual Securities, the Company expressly acknowledges, with respect to the right of any Holder to pursue a remedy pursuant to Section 7.07 hereof, the right of any beneficial Holder of Securities to pursue such remedy with respect to the portion of the Global Security that represents such beneficial Holder’s Securities as if such Individual Securities had been issued.</w:t>
      </w:r>
    </w:p>
    <w:p>
      <w:pPr>
        <w:spacing w:after="0" w:line="141" w:lineRule="exact"/>
        <w:rPr>
          <w:rFonts w:ascii="Times New Roman" w:cs="Times New Roman" w:eastAsia="Times New Roman" w:hAnsi="Times New Roman"/>
          <w:sz w:val="14"/>
          <w:szCs w:val="14"/>
          <w:color w:val="auto"/>
        </w:rPr>
      </w:pPr>
    </w:p>
    <w:p>
      <w:pPr>
        <w:jc w:val="both"/>
        <w:ind w:left="920" w:firstLine="378"/>
        <w:spacing w:after="0" w:line="275" w:lineRule="auto"/>
        <w:tabs>
          <w:tab w:leader="none" w:pos="1669"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specified by the Company pursuant to Section 3.01 with respect to a series of Securities, the Depositary for such series of Securities may surrender a Global Security for such series of Securities in exchange in whole or in part for Individual Securities of such series on such terms as are acceptable to the Company and such Depositary. Thereupon, the Company shall execute, and the Trustee shall authenticate and deliver, without service charge,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53" w:name="page54"/>
    <w:bookmarkEnd w:id="53"/>
    <w:p>
      <w:pPr>
        <w:ind w:firstLine="391"/>
        <w:spacing w:after="0" w:line="294" w:lineRule="auto"/>
        <w:tabs>
          <w:tab w:leader="none" w:pos="742"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specified by such Depositary a new Individual Security or new Individual Securities of the same series, of any authorized denomination as requested by such Person in aggregate principal amount equal to and in exchange for such Person’s beneficial interest in the Global Security; and</w:t>
      </w:r>
    </w:p>
    <w:p>
      <w:pPr>
        <w:spacing w:after="0" w:line="122" w:lineRule="exact"/>
        <w:rPr>
          <w:rFonts w:ascii="Times New Roman" w:cs="Times New Roman" w:eastAsia="Times New Roman" w:hAnsi="Times New Roman"/>
          <w:sz w:val="14"/>
          <w:szCs w:val="14"/>
          <w:color w:val="auto"/>
        </w:rPr>
      </w:pPr>
    </w:p>
    <w:p>
      <w:pPr>
        <w:ind w:firstLine="391"/>
        <w:spacing w:after="0" w:line="294" w:lineRule="auto"/>
        <w:tabs>
          <w:tab w:leader="none" w:pos="716"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Depositary a new Global Security in a denomination equal to the difference, if any, between the principal amount of the surrendered Global Security and the aggregate principal amount of Individual Securities delivered to Holders thereof.</w:t>
      </w:r>
    </w:p>
    <w:p>
      <w:pPr>
        <w:spacing w:after="0" w:line="122" w:lineRule="exact"/>
        <w:rPr>
          <w:rFonts w:ascii="Times New Roman" w:cs="Times New Roman" w:eastAsia="Times New Roman" w:hAnsi="Times New Roman"/>
          <w:sz w:val="14"/>
          <w:szCs w:val="14"/>
          <w:color w:val="auto"/>
        </w:rPr>
      </w:pPr>
    </w:p>
    <w:p>
      <w:pPr>
        <w:ind w:left="400" w:firstLine="378"/>
        <w:spacing w:after="0" w:line="294" w:lineRule="auto"/>
        <w:tabs>
          <w:tab w:leader="none" w:pos="1074" w:val="left"/>
        </w:tabs>
        <w:numPr>
          <w:ilvl w:val="2"/>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exchange provided for in clauses (i) through (iii), the Company will execute and the Trustee will authenticate and deliver Individual Securities in registered form in authorized denominations.</w:t>
      </w:r>
    </w:p>
    <w:p>
      <w:pPr>
        <w:spacing w:after="0" w:line="122" w:lineRule="exact"/>
        <w:rPr>
          <w:rFonts w:ascii="Times New Roman" w:cs="Times New Roman" w:eastAsia="Times New Roman" w:hAnsi="Times New Roman"/>
          <w:sz w:val="14"/>
          <w:szCs w:val="14"/>
          <w:color w:val="auto"/>
        </w:rPr>
      </w:pPr>
    </w:p>
    <w:p>
      <w:pPr>
        <w:jc w:val="both"/>
        <w:ind w:left="400" w:firstLine="378"/>
        <w:spacing w:after="0" w:line="272" w:lineRule="auto"/>
        <w:tabs>
          <w:tab w:leader="none" w:pos="1108" w:val="left"/>
        </w:tabs>
        <w:numPr>
          <w:ilvl w:val="2"/>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exchange in full of a Global Security for Individual Securities, such Global Security shall be canceled by the Trustee. Individual Securities issued in exchange for a Global Security pursuant to this Section shall be registered in such names and in such authorized denominations as the Depositary for such Global Security, pursuant to instructions from its direct or indirect participants or otherwise, shall instruct the Trustee. The Trustee shall deliver such Securities to the Persons in whose names such Securities are so registered.</w:t>
      </w:r>
    </w:p>
    <w:p>
      <w:pPr>
        <w:spacing w:after="0" w:line="314" w:lineRule="exact"/>
        <w:rPr>
          <w:rFonts w:ascii="Times New Roman" w:cs="Times New Roman" w:eastAsia="Times New Roman" w:hAnsi="Times New Roman"/>
          <w:sz w:val="14"/>
          <w:szCs w:val="14"/>
          <w:color w:val="auto"/>
        </w:rPr>
      </w:pPr>
    </w:p>
    <w:p>
      <w:pPr>
        <w:ind w:firstLine="391"/>
        <w:spacing w:after="0" w:line="294" w:lineRule="auto"/>
        <w:tabs>
          <w:tab w:leader="none" w:pos="689"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Securities issued upon any registration of transfer or exchange of Securities shall be valid obligations of the Company evidencing the same debt, and entitled to the same benefits under this Indenture, as the Securities surrendered for such registration of transfer or exchange.</w:t>
      </w:r>
    </w:p>
    <w:p>
      <w:pPr>
        <w:spacing w:after="0" w:line="122" w:lineRule="exact"/>
        <w:rPr>
          <w:rFonts w:ascii="Times New Roman" w:cs="Times New Roman" w:eastAsia="Times New Roman" w:hAnsi="Times New Roman"/>
          <w:sz w:val="14"/>
          <w:szCs w:val="14"/>
          <w:color w:val="auto"/>
        </w:rPr>
      </w:pPr>
    </w:p>
    <w:p>
      <w:pPr>
        <w:jc w:val="both"/>
        <w:ind w:firstLine="391"/>
        <w:spacing w:after="0" w:line="275" w:lineRule="auto"/>
        <w:tabs>
          <w:tab w:leader="none" w:pos="736"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Every Security presented or surrendered for registration of transfer, or for exchange or payment shall (if so required by the Company, the Trustee or the Registrar) be duly endorsed, or be accompanied by a written instrument or instruments of transfer in form satisfactory to the Company, the Trustee and the Registrar, duly executed by the Holder thereof or by his, her or its attorney duly authorized in writing.</w:t>
      </w:r>
    </w:p>
    <w:p>
      <w:pPr>
        <w:spacing w:after="0" w:line="135" w:lineRule="exact"/>
        <w:rPr>
          <w:rFonts w:ascii="Times New Roman" w:cs="Times New Roman" w:eastAsia="Times New Roman" w:hAnsi="Times New Roman"/>
          <w:sz w:val="14"/>
          <w:szCs w:val="14"/>
          <w:color w:val="auto"/>
        </w:rPr>
      </w:pPr>
    </w:p>
    <w:p>
      <w:pPr>
        <w:jc w:val="both"/>
        <w:ind w:firstLine="391"/>
        <w:spacing w:after="0" w:line="275" w:lineRule="auto"/>
        <w:tabs>
          <w:tab w:leader="none" w:pos="718"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service charge will be made for any registration of transfer or exchange of Securities. The Company or the Trustee may require payment of a sum sufficient to cover any tax, assessment or other governmental charge that may be imposed in connection with any registration of transfer or exchange of Securities, other than those expressly provided in this Indenture to be made at the Company’s own expense or without expense or charge to the Holders.</w:t>
      </w:r>
    </w:p>
    <w:p>
      <w:pPr>
        <w:spacing w:after="0" w:line="135" w:lineRule="exact"/>
        <w:rPr>
          <w:rFonts w:ascii="Times New Roman" w:cs="Times New Roman" w:eastAsia="Times New Roman" w:hAnsi="Times New Roman"/>
          <w:sz w:val="14"/>
          <w:szCs w:val="14"/>
          <w:color w:val="auto"/>
        </w:rPr>
      </w:pPr>
    </w:p>
    <w:p>
      <w:pPr>
        <w:jc w:val="both"/>
        <w:ind w:firstLine="391"/>
        <w:spacing w:after="0" w:line="267" w:lineRule="auto"/>
        <w:tabs>
          <w:tab w:leader="none" w:pos="679"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not be required to (i) register, transfer or exchange Securities of any series during a period beginning at the opening of business 15 days before the day of the transmission of a notice of redemption of Securities of such series selected for redemption under Section 4.03 and ending at the close of business on the day of such transmission, or</w:t>
      </w:r>
    </w:p>
    <w:p>
      <w:pPr>
        <w:ind w:left="220" w:hanging="217"/>
        <w:spacing w:after="0"/>
        <w:tabs>
          <w:tab w:leader="none" w:pos="2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transfer or exchange any Security so selected for redemption in whole or in part, except the unredeemed portion of any Security being redeemed in part.</w:t>
      </w:r>
    </w:p>
    <w:p>
      <w:pPr>
        <w:spacing w:after="0" w:line="17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71120</wp:posOffset>
            </wp:positionV>
            <wp:extent cx="7160260" cy="139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0760"/>
          </w:cols>
          <w:pgMar w:left="820" w:top="491" w:right="319" w:bottom="1440" w:gutter="0" w:footer="0" w:header="0"/>
        </w:sectPr>
      </w:pPr>
    </w:p>
    <w:bookmarkStart w:id="54" w:name="page55"/>
    <w:bookmarkEnd w:id="54"/>
    <w:p>
      <w:pPr>
        <w:jc w:val="both"/>
        <w:ind w:firstLine="391"/>
        <w:spacing w:after="0" w:line="269" w:lineRule="auto"/>
        <w:tabs>
          <w:tab w:leader="none" w:pos="668"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due presentation for registration of transfer or exchange of any Security, the Company, the Trustee, the Paying Agent, the Registrar, any co-Registrar or any of their agents may deem and treat the Person in whose name a Security is registered as the absolute owner of such Security (whether or not such Security shall be overdue and notwithstanding any notation of ownership or other writing thereon) for all purposes whatsoever, and none of the Company, the Trustee, the Paying Agent, the Registrar, any co-Registrar or any of their agents shall be affected by any notice to the contrary.</w:t>
      </w:r>
    </w:p>
    <w:p>
      <w:pPr>
        <w:spacing w:after="0" w:line="139" w:lineRule="exact"/>
        <w:rPr>
          <w:rFonts w:ascii="Times New Roman" w:cs="Times New Roman" w:eastAsia="Times New Roman" w:hAnsi="Times New Roman"/>
          <w:sz w:val="14"/>
          <w:szCs w:val="14"/>
          <w:color w:val="auto"/>
        </w:rPr>
      </w:pPr>
    </w:p>
    <w:p>
      <w:pPr>
        <w:jc w:val="both"/>
        <w:ind w:firstLine="391"/>
        <w:spacing w:after="0" w:line="263" w:lineRule="auto"/>
        <w:tabs>
          <w:tab w:leader="none" w:pos="793"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a successor Company (“Successor Company”) has executed an indenture supplemental hereto with the Trustee pursuant to Article XIV, any of the Securities authenticated or delivered pursuant to such transaction may, from time to time, at the request of the Successor Company, be exchanged for other Securities executed in the name of the Successor Company with such changes in phraseology and form as may be appropriate, but otherwise identical to the Securities surrendered for such exchange and of like principal amount; and the Trustee, upon Company Order of the Successor Company, shall authenticate and deliver Securities as specified in such order for the purpose of such exchange. If Securities shall at any time be authenticated and delivered in any new name of a Successor Company pursuant to this Section 3.06 in exchange or substitution for or upon registration of transfer of any Securities, such Successor Company, at the option of the Holders but without expense to them, shall provide for the exchange of all Securities at the time Outstanding for Securities authenticated and delivered in such new name.</w:t>
      </w:r>
    </w:p>
    <w:p>
      <w:pPr>
        <w:spacing w:after="0" w:line="143" w:lineRule="exact"/>
        <w:rPr>
          <w:rFonts w:ascii="Times New Roman" w:cs="Times New Roman" w:eastAsia="Times New Roman" w:hAnsi="Times New Roman"/>
          <w:sz w:val="14"/>
          <w:szCs w:val="14"/>
          <w:color w:val="auto"/>
        </w:rPr>
      </w:pPr>
    </w:p>
    <w:p>
      <w:pPr>
        <w:ind w:firstLine="391"/>
        <w:spacing w:after="0" w:line="294" w:lineRule="auto"/>
        <w:tabs>
          <w:tab w:leader="none" w:pos="693"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Holder of a Security agrees to indemnify the Company and the Trustee against any liability that may result from the transfer, exchange or assignment of such Holder’s Security in violation of any provision of this Indenture and/or applicable United States federal or state securities laws.</w:t>
      </w:r>
    </w:p>
    <w:p>
      <w:pPr>
        <w:spacing w:after="0" w:line="122" w:lineRule="exact"/>
        <w:rPr>
          <w:rFonts w:ascii="Times New Roman" w:cs="Times New Roman" w:eastAsia="Times New Roman" w:hAnsi="Times New Roman"/>
          <w:sz w:val="14"/>
          <w:szCs w:val="14"/>
          <w:color w:val="auto"/>
        </w:rPr>
      </w:pPr>
    </w:p>
    <w:p>
      <w:pPr>
        <w:jc w:val="both"/>
        <w:ind w:firstLine="391"/>
        <w:spacing w:after="0" w:line="269" w:lineRule="auto"/>
        <w:tabs>
          <w:tab w:leader="none" w:pos="803"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members of, or participants in the Depositary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39" w:lineRule="exact"/>
        <w:rPr>
          <w:rFonts w:ascii="Times New Roman" w:cs="Times New Roman" w:eastAsia="Times New Roman" w:hAnsi="Times New Roman"/>
          <w:sz w:val="14"/>
          <w:szCs w:val="14"/>
          <w:color w:val="auto"/>
        </w:rPr>
      </w:pPr>
    </w:p>
    <w:p>
      <w:pPr>
        <w:ind w:left="700" w:hanging="309"/>
        <w:spacing w:after="0"/>
        <w:tabs>
          <w:tab w:leader="none" w:pos="7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Trustee nor any agent of the Trustee shall have any responsibility for any actions taken or not taken by the Depositary.</w:t>
      </w:r>
    </w:p>
    <w:p>
      <w:pPr>
        <w:spacing w:after="0" w:line="18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71120</wp:posOffset>
            </wp:positionV>
            <wp:extent cx="7160260" cy="139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0760"/>
          </w:cols>
          <w:pgMar w:left="820" w:top="491" w:right="319" w:bottom="1440" w:gutter="0" w:footer="0" w:header="0"/>
        </w:sectPr>
      </w:pPr>
    </w:p>
    <w:bookmarkStart w:id="55" w:name="page56"/>
    <w:bookmarkEnd w:id="55"/>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3.07</w:t>
      </w:r>
      <w:r>
        <w:rPr>
          <w:sz w:val="20"/>
          <w:szCs w:val="20"/>
          <w:color w:val="auto"/>
        </w:rPr>
        <w:tab/>
      </w:r>
      <w:r>
        <w:rPr>
          <w:rFonts w:ascii="Times New Roman" w:cs="Times New Roman" w:eastAsia="Times New Roman" w:hAnsi="Times New Roman"/>
          <w:sz w:val="14"/>
          <w:szCs w:val="14"/>
          <w:u w:val="single" w:color="auto"/>
          <w:color w:val="auto"/>
        </w:rPr>
        <w:t>Mutilated, Destroyed, Lost and Stolen Securities.</w:t>
      </w:r>
    </w:p>
    <w:p>
      <w:pPr>
        <w:spacing w:after="0" w:line="184" w:lineRule="exact"/>
        <w:rPr>
          <w:sz w:val="20"/>
          <w:szCs w:val="20"/>
          <w:color w:val="auto"/>
        </w:rPr>
      </w:pPr>
    </w:p>
    <w:p>
      <w:pPr>
        <w:jc w:val="both"/>
        <w:ind w:left="520" w:firstLine="391"/>
        <w:spacing w:after="0" w:line="266" w:lineRule="auto"/>
        <w:tabs>
          <w:tab w:leader="none" w:pos="1281"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(i) any mutilated Security is surrendered to the Trustee at its Corporate Trust Office or (ii) the Company and the Trustee receive evidence to their satisfaction of the destruction, loss or theft of any Security, and there is delivered to the Company and the Trustee security or indemnity satisfactory to them to save each of them and any Paying Agent harmless, and neither the Company nor the Trustee receives notice that such Security has been acquired by a protected purchaser, then the Company shall execute and upon Company Order the Trustee shall authenticate and deliver, in exchange for or in lieu of any such mutilated, destroyed, lost or stolen Security, a new Security of the same series and of like tenor, form, terms and principal amount, bearing a number not contemporaneously outstanding, that neither gain nor loss in interest shall result from such exchange or substitution.</w:t>
      </w:r>
    </w:p>
    <w:p>
      <w:pPr>
        <w:spacing w:after="0" w:line="141" w:lineRule="exact"/>
        <w:rPr>
          <w:rFonts w:ascii="Times New Roman" w:cs="Times New Roman" w:eastAsia="Times New Roman" w:hAnsi="Times New Roman"/>
          <w:sz w:val="14"/>
          <w:szCs w:val="14"/>
          <w:color w:val="auto"/>
        </w:rPr>
      </w:pPr>
    </w:p>
    <w:p>
      <w:pPr>
        <w:ind w:left="520" w:firstLine="391"/>
        <w:spacing w:after="0" w:line="294" w:lineRule="auto"/>
        <w:tabs>
          <w:tab w:leader="none" w:pos="1235"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any such mutilated, destroyed, lost or stolen Security has become or is about to become due and payable, the Company in its discretion may, instead of issuing a new Security, pay the amount due on such Security in accordance with its terms.</w:t>
      </w:r>
    </w:p>
    <w:p>
      <w:pPr>
        <w:spacing w:after="0" w:line="122" w:lineRule="exact"/>
        <w:rPr>
          <w:rFonts w:ascii="Times New Roman" w:cs="Times New Roman" w:eastAsia="Times New Roman" w:hAnsi="Times New Roman"/>
          <w:sz w:val="14"/>
          <w:szCs w:val="14"/>
          <w:color w:val="auto"/>
        </w:rPr>
      </w:pPr>
    </w:p>
    <w:p>
      <w:pPr>
        <w:ind w:left="520" w:firstLine="391"/>
        <w:spacing w:after="0" w:line="294" w:lineRule="auto"/>
        <w:tabs>
          <w:tab w:leader="none" w:pos="1225"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issuance of any new Security under this Section, the Company may require the payment of a sum sufficient to cover any tax or other governmental charge that may be imposed in respect thereto and any other expenses (including the fees and expenses of the Trustee) connected therewith.</w:t>
      </w:r>
    </w:p>
    <w:p>
      <w:pPr>
        <w:spacing w:after="0" w:line="122" w:lineRule="exact"/>
        <w:rPr>
          <w:rFonts w:ascii="Times New Roman" w:cs="Times New Roman" w:eastAsia="Times New Roman" w:hAnsi="Times New Roman"/>
          <w:sz w:val="14"/>
          <w:szCs w:val="14"/>
          <w:color w:val="auto"/>
        </w:rPr>
      </w:pPr>
    </w:p>
    <w:p>
      <w:pPr>
        <w:jc w:val="both"/>
        <w:ind w:left="520" w:firstLine="391"/>
        <w:spacing w:after="0" w:line="275" w:lineRule="auto"/>
        <w:tabs>
          <w:tab w:leader="none" w:pos="125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Every new Security of any series issued pursuant to this Section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35" w:lineRule="exact"/>
        <w:rPr>
          <w:rFonts w:ascii="Times New Roman" w:cs="Times New Roman" w:eastAsia="Times New Roman" w:hAnsi="Times New Roman"/>
          <w:sz w:val="14"/>
          <w:szCs w:val="14"/>
          <w:color w:val="auto"/>
        </w:rPr>
      </w:pPr>
    </w:p>
    <w:p>
      <w:pPr>
        <w:ind w:left="520" w:firstLine="391"/>
        <w:spacing w:after="0" w:line="294" w:lineRule="auto"/>
        <w:tabs>
          <w:tab w:leader="none" w:pos="1244"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of this Section are exclusive and shall preclude (to the extent lawful) all other rights and remedies with respect to the replacement or payment of mutilated, destroyed, lost or stolen Securities.</w:t>
      </w:r>
    </w:p>
    <w:p>
      <w:pPr>
        <w:spacing w:after="0" w:line="12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3.08</w:t>
      </w:r>
      <w:r>
        <w:rPr>
          <w:sz w:val="20"/>
          <w:szCs w:val="20"/>
          <w:color w:val="auto"/>
        </w:rPr>
        <w:tab/>
      </w:r>
      <w:r>
        <w:rPr>
          <w:rFonts w:ascii="Times New Roman" w:cs="Times New Roman" w:eastAsia="Times New Roman" w:hAnsi="Times New Roman"/>
          <w:sz w:val="14"/>
          <w:szCs w:val="14"/>
          <w:u w:val="single" w:color="auto"/>
          <w:color w:val="auto"/>
        </w:rPr>
        <w:t>Payment of Interest; Interest Rights Preserved.</w:t>
      </w:r>
    </w:p>
    <w:p>
      <w:pPr>
        <w:spacing w:after="0" w:line="184" w:lineRule="exact"/>
        <w:rPr>
          <w:sz w:val="20"/>
          <w:szCs w:val="20"/>
          <w:color w:val="auto"/>
        </w:rPr>
      </w:pPr>
    </w:p>
    <w:p>
      <w:pPr>
        <w:jc w:val="both"/>
        <w:ind w:left="520" w:firstLine="391"/>
        <w:spacing w:after="0" w:line="266" w:lineRule="auto"/>
        <w:tabs>
          <w:tab w:leader="none" w:pos="1227"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on any Security that is payable and is punctually paid or duly provided for on any Interest Payment Date shall be paid to the Person in whose name such Security (or one or more Predecessor Securities) is registered at the close of business on the Record Date for such interest notwithstanding the cancellation of such Security upon any transfer or exchange subsequent to the Record Date. Payment of interest on Securities shall be made at the Corporate Trust Office (except as otherwise specified pursuant to Section 3.01) or, at the option of the Company, by check mailed to the address of the Person entitled thereto as such address shall appear in the Register or, in accordance with arrangements satisfactory to the Trustee, by wire transfer to an account designated by the Holder.</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56" w:name="page57"/>
    <w:bookmarkEnd w:id="56"/>
    <w:p>
      <w:pPr>
        <w:jc w:val="both"/>
        <w:ind w:left="520" w:firstLine="391"/>
        <w:spacing w:after="0" w:line="275" w:lineRule="auto"/>
        <w:tabs>
          <w:tab w:leader="none" w:pos="123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interest on any Security that is payable but is not punctually paid or duly provided for on any Interest Payment Date (herein called “Defaulted Interest”) shall forthwith cease to be payable to the Holder on the relevant Record Date by virtue of his, her or its having been such a Holder, and such Defaulted Interest may be paid by the Company, at its election in each case, as provided in clause (i) or (ii) below:</w:t>
      </w:r>
    </w:p>
    <w:p>
      <w:pPr>
        <w:spacing w:after="0" w:line="135" w:lineRule="exact"/>
        <w:rPr>
          <w:rFonts w:ascii="Times New Roman" w:cs="Times New Roman" w:eastAsia="Times New Roman" w:hAnsi="Times New Roman"/>
          <w:sz w:val="14"/>
          <w:szCs w:val="14"/>
          <w:color w:val="auto"/>
        </w:rPr>
      </w:pPr>
    </w:p>
    <w:p>
      <w:pPr>
        <w:jc w:val="both"/>
        <w:ind w:left="920" w:firstLine="378"/>
        <w:spacing w:after="0" w:line="260" w:lineRule="auto"/>
        <w:tabs>
          <w:tab w:leader="none" w:pos="1643"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elect to make payment of any Defaulted Interest to the Persons in whose names such Securities (or their respective Predecessor Securities) are registered at the close of business on a special record date for the payment of such Defaulted Interest (a “Special Record Date”),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calendar days and not less than 10 calendar days prior to the date of the proposed payment and not less than 10 calendar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the Holders of such Securities at their addresses as they appear in the Register, not less than 10 calendar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at the close of business on such Special Record Date and shall no longer be payable pursuant to the following clause (ii).</w:t>
      </w:r>
    </w:p>
    <w:p>
      <w:pPr>
        <w:spacing w:after="0" w:line="147" w:lineRule="exact"/>
        <w:rPr>
          <w:rFonts w:ascii="Times New Roman" w:cs="Times New Roman" w:eastAsia="Times New Roman" w:hAnsi="Times New Roman"/>
          <w:sz w:val="14"/>
          <w:szCs w:val="14"/>
          <w:color w:val="auto"/>
        </w:rPr>
      </w:pPr>
    </w:p>
    <w:p>
      <w:pPr>
        <w:jc w:val="both"/>
        <w:ind w:left="920" w:firstLine="378"/>
        <w:spacing w:after="0" w:line="275" w:lineRule="auto"/>
        <w:tabs>
          <w:tab w:leader="none" w:pos="1633"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make payment of any Defaulted Interest on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35" w:lineRule="exact"/>
        <w:rPr>
          <w:rFonts w:ascii="Times New Roman" w:cs="Times New Roman" w:eastAsia="Times New Roman" w:hAnsi="Times New Roman"/>
          <w:sz w:val="14"/>
          <w:szCs w:val="14"/>
          <w:color w:val="auto"/>
        </w:rPr>
      </w:pPr>
    </w:p>
    <w:p>
      <w:pPr>
        <w:ind w:left="520" w:firstLine="391"/>
        <w:spacing w:after="0" w:line="294" w:lineRule="auto"/>
        <w:tabs>
          <w:tab w:leader="none" w:pos="1223"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provisions set forth herein relating to Record Dates, each Security delivered pursuant to any provision of this Indenture in exchange or substitution for, or upon registration of transfer of, any other Security shall carry all the rights to interest accrued and unpaid, and to accrue, which were carried by such other Security.</w:t>
      </w:r>
    </w:p>
    <w:p>
      <w:pPr>
        <w:spacing w:after="0" w:line="12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3.09</w:t>
      </w:r>
      <w:r>
        <w:rPr>
          <w:sz w:val="20"/>
          <w:szCs w:val="20"/>
          <w:color w:val="auto"/>
        </w:rPr>
        <w:tab/>
      </w:r>
      <w:r>
        <w:rPr>
          <w:rFonts w:ascii="Times New Roman" w:cs="Times New Roman" w:eastAsia="Times New Roman" w:hAnsi="Times New Roman"/>
          <w:sz w:val="14"/>
          <w:szCs w:val="14"/>
          <w:u w:val="single" w:color="auto"/>
          <w:color w:val="auto"/>
        </w:rPr>
        <w:t>Cancellation.</w:t>
      </w:r>
    </w:p>
    <w:p>
      <w:pPr>
        <w:spacing w:after="0" w:line="184" w:lineRule="exact"/>
        <w:rPr>
          <w:sz w:val="20"/>
          <w:szCs w:val="20"/>
          <w:color w:val="auto"/>
        </w:rPr>
      </w:pPr>
    </w:p>
    <w:p>
      <w:pPr>
        <w:jc w:val="both"/>
        <w:ind w:firstLine="517"/>
        <w:spacing w:after="0" w:line="263" w:lineRule="auto"/>
        <w:rPr>
          <w:sz w:val="20"/>
          <w:szCs w:val="20"/>
          <w:color w:val="auto"/>
        </w:rPr>
      </w:pPr>
      <w:r>
        <w:rPr>
          <w:rFonts w:ascii="Times New Roman" w:cs="Times New Roman" w:eastAsia="Times New Roman" w:hAnsi="Times New Roman"/>
          <w:sz w:val="14"/>
          <w:szCs w:val="14"/>
          <w:color w:val="auto"/>
        </w:rPr>
        <w:t>Unless otherwise specified pursuant to Section 3.01 for Securities of any series, all Securities surrendered for payment, redemption, registration of transfer or exchange or credit against any sinking fund or otherwise shall, if surrendered to any Person other than the Trustee, be delivered to the Trustee for cancellation and shall be promptly canceled by it and, if surrendered to the Trustee, shall be promptly canceled by it. The Company may at any time deliver to the Trustee for cancellation any Securities previously authenticated and delivered hereunder that the Company may have acquired in any manner whatsoever, and all Securities so delivered shall be promptly canceled by the Trustee. No Securities shall be authenticated in lieu of or in exchange for any Securities canceled as provided in this Section, except as expressly permitted by this Indenture. The Trustee shall dispose of all canceled Securities held by it in accordance with its then customary procedures and deliver a certificate of such disposal to the Company upon its request therefor. The acquisition of any Securities by the Company shall not operate as a redemption or satisfaction of the Indebtedness represented thereby unless and until such Securities are surrendered to the Trustee for cancellation.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57" w:name="page58"/>
    <w:bookmarkEnd w:id="57"/>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3.10</w:t>
      </w:r>
      <w:r>
        <w:rPr>
          <w:sz w:val="20"/>
          <w:szCs w:val="20"/>
          <w:color w:val="auto"/>
        </w:rPr>
        <w:tab/>
      </w:r>
      <w:r>
        <w:rPr>
          <w:rFonts w:ascii="Times New Roman" w:cs="Times New Roman" w:eastAsia="Times New Roman" w:hAnsi="Times New Roman"/>
          <w:sz w:val="14"/>
          <w:szCs w:val="14"/>
          <w:u w:val="single" w:color="auto"/>
          <w:color w:val="auto"/>
        </w:rPr>
        <w:t>Computation of Interest.</w:t>
      </w:r>
    </w:p>
    <w:p>
      <w:pPr>
        <w:spacing w:after="0" w:line="184" w:lineRule="exact"/>
        <w:rPr>
          <w:sz w:val="20"/>
          <w:szCs w:val="20"/>
          <w:color w:val="auto"/>
        </w:rPr>
      </w:pPr>
    </w:p>
    <w:p>
      <w:pPr>
        <w:ind w:firstLine="517"/>
        <w:spacing w:after="0" w:line="294" w:lineRule="auto"/>
        <w:rPr>
          <w:sz w:val="20"/>
          <w:szCs w:val="20"/>
          <w:color w:val="auto"/>
        </w:rPr>
      </w:pPr>
      <w:r>
        <w:rPr>
          <w:rFonts w:ascii="Times New Roman" w:cs="Times New Roman" w:eastAsia="Times New Roman" w:hAnsi="Times New Roman"/>
          <w:sz w:val="14"/>
          <w:szCs w:val="14"/>
          <w:color w:val="auto"/>
        </w:rPr>
        <w:t>Except as otherwise specified pursuant to Section 3.01 for Securities of any series, interest on the Securities of each series shall be computed on the basis of a 360-day year of twelve 30-day months.</w:t>
      </w:r>
    </w:p>
    <w:p>
      <w:pPr>
        <w:spacing w:after="0" w:line="12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3.11</w:t>
      </w:r>
      <w:r>
        <w:rPr>
          <w:sz w:val="20"/>
          <w:szCs w:val="20"/>
          <w:color w:val="auto"/>
        </w:rPr>
        <w:tab/>
      </w:r>
      <w:r>
        <w:rPr>
          <w:rFonts w:ascii="Times New Roman" w:cs="Times New Roman" w:eastAsia="Times New Roman" w:hAnsi="Times New Roman"/>
          <w:sz w:val="14"/>
          <w:szCs w:val="14"/>
          <w:u w:val="single" w:color="auto"/>
          <w:color w:val="auto"/>
        </w:rPr>
        <w:t>Currency of Payments in Respect of Securities.</w:t>
      </w:r>
    </w:p>
    <w:p>
      <w:pPr>
        <w:spacing w:after="0" w:line="184" w:lineRule="exact"/>
        <w:rPr>
          <w:sz w:val="20"/>
          <w:szCs w:val="20"/>
          <w:color w:val="auto"/>
        </w:rPr>
      </w:pPr>
    </w:p>
    <w:p>
      <w:pPr>
        <w:ind w:left="520" w:firstLine="391"/>
        <w:spacing w:after="0" w:line="294" w:lineRule="auto"/>
        <w:tabs>
          <w:tab w:leader="none" w:pos="123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specified pursuant to Section 3.01 for Securities of any series, payment of the principal of and premium, if any, and interest on Securities of such series will be made in U.S. Dollars.</w:t>
      </w:r>
    </w:p>
    <w:p>
      <w:pPr>
        <w:spacing w:after="0" w:line="122" w:lineRule="exact"/>
        <w:rPr>
          <w:rFonts w:ascii="Times New Roman" w:cs="Times New Roman" w:eastAsia="Times New Roman" w:hAnsi="Times New Roman"/>
          <w:sz w:val="14"/>
          <w:szCs w:val="14"/>
          <w:color w:val="auto"/>
        </w:rPr>
      </w:pPr>
    </w:p>
    <w:p>
      <w:pPr>
        <w:jc w:val="both"/>
        <w:ind w:left="520" w:firstLine="391"/>
        <w:spacing w:after="0" w:line="266" w:lineRule="auto"/>
        <w:tabs>
          <w:tab w:leader="none" w:pos="1224"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any provision of the Indenture where the Holders of Outstanding Securities may perform an action that requires that a specified percentage of the Outstanding Securities of all series perform such action and for purposes of any decision or determination by the Trustee of amounts due and unpaid for the principal of and premium, if any, and interest on the Securities of all series in respect of which moneys are to be disbursed ratably, the principal of and premium, if any, and interest on the Outstanding Securities denominated in a Foreign Currency will be the amount in U.S. Dollars based upon exchange rates, determined as specified pursuant to Section 3.01 for Securities of such series, as of the date for determining whether the Holders entitled to perform such action have performed it or as of the date of such decision or determination by the Trustee, as the case may be.</w:t>
      </w:r>
    </w:p>
    <w:p>
      <w:pPr>
        <w:spacing w:after="0" w:line="141" w:lineRule="exact"/>
        <w:rPr>
          <w:rFonts w:ascii="Times New Roman" w:cs="Times New Roman" w:eastAsia="Times New Roman" w:hAnsi="Times New Roman"/>
          <w:sz w:val="14"/>
          <w:szCs w:val="14"/>
          <w:color w:val="auto"/>
        </w:rPr>
      </w:pPr>
    </w:p>
    <w:p>
      <w:pPr>
        <w:jc w:val="both"/>
        <w:ind w:left="520" w:firstLine="391"/>
        <w:spacing w:after="0" w:line="269" w:lineRule="auto"/>
        <w:tabs>
          <w:tab w:leader="none" w:pos="127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decision or determination to be made regarding exchange rates shall be made by an agent appointed by the Company; provided, that such agent shall accept such appointment in writing and the terms of such appointment shall, in the opinion of the Company at the time of such appointment, require such agent to make such determination by a method consistent with the method provided pursuant to Section 3.01 for the making of such decision or determination. All decisions and determinations of such agent regarding exchange rates shall, in the absence of manifest error, be conclusive for all purposes and irrevocably binding upon the Company, the Trustee and all Holders of the Securities.</w:t>
      </w:r>
    </w:p>
    <w:p>
      <w:pPr>
        <w:spacing w:after="0" w:line="14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3.12</w:t>
      </w:r>
      <w:r>
        <w:rPr>
          <w:sz w:val="20"/>
          <w:szCs w:val="20"/>
          <w:color w:val="auto"/>
        </w:rPr>
        <w:tab/>
      </w:r>
      <w:r>
        <w:rPr>
          <w:rFonts w:ascii="Times New Roman" w:cs="Times New Roman" w:eastAsia="Times New Roman" w:hAnsi="Times New Roman"/>
          <w:sz w:val="14"/>
          <w:szCs w:val="14"/>
          <w:u w:val="single" w:color="auto"/>
          <w:color w:val="auto"/>
        </w:rPr>
        <w:t>Judgments.</w:t>
      </w:r>
    </w:p>
    <w:p>
      <w:pPr>
        <w:spacing w:after="0" w:line="184" w:lineRule="exact"/>
        <w:rPr>
          <w:sz w:val="20"/>
          <w:szCs w:val="20"/>
          <w:color w:val="auto"/>
        </w:rPr>
      </w:pPr>
    </w:p>
    <w:p>
      <w:pPr>
        <w:jc w:val="both"/>
        <w:ind w:firstLine="517"/>
        <w:spacing w:after="0" w:line="261" w:lineRule="auto"/>
        <w:rPr>
          <w:sz w:val="20"/>
          <w:szCs w:val="20"/>
          <w:color w:val="auto"/>
        </w:rPr>
      </w:pPr>
      <w:r>
        <w:rPr>
          <w:rFonts w:ascii="Times New Roman" w:cs="Times New Roman" w:eastAsia="Times New Roman" w:hAnsi="Times New Roman"/>
          <w:sz w:val="14"/>
          <w:szCs w:val="14"/>
          <w:color w:val="auto"/>
        </w:rPr>
        <w:t>The Company may provide pursuant to Section 3.01 for Securities of any series that (a) the obligation, if any, of the Company to pay the principal of, premium, if any, and interest on the Securities of any series in a Foreign Currency or U.S. Dollars (the “Designated Currency”) as may be specified pursuant to Section 3.01 is of the essence and agrees that, to the fullest extent possible under applicable law, judgments in respect of such Securities shall be given in the Designated Currency; (b) the obligation of the Company to make payments in the Designated Currency of the principal of and premium, if any, and interest on such Securities shall, notwithstanding any payment in any other Currency (whether pursuant to a judgment or otherwise), be discharged only to the extent of the amount in the Designated Currency that the Holder receiving such payment may, in accordance with normal banking procedures, purchase with the sum paid in such other Currency (after any premium and cost of exchange) on the business day in the country of issue of the Designated Currency or in the international banking community (in the case of a composite currency) immediately following the day on which such Holder receives such payment; (c) if the amount in the Designated Currency that may be so purchased for any reason falls short of the amount originally due, the Company shall pay such additional amounts as may be necessary to compensate for such shortfall; and (d) any obligation of the Company not discharged by such payment shall be due as a separate and independent obligation and, until discharged as provided herein, shall continue in full force and effect.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58" w:name="page59"/>
    <w:bookmarkEnd w:id="58"/>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3.13</w:t>
      </w:r>
      <w:r>
        <w:rPr>
          <w:sz w:val="20"/>
          <w:szCs w:val="20"/>
          <w:color w:val="auto"/>
        </w:rPr>
        <w:tab/>
      </w:r>
      <w:r>
        <w:rPr>
          <w:rFonts w:ascii="Times New Roman" w:cs="Times New Roman" w:eastAsia="Times New Roman" w:hAnsi="Times New Roman"/>
          <w:sz w:val="14"/>
          <w:szCs w:val="14"/>
          <w:u w:val="single" w:color="auto"/>
          <w:color w:val="auto"/>
        </w:rPr>
        <w:t>CUSIP Numbers.</w:t>
      </w:r>
    </w:p>
    <w:p>
      <w:pPr>
        <w:spacing w:after="0" w:line="184" w:lineRule="exact"/>
        <w:rPr>
          <w:sz w:val="20"/>
          <w:szCs w:val="20"/>
          <w:color w:val="auto"/>
        </w:rPr>
      </w:pPr>
    </w:p>
    <w:p>
      <w:pPr>
        <w:jc w:val="both"/>
        <w:ind w:firstLine="517"/>
        <w:spacing w:after="0" w:line="269" w:lineRule="auto"/>
        <w:rPr>
          <w:sz w:val="20"/>
          <w:szCs w:val="20"/>
          <w:color w:val="auto"/>
        </w:rPr>
      </w:pPr>
      <w:r>
        <w:rPr>
          <w:rFonts w:ascii="Times New Roman" w:cs="Times New Roman" w:eastAsia="Times New Roman" w:hAnsi="Times New Roman"/>
          <w:sz w:val="14"/>
          <w:szCs w:val="14"/>
          <w:color w:val="auto"/>
        </w:rPr>
        <w:t>The Company in issuing any Securities may use CUSIP, ISIN or other similar numbers, if then generally in use, and thereafter with respect to such series, the Trustee may use such numbers in any notice of redemption or exchange with respect to such series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in writing of any change in the CUSIP, ISIN or other similar numbers.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REDEMPTION OF SECURITIES</w:t>
      </w:r>
    </w:p>
    <w:p>
      <w:pPr>
        <w:spacing w:after="0" w:line="17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4.01</w:t>
      </w:r>
      <w:r>
        <w:rPr>
          <w:sz w:val="20"/>
          <w:szCs w:val="20"/>
          <w:color w:val="auto"/>
        </w:rPr>
        <w:tab/>
      </w:r>
      <w:r>
        <w:rPr>
          <w:rFonts w:ascii="Times New Roman" w:cs="Times New Roman" w:eastAsia="Times New Roman" w:hAnsi="Times New Roman"/>
          <w:sz w:val="14"/>
          <w:szCs w:val="14"/>
          <w:u w:val="single" w:color="auto"/>
          <w:color w:val="auto"/>
        </w:rPr>
        <w:t>Applicability of Right of Redemption.</w:t>
      </w:r>
    </w:p>
    <w:p>
      <w:pPr>
        <w:spacing w:after="0" w:line="184"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Redemption of Securities (other than pursuant to a sinking fund, amortization or analogous provision) permitted by the terms of any series of Securities shall be made (except as otherwise specified pursuant to Section 3.01 for Securities of any series) in accordance with this Article; provided, however, that if any such terms of a series of Securities shall conflict with any provision of this Article, the terms of such series shall govern.</w:t>
      </w:r>
    </w:p>
    <w:p>
      <w:pPr>
        <w:spacing w:after="0" w:line="13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4.02</w:t>
      </w:r>
      <w:r>
        <w:rPr>
          <w:sz w:val="20"/>
          <w:szCs w:val="20"/>
          <w:color w:val="auto"/>
        </w:rPr>
        <w:tab/>
      </w:r>
      <w:r>
        <w:rPr>
          <w:rFonts w:ascii="Times New Roman" w:cs="Times New Roman" w:eastAsia="Times New Roman" w:hAnsi="Times New Roman"/>
          <w:sz w:val="14"/>
          <w:szCs w:val="14"/>
          <w:u w:val="single" w:color="auto"/>
          <w:color w:val="auto"/>
        </w:rPr>
        <w:t>Selection of Securities to be Redeemed.</w:t>
      </w:r>
    </w:p>
    <w:p>
      <w:pPr>
        <w:spacing w:after="0" w:line="184" w:lineRule="exact"/>
        <w:rPr>
          <w:sz w:val="20"/>
          <w:szCs w:val="20"/>
          <w:color w:val="auto"/>
        </w:rPr>
      </w:pPr>
    </w:p>
    <w:p>
      <w:pPr>
        <w:jc w:val="both"/>
        <w:ind w:left="520" w:firstLine="391"/>
        <w:spacing w:after="0" w:line="263" w:lineRule="auto"/>
        <w:tabs>
          <w:tab w:leader="none" w:pos="1214"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shall at any time elect to redeem all or any portion of the Securities of a series then Outstanding, it shall at least 45 days prior to the Redemption Date fixed by the Company (unless a shorter period shall be satisfactory to the Trustee) notify the Trustee of (i) such Redemption Date, (ii) the Section of this Indenture pursuant to which the redemption shall occur, (iii) the Redemption Price, and (iv) the principal amount of Securities to be redeemed, and thereupon the Trustee shall select, by lot or in such other manner as the Trustee shall deem appropriate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In any case where more than one Security of such series is registered in the same name, the Trustee may treat the aggregate principal amount so registered as if it were represented by one Security of such series. The Trustee shall, as soon as practicable, notify the Company in writing of the Securities and portions of Securities so selected.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59" w:name="page60"/>
    <w:bookmarkEnd w:id="59"/>
    <w:p>
      <w:pPr>
        <w:jc w:val="both"/>
        <w:ind w:left="520" w:firstLine="391"/>
        <w:spacing w:after="0" w:line="275" w:lineRule="auto"/>
        <w:tabs>
          <w:tab w:leader="none" w:pos="1295"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that has been or is to be redeemed. If the Company shall so direct, Securities registered in the name of the Company, any Affiliate or any Subsidiary thereof shall not be included in the Securities selected for redemption.</w:t>
      </w:r>
    </w:p>
    <w:p>
      <w:pPr>
        <w:spacing w:after="0" w:line="13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4.03</w:t>
      </w:r>
      <w:r>
        <w:rPr>
          <w:sz w:val="20"/>
          <w:szCs w:val="20"/>
          <w:color w:val="auto"/>
        </w:rPr>
        <w:tab/>
      </w:r>
      <w:r>
        <w:rPr>
          <w:rFonts w:ascii="Times New Roman" w:cs="Times New Roman" w:eastAsia="Times New Roman" w:hAnsi="Times New Roman"/>
          <w:sz w:val="14"/>
          <w:szCs w:val="14"/>
          <w:u w:val="single" w:color="auto"/>
          <w:color w:val="auto"/>
        </w:rPr>
        <w:t>Notice of Redemption.</w:t>
      </w:r>
    </w:p>
    <w:p>
      <w:pPr>
        <w:spacing w:after="0" w:line="184" w:lineRule="exact"/>
        <w:rPr>
          <w:sz w:val="20"/>
          <w:szCs w:val="20"/>
          <w:color w:val="auto"/>
        </w:rPr>
      </w:pPr>
    </w:p>
    <w:p>
      <w:pPr>
        <w:jc w:val="both"/>
        <w:ind w:left="520" w:firstLine="391"/>
        <w:spacing w:after="0" w:line="267" w:lineRule="auto"/>
        <w:tabs>
          <w:tab w:leader="none" w:pos="123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Notice of redemption shall be given by the Company or, at the Company’s request, by the Trustee in the name and at the expense of the Company, not less than 30 nor more than 60 days prior to the Redemption Date, to the Holders of Securities of any series to be redeemed in whole or in part pursuant to this Article, in the manner provided in Section 16.04. Any notice so given shall be conclusively presumed to have been duly given, whether or not the Holder receives such notice. Failure to give such notice, or any defect in such notice to the Holder of any Security of a series designated for redemption, in whole or in part, shall not affect the sufficiency of any notice of redemption with respect to the Holder of any other Security of such series.</w:t>
      </w:r>
    </w:p>
    <w:p>
      <w:pPr>
        <w:spacing w:after="0" w:line="317" w:lineRule="exact"/>
        <w:rPr>
          <w:rFonts w:ascii="Times New Roman" w:cs="Times New Roman" w:eastAsia="Times New Roman" w:hAnsi="Times New Roman"/>
          <w:sz w:val="14"/>
          <w:szCs w:val="14"/>
          <w:color w:val="auto"/>
        </w:rPr>
      </w:pPr>
    </w:p>
    <w:p>
      <w:pPr>
        <w:ind w:left="1220" w:hanging="309"/>
        <w:spacing w:after="0"/>
        <w:tabs>
          <w:tab w:leader="none" w:pos="12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notices of redemption shall identify the Securities to be redeemed (including CUSIP, ISIN or other similar numbers, if available) and shall state:</w:t>
      </w:r>
    </w:p>
    <w:p>
      <w:pPr>
        <w:spacing w:after="0" w:line="183" w:lineRule="exact"/>
        <w:rPr>
          <w:rFonts w:ascii="Times New Roman" w:cs="Times New Roman" w:eastAsia="Times New Roman" w:hAnsi="Times New Roman"/>
          <w:sz w:val="14"/>
          <w:szCs w:val="14"/>
          <w:color w:val="auto"/>
        </w:rPr>
      </w:pPr>
    </w:p>
    <w:p>
      <w:pPr>
        <w:ind w:left="920" w:firstLine="378"/>
        <w:spacing w:after="0" w:line="294" w:lineRule="auto"/>
        <w:tabs>
          <w:tab w:leader="none" w:pos="1623"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election by the Company to redeem Securities of such series pursuant to provisions contained in this Indenture or the terms of the Securities of such series or a supplemental indenture establishing such series, if such be the case;</w:t>
      </w:r>
    </w:p>
    <w:p>
      <w:pPr>
        <w:spacing w:after="0" w:line="122" w:lineRule="exact"/>
        <w:rPr>
          <w:rFonts w:ascii="Times New Roman" w:cs="Times New Roman" w:eastAsia="Times New Roman" w:hAnsi="Times New Roman"/>
          <w:sz w:val="14"/>
          <w:szCs w:val="14"/>
          <w:color w:val="auto"/>
        </w:rPr>
      </w:pPr>
    </w:p>
    <w:p>
      <w:pPr>
        <w:ind w:left="1620" w:hanging="322"/>
        <w:spacing w:after="0"/>
        <w:tabs>
          <w:tab w:leader="none" w:pos="162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Date;</w:t>
      </w:r>
    </w:p>
    <w:p>
      <w:pPr>
        <w:spacing w:after="0" w:line="183" w:lineRule="exact"/>
        <w:rPr>
          <w:rFonts w:ascii="Times New Roman" w:cs="Times New Roman" w:eastAsia="Times New Roman" w:hAnsi="Times New Roman"/>
          <w:sz w:val="14"/>
          <w:szCs w:val="14"/>
          <w:color w:val="auto"/>
        </w:rPr>
      </w:pPr>
    </w:p>
    <w:p>
      <w:pPr>
        <w:ind w:left="1660" w:hanging="362"/>
        <w:spacing w:after="0"/>
        <w:tabs>
          <w:tab w:leader="none" w:pos="166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Price;</w:t>
      </w:r>
    </w:p>
    <w:p>
      <w:pPr>
        <w:spacing w:after="0" w:line="183" w:lineRule="exact"/>
        <w:rPr>
          <w:rFonts w:ascii="Times New Roman" w:cs="Times New Roman" w:eastAsia="Times New Roman" w:hAnsi="Times New Roman"/>
          <w:sz w:val="14"/>
          <w:szCs w:val="14"/>
          <w:color w:val="auto"/>
        </w:rPr>
      </w:pPr>
    </w:p>
    <w:p>
      <w:pPr>
        <w:ind w:left="920" w:firstLine="378"/>
        <w:spacing w:after="0" w:line="294" w:lineRule="auto"/>
        <w:tabs>
          <w:tab w:leader="none" w:pos="166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less than all Outstanding Securities of any series are to be redeemed, the identification (and, in the case of partial redemption, the principal amounts) of the Securities of such series to be redeemed;</w:t>
      </w:r>
    </w:p>
    <w:p>
      <w:pPr>
        <w:spacing w:after="0" w:line="122" w:lineRule="exact"/>
        <w:rPr>
          <w:rFonts w:ascii="Times New Roman" w:cs="Times New Roman" w:eastAsia="Times New Roman" w:hAnsi="Times New Roman"/>
          <w:sz w:val="14"/>
          <w:szCs w:val="14"/>
          <w:color w:val="auto"/>
        </w:rPr>
      </w:pPr>
    </w:p>
    <w:p>
      <w:pPr>
        <w:ind w:left="920" w:firstLine="378"/>
        <w:spacing w:after="0" w:line="294" w:lineRule="auto"/>
        <w:tabs>
          <w:tab w:leader="none" w:pos="1632"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on the Redemption Date the Redemption Price will become due and payable upon each such Security to be redeemed, and that, if applicable, interest thereon shall cease to accrue on and after said date;</w:t>
      </w:r>
    </w:p>
    <w:p>
      <w:pPr>
        <w:spacing w:after="0" w:line="122" w:lineRule="exact"/>
        <w:rPr>
          <w:rFonts w:ascii="Times New Roman" w:cs="Times New Roman" w:eastAsia="Times New Roman" w:hAnsi="Times New Roman"/>
          <w:sz w:val="14"/>
          <w:szCs w:val="14"/>
          <w:color w:val="auto"/>
        </w:rPr>
      </w:pPr>
    </w:p>
    <w:p>
      <w:pPr>
        <w:ind w:left="1640" w:hanging="342"/>
        <w:spacing w:after="0"/>
        <w:tabs>
          <w:tab w:leader="none" w:pos="164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of Payment where such Securities are to be surrendered for payment of the Redemption Price; and</w:t>
      </w:r>
    </w:p>
    <w:p>
      <w:pPr>
        <w:spacing w:after="0" w:line="183" w:lineRule="exact"/>
        <w:rPr>
          <w:rFonts w:ascii="Times New Roman" w:cs="Times New Roman" w:eastAsia="Times New Roman" w:hAnsi="Times New Roman"/>
          <w:sz w:val="14"/>
          <w:szCs w:val="14"/>
          <w:color w:val="auto"/>
        </w:rPr>
      </w:pPr>
    </w:p>
    <w:p>
      <w:pPr>
        <w:ind w:left="1680" w:hanging="382"/>
        <w:spacing w:after="0"/>
        <w:tabs>
          <w:tab w:leader="none" w:pos="168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redemption is for a sinking fund, if such is the case;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60" w:name="page61"/>
    <w:bookmarkEnd w:id="60"/>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4.04</w:t>
      </w:r>
      <w:r>
        <w:rPr>
          <w:sz w:val="20"/>
          <w:szCs w:val="20"/>
          <w:color w:val="auto"/>
        </w:rPr>
        <w:tab/>
      </w:r>
      <w:r>
        <w:rPr>
          <w:rFonts w:ascii="Times New Roman" w:cs="Times New Roman" w:eastAsia="Times New Roman" w:hAnsi="Times New Roman"/>
          <w:sz w:val="14"/>
          <w:szCs w:val="14"/>
          <w:u w:val="single" w:color="auto"/>
          <w:color w:val="auto"/>
        </w:rPr>
        <w:t>Deposit of Redemption Price.</w:t>
      </w:r>
    </w:p>
    <w:p>
      <w:pPr>
        <w:spacing w:after="0" w:line="184"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On or prior to 11:00 a.m., New York City time, on the Redemption Date for any Securities, the Company shall deposit with the Trustee or with a Paying Agent (or, if the Company is acting as its own Paying Agent, segregate and hold in trust as provided in Section 6.03) an amount of money in the Currency in which such Securities are denominated (except as provided pursuant to Section 3.01) sufficient to pay the Redemption Price of such Securities or any portions thereof that are to be redeemed on that date.</w:t>
      </w:r>
    </w:p>
    <w:p>
      <w:pPr>
        <w:spacing w:after="0" w:line="13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4.05</w:t>
      </w:r>
      <w:r>
        <w:rPr>
          <w:sz w:val="20"/>
          <w:szCs w:val="20"/>
          <w:color w:val="auto"/>
        </w:rPr>
        <w:tab/>
      </w:r>
      <w:r>
        <w:rPr>
          <w:rFonts w:ascii="Times New Roman" w:cs="Times New Roman" w:eastAsia="Times New Roman" w:hAnsi="Times New Roman"/>
          <w:sz w:val="14"/>
          <w:szCs w:val="14"/>
          <w:u w:val="single" w:color="auto"/>
          <w:color w:val="auto"/>
        </w:rPr>
        <w:t>Securities Payable on Redemption Date.</w:t>
      </w:r>
    </w:p>
    <w:p>
      <w:pPr>
        <w:spacing w:after="0" w:line="184" w:lineRule="exact"/>
        <w:rPr>
          <w:sz w:val="20"/>
          <w:szCs w:val="20"/>
          <w:color w:val="auto"/>
        </w:rPr>
      </w:pPr>
    </w:p>
    <w:p>
      <w:pPr>
        <w:jc w:val="both"/>
        <w:ind w:firstLine="517"/>
        <w:spacing w:after="0" w:line="269" w:lineRule="auto"/>
        <w:rPr>
          <w:sz w:val="20"/>
          <w:szCs w:val="20"/>
          <w:color w:val="auto"/>
        </w:rPr>
      </w:pPr>
      <w:r>
        <w:rPr>
          <w:rFonts w:ascii="Times New Roman" w:cs="Times New Roman" w:eastAsia="Times New Roman" w:hAnsi="Times New Roman"/>
          <w:sz w:val="14"/>
          <w:szCs w:val="14"/>
          <w:color w:val="auto"/>
        </w:rPr>
        <w:t>Notice of redemption having been given as aforesaid, any Securities so to be redeemed shall, on the Redemption Date, become due and payable at the Redemption Price and from and after such date (unless the Company shall Default in the payment of the Redemption Price) such Securities shall cease to bear interest. Upon surrender of any such Security for redemption in accordance with said notice, such Security shall be paid by the Company at the Redemption Price; provided, however, that (unless otherwise provided pursuant to Section 3.01) installments of interest that have a Stated Maturity on or prior to the Redemption Date for such Securities shall be payable according to the terms of such Securities and the provisions of Section 3.08.</w:t>
      </w:r>
    </w:p>
    <w:p>
      <w:pPr>
        <w:spacing w:after="0" w:line="140"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If any Security called for redemption shall not be so paid upon surrender thereof for redemption, the principal thereof and premium, if any, thereon shall, until paid, bear interest from the Redemption Date at the rate prescribed therefor in the Security.</w:t>
      </w:r>
    </w:p>
    <w:p>
      <w:pPr>
        <w:spacing w:after="0" w:line="12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4.06</w:t>
      </w:r>
      <w:r>
        <w:rPr>
          <w:sz w:val="20"/>
          <w:szCs w:val="20"/>
          <w:color w:val="auto"/>
        </w:rPr>
        <w:tab/>
      </w:r>
      <w:r>
        <w:rPr>
          <w:rFonts w:ascii="Times New Roman" w:cs="Times New Roman" w:eastAsia="Times New Roman" w:hAnsi="Times New Roman"/>
          <w:sz w:val="14"/>
          <w:szCs w:val="14"/>
          <w:u w:val="single" w:color="auto"/>
          <w:color w:val="auto"/>
        </w:rPr>
        <w:t>Securities Redeemed in Part.</w:t>
      </w:r>
    </w:p>
    <w:p>
      <w:pPr>
        <w:spacing w:after="0" w:line="184" w:lineRule="exact"/>
        <w:rPr>
          <w:sz w:val="20"/>
          <w:szCs w:val="20"/>
          <w:color w:val="auto"/>
        </w:rPr>
      </w:pPr>
    </w:p>
    <w:p>
      <w:pPr>
        <w:jc w:val="both"/>
        <w:ind w:firstLine="517"/>
        <w:spacing w:after="0" w:line="262" w:lineRule="auto"/>
        <w:rPr>
          <w:sz w:val="20"/>
          <w:szCs w:val="20"/>
          <w:color w:val="auto"/>
        </w:rPr>
      </w:pPr>
      <w:r>
        <w:rPr>
          <w:rFonts w:ascii="Times New Roman" w:cs="Times New Roman" w:eastAsia="Times New Roman" w:hAnsi="Times New Roman"/>
          <w:sz w:val="14"/>
          <w:szCs w:val="14"/>
          <w:color w:val="auto"/>
        </w:rPr>
        <w:t>Any Security that is to be redeemed only in part shall be surrendered at the Corporate Trust Office or such other office or agency of the Company as is specified pursuant to Section 3.01 with, if the Company, the Registrar or the Trustee so requires, due endorsement by, or a written instrument of transfer in form satisfactory to the Company, the Registrar and the Trustee duly executed by the Holder thereof or his, her or its attorney duly authorized in writing, and the Company shall execute, and the Trustee shall authenticate and deliver to the Holder of such Security without service charge, a new Security or Securities of the same series, of like tenor and form, of any authorized denomination as requested by such Holder in aggregate principal amount equal to and in exchange for the unredeemed portion of the principal of the Security so surrendered; except that if a Global Security is so surrendered, the Company shall execute, and the Trustee shall authenticate and deliver to the Depositary for such Global Security, without service charge, a new Global Security in a denomination equal to and in exchange for the unredeemed portion of the principal of the Global Security so surrendered. In the case of a Security providing appropriate space for such notation, at the option of the Holder thereof, the Trustee, in lieu of delivering a new Security or Securities as aforesaid, may make a notation on such Security of the payment of the redeemed portion thereof.</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SINKING FUNDS</w:t>
      </w:r>
    </w:p>
    <w:p>
      <w:pPr>
        <w:spacing w:after="0" w:line="17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5.01</w:t>
      </w:r>
      <w:r>
        <w:rPr>
          <w:sz w:val="20"/>
          <w:szCs w:val="20"/>
          <w:color w:val="auto"/>
        </w:rPr>
        <w:tab/>
      </w:r>
      <w:r>
        <w:rPr>
          <w:rFonts w:ascii="Times New Roman" w:cs="Times New Roman" w:eastAsia="Times New Roman" w:hAnsi="Times New Roman"/>
          <w:sz w:val="14"/>
          <w:szCs w:val="14"/>
          <w:u w:val="single" w:color="auto"/>
          <w:color w:val="auto"/>
        </w:rPr>
        <w:t>Applicability of Sinking Fund.</w:t>
      </w:r>
    </w:p>
    <w:p>
      <w:pPr>
        <w:spacing w:after="0" w:line="184" w:lineRule="exact"/>
        <w:rPr>
          <w:sz w:val="20"/>
          <w:szCs w:val="20"/>
          <w:color w:val="auto"/>
        </w:rPr>
      </w:pPr>
    </w:p>
    <w:p>
      <w:pPr>
        <w:jc w:val="both"/>
        <w:ind w:left="520" w:firstLine="391"/>
        <w:spacing w:after="0" w:line="275" w:lineRule="auto"/>
        <w:tabs>
          <w:tab w:leader="none" w:pos="1223"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of Securities permitted or required pursuant to a sinking fund for the retirement of Securities of a series by the terms of such series of Securities shall be made in accordance with such terms of such series of Securities and this Article, except as otherwise specified pursuant to Section 3.01 for Securities of such series, provided, however, that if any such terms of a series of Securities shall conflict with any provision of this Article, the terms of such series shall govern.</w:t>
      </w:r>
    </w:p>
    <w:p>
      <w:pPr>
        <w:spacing w:after="0" w:line="135" w:lineRule="exact"/>
        <w:rPr>
          <w:rFonts w:ascii="Times New Roman" w:cs="Times New Roman" w:eastAsia="Times New Roman" w:hAnsi="Times New Roman"/>
          <w:sz w:val="14"/>
          <w:szCs w:val="14"/>
          <w:color w:val="auto"/>
        </w:rPr>
      </w:pPr>
    </w:p>
    <w:p>
      <w:pPr>
        <w:jc w:val="both"/>
        <w:ind w:left="520" w:firstLine="391"/>
        <w:spacing w:after="0" w:line="275" w:lineRule="auto"/>
        <w:tabs>
          <w:tab w:leader="none" w:pos="1244"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Mandatory Sinking Fund Payment may be subject to reduction as provided in Section 5.02.</w:t>
      </w:r>
    </w:p>
    <w:p>
      <w:pPr>
        <w:spacing w:after="0" w:line="13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5.02</w:t>
      </w:r>
      <w:r>
        <w:rPr>
          <w:sz w:val="20"/>
          <w:szCs w:val="20"/>
          <w:color w:val="auto"/>
        </w:rPr>
        <w:tab/>
      </w:r>
      <w:r>
        <w:rPr>
          <w:rFonts w:ascii="Times New Roman" w:cs="Times New Roman" w:eastAsia="Times New Roman" w:hAnsi="Times New Roman"/>
          <w:sz w:val="14"/>
          <w:szCs w:val="14"/>
          <w:u w:val="single" w:color="auto"/>
          <w:color w:val="auto"/>
        </w:rPr>
        <w:t>Mandatory Sinking Fund Obligation.</w:t>
      </w:r>
    </w:p>
    <w:p>
      <w:pPr>
        <w:spacing w:after="0" w:line="184" w:lineRule="exact"/>
        <w:rPr>
          <w:sz w:val="20"/>
          <w:szCs w:val="20"/>
          <w:color w:val="auto"/>
        </w:rPr>
      </w:pPr>
    </w:p>
    <w:p>
      <w:pPr>
        <w:jc w:val="both"/>
        <w:ind w:firstLine="517"/>
        <w:spacing w:after="0" w:line="262" w:lineRule="auto"/>
        <w:rPr>
          <w:sz w:val="20"/>
          <w:szCs w:val="20"/>
          <w:color w:val="auto"/>
        </w:rPr>
      </w:pPr>
      <w:r>
        <w:rPr>
          <w:rFonts w:ascii="Times New Roman" w:cs="Times New Roman" w:eastAsia="Times New Roman" w:hAnsi="Times New Roman"/>
          <w:sz w:val="14"/>
          <w:szCs w:val="14"/>
          <w:color w:val="auto"/>
        </w:rPr>
        <w:t>The Company may, at its option, satisfy any Mandatory Sinking Fund Payment obligation, in whole or in part, with respect to a particular series of Securities by (a) delivering to the Trustee Securities of such series in transferable form theretofore purchased or otherwise acquired by the Company or redeemed at the election of the Company pursuant to Section 4.03 or (b) receiving credit for Securities of such series (not previously so credited) acquired by the Company and theretofore delivered to the Trustee. The Trustee shall credit such Mandatory Sinking Fund Payment obligation with an amount equal to the Redemption Price specified in such Securities for redemption through operation of the sinking fund and the amount of such Mandatory Sinking Fund Payment shall be reduced accordingly. If the Company shall elect to so satisfy any Mandatory Sinking Fund Payment obligation, it shall deliver to the Trustee not less than 45 days prior to the relevant sinking fund payment date an Officer’s Certificate, which shall designate the Securities (and portions thereof, if any) so delivered or credited and which shall be accompanied by such Securities (to the extent not theretofore delivered) in transferable form. In case of the failure of the Company, at or before the time so required, to give such notice and deliver such Securities the Mandatory Sinking Fund Payment obligation shall be paid entirely in moneys.</w:t>
      </w:r>
    </w:p>
    <w:p>
      <w:pPr>
        <w:spacing w:after="0" w:line="14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5.03</w:t>
      </w:r>
      <w:r>
        <w:rPr>
          <w:sz w:val="20"/>
          <w:szCs w:val="20"/>
          <w:color w:val="auto"/>
        </w:rPr>
        <w:tab/>
      </w:r>
      <w:r>
        <w:rPr>
          <w:rFonts w:ascii="Times New Roman" w:cs="Times New Roman" w:eastAsia="Times New Roman" w:hAnsi="Times New Roman"/>
          <w:sz w:val="14"/>
          <w:szCs w:val="14"/>
          <w:u w:val="single" w:color="auto"/>
          <w:color w:val="auto"/>
        </w:rPr>
        <w:t>Optional Redemption at Sinking Fund Redemption Price.</w:t>
      </w:r>
    </w:p>
    <w:p>
      <w:pPr>
        <w:spacing w:after="0" w:line="184"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In addition to the sinking fund requirements of Section 5.02, to the extent, if any, provided for by the terms of a particular series of Securities, the Company may, at its option, make an Optional Sinking Fund Payment with respect to such Securities. Unless otherwise provided by such terms, (a) to the extent that the right of the Company to make such Optional Sinking Fund Payment shall not be exercised in any year, it shall not be cumulative or carried forward to any subsequent year, and (b) such optional payment shall operate to reduce the amount of any Mandatory Sinking Fund Payment obligation as to Securities of the same series. If the Company intends to exercise its right to make such optional payment in any year it shall deliver to the Trustee not less than 45 days prior to the relevant sinking fund payment date an Officer’s Certificate stating that the Company will exercise such optional right, and specifying the amount which the Company will pay on or before the next succeeding sinking fund payment date. Such Officer’s Certificate shall also state that no Event of Default has occurred and is continuing.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89" w:right="319" w:bottom="1440" w:gutter="0" w:footer="0" w:header="0"/>
        </w:sectPr>
      </w:pPr>
    </w:p>
    <w:bookmarkStart w:id="62" w:name="page63"/>
    <w:bookmarkEnd w:id="62"/>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5.04</w:t>
      </w:r>
      <w:r>
        <w:rPr>
          <w:sz w:val="20"/>
          <w:szCs w:val="20"/>
          <w:color w:val="auto"/>
        </w:rPr>
        <w:tab/>
      </w:r>
      <w:r>
        <w:rPr>
          <w:rFonts w:ascii="Times New Roman" w:cs="Times New Roman" w:eastAsia="Times New Roman" w:hAnsi="Times New Roman"/>
          <w:sz w:val="14"/>
          <w:szCs w:val="14"/>
          <w:u w:val="single" w:color="auto"/>
          <w:color w:val="auto"/>
        </w:rPr>
        <w:t>Application of Sinking Fund Payment.</w:t>
      </w:r>
    </w:p>
    <w:p>
      <w:pPr>
        <w:spacing w:after="0" w:line="184" w:lineRule="exact"/>
        <w:rPr>
          <w:sz w:val="20"/>
          <w:szCs w:val="20"/>
          <w:color w:val="auto"/>
        </w:rPr>
      </w:pPr>
    </w:p>
    <w:p>
      <w:pPr>
        <w:jc w:val="both"/>
        <w:ind w:left="520" w:firstLine="391"/>
        <w:spacing w:after="0" w:line="260" w:lineRule="auto"/>
        <w:tabs>
          <w:tab w:leader="none" w:pos="1225"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sinking fund payment or payments made in funds pursuant to either Section 5.02 or 5.03 with respect to a particular series of Securities plus any unused balance of any preceding sinking fund payments made in funds with respect to such series shall exceed $50,000 (or a lesser sum if the Company shall so request, or such equivalent sum for Securities denominated other than in U.S. Dollars), it shall be applied by the Trustee on the sinking fund payment date next following the date of such payment, unless the date of such payment shall be a sinking fund payment date, in which case such payment shall be applied on such sinking fund payment date, to the redemption of Securities of such series at the redemption price specified pursuant to Section 4.03(b). The Trustee shall select, in the manner provided in Section 4.02, for redemption on such sinking fund payment date, a sufficient principal amount of Securities of such series to absorb said funds, as nearly as may be, and shall, at the expense and in the name of the Company, thereupon cause notice of redemption of the Securities to be given in substantially the manner provided in Section 4.03(a) for the redemption of Securities in part at the option of the Company, except that the notice of redemption shall also state that the Securities are being redeemed for the sinking fund. Any sinking fund moneys not so applied by the Trustee to the redemption of Securities of such series shall be added to the next sinking fund payment received in funds by the Trustee and, together with such payment, shall be applied in accordance with the provisions of this Section 5.04. Any and all sinking fund moneys held by the Trustee on the last sinking fund payment date with respect to Securities of such series, and not held for the payment or redemption of particular Securities of such series, shall be applied by the Trustee to the payment of the principal of the Securities of such series at Maturity.</w:t>
      </w:r>
    </w:p>
    <w:p>
      <w:pPr>
        <w:spacing w:after="0" w:line="149" w:lineRule="exact"/>
        <w:rPr>
          <w:rFonts w:ascii="Times New Roman" w:cs="Times New Roman" w:eastAsia="Times New Roman" w:hAnsi="Times New Roman"/>
          <w:sz w:val="14"/>
          <w:szCs w:val="14"/>
          <w:color w:val="auto"/>
        </w:rPr>
      </w:pPr>
    </w:p>
    <w:p>
      <w:pPr>
        <w:ind w:left="520" w:firstLine="391"/>
        <w:spacing w:after="0" w:line="294" w:lineRule="auto"/>
        <w:tabs>
          <w:tab w:leader="none" w:pos="1235"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prior to each sinking fund payment date, the Company shall pay to the Trustee a sum equal to all interest accrued to but not including the date fixed for redemption on Securities to be redeemed on such sinking fund payment date pursuant to this Section 5.04.</w:t>
      </w:r>
    </w:p>
    <w:p>
      <w:pPr>
        <w:spacing w:after="0" w:line="122" w:lineRule="exact"/>
        <w:rPr>
          <w:rFonts w:ascii="Times New Roman" w:cs="Times New Roman" w:eastAsia="Times New Roman" w:hAnsi="Times New Roman"/>
          <w:sz w:val="14"/>
          <w:szCs w:val="14"/>
          <w:color w:val="auto"/>
        </w:rPr>
      </w:pPr>
    </w:p>
    <w:p>
      <w:pPr>
        <w:jc w:val="both"/>
        <w:ind w:left="520" w:firstLine="391"/>
        <w:spacing w:after="0" w:line="262" w:lineRule="auto"/>
        <w:tabs>
          <w:tab w:leader="none" w:pos="1211"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redeem any Securities of a series with sinking fund moneys or mail any notice of redemption of Securities of such series by operation of the sinking fund during the continuance of a Default in payment of interest on any Securities of such series or of any Event of Default (other than an Event of Default occurring as a consequence of this paragraph) of which a Responsible Officer of the Trustee has actual knowledge, except that if the notice of redemption of any Securities of such series shall theretofore have been mailed in accordance with the provisions hereof, the Trustee shall redeem such Securities if funds sufficient for that purpose shall be deposited with the Trustee in accordance with the terms of this Article. Except as aforesaid, any moneys in the sinking fund at the time any such Default or Event of Default shall occur and any moneys thereafter paid into the sinking fund shall, during the continuance of such Default or Event of Default, be held as security for the payment of all the Securities of such series; provided, however, that in case such Default or Event of Default shall have been cured or waived as provided herein, such moneys shall thereafter be applied on the next sinking fund payment date on which such moneys are required to be applied pursuant to the provisions of this Section 5.04.</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4"/>
          <w:szCs w:val="14"/>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PARTICULAR COVENANTS OF THE COMPANY</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hereby covenants and agrees as follows:</w:t>
      </w:r>
    </w:p>
    <w:p>
      <w:pPr>
        <w:spacing w:after="0" w:line="18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6.01</w:t>
      </w:r>
      <w:r>
        <w:rPr>
          <w:sz w:val="20"/>
          <w:szCs w:val="20"/>
          <w:color w:val="auto"/>
        </w:rPr>
        <w:tab/>
      </w:r>
      <w:r>
        <w:rPr>
          <w:rFonts w:ascii="Times New Roman" w:cs="Times New Roman" w:eastAsia="Times New Roman" w:hAnsi="Times New Roman"/>
          <w:sz w:val="14"/>
          <w:szCs w:val="14"/>
          <w:u w:val="single" w:color="auto"/>
          <w:color w:val="auto"/>
        </w:rPr>
        <w:t>Payments of Securities.</w:t>
      </w:r>
    </w:p>
    <w:p>
      <w:pPr>
        <w:spacing w:after="0" w:line="184" w:lineRule="exact"/>
        <w:rPr>
          <w:sz w:val="20"/>
          <w:szCs w:val="20"/>
          <w:color w:val="auto"/>
        </w:rPr>
      </w:pPr>
    </w:p>
    <w:p>
      <w:pPr>
        <w:ind w:firstLine="517"/>
        <w:spacing w:after="0" w:line="294" w:lineRule="auto"/>
        <w:rPr>
          <w:sz w:val="20"/>
          <w:szCs w:val="20"/>
          <w:color w:val="auto"/>
        </w:rPr>
      </w:pPr>
      <w:r>
        <w:rPr>
          <w:rFonts w:ascii="Times New Roman" w:cs="Times New Roman" w:eastAsia="Times New Roman" w:hAnsi="Times New Roman"/>
          <w:sz w:val="14"/>
          <w:szCs w:val="14"/>
          <w:color w:val="auto"/>
        </w:rPr>
        <w:t>The Company will duly and punctually pay the principal of and premium, if any, on each series of Securities, and the interest which shall have accrued thereon, at the dates and place and in the manner provided in the Securities and in this Indenture.</w:t>
      </w:r>
    </w:p>
    <w:p>
      <w:pPr>
        <w:spacing w:after="0" w:line="12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6.02</w:t>
      </w:r>
      <w:r>
        <w:rPr>
          <w:sz w:val="20"/>
          <w:szCs w:val="20"/>
          <w:color w:val="auto"/>
        </w:rPr>
        <w:tab/>
      </w:r>
      <w:r>
        <w:rPr>
          <w:rFonts w:ascii="Times New Roman" w:cs="Times New Roman" w:eastAsia="Times New Roman" w:hAnsi="Times New Roman"/>
          <w:sz w:val="14"/>
          <w:szCs w:val="14"/>
          <w:u w:val="single" w:color="auto"/>
          <w:color w:val="auto"/>
        </w:rPr>
        <w:t>Paying Agent.</w:t>
      </w:r>
    </w:p>
    <w:p>
      <w:pPr>
        <w:spacing w:after="0" w:line="184" w:lineRule="exact"/>
        <w:rPr>
          <w:sz w:val="20"/>
          <w:szCs w:val="20"/>
          <w:color w:val="auto"/>
        </w:rPr>
      </w:pPr>
    </w:p>
    <w:p>
      <w:pPr>
        <w:jc w:val="both"/>
        <w:ind w:left="520" w:firstLine="391"/>
        <w:spacing w:after="0" w:line="265" w:lineRule="auto"/>
        <w:tabs>
          <w:tab w:leader="none" w:pos="1228"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will maintain in each Place of Payment for any series of Securities, if any, an office or agency where Securities may be presented or surrendered for payment, where Securities of such series may be surrendered for registration of transfer or exchange and where notices and demands to or upon the Company in respect of the Securities and this Indenture may be served (the “Paying Agent”).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Paying Agent to receive all presentations, surrenders, notices and demands.</w:t>
      </w:r>
    </w:p>
    <w:p>
      <w:pPr>
        <w:spacing w:after="0" w:line="317" w:lineRule="exact"/>
        <w:rPr>
          <w:rFonts w:ascii="Times New Roman" w:cs="Times New Roman" w:eastAsia="Times New Roman" w:hAnsi="Times New Roman"/>
          <w:sz w:val="14"/>
          <w:szCs w:val="14"/>
          <w:color w:val="auto"/>
        </w:rPr>
      </w:pPr>
    </w:p>
    <w:p>
      <w:pPr>
        <w:jc w:val="both"/>
        <w:ind w:left="520" w:firstLine="391"/>
        <w:spacing w:after="0" w:line="264" w:lineRule="auto"/>
        <w:tabs>
          <w:tab w:leader="none" w:pos="1217"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also from time to time designate different or additional offices or agencies where the Securities of any series may be presented or surrendered for any or all such purposes (in or outside of such Place of Payment), and may from time to time rescind any such designations; provided, however, that no such designation or rescission shall in any manner relieve the Company of its obligations described in the preceding paragraph. The Company will give prompt written notice to the Trustee of any such additional designation or rescission of designation and of any change in the location of any such different or additional office or agency. The Company shall enter into an appropriate agency agreement with any Paying Agent not a party to this Indenture. The agreement shall implement the provisions of this Indenture that relate to such agent. The Company shall notify the Trustee of the name and address of each such agent. The Company or any Affiliate thereof may act as Paying Agent.</w:t>
      </w:r>
    </w:p>
    <w:p>
      <w:pPr>
        <w:spacing w:after="0" w:line="14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6.03</w:t>
      </w:r>
      <w:r>
        <w:rPr>
          <w:sz w:val="20"/>
          <w:szCs w:val="20"/>
          <w:color w:val="auto"/>
        </w:rPr>
        <w:tab/>
      </w:r>
      <w:r>
        <w:rPr>
          <w:rFonts w:ascii="Times New Roman" w:cs="Times New Roman" w:eastAsia="Times New Roman" w:hAnsi="Times New Roman"/>
          <w:sz w:val="14"/>
          <w:szCs w:val="14"/>
          <w:u w:val="single" w:color="auto"/>
          <w:color w:val="auto"/>
        </w:rPr>
        <w:t>To Hold Payment in Trust.</w:t>
      </w:r>
    </w:p>
    <w:p>
      <w:pPr>
        <w:spacing w:after="0" w:line="184" w:lineRule="exact"/>
        <w:rPr>
          <w:sz w:val="20"/>
          <w:szCs w:val="20"/>
          <w:color w:val="auto"/>
        </w:rPr>
      </w:pPr>
    </w:p>
    <w:p>
      <w:pPr>
        <w:jc w:val="both"/>
        <w:ind w:left="520" w:firstLine="391"/>
        <w:spacing w:after="0" w:line="264" w:lineRule="auto"/>
        <w:tabs>
          <w:tab w:leader="none" w:pos="1229"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or an Affiliate thereof shall at any time act as Paying Agent with respect to any series of Securities, then, on or before the date on which the principal of and premium, if any, or interest on any of the Securities of that series by their terms or as a result of the calling thereof for redemption shall become payable, the Company or such Affiliate will segregate and hold in trust for the benefit of the Holders of such Securities or the Trustee a sum sufficient to pay such principal and premium, if any, or interest which shall have so become payable until such sums shall be paid to such Holders or otherwise disposed of as herein provided, and will notify the Trustee of its action or failure to act in that regard. Upon any proceeding under any federal bankruptcy laws with respect to the Company or any Affiliate thereof, if the Company or such Affiliate is then acting as Paying Agent, the Trustee shall replace the Company or such Affiliate as Paying Agent.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89" w:right="319" w:bottom="1440" w:gutter="0" w:footer="0" w:header="0"/>
        </w:sectPr>
      </w:pPr>
    </w:p>
    <w:bookmarkStart w:id="64" w:name="page65"/>
    <w:bookmarkEnd w:id="64"/>
    <w:p>
      <w:pPr>
        <w:jc w:val="both"/>
        <w:ind w:firstLine="391"/>
        <w:spacing w:after="0" w:line="266" w:lineRule="auto"/>
        <w:tabs>
          <w:tab w:leader="none" w:pos="701"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shall appoint, and at the time have, a Paying Agent for the payment of the principal of and premium, if any, or interest on any series of Securities, then prior to 11:00 a.m., New York City time, on the date on which the principal of and premium, if any, or interest on any of the Securities of that series shall become payable as aforesaid, whether by their terms or as a result of the calling thereof for redemption, the Company will deposit with such Paying Agent a sum sufficient to pay such principal and premium, if any, or interest, such sum to be held in trust for the benefit of the Holders of such Securities or the Trustee, and (unless such Paying Agent is the Trustee), the Company or any other obligor of such Securities will promptly notify the Trustee of its payment or failure to make such payment.</w:t>
      </w:r>
    </w:p>
    <w:p>
      <w:pPr>
        <w:spacing w:after="0" w:line="141" w:lineRule="exact"/>
        <w:rPr>
          <w:rFonts w:ascii="Times New Roman" w:cs="Times New Roman" w:eastAsia="Times New Roman" w:hAnsi="Times New Roman"/>
          <w:sz w:val="14"/>
          <w:szCs w:val="14"/>
          <w:color w:val="auto"/>
        </w:rPr>
      </w:pPr>
    </w:p>
    <w:p>
      <w:pPr>
        <w:ind w:firstLine="391"/>
        <w:spacing w:after="0" w:line="294" w:lineRule="auto"/>
        <w:tabs>
          <w:tab w:leader="none" w:pos="691"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Paying Agent shall be other than the Trustee, the Company will cause such Paying Agent to execute and deliver to the Trustee an instrument in which such Paying Agent shall agree with the Trustee, subject to the provisions of this Section 6.03, that such Paying Agent shall:</w:t>
      </w:r>
    </w:p>
    <w:p>
      <w:pPr>
        <w:spacing w:after="0" w:line="122" w:lineRule="exact"/>
        <w:rPr>
          <w:rFonts w:ascii="Times New Roman" w:cs="Times New Roman" w:eastAsia="Times New Roman" w:hAnsi="Times New Roman"/>
          <w:sz w:val="14"/>
          <w:szCs w:val="14"/>
          <w:color w:val="auto"/>
        </w:rPr>
      </w:pPr>
    </w:p>
    <w:p>
      <w:pPr>
        <w:ind w:left="400" w:firstLine="378"/>
        <w:spacing w:after="0" w:line="294" w:lineRule="auto"/>
        <w:tabs>
          <w:tab w:leader="none" w:pos="1098"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 all moneys held by it for the payment of the principal of and premium, if any, or interest on the Securities of that series in trust for the benefit of the Holders of such Securities until such sums shall be paid to such Holders or otherwise disposed of as herein provided;</w:t>
      </w:r>
    </w:p>
    <w:p>
      <w:pPr>
        <w:spacing w:after="0" w:line="122" w:lineRule="exact"/>
        <w:rPr>
          <w:rFonts w:ascii="Times New Roman" w:cs="Times New Roman" w:eastAsia="Times New Roman" w:hAnsi="Times New Roman"/>
          <w:sz w:val="14"/>
          <w:szCs w:val="14"/>
          <w:color w:val="auto"/>
        </w:rPr>
      </w:pPr>
    </w:p>
    <w:p>
      <w:pPr>
        <w:ind w:left="400" w:firstLine="378"/>
        <w:spacing w:after="0" w:line="294" w:lineRule="auto"/>
        <w:tabs>
          <w:tab w:leader="none" w:pos="113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 to the Trustee notice of any Default by the Company or any other obligor upon the Securities of that series in the making of any payment of the principal of and premium, if any, or interest on the Securities of that series; and</w:t>
      </w:r>
    </w:p>
    <w:p>
      <w:pPr>
        <w:spacing w:after="0" w:line="122" w:lineRule="exact"/>
        <w:rPr>
          <w:rFonts w:ascii="Times New Roman" w:cs="Times New Roman" w:eastAsia="Times New Roman" w:hAnsi="Times New Roman"/>
          <w:sz w:val="14"/>
          <w:szCs w:val="14"/>
          <w:color w:val="auto"/>
        </w:rPr>
      </w:pPr>
    </w:p>
    <w:p>
      <w:pPr>
        <w:ind w:left="1140" w:hanging="362"/>
        <w:spacing w:after="0"/>
        <w:tabs>
          <w:tab w:leader="none" w:pos="114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during the continuance of any such Default, upon the written request of the Trustee, pay to the Trustee all sums so held in trust by such Paying Agent.</w:t>
      </w:r>
    </w:p>
    <w:p>
      <w:pPr>
        <w:spacing w:after="0" w:line="183" w:lineRule="exact"/>
        <w:rPr>
          <w:rFonts w:ascii="Times New Roman" w:cs="Times New Roman" w:eastAsia="Times New Roman" w:hAnsi="Times New Roman"/>
          <w:sz w:val="14"/>
          <w:szCs w:val="14"/>
          <w:color w:val="auto"/>
        </w:rPr>
      </w:pPr>
    </w:p>
    <w:p>
      <w:pPr>
        <w:jc w:val="both"/>
        <w:ind w:firstLine="391"/>
        <w:spacing w:after="0" w:line="275" w:lineRule="auto"/>
        <w:tabs>
          <w:tab w:leader="none" w:pos="702"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Anything in this Section 6.03 to the contrary notwithstanding, the Company may at any time, for the purpose of obtaining a release, satisfaction or discharge of this Indenture or for any other reason, pay or cause to be paid to the Trustee all sums held in trust by the Company or by any Paying Agent other than the Trustee as required by this Section 6.03, such sums to be held by the Trustee upon the same trusts as those upon which such sums were held by the Company or such Paying Agent.</w:t>
      </w:r>
    </w:p>
    <w:p>
      <w:pPr>
        <w:spacing w:after="0" w:line="135" w:lineRule="exact"/>
        <w:rPr>
          <w:rFonts w:ascii="Times New Roman" w:cs="Times New Roman" w:eastAsia="Times New Roman" w:hAnsi="Times New Roman"/>
          <w:sz w:val="14"/>
          <w:szCs w:val="14"/>
          <w:color w:val="auto"/>
        </w:rPr>
      </w:pPr>
    </w:p>
    <w:p>
      <w:pPr>
        <w:jc w:val="both"/>
        <w:ind w:firstLine="391"/>
        <w:spacing w:after="0" w:line="262" w:lineRule="auto"/>
        <w:tabs>
          <w:tab w:leader="none" w:pos="698"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money deposited with the Trustee or any Paying Agent, or then held by the Company, in trust for the payment of the principal of and premium, if any, or interest on any Security of any series and remaining unclaimed for two years after such principal and premium, if any, or interest has become due and payable shall be paid to the Company upon Company Order along with any interest that has accumulated thereon as a result of such money being invested at the direction of the Company, or (if then held by the Company) shall be discharged from such trust, and the Holder of such Security shall thereafter, as an unsecured general creditor, look only to the Company for payment of such amounts without interest thereon,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The City of New York, notice that such money remains unclaimed and that, after a date specified therein, which shall not be less than 30 days from the date of such publication, any unclaimed balance of such money then remaining will be repaid to the Company.</w:t>
      </w:r>
    </w:p>
    <w:p>
      <w:pPr>
        <w:spacing w:after="0" w:line="14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71120</wp:posOffset>
            </wp:positionV>
            <wp:extent cx="7160260" cy="139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0760"/>
          </w:cols>
          <w:pgMar w:left="820" w:top="491" w:right="319" w:bottom="1440" w:gutter="0" w:footer="0" w:header="0"/>
        </w:sectPr>
      </w:pPr>
    </w:p>
    <w:bookmarkStart w:id="65" w:name="page66"/>
    <w:bookmarkEnd w:id="65"/>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6.04</w:t>
      </w:r>
      <w:r>
        <w:rPr>
          <w:sz w:val="20"/>
          <w:szCs w:val="20"/>
          <w:color w:val="auto"/>
        </w:rPr>
        <w:tab/>
      </w:r>
      <w:r>
        <w:rPr>
          <w:rFonts w:ascii="Times New Roman" w:cs="Times New Roman" w:eastAsia="Times New Roman" w:hAnsi="Times New Roman"/>
          <w:sz w:val="14"/>
          <w:szCs w:val="14"/>
          <w:u w:val="single" w:color="auto"/>
          <w:color w:val="auto"/>
        </w:rPr>
        <w:t>Merger, Consolidation and Sale of Assets.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Except as otherwise provided as contemplated by Section 3.01 with respect to any series of Securities:</w:t>
      </w:r>
    </w:p>
    <w:p>
      <w:pPr>
        <w:spacing w:after="0" w:line="184" w:lineRule="exact"/>
        <w:rPr>
          <w:sz w:val="20"/>
          <w:szCs w:val="20"/>
          <w:color w:val="auto"/>
        </w:rPr>
      </w:pPr>
    </w:p>
    <w:p>
      <w:pPr>
        <w:jc w:val="both"/>
        <w:ind w:left="520" w:firstLine="391"/>
        <w:spacing w:after="0" w:line="261" w:lineRule="auto"/>
        <w:tabs>
          <w:tab w:leader="none" w:pos="1215"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will not consolidate with any other entity or accept a merger of any other entity into the Company or permit the Company to be merged into any other entity, or sell other than for cash or lease all or substantially all its assets to another entity, or purchase all or substantially all the assets of another entity, unless (i) either the Company shall be the continuing entity, or the successor, transferee or lessee entity (if other than the Company) shall expressly assume, by indenture supplemental hereto, executed and delivered by such entity prior to or simultaneously with such consolidation, merger, sale or lease, the due and punctual payment of the principal of and interest and premium, if any, on all the Securities, according to their tenor, and the due and punctual performance and observance of all other obligations to the Holders and the Trustee under this Indenture or under the Securities to be performed or observed by the Company; (ii) immediately after such consolidation, merger, sale, lease or purchase the Company or the successor, transferee or lessee entity (if other than the Company) would not be in Default in the performance of any covenant or condition of this Indenture; and (iii) either the Company or the resulting surviving or transferee Person delivers to the Trustee an Officers’ Certificate and an Opinion of Counsel, each stating that the consolidation, merger or sale and the supplemental indenture comply with the Indenture. A purchase by a Subsidiary of all or substantially all of the assets of another entity shall not be deemed to be a purchase of such assets by the Company.</w:t>
      </w:r>
    </w:p>
    <w:p>
      <w:pPr>
        <w:spacing w:after="0" w:line="147" w:lineRule="exact"/>
        <w:rPr>
          <w:rFonts w:ascii="Times New Roman" w:cs="Times New Roman" w:eastAsia="Times New Roman" w:hAnsi="Times New Roman"/>
          <w:sz w:val="14"/>
          <w:szCs w:val="14"/>
          <w:color w:val="auto"/>
        </w:rPr>
      </w:pPr>
    </w:p>
    <w:p>
      <w:pPr>
        <w:jc w:val="both"/>
        <w:ind w:left="520" w:firstLine="391"/>
        <w:spacing w:after="0" w:line="261" w:lineRule="auto"/>
        <w:tabs>
          <w:tab w:leader="none" w:pos="1225"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any consolidation with or merger into any other entity, or any sale other than for cash, or any conveyance or lease of all or substantially all of the assets of the Company in accordance with this Section 6.04, the successor entity formed by such consolidation or into or with which the Company is merged or to which the Company is sold or to which such conveyance, transfer or lease is made shall succeed to, and be substituted for, and may exercise every right and power of, the Company under this Indenture with the same effect as if such successor entity had been named as the Company herein, and thereafter, except in the case of a lease, the predecessor Company shall be relieved of all obligations and covenants under this Indenture and the Securities, and from time to time such entity may exercise each and every right and power of the Company under this Indenture, in the name of the Company, or in its own name; and any act or proceeding by any provision of this Indenture required or permitted to be done by the Board of Directors or any officer of the Company may be done with like force and effect by the like board or officer of any entity that shall at the time be the successor of the Company hereunder. In the event of any such sale or conveyance, but not any such lease, the Company (or any successor entity which shall theretofore have become such in the manner described in this Section 6.04) shall be discharged from all obligations and covenants under this Indenture and the Securities and may thereupon be dissolved and liquidated.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66" w:name="page67"/>
    <w:bookmarkEnd w:id="66"/>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6.05</w:t>
      </w:r>
      <w:r>
        <w:rPr>
          <w:sz w:val="20"/>
          <w:szCs w:val="20"/>
          <w:color w:val="auto"/>
        </w:rPr>
        <w:tab/>
      </w:r>
      <w:r>
        <w:rPr>
          <w:rFonts w:ascii="Times New Roman" w:cs="Times New Roman" w:eastAsia="Times New Roman" w:hAnsi="Times New Roman"/>
          <w:sz w:val="14"/>
          <w:szCs w:val="14"/>
          <w:u w:val="single" w:color="auto"/>
          <w:color w:val="auto"/>
        </w:rPr>
        <w:t>Compliance Certificate.</w:t>
      </w:r>
    </w:p>
    <w:p>
      <w:pPr>
        <w:spacing w:after="0" w:line="184" w:lineRule="exact"/>
        <w:rPr>
          <w:sz w:val="20"/>
          <w:szCs w:val="20"/>
          <w:color w:val="auto"/>
        </w:rPr>
      </w:pPr>
    </w:p>
    <w:p>
      <w:pPr>
        <w:jc w:val="both"/>
        <w:ind w:firstLine="517"/>
        <w:spacing w:after="0" w:line="266" w:lineRule="auto"/>
        <w:rPr>
          <w:sz w:val="20"/>
          <w:szCs w:val="20"/>
          <w:color w:val="auto"/>
        </w:rPr>
      </w:pPr>
      <w:r>
        <w:rPr>
          <w:rFonts w:ascii="Times New Roman" w:cs="Times New Roman" w:eastAsia="Times New Roman" w:hAnsi="Times New Roman"/>
          <w:sz w:val="14"/>
          <w:szCs w:val="14"/>
          <w:color w:val="auto"/>
        </w:rPr>
        <w:t>Except as otherwise provided as contemplated by Section 3.01 with respect to any series of Securities, the Company shall furnish to the Trustee annually, within 120 days after the end of each fiscal year, a brief certificate from the principal executive officer, principal financial officer, principal accounting officer or vice president and treasurer as to his or her knowledge of the Company’s compliance with all conditions and covenants under this Indenture (which compliance shall be determined without regard to any period of grace or requirement of notice provided under this Indenture) and, in the event of any Default, specifying each such Default and the nature and status thereof of which such person may have knowledge. Such certificates need not comply with Section 16.01 of this Indenture. The Company shall comply with TIA Section 314(a)(4).</w:t>
      </w:r>
    </w:p>
    <w:p>
      <w:pPr>
        <w:spacing w:after="0" w:line="14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6.06</w:t>
      </w:r>
      <w:r>
        <w:rPr>
          <w:sz w:val="20"/>
          <w:szCs w:val="20"/>
          <w:color w:val="auto"/>
        </w:rPr>
        <w:tab/>
      </w:r>
      <w:r>
        <w:rPr>
          <w:rFonts w:ascii="Times New Roman" w:cs="Times New Roman" w:eastAsia="Times New Roman" w:hAnsi="Times New Roman"/>
          <w:sz w:val="14"/>
          <w:szCs w:val="14"/>
          <w:u w:val="single" w:color="auto"/>
          <w:color w:val="auto"/>
        </w:rPr>
        <w:t>Conditional Waiver by Holders of Securities.</w:t>
      </w:r>
    </w:p>
    <w:p>
      <w:pPr>
        <w:spacing w:after="0" w:line="184" w:lineRule="exact"/>
        <w:rPr>
          <w:sz w:val="20"/>
          <w:szCs w:val="20"/>
          <w:color w:val="auto"/>
        </w:rPr>
      </w:pPr>
    </w:p>
    <w:p>
      <w:pPr>
        <w:jc w:val="both"/>
        <w:ind w:firstLine="517"/>
        <w:spacing w:after="0" w:line="266" w:lineRule="auto"/>
        <w:rPr>
          <w:sz w:val="20"/>
          <w:szCs w:val="20"/>
          <w:color w:val="auto"/>
        </w:rPr>
      </w:pPr>
      <w:r>
        <w:rPr>
          <w:rFonts w:ascii="Times New Roman" w:cs="Times New Roman" w:eastAsia="Times New Roman" w:hAnsi="Times New Roman"/>
          <w:sz w:val="14"/>
          <w:szCs w:val="14"/>
          <w:color w:val="auto"/>
        </w:rPr>
        <w:t>Anything in this Indenture to the contrary notwithstanding, the Company may fail or omit in any particular instance to comply with a covenant or condition set forth herein with respect to any series of Securities if the Company shall have obtained and filed with the Trustee, prior to the time of such failure or omission, evidence (as provided in Article VIII) of the consent of the Holders of a majority in aggregate principal amount of the Securities of such series at the time Outstanding, either waiving such compliance in such instance or generally waiving compliance with such covenant or condition, but no such waiver shall extend to or affect such covenant or condition except to the extent so expressly waived, or impair any right consequent thereon and, until such waiver shall have become effective, the obligations of the Company and the duties of the Trustee in respect of any such covenant or condition shall remain in full force and effect.</w:t>
      </w:r>
    </w:p>
    <w:p>
      <w:pPr>
        <w:spacing w:after="0" w:line="14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6.07</w:t>
      </w:r>
      <w:r>
        <w:rPr>
          <w:sz w:val="20"/>
          <w:szCs w:val="20"/>
          <w:color w:val="auto"/>
        </w:rPr>
        <w:tab/>
      </w:r>
      <w:r>
        <w:rPr>
          <w:rFonts w:ascii="Times New Roman" w:cs="Times New Roman" w:eastAsia="Times New Roman" w:hAnsi="Times New Roman"/>
          <w:sz w:val="14"/>
          <w:szCs w:val="14"/>
          <w:u w:val="single" w:color="auto"/>
          <w:color w:val="auto"/>
        </w:rPr>
        <w:t>Statement by Officers as to Default.</w:t>
      </w:r>
    </w:p>
    <w:p>
      <w:pPr>
        <w:spacing w:after="0" w:line="184"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 Company shall deliver to the Trustee as soon as possible and in any event within 30 days after the Company becomes aware of the occurrence of any Event of Default or an event which, with the giving of notice or the lapse of time or both, would constitute an Event of Default, an Officer’s Certificate setting forth the details of such Event of Default or Default and the action which the Company proposes to take with respect thereto.</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4"/>
          <w:szCs w:val="14"/>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REMEDIES OF TRUSTEE AND SECURITYHOLDERS</w:t>
      </w:r>
    </w:p>
    <w:p>
      <w:pPr>
        <w:spacing w:after="0" w:line="17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7.01</w:t>
      </w:r>
      <w:r>
        <w:rPr>
          <w:sz w:val="20"/>
          <w:szCs w:val="20"/>
          <w:color w:val="auto"/>
        </w:rPr>
        <w:tab/>
      </w:r>
      <w:r>
        <w:rPr>
          <w:rFonts w:ascii="Times New Roman" w:cs="Times New Roman" w:eastAsia="Times New Roman" w:hAnsi="Times New Roman"/>
          <w:sz w:val="14"/>
          <w:szCs w:val="14"/>
          <w:u w:val="single" w:color="auto"/>
          <w:color w:val="auto"/>
        </w:rPr>
        <w:t>Events of Default.</w:t>
      </w:r>
    </w:p>
    <w:p>
      <w:pPr>
        <w:spacing w:after="0" w:line="184" w:lineRule="exact"/>
        <w:rPr>
          <w:sz w:val="20"/>
          <w:szCs w:val="20"/>
          <w:color w:val="auto"/>
        </w:rPr>
      </w:pPr>
    </w:p>
    <w:p>
      <w:pPr>
        <w:jc w:val="both"/>
        <w:ind w:firstLine="517"/>
        <w:spacing w:after="0" w:line="287" w:lineRule="auto"/>
        <w:rPr>
          <w:sz w:val="20"/>
          <w:szCs w:val="20"/>
          <w:color w:val="auto"/>
        </w:rPr>
      </w:pPr>
      <w:r>
        <w:rPr>
          <w:rFonts w:ascii="Times New Roman" w:cs="Times New Roman" w:eastAsia="Times New Roman" w:hAnsi="Times New Roman"/>
          <w:sz w:val="14"/>
          <w:szCs w:val="14"/>
          <w:color w:val="auto"/>
        </w:rPr>
        <w:t>Except where otherwise indicated by the context or where the term is otherwise defined for a specific purpose, the term “Event of Default” as used in this Indenture with respect to Securities of any series shall mean one of the following described events unless it is either inapplicable to a particular series or it is specifically deleted or modified in the manner contemplated in Section 3.01:</w:t>
      </w:r>
    </w:p>
    <w:p>
      <w:pPr>
        <w:spacing w:after="0" w:line="304" w:lineRule="exact"/>
        <w:rPr>
          <w:sz w:val="20"/>
          <w:szCs w:val="20"/>
          <w:color w:val="auto"/>
        </w:rPr>
      </w:pPr>
    </w:p>
    <w:p>
      <w:pPr>
        <w:ind w:left="520" w:firstLine="391"/>
        <w:spacing w:after="0" w:line="294" w:lineRule="auto"/>
        <w:tabs>
          <w:tab w:leader="none" w:pos="1239"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the Company to pay any installment of interest on any Security of such series when and as the same shall become payable, which failure shall have continued unremedied for a period of 30 days;</w:t>
      </w:r>
    </w:p>
    <w:p>
      <w:pPr>
        <w:spacing w:after="0" w:line="122" w:lineRule="exact"/>
        <w:rPr>
          <w:rFonts w:ascii="Times New Roman" w:cs="Times New Roman" w:eastAsia="Times New Roman" w:hAnsi="Times New Roman"/>
          <w:sz w:val="14"/>
          <w:szCs w:val="14"/>
          <w:color w:val="auto"/>
        </w:rPr>
      </w:pPr>
    </w:p>
    <w:p>
      <w:pPr>
        <w:ind w:left="520" w:firstLine="391"/>
        <w:spacing w:after="0" w:line="294" w:lineRule="auto"/>
        <w:tabs>
          <w:tab w:leader="none" w:pos="1238"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the Company to pay the principal of (and premium, if any, on) any Security of such series, when and as the same shall become payable, whether at Maturity as therein expressed, by call for redemption (otherwise than pursuant to a sinking fund), by declaration as authorized by this Indenture or otherwise;</w:t>
      </w:r>
    </w:p>
    <w:p>
      <w:pPr>
        <w:spacing w:after="0" w:line="122" w:lineRule="exact"/>
        <w:rPr>
          <w:rFonts w:ascii="Times New Roman" w:cs="Times New Roman" w:eastAsia="Times New Roman" w:hAnsi="Times New Roman"/>
          <w:sz w:val="14"/>
          <w:szCs w:val="14"/>
          <w:color w:val="auto"/>
        </w:rPr>
      </w:pPr>
    </w:p>
    <w:p>
      <w:pPr>
        <w:ind w:left="520" w:firstLine="391"/>
        <w:spacing w:after="0" w:line="294" w:lineRule="auto"/>
        <w:tabs>
          <w:tab w:leader="none" w:pos="1226"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the Company to pay a sinking fund installment, if any, when and as the same shall become payable by the terms of a Security of such series, which failure shall have continued unremedied for a period of 30 days;</w:t>
      </w:r>
    </w:p>
    <w:p>
      <w:pPr>
        <w:spacing w:after="0" w:line="122" w:lineRule="exact"/>
        <w:rPr>
          <w:rFonts w:ascii="Times New Roman" w:cs="Times New Roman" w:eastAsia="Times New Roman" w:hAnsi="Times New Roman"/>
          <w:sz w:val="14"/>
          <w:szCs w:val="14"/>
          <w:color w:val="auto"/>
        </w:rPr>
      </w:pPr>
    </w:p>
    <w:p>
      <w:pPr>
        <w:jc w:val="both"/>
        <w:ind w:left="520" w:firstLine="391"/>
        <w:spacing w:after="0" w:line="263" w:lineRule="auto"/>
        <w:tabs>
          <w:tab w:leader="none" w:pos="1325"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the Company, subject to the provisions of Section 6.06, to perform any covenants or agreements contained in this Indenture (including any indenture supplemental hereto pursuant to which the Securities of such series were issued as contemplated by Section 3.01) (other than a covenant or agreement which has been expressly included in this Indenture solely for the benefit of a series of Securities other than that series and other than a covenant or agreement a default in the performance of which is elsewhere in this Section 7.01 specifically addressed), which failure shall not have been remedied, or without provision deemed to be adequate for the remedying thereof having been made, for a period of 90 days after written notice shall have been given to the Company by the Trustee or shall have been given to the Company and the Trustee by Holders of 25% or more in aggregate principal amount of the Securities of such series then Outstanding, specifying such failure, requiring the Company to remedy the same and stating that such notice is a “Notice of Default” hereunder;</w:t>
      </w:r>
    </w:p>
    <w:p>
      <w:pPr>
        <w:spacing w:after="0" w:line="320" w:lineRule="exact"/>
        <w:rPr>
          <w:rFonts w:ascii="Times New Roman" w:cs="Times New Roman" w:eastAsia="Times New Roman" w:hAnsi="Times New Roman"/>
          <w:sz w:val="14"/>
          <w:szCs w:val="14"/>
          <w:color w:val="auto"/>
        </w:rPr>
      </w:pPr>
    </w:p>
    <w:p>
      <w:pPr>
        <w:jc w:val="both"/>
        <w:ind w:left="520" w:firstLine="391"/>
        <w:spacing w:after="0" w:line="269" w:lineRule="auto"/>
        <w:tabs>
          <w:tab w:leader="none" w:pos="1233"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entry by a court having jurisdiction in the premises of a decree or order for relief in respect of the Company in an involuntary case under the federal bankruptcy laws, as now or hereafter constituted, or any other applicable federal or state bankruptcy, insolvency or other similar law now or hereafter in effect, or appointing a receiver, liquidator, assignee, custodian, trustee or sequestrator (or similar official) of the Company or of substantially all the property of the Company or ordering the winding-up or liquidation of its affairs and such decree or order shall remain unstayed and in effect for a period of 90 consecutive days;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89" w:right="319" w:bottom="1440" w:gutter="0" w:footer="0" w:header="0"/>
        </w:sectPr>
      </w:pPr>
    </w:p>
    <w:bookmarkStart w:id="68" w:name="page69"/>
    <w:bookmarkEnd w:id="68"/>
    <w:p>
      <w:pPr>
        <w:jc w:val="both"/>
        <w:ind w:left="520" w:firstLine="391"/>
        <w:spacing w:after="0" w:line="266" w:lineRule="auto"/>
        <w:tabs>
          <w:tab w:leader="none" w:pos="1199"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commencement by the Company of a voluntary case under the federal bankruptcy laws, as now or hereafter constituted, or any other applicable federal or state bankruptcy, insolvency or other similar law now or hereafter in effect, or the consent by the Company to the entry of an order for relief in an involuntary case under any such law, or the consent by the Company to the appointment of or taking possession by a receiver, liquidator, assignee, trustee, custodian or sequestrator (or similar official) of the Company or of substantially all the property of the Company or the making by it of an assignment for the benefit of creditors or the admission by it in writing of its inability to pay its debts generally as they become due, or the taking of corporate action by the Company in furtherance of any action; or</w:t>
      </w:r>
    </w:p>
    <w:p>
      <w:pPr>
        <w:spacing w:after="0" w:line="141" w:lineRule="exact"/>
        <w:rPr>
          <w:rFonts w:ascii="Times New Roman" w:cs="Times New Roman" w:eastAsia="Times New Roman" w:hAnsi="Times New Roman"/>
          <w:sz w:val="14"/>
          <w:szCs w:val="14"/>
          <w:color w:val="auto"/>
        </w:rPr>
      </w:pPr>
    </w:p>
    <w:p>
      <w:pPr>
        <w:ind w:left="1220" w:hanging="309"/>
        <w:spacing w:after="0"/>
        <w:tabs>
          <w:tab w:leader="none" w:pos="12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any other Event of Default with respect to Securities of such series as provided in Section 3.01;</w:t>
      </w:r>
    </w:p>
    <w:p>
      <w:pPr>
        <w:spacing w:after="0" w:line="18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provided, however, that no event described in clause (d) or (other than with respect to a payment default) (g) above shall constitute an Event of Default hereunder until a Responsible Officer of the Trustee’s has actual knowledge thereof or until a written notice of any such event is received by the Trustee at the Corporate Trust Office, and such notice refers to the facts underlying such event, the Securities generally, the Company and the Indenture.</w:t>
      </w:r>
    </w:p>
    <w:p>
      <w:pPr>
        <w:spacing w:after="0" w:line="136" w:lineRule="exact"/>
        <w:rPr>
          <w:sz w:val="20"/>
          <w:szCs w:val="20"/>
          <w:color w:val="auto"/>
        </w:rPr>
      </w:pPr>
    </w:p>
    <w:p>
      <w:pPr>
        <w:jc w:val="both"/>
        <w:ind w:firstLine="517"/>
        <w:spacing w:after="0" w:line="262" w:lineRule="auto"/>
        <w:rPr>
          <w:sz w:val="20"/>
          <w:szCs w:val="20"/>
          <w:color w:val="auto"/>
        </w:rPr>
      </w:pPr>
      <w:r>
        <w:rPr>
          <w:rFonts w:ascii="Times New Roman" w:cs="Times New Roman" w:eastAsia="Times New Roman" w:hAnsi="Times New Roman"/>
          <w:sz w:val="14"/>
          <w:szCs w:val="14"/>
          <w:color w:val="auto"/>
        </w:rPr>
        <w:t>Notwithstanding the foregoing provisions of this Section 7.01, if the principal or any premium or interest on any Security is payable in a Currency other than the Currency of the United States and such Currency is not available to the Company for making payment thereof due to the imposition of exchange controls or other circumstances beyond the control of the Company, the Company will be entitled to satisfy its obligations to Holders of the Securities by making such payment in the Currency of the United States in an amount equal to the Currency of the United States equivalent of the amount payable in such other Currency, as determined by the Company’s agent in accordance with Section 3.11(c) hereof by reference to the noon buying rate in The City of New York for cable transfers for such Currency (“Exchange Rate”), as such Exchange Rate is reported or otherwise made available by the Federal Reserve Bank of New York on the date of such payment, or, if such rate is not then available, on the basis of the most recently available Exchange Rate. Notwithstanding the foregoing provisions of this Section 7.01, any payment made under such circumstances in the Currency of the United States where the required payment is in a Currency other than the Currency of the United States will not constitute an Event of Default under this Indenture.</w:t>
      </w:r>
    </w:p>
    <w:p>
      <w:pPr>
        <w:spacing w:after="0" w:line="3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7.02</w:t>
      </w:r>
      <w:r>
        <w:rPr>
          <w:sz w:val="20"/>
          <w:szCs w:val="20"/>
          <w:color w:val="auto"/>
        </w:rPr>
        <w:tab/>
      </w:r>
      <w:r>
        <w:rPr>
          <w:rFonts w:ascii="Times New Roman" w:cs="Times New Roman" w:eastAsia="Times New Roman" w:hAnsi="Times New Roman"/>
          <w:sz w:val="14"/>
          <w:szCs w:val="14"/>
          <w:u w:val="single" w:color="auto"/>
          <w:color w:val="auto"/>
        </w:rPr>
        <w:t>Acceleration; Rescission and Annulment.</w:t>
      </w:r>
    </w:p>
    <w:p>
      <w:pPr>
        <w:spacing w:after="0" w:line="184" w:lineRule="exact"/>
        <w:rPr>
          <w:sz w:val="20"/>
          <w:szCs w:val="20"/>
          <w:color w:val="auto"/>
        </w:rPr>
      </w:pPr>
    </w:p>
    <w:p>
      <w:pPr>
        <w:jc w:val="both"/>
        <w:ind w:left="520" w:firstLine="391"/>
        <w:spacing w:after="0" w:line="261" w:lineRule="auto"/>
        <w:tabs>
          <w:tab w:leader="none" w:pos="1216"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provided as contemplated by Section 3.01 with respect to any series of Securities, if any one or more of the above-described Events of Default (other than an Event of Default specified in Section 7.01(e) or 7.01(f)) shall happen with respect to Securities of any series at the time Outstanding, then, and in each and every such case, during the continuance of any such Event of Default, the Trustee or the Holders of 25% or more in principal amount of the Securities of such series then Outstanding may declare the principal (or, if the Securities of that series are Original Issue Discount Securities, such portion of the principal amount as may be specified in the terms of that series) of and all accrued but unpaid interest on all the Securities of such series then Outstanding to be due and payable immediately by a notice in writing to the Company (and to the Trustee if given by Holders), and upon any such declaration such principal amount (or specified amount) shall become immediately due and payable. If an Event of Default specified in Section 7.01(e) or 7.01(f) occurs and is continuing, then in every such case, the principal amount of all of the Securities of that series then Outstanding shall automatically, and without any declaration or any other action on the part of the Trustee or any Holder, become due and payable immediately. Upon payment of such amounts in the Currency in which such Securities are denominated (subject to Section 7.01 and except as otherwise provided pursuant to Section 3.01), all obligations of the Company in respect of the payment of principal of and interest on the Securities of such series shall terminate.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69" w:name="page70"/>
    <w:bookmarkEnd w:id="69"/>
    <w:p>
      <w:pPr>
        <w:jc w:val="both"/>
        <w:ind w:firstLine="391"/>
        <w:spacing w:after="0" w:line="269" w:lineRule="auto"/>
        <w:tabs>
          <w:tab w:leader="none" w:pos="702"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of Section 7.02(a), however, are subject to the condition that, at any time after the principal of all the Securities of such series, to which any one or more of the above-described Events of Default is applicable, shall have been so declared to be due and payable, and before a judgment or decree for payment of the money due has been obtained by the Trustee as hereinafter provided in this Article, the Event of Default giving rise to such declaration of acceleration shall, without further act, be deemed to have been waived, and such declaration and its consequences shall, without further act, be deemed to have been rescinded and annulled, if:</w:t>
      </w:r>
    </w:p>
    <w:p>
      <w:pPr>
        <w:spacing w:after="0" w:line="139" w:lineRule="exact"/>
        <w:rPr>
          <w:rFonts w:ascii="Times New Roman" w:cs="Times New Roman" w:eastAsia="Times New Roman" w:hAnsi="Times New Roman"/>
          <w:sz w:val="14"/>
          <w:szCs w:val="14"/>
          <w:color w:val="auto"/>
        </w:rPr>
      </w:pPr>
    </w:p>
    <w:p>
      <w:pPr>
        <w:ind w:left="400" w:firstLine="378"/>
        <w:spacing w:after="0" w:line="294" w:lineRule="auto"/>
        <w:tabs>
          <w:tab w:leader="none" w:pos="1115"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paid or deposited with the Trustee or Paying Agent a sum in the Currency in which such Securities are denominated (subject to Section 7.01 and except as otherwise provided pursuant to Section 3.01) sufficient to pay</w:t>
      </w:r>
    </w:p>
    <w:p>
      <w:pPr>
        <w:spacing w:after="0" w:line="122" w:lineRule="exact"/>
        <w:rPr>
          <w:rFonts w:ascii="Times New Roman" w:cs="Times New Roman" w:eastAsia="Times New Roman" w:hAnsi="Times New Roman"/>
          <w:sz w:val="14"/>
          <w:szCs w:val="14"/>
          <w:color w:val="auto"/>
        </w:rPr>
      </w:pPr>
    </w:p>
    <w:p>
      <w:pPr>
        <w:ind w:left="780" w:firstLine="386"/>
        <w:spacing w:after="0" w:line="294" w:lineRule="auto"/>
        <w:tabs>
          <w:tab w:leader="none" w:pos="1554" w:val="left"/>
        </w:tabs>
        <w:numPr>
          <w:ilvl w:val="2"/>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amounts owing the Trustee and any predecessor trustee hereunder under Section 11.01(a) (provided, however, that all sums payable under this clause (A) shall be paid in U.S. Dollars);</w:t>
      </w:r>
    </w:p>
    <w:p>
      <w:pPr>
        <w:spacing w:after="0" w:line="122" w:lineRule="exact"/>
        <w:rPr>
          <w:rFonts w:ascii="Times New Roman" w:cs="Times New Roman" w:eastAsia="Times New Roman" w:hAnsi="Times New Roman"/>
          <w:sz w:val="14"/>
          <w:szCs w:val="14"/>
          <w:color w:val="auto"/>
        </w:rPr>
      </w:pPr>
    </w:p>
    <w:p>
      <w:pPr>
        <w:ind w:left="780" w:firstLine="386"/>
        <w:spacing w:after="0" w:line="294" w:lineRule="auto"/>
        <w:tabs>
          <w:tab w:leader="none" w:pos="1528" w:val="left"/>
        </w:tabs>
        <w:numPr>
          <w:ilvl w:val="2"/>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arrears of interest, if any, upon all the Securities of such series (with interest, to the extent that interest thereon shall be legally enforceable, on any overdue installment of interest at the rate borne by such Securities at the rate or rates prescribed therefor in such Securities); and</w:t>
      </w:r>
    </w:p>
    <w:p>
      <w:pPr>
        <w:spacing w:after="0" w:line="122" w:lineRule="exact"/>
        <w:rPr>
          <w:rFonts w:ascii="Times New Roman" w:cs="Times New Roman" w:eastAsia="Times New Roman" w:hAnsi="Times New Roman"/>
          <w:sz w:val="14"/>
          <w:szCs w:val="14"/>
          <w:color w:val="auto"/>
        </w:rPr>
      </w:pPr>
    </w:p>
    <w:p>
      <w:pPr>
        <w:ind w:left="1560" w:hanging="394"/>
        <w:spacing w:after="0"/>
        <w:tabs>
          <w:tab w:leader="none" w:pos="1560" w:val="left"/>
        </w:tabs>
        <w:numPr>
          <w:ilvl w:val="2"/>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of and premium, if any, on any Securities of such series that have become due otherwise than by such declaration of acceleration and interest</w:t>
      </w:r>
    </w:p>
    <w:p>
      <w:pPr>
        <w:spacing w:after="0" w:line="24" w:lineRule="exact"/>
        <w:rPr>
          <w:rFonts w:ascii="Times New Roman" w:cs="Times New Roman" w:eastAsia="Times New Roman" w:hAnsi="Times New Roman"/>
          <w:sz w:val="14"/>
          <w:szCs w:val="14"/>
          <w:color w:val="auto"/>
        </w:rPr>
      </w:pPr>
    </w:p>
    <w:p>
      <w:pPr>
        <w:ind w:left="7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thereon;</w:t>
      </w:r>
    </w:p>
    <w:p>
      <w:pPr>
        <w:spacing w:after="0" w:line="170" w:lineRule="exact"/>
        <w:rPr>
          <w:rFonts w:ascii="Times New Roman" w:cs="Times New Roman" w:eastAsia="Times New Roman" w:hAnsi="Times New Roman"/>
          <w:sz w:val="14"/>
          <w:szCs w:val="14"/>
          <w:color w:val="auto"/>
        </w:rPr>
      </w:pPr>
    </w:p>
    <w:p>
      <w:pPr>
        <w:ind w:left="400" w:firstLine="378"/>
        <w:spacing w:after="0" w:line="294" w:lineRule="auto"/>
        <w:tabs>
          <w:tab w:leader="none" w:pos="1141"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every other Default and Event of Default with respect to Securities of that series, other than the non-payment of the principal of Securities of that series which have become due solely by such declaration of acceleration, have been cured or waived as provided in Section 7.06.</w:t>
      </w:r>
    </w:p>
    <w:p>
      <w:pPr>
        <w:spacing w:after="0" w:line="122" w:lineRule="exact"/>
        <w:rPr>
          <w:rFonts w:ascii="Times New Roman" w:cs="Times New Roman" w:eastAsia="Times New Roman" w:hAnsi="Times New Roman"/>
          <w:sz w:val="14"/>
          <w:szCs w:val="14"/>
          <w:color w:val="auto"/>
        </w:rPr>
      </w:pPr>
    </w:p>
    <w:p>
      <w:pPr>
        <w:ind w:left="700" w:hanging="309"/>
        <w:spacing w:after="0"/>
        <w:tabs>
          <w:tab w:leader="none" w:pos="7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such rescission shall affect any subsequent default or impair any right consequent thereon.</w:t>
      </w:r>
    </w:p>
    <w:p>
      <w:pPr>
        <w:spacing w:after="0" w:line="183" w:lineRule="exact"/>
        <w:rPr>
          <w:rFonts w:ascii="Times New Roman" w:cs="Times New Roman" w:eastAsia="Times New Roman" w:hAnsi="Times New Roman"/>
          <w:sz w:val="14"/>
          <w:szCs w:val="14"/>
          <w:color w:val="auto"/>
        </w:rPr>
      </w:pPr>
    </w:p>
    <w:p>
      <w:pPr>
        <w:jc w:val="both"/>
        <w:ind w:firstLine="391"/>
        <w:spacing w:after="0" w:line="266" w:lineRule="auto"/>
        <w:tabs>
          <w:tab w:leader="none" w:pos="706"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4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71120</wp:posOffset>
            </wp:positionV>
            <wp:extent cx="7160260" cy="139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0760"/>
          </w:cols>
          <w:pgMar w:left="820" w:top="491" w:right="319" w:bottom="1440" w:gutter="0" w:footer="0" w:header="0"/>
        </w:sectPr>
      </w:pPr>
    </w:p>
    <w:bookmarkStart w:id="70" w:name="page71"/>
    <w:bookmarkEnd w:id="70"/>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7.03</w:t>
      </w:r>
      <w:r>
        <w:rPr>
          <w:sz w:val="20"/>
          <w:szCs w:val="20"/>
          <w:color w:val="auto"/>
        </w:rPr>
        <w:tab/>
      </w:r>
      <w:r>
        <w:rPr>
          <w:rFonts w:ascii="Times New Roman" w:cs="Times New Roman" w:eastAsia="Times New Roman" w:hAnsi="Times New Roman"/>
          <w:sz w:val="14"/>
          <w:szCs w:val="14"/>
          <w:u w:val="single" w:color="auto"/>
          <w:color w:val="auto"/>
        </w:rPr>
        <w:t>Other Remedies.</w:t>
      </w:r>
    </w:p>
    <w:p>
      <w:pPr>
        <w:spacing w:after="0" w:line="184"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If the Company shall fail for a period of 30 days to pay any installment of interest on the Securities of any series or shall fail to pay the principal of and premium, if any, on any of the Securities of such series when and as the same shall become due and payable, whether at Maturity, or by call for redemption (other than pursuant to the sinking fund), by declaration as authorized by this Indenture, or otherwise, or shall fail for a period of 30 days to make any required sinking fund payment as to a series of Securities, then, upon demand of the Trustee, the Company will pay to the Paying Agent for the benefit of the Holders of Securities of such series then Outstanding the whole amount which then shall have become due and payable on all the Securities of such series, with interest on the overdue principal and premium, if any, and (so far as the same may be legally enforceable) on the overdue installments of interest at the rate borne by the Securities of such series, and all amounts owing the Trustee and any predecessor trustee hereunder under Section 11.01(a).</w:t>
      </w:r>
    </w:p>
    <w:p>
      <w:pPr>
        <w:spacing w:after="0" w:line="144" w:lineRule="exact"/>
        <w:rPr>
          <w:sz w:val="20"/>
          <w:szCs w:val="20"/>
          <w:color w:val="auto"/>
        </w:rPr>
      </w:pPr>
    </w:p>
    <w:p>
      <w:pPr>
        <w:jc w:val="both"/>
        <w:ind w:firstLine="517"/>
        <w:spacing w:after="0" w:line="263" w:lineRule="auto"/>
        <w:rPr>
          <w:sz w:val="20"/>
          <w:szCs w:val="20"/>
          <w:color w:val="auto"/>
        </w:rPr>
      </w:pPr>
      <w:r>
        <w:rPr>
          <w:rFonts w:ascii="Times New Roman" w:cs="Times New Roman" w:eastAsia="Times New Roman" w:hAnsi="Times New Roman"/>
          <w:sz w:val="14"/>
          <w:szCs w:val="14"/>
          <w:color w:val="auto"/>
        </w:rPr>
        <w:t>In case the Company shall fail forthwith to pay such amounts upon such demand, the Trustee, in its own name and as trustee of an express trust, shall be entitled and empowered to institute any action or proceeding at law or in equity for the collection of the sums so due and unpaid, and may prosecute any such action or proceeding to judgment or final decree, and may enforce any such judgment or final decree against the Company or any other obligor upon the Securities of such series, and collect the moneys adjudged or decreed to be payable out of the property of the Company or any other obligor upon the Securities of such series, wherever situated, in the manner provided by law. Every recovery of judgment in any such action or other proceeding, subject to the payment to the Trustee of all amounts owing the Trustee and any predecessor trustee hereunder under Section 11.01(a), shall be for the ratable benefit of the Holders of such series of Securities which shall be the subject of such action or proceeding. All rights of action upon or under any of the Securities or this Indenture may be enforced by the Trustee without the possession of any of the Securities and without the production of any thereof at any trial or any proceeding relative thereto.</w:t>
      </w:r>
    </w:p>
    <w:p>
      <w:pPr>
        <w:spacing w:after="0" w:line="14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7.04</w:t>
      </w:r>
      <w:r>
        <w:rPr>
          <w:sz w:val="20"/>
          <w:szCs w:val="20"/>
          <w:color w:val="auto"/>
        </w:rPr>
        <w:tab/>
      </w:r>
      <w:r>
        <w:rPr>
          <w:rFonts w:ascii="Times New Roman" w:cs="Times New Roman" w:eastAsia="Times New Roman" w:hAnsi="Times New Roman"/>
          <w:sz w:val="14"/>
          <w:szCs w:val="14"/>
          <w:u w:val="single" w:color="auto"/>
          <w:color w:val="auto"/>
        </w:rPr>
        <w:t>Trustee as Attorney-in-Fact.</w:t>
      </w:r>
    </w:p>
    <w:p>
      <w:pPr>
        <w:spacing w:after="0" w:line="184" w:lineRule="exact"/>
        <w:rPr>
          <w:sz w:val="20"/>
          <w:szCs w:val="20"/>
          <w:color w:val="auto"/>
        </w:rPr>
      </w:pPr>
    </w:p>
    <w:p>
      <w:pPr>
        <w:jc w:val="both"/>
        <w:ind w:firstLine="517"/>
        <w:spacing w:after="0" w:line="259" w:lineRule="auto"/>
        <w:rPr>
          <w:sz w:val="20"/>
          <w:szCs w:val="20"/>
          <w:color w:val="auto"/>
        </w:rPr>
      </w:pPr>
      <w:r>
        <w:rPr>
          <w:rFonts w:ascii="Times New Roman" w:cs="Times New Roman" w:eastAsia="Times New Roman" w:hAnsi="Times New Roman"/>
          <w:sz w:val="14"/>
          <w:szCs w:val="14"/>
          <w:color w:val="auto"/>
        </w:rPr>
        <w:t>The Trustee is hereby appointed, and each and every Holder of the Securities, by receiving and holding the same, shall be conclusively deemed to have appointed the Trustee, the true and lawful attorney-in-fact of such Holder, with authority to make or file (whether or not the Company shall be in Default in respect of the payment of the principal of, or interest on, any of the Securities, and irrespective of whether the Trustee shall have made any demand on the Company for the payment of overdue principal or interest), in its own name and as trustee of an express trust or otherwise as it shall deem advisable, in any receivership, insolvency, liquidation, bankruptcy, reorganization or other judicial proceeding relative to the Company or any other obligor upon the Securities or to their respective creditors or property, any and all claims, proofs of claim, proofs of debt, petitions, consents, other papers and documents and amendments of any thereof, as may be necessary or advisable in order to have the claims of the Trustee and any predecessor trustee hereunder (including any claims for reasonable compensation, expenses, disbursements and advances of the Trustee, its agents and its counsel) and of the Holders of the Securities allowed in any such proceeding and to collect and receive any moneys or other property payable or deliverable on any such claim, and to execute and deliver any and all other papers and documents and to do and perform any and all other acts and things, as it may deem necessary or advisable in order to enforce in any such proceeding any of the claims of the Trustee and any predecessor trustee hereunder and of any of such Holders in respect of any of the Securities; and any receiver, assignee, trustee, custodian, liquidator, debtor or a similar official in any such proceeding is hereby authorized, and each and every taker or Holder of the Securities, by receiving and holding the same, shall be conclusively deemed to have authorized any such receiver, assignee, trustee, custodian, liquidator, debtor or a similar official to make any such payment or delivery only to or on the order of the Trustee, and to pay to the Trustee any amount due it and any predecessor trustee hereunder for the reasonable compensation, expenses, disbursements and advances of the Trustee, its agents and its counsel and any other amounts due under Section 11.01(a); provided, however, that nothing herein contained shall be deemed to authorize or empower the Trustee to consent to or accept or adopt, on behalf of any Holder of Securities, any plan of reorganization, composition, adjustment or other similar arrangement affecting the Securities or the rights of any Holder thereof, or to authorize or empower the Trustee to vote in respect of the claim of any Holder of any Securities in any such proceeding.</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71" w:name="page72"/>
    <w:bookmarkEnd w:id="71"/>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7.05</w:t>
      </w:r>
      <w:r>
        <w:rPr>
          <w:sz w:val="20"/>
          <w:szCs w:val="20"/>
          <w:color w:val="auto"/>
        </w:rPr>
        <w:tab/>
      </w:r>
      <w:r>
        <w:rPr>
          <w:rFonts w:ascii="Times New Roman" w:cs="Times New Roman" w:eastAsia="Times New Roman" w:hAnsi="Times New Roman"/>
          <w:sz w:val="14"/>
          <w:szCs w:val="14"/>
          <w:u w:val="single" w:color="auto"/>
          <w:color w:val="auto"/>
        </w:rPr>
        <w:t>Priorities.</w:t>
      </w:r>
    </w:p>
    <w:p>
      <w:pPr>
        <w:spacing w:after="0" w:line="184"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Any moneys or properties collected by the Trustee with respect to a series of Securities under this Article VII shall be applied in the order following, at the date or dates fixed by the Trustee for the distribution of such moneys or properties and, in the case of the distribution of such moneys or properties on account of the Securities of any series, upon presentation of the Securities of such series, and stamping thereon the payment, if only partially paid, and upon surrender thereof, if fully paid:</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First: To the payment of all amounts due to the Trustee and any predecessor trustee hereunder under Section 11.01(a).</w:t>
      </w:r>
    </w:p>
    <w:p>
      <w:pPr>
        <w:spacing w:after="0" w:line="184"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Second: In case the principal of the Outstanding Securities of such series shall not have become due and be unpaid, to the payment of interest on the Securities of such series, in the chronological order of the Maturity of the installments of such interest, with interest (to the extent that such interest has been collected by the Trustee) upon the overdue installments of interest at the rate borne by such Securities, such payments to be made ratably to the Persons entitled thereto.</w:t>
      </w:r>
    </w:p>
    <w:p>
      <w:pPr>
        <w:spacing w:after="0" w:line="136"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Third: In case the principal of the Outstanding Securities of such series shall have become due, by declaration or otherwise, to the payment of the whole amount then owing and unpaid upon the Securities of such series for principal and premium, if any, and interest, with interest on the overdue principal and premium, if any, and (to the extent that such interest has been collected by the Trustee) upon overdue installments of interest at the rate borne by the Securities of such series, and in case such moneys shall be insufficient to pay in full the whole amounts so due and unpaid upon the Securities of such series, then to the payment of such principal and premium, if any, and interest without preference or priority of principal and premium, if any, over interest, or of interest over principal and premium, if any, or of any installment of interest over any other installment of interest, or of any Security of such series over any other Security of such series, ratably to the aggregate of such principal and premium, if any, and accrued and unpaid interest.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72" w:name="page73"/>
    <w:bookmarkEnd w:id="72"/>
    <w:p>
      <w:pPr>
        <w:ind w:left="520"/>
        <w:spacing w:after="0"/>
        <w:rPr>
          <w:sz w:val="20"/>
          <w:szCs w:val="20"/>
          <w:color w:val="auto"/>
        </w:rPr>
      </w:pPr>
      <w:r>
        <w:rPr>
          <w:rFonts w:ascii="Times New Roman" w:cs="Times New Roman" w:eastAsia="Times New Roman" w:hAnsi="Times New Roman"/>
          <w:sz w:val="14"/>
          <w:szCs w:val="14"/>
          <w:color w:val="auto"/>
        </w:rPr>
        <w:t>Any surplus then remaining shall be paid to the Company or as directed by a court of competent jurisdiction.</w:t>
      </w:r>
    </w:p>
    <w:p>
      <w:pPr>
        <w:spacing w:after="0" w:line="18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7.06</w:t>
      </w:r>
      <w:r>
        <w:rPr>
          <w:sz w:val="20"/>
          <w:szCs w:val="20"/>
          <w:color w:val="auto"/>
        </w:rPr>
        <w:tab/>
      </w:r>
      <w:r>
        <w:rPr>
          <w:rFonts w:ascii="Times New Roman" w:cs="Times New Roman" w:eastAsia="Times New Roman" w:hAnsi="Times New Roman"/>
          <w:sz w:val="14"/>
          <w:szCs w:val="14"/>
          <w:u w:val="single" w:color="auto"/>
          <w:color w:val="auto"/>
        </w:rPr>
        <w:t>Control by Securityholders; Waiver of Past Defaults.</w:t>
      </w:r>
    </w:p>
    <w:p>
      <w:pPr>
        <w:spacing w:after="0" w:line="184" w:lineRule="exact"/>
        <w:rPr>
          <w:sz w:val="20"/>
          <w:szCs w:val="20"/>
          <w:color w:val="auto"/>
        </w:rPr>
      </w:pPr>
    </w:p>
    <w:p>
      <w:pPr>
        <w:jc w:val="both"/>
        <w:ind w:firstLine="517"/>
        <w:spacing w:after="0" w:line="261" w:lineRule="auto"/>
        <w:rPr>
          <w:sz w:val="20"/>
          <w:szCs w:val="20"/>
          <w:color w:val="auto"/>
        </w:rPr>
      </w:pPr>
      <w:r>
        <w:rPr>
          <w:rFonts w:ascii="Times New Roman" w:cs="Times New Roman" w:eastAsia="Times New Roman" w:hAnsi="Times New Roman"/>
          <w:sz w:val="14"/>
          <w:szCs w:val="14"/>
          <w:color w:val="auto"/>
        </w:rPr>
        <w:t>The Holders of a majority in principal amount of the Securities of any series at the time Outstanding may direct the time, method and place of conducting any proceeding for any remedy available to the Trustee hereunder, or of exercising any trust or power hereby conferred upon the Trustee with respect to the Securities of such series, provided, however, that, subject to the provisions of Sections 11.01 and 11.02, the Trustee shall have the right to decline to follow any such direction if the Trustee being advised by counsel determines that the action so directed may not lawfully be taken or would be unduly prejudicial to Holders not joining in such direction or would involve the Trustee in personal liability. Prior to any declaration accelerating the Maturity of the Securities of any series, the Holders of a majority in aggregate principal amount of such series of Securities at the time Outstanding may on behalf of the Holders of all of the Securities of such series waive any past Default or Event of Default hereunder and its consequences except a Default in the payment of interest or any premium on or the principal of the Securities of such series. Upon any such waiver the Company, the Trustee and the Holders of the Securities of such series shall be restored to their former positions and rights hereunder, respectively; but no such waiver shall extend to any subsequent or other Default or Event of Default or impair any right consequent thereon. Whenever any Default or Event of Default hereunder shall have been waived as permitted by this Section 7.06, said Default or Event of Default shall for all purposes of the Securities of such series and this Indenture be deemed to have been cured and to be not continuing.</w:t>
      </w:r>
    </w:p>
    <w:p>
      <w:pPr>
        <w:spacing w:after="0" w:line="14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7.07</w:t>
      </w:r>
      <w:r>
        <w:rPr>
          <w:sz w:val="20"/>
          <w:szCs w:val="20"/>
          <w:color w:val="auto"/>
        </w:rPr>
        <w:tab/>
      </w:r>
      <w:r>
        <w:rPr>
          <w:rFonts w:ascii="Times New Roman" w:cs="Times New Roman" w:eastAsia="Times New Roman" w:hAnsi="Times New Roman"/>
          <w:sz w:val="14"/>
          <w:szCs w:val="14"/>
          <w:u w:val="single" w:color="auto"/>
          <w:color w:val="auto"/>
        </w:rPr>
        <w:t>Limitation on Suits.</w:t>
      </w:r>
    </w:p>
    <w:p>
      <w:pPr>
        <w:spacing w:after="0" w:line="184" w:lineRule="exact"/>
        <w:rPr>
          <w:sz w:val="20"/>
          <w:szCs w:val="20"/>
          <w:color w:val="auto"/>
        </w:rPr>
      </w:pPr>
    </w:p>
    <w:p>
      <w:pPr>
        <w:jc w:val="both"/>
        <w:ind w:firstLine="517"/>
        <w:spacing w:after="0" w:line="260" w:lineRule="auto"/>
        <w:rPr>
          <w:sz w:val="20"/>
          <w:szCs w:val="20"/>
          <w:color w:val="auto"/>
        </w:rPr>
      </w:pPr>
      <w:r>
        <w:rPr>
          <w:rFonts w:ascii="Times New Roman" w:cs="Times New Roman" w:eastAsia="Times New Roman" w:hAnsi="Times New Roman"/>
          <w:sz w:val="14"/>
          <w:szCs w:val="14"/>
          <w:color w:val="auto"/>
        </w:rPr>
        <w:t>No Holder of any Security of any series shall have any right to institute any action, suit or proceeding at law or in equity for the execution of any trust hereunder or for the appointment of a receiver or for any other remedy hereunder, in each case with respect to an Event of Default with respect to such series of Securities, unless such Holder previously shall have given to the Trustee written notice of one or more of the Events of Default herein specified with respect to such series of Securities, and unless also the Holders of 25% in principal amount of the Securities of such series then Outstanding shall have requested the Trustee in writing to take action in respect of the matter complained of, and unless also there shall have been offered to the Trustee security and indemnity satisfactory to it against the costs, expenses and liabilities to be incurred therein or thereby, and the Trustee, for 60 days after receipt of such notification, request and offer of indemnity, shall have neglected or refused to institute any such action, suit or proceeding; and such notification, request and offer of indemnity are hereby declared in every such case to be conditions precedent to any such action, suit or proceeding by any Holder of any Security of such series; it being understood and intended that no one or more of the Holders of Securities of such series shall have any right in any manner whatsoever by his, her, its or their action to enforce any right hereunder, except in the manner herein provided, and that every action, suit or proceeding at law or in equity shall be instituted, had and maintained in the manner herein provided and for the equal benefit of all Holders of the Outstanding Securities of such series; provided, however, that nothing in this Indenture or in the Securities of such series shall affect or impair the obligation of the Company, which is absolute and unconditional, to pay the principal of, premium, if any, and interest on the Securities of such series to the respective Holders of such Securities at the respective due dates in such Securities stated, or affect or impair the right, which is also absolute and unconditional, of such Holders to institute suit to enforce the payment thereof.</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73" w:name="page74"/>
    <w:bookmarkEnd w:id="73"/>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7.08</w:t>
      </w:r>
      <w:r>
        <w:rPr>
          <w:sz w:val="20"/>
          <w:szCs w:val="20"/>
          <w:color w:val="auto"/>
        </w:rPr>
        <w:tab/>
      </w:r>
      <w:r>
        <w:rPr>
          <w:rFonts w:ascii="Times New Roman" w:cs="Times New Roman" w:eastAsia="Times New Roman" w:hAnsi="Times New Roman"/>
          <w:sz w:val="14"/>
          <w:szCs w:val="14"/>
          <w:u w:val="single" w:color="auto"/>
          <w:color w:val="auto"/>
        </w:rPr>
        <w:t>Undertaking for Costs.</w:t>
      </w:r>
    </w:p>
    <w:p>
      <w:pPr>
        <w:spacing w:after="0" w:line="184" w:lineRule="exact"/>
        <w:rPr>
          <w:sz w:val="20"/>
          <w:szCs w:val="20"/>
          <w:color w:val="auto"/>
        </w:rPr>
      </w:pPr>
    </w:p>
    <w:p>
      <w:pPr>
        <w:jc w:val="both"/>
        <w:ind w:firstLine="517"/>
        <w:spacing w:after="0" w:line="262" w:lineRule="auto"/>
        <w:rPr>
          <w:sz w:val="20"/>
          <w:szCs w:val="20"/>
          <w:color w:val="auto"/>
        </w:rPr>
      </w:pPr>
      <w:r>
        <w:rPr>
          <w:rFonts w:ascii="Times New Roman" w:cs="Times New Roman" w:eastAsia="Times New Roman" w:hAnsi="Times New Roman"/>
          <w:sz w:val="14"/>
          <w:szCs w:val="14"/>
          <w:color w:val="auto"/>
        </w:rPr>
        <w:t>All parties to this Indenture and each Holder of any Security, by such Holder’s acceptance thereof, shall be deemed to have agreed that any court may in its discretion require, in any action, suit or proceeding for the enforcement of any right or remedy under this Indenture, or in any action, suit or proceeding against the Trustee for any action taken or omitted by it as Trustee, the filing by any party litigant in such action, suit or proceeding of an undertaking to pay the costs of such action, suit or proceeding, and that such court may in its discretion assess reasonable costs, including reasonable attorneys’ fees and expenses, against any party litigant in such action, suit or proceeding, having due regard to the merits and good faith of the claims or defenses made by such party litigant; provided, however, that the provisions of this Section 7.08 shall not apply to any action, suit or proceeding instituted by the Trustee, to any action, suit or proceeding instituted by any one or more Holders of Securities holding in the aggregate more than 10% in principal amount of the Securities of any series Outstanding, or to any action, suit or proceeding instituted by any Holder of Securities of any series for the enforcement of the payment of the principal of or premium, if any, or the interest on, any of the Securities of such series, on or after the respective due dates expressed in such Securities.</w:t>
      </w:r>
    </w:p>
    <w:p>
      <w:pPr>
        <w:spacing w:after="0" w:line="14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7.09</w:t>
      </w:r>
      <w:r>
        <w:rPr>
          <w:sz w:val="20"/>
          <w:szCs w:val="20"/>
          <w:color w:val="auto"/>
        </w:rPr>
        <w:tab/>
      </w:r>
      <w:r>
        <w:rPr>
          <w:rFonts w:ascii="Times New Roman" w:cs="Times New Roman" w:eastAsia="Times New Roman" w:hAnsi="Times New Roman"/>
          <w:sz w:val="14"/>
          <w:szCs w:val="14"/>
          <w:u w:val="single" w:color="auto"/>
          <w:color w:val="auto"/>
        </w:rPr>
        <w:t>Remedies Cumulative.</w:t>
      </w:r>
    </w:p>
    <w:p>
      <w:pPr>
        <w:spacing w:after="0" w:line="184" w:lineRule="exact"/>
        <w:rPr>
          <w:sz w:val="20"/>
          <w:szCs w:val="20"/>
          <w:color w:val="auto"/>
        </w:rPr>
      </w:pPr>
    </w:p>
    <w:p>
      <w:pPr>
        <w:jc w:val="both"/>
        <w:ind w:firstLine="517"/>
        <w:spacing w:after="0" w:line="261" w:lineRule="auto"/>
        <w:rPr>
          <w:sz w:val="20"/>
          <w:szCs w:val="20"/>
          <w:color w:val="auto"/>
        </w:rPr>
      </w:pPr>
      <w:r>
        <w:rPr>
          <w:rFonts w:ascii="Times New Roman" w:cs="Times New Roman" w:eastAsia="Times New Roman" w:hAnsi="Times New Roman"/>
          <w:sz w:val="14"/>
          <w:szCs w:val="14"/>
          <w:color w:val="auto"/>
        </w:rPr>
        <w:t>No remedy herein conferred upon or reserved to the Trustee or to the Holders of Securities of any series is intended to be exclusive of any other remedy or remedies, and each and every remedy shall be cumulative and shall be in addition to every other remedy given hereunder or now or hereafter existing at law or in equity or by statute. No delay or omission of the Trustee or of any Holder of the Securities of any series to exercise any right or power accruing upon any Default or Event of Default shall impair any such right or power or shall be construed to be a waiver of any such Default or Event of Default or an acquiescence therein; and every power and remedy given by this Article VII to the Trustee and to the Holders of Securities of any series, respectively, may be exercised from time to time and as often as may be deemed expedient by the Trustee or by the Holders of Securities of such series, as the case may be. In case the Trustee or any Holder of Securities of any series shall have proceeded to enforce any right under this Indenture and the proceedings for the enforcement thereof shall have been discontinued or abandoned because of waiver or for any other reason or shall have been adjudicated adversely to the Trustee or to such Holder of Securities, then and in every such case the Company, the Trustee and the Holders of the Securities of such series shall severally and respectively be restored to their former positions and rights hereunder, and thereafter all rights, remedies and powers of the Trustee and the Holders of the Securities of such series shall continue as though no such proceedings had been taken, except as to any matters so waived or adjudicated.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4"/>
          <w:szCs w:val="14"/>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CONCERNING THE SECURITYHOLDERS</w:t>
      </w:r>
    </w:p>
    <w:p>
      <w:pPr>
        <w:spacing w:after="0" w:line="17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8.01</w:t>
      </w:r>
      <w:r>
        <w:rPr>
          <w:sz w:val="20"/>
          <w:szCs w:val="20"/>
          <w:color w:val="auto"/>
        </w:rPr>
        <w:tab/>
      </w:r>
      <w:r>
        <w:rPr>
          <w:rFonts w:ascii="Times New Roman" w:cs="Times New Roman" w:eastAsia="Times New Roman" w:hAnsi="Times New Roman"/>
          <w:sz w:val="14"/>
          <w:szCs w:val="14"/>
          <w:u w:val="single" w:color="auto"/>
          <w:color w:val="auto"/>
        </w:rPr>
        <w:t>Evidence of Action of Securityholders.</w:t>
      </w:r>
    </w:p>
    <w:p>
      <w:pPr>
        <w:spacing w:after="0" w:line="184" w:lineRule="exact"/>
        <w:rPr>
          <w:sz w:val="20"/>
          <w:szCs w:val="20"/>
          <w:color w:val="auto"/>
        </w:rPr>
      </w:pPr>
    </w:p>
    <w:p>
      <w:pPr>
        <w:jc w:val="both"/>
        <w:ind w:firstLine="517"/>
        <w:spacing w:after="0" w:line="263" w:lineRule="auto"/>
        <w:rPr>
          <w:sz w:val="20"/>
          <w:szCs w:val="20"/>
          <w:color w:val="auto"/>
        </w:rPr>
      </w:pPr>
      <w:r>
        <w:rPr>
          <w:rFonts w:ascii="Times New Roman" w:cs="Times New Roman" w:eastAsia="Times New Roman" w:hAnsi="Times New Roman"/>
          <w:sz w:val="14"/>
          <w:szCs w:val="14"/>
          <w:color w:val="auto"/>
        </w:rPr>
        <w:t>Whenever in this Indenture it is provided that the Holders of a specified percentage or a majority in aggregate principal amount of the Securities or of any series of Securities may take any action (including the making of any demand or request, the giving of any notice, consent or waiver or the taking of any other action), the fact that at the time of taking any such action the Holders of such specified percentage or majority have joined therein may be evidenced by (a) any instrument or any number of instruments of similar tenor executed by Securityholders in person, by an agent or by a proxy appointed in writing, including through an electronic system for tabulating consents operated by the Depositary for such series or otherwise (such action becoming effective, except as herein otherwise expressly provided, when such instruments or evidence of electronic consents are delivered to the Trustee and, where it is hereby expressly required, to the Company), or (b) by the record of the Holders of Securities voting in favor thereof at any meeting of Securityholders duly called and held in accordance with the provisions of Article IX, or (c) by a combination of such instrument or instruments and any such record of such a meeting of Securityholders.</w:t>
      </w:r>
    </w:p>
    <w:p>
      <w:pPr>
        <w:spacing w:after="0" w:line="14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8.02</w:t>
      </w:r>
      <w:r>
        <w:rPr>
          <w:sz w:val="20"/>
          <w:szCs w:val="20"/>
          <w:color w:val="auto"/>
        </w:rPr>
        <w:tab/>
      </w:r>
      <w:r>
        <w:rPr>
          <w:rFonts w:ascii="Times New Roman" w:cs="Times New Roman" w:eastAsia="Times New Roman" w:hAnsi="Times New Roman"/>
          <w:sz w:val="14"/>
          <w:szCs w:val="14"/>
          <w:u w:val="single" w:color="auto"/>
          <w:color w:val="auto"/>
        </w:rPr>
        <w:t>Proof of Execution or Holding of Securities.</w:t>
      </w:r>
    </w:p>
    <w:p>
      <w:pPr>
        <w:spacing w:after="0" w:line="184"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Proof of the execution of any instrument by a Securityholder or his, her or its agent or proxy and proof of the holding by any Person of any of the Securities shall be sufficient if made in the following manner:</w:t>
      </w:r>
    </w:p>
    <w:p>
      <w:pPr>
        <w:spacing w:after="0" w:line="123" w:lineRule="exact"/>
        <w:rPr>
          <w:sz w:val="20"/>
          <w:szCs w:val="20"/>
          <w:color w:val="auto"/>
        </w:rPr>
      </w:pPr>
    </w:p>
    <w:p>
      <w:pPr>
        <w:jc w:val="both"/>
        <w:ind w:left="520" w:firstLine="391"/>
        <w:spacing w:after="0" w:line="269" w:lineRule="auto"/>
        <w:tabs>
          <w:tab w:leader="none" w:pos="1228"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and date of the execution by any Person of any such instrument may be proved (i) by the certificate of any notary public or other officer in any jurisdiction who, by the laws thereof, has power to take acknowledgments or proof of deeds to be recorded within such jurisdiction, that the Person who signed such instrument did acknowledge before such notary public or other officer the execution thereof, or (ii) by the affidavit of a witness of such execution sworn to before any such notary or other officer. Where such execution is by a Person acting in other than his or her individual capacity, such certificate or affidavit shall also constitute sufficient proof of his or her authority.</w:t>
      </w:r>
    </w:p>
    <w:p>
      <w:pPr>
        <w:spacing w:after="0" w:line="139" w:lineRule="exact"/>
        <w:rPr>
          <w:rFonts w:ascii="Times New Roman" w:cs="Times New Roman" w:eastAsia="Times New Roman" w:hAnsi="Times New Roman"/>
          <w:sz w:val="14"/>
          <w:szCs w:val="14"/>
          <w:color w:val="auto"/>
        </w:rPr>
      </w:pPr>
    </w:p>
    <w:p>
      <w:pPr>
        <w:ind w:left="1220" w:hanging="309"/>
        <w:spacing w:after="0"/>
        <w:tabs>
          <w:tab w:leader="none" w:pos="12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ownership of Securities of any series shall be proved by the Register of such Securities or by a certificate of the Registrar for such series.</w:t>
      </w:r>
    </w:p>
    <w:p>
      <w:pPr>
        <w:spacing w:after="0" w:line="183" w:lineRule="exact"/>
        <w:rPr>
          <w:rFonts w:ascii="Times New Roman" w:cs="Times New Roman" w:eastAsia="Times New Roman" w:hAnsi="Times New Roman"/>
          <w:sz w:val="14"/>
          <w:szCs w:val="14"/>
          <w:color w:val="auto"/>
        </w:rPr>
      </w:pPr>
    </w:p>
    <w:p>
      <w:pPr>
        <w:ind w:left="1220" w:hanging="309"/>
        <w:spacing w:after="0"/>
        <w:tabs>
          <w:tab w:leader="none" w:pos="12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record of any Holders’ meeting shall be proved in the manner provided in Section 9.06.</w:t>
      </w:r>
    </w:p>
    <w:p>
      <w:pPr>
        <w:spacing w:after="0" w:line="183" w:lineRule="exact"/>
        <w:rPr>
          <w:rFonts w:ascii="Times New Roman" w:cs="Times New Roman" w:eastAsia="Times New Roman" w:hAnsi="Times New Roman"/>
          <w:sz w:val="14"/>
          <w:szCs w:val="14"/>
          <w:color w:val="auto"/>
        </w:rPr>
      </w:pPr>
    </w:p>
    <w:p>
      <w:pPr>
        <w:ind w:left="1260" w:hanging="349"/>
        <w:spacing w:after="0"/>
        <w:tabs>
          <w:tab w:leader="none" w:pos="12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require such additional proof of any matter referred to in this Section 8.02 as it shall deem appropriate or necessary, so long as the request is a reasonable</w:t>
      </w:r>
    </w:p>
    <w:p>
      <w:pPr>
        <w:spacing w:after="0" w:line="24"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w:t>
      </w:r>
    </w:p>
    <w:p>
      <w:pPr>
        <w:spacing w:after="0" w:line="170" w:lineRule="exact"/>
        <w:rPr>
          <w:rFonts w:ascii="Times New Roman" w:cs="Times New Roman" w:eastAsia="Times New Roman" w:hAnsi="Times New Roman"/>
          <w:sz w:val="14"/>
          <w:szCs w:val="14"/>
          <w:color w:val="auto"/>
        </w:rPr>
      </w:pPr>
    </w:p>
    <w:p>
      <w:pPr>
        <w:jc w:val="both"/>
        <w:ind w:left="520" w:firstLine="391"/>
        <w:spacing w:after="0" w:line="266" w:lineRule="auto"/>
        <w:tabs>
          <w:tab w:leader="none" w:pos="1259"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shall solicit from the Holders of Securities of any series any action, the Company may, at its option fix in advance a record date for the determination of Holders of Securities entitled to take such action, but the Company shall have no obligation to do so. Any such record date shall be fixed at the Company’s discretion. If such a record date is fixed, such action may be sought or given before or after the record date, but only the Holders of Securities of record at the close of business on such record date shall be deemed to be Holders of Securities for the purpose of determining whether Holders of the requisite proportion of Outstanding Securities of such series have authorized or agreed or consented to such action, and for that purpose the Outstanding Securities of such series shall be computed as of such record date.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89" w:right="319" w:bottom="1440" w:gutter="0" w:footer="0" w:header="0"/>
        </w:sectPr>
      </w:pPr>
    </w:p>
    <w:bookmarkStart w:id="75" w:name="page76"/>
    <w:bookmarkEnd w:id="75"/>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8.03</w:t>
      </w:r>
      <w:r>
        <w:rPr>
          <w:sz w:val="20"/>
          <w:szCs w:val="20"/>
          <w:color w:val="auto"/>
        </w:rPr>
        <w:tab/>
      </w:r>
      <w:r>
        <w:rPr>
          <w:rFonts w:ascii="Times New Roman" w:cs="Times New Roman" w:eastAsia="Times New Roman" w:hAnsi="Times New Roman"/>
          <w:sz w:val="14"/>
          <w:szCs w:val="14"/>
          <w:u w:val="single" w:color="auto"/>
          <w:color w:val="auto"/>
        </w:rPr>
        <w:t>Persons Deemed Owners.</w:t>
      </w:r>
    </w:p>
    <w:p>
      <w:pPr>
        <w:spacing w:after="0" w:line="184" w:lineRule="exact"/>
        <w:rPr>
          <w:sz w:val="20"/>
          <w:szCs w:val="20"/>
          <w:color w:val="auto"/>
        </w:rPr>
      </w:pPr>
    </w:p>
    <w:p>
      <w:pPr>
        <w:jc w:val="both"/>
        <w:ind w:left="520" w:firstLine="391"/>
        <w:spacing w:after="0" w:line="269" w:lineRule="auto"/>
        <w:tabs>
          <w:tab w:leader="none" w:pos="1229"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the Trustee and any agent of the Company or the Trustee may treat the Person in whose name any Security is registered as the owner of such Security for the purpose of receiving payment of principal of and premium, if any, and (subject to Section 3.08) interest, if any, on, such Security and for all other purposes whatsoever, whether or not such Security be overdue, and neither the Company, the Trustee nor any agent of the Company or the Trustee shall be affected by notice to the contrary. All payments made to any Holder, or upon his, her or its order, shall be valid, and, to the extent of the sum or sums paid, effectual to satisfy and discharge the liability for moneys payable upon such Security.</w:t>
      </w:r>
    </w:p>
    <w:p>
      <w:pPr>
        <w:spacing w:after="0" w:line="139" w:lineRule="exact"/>
        <w:rPr>
          <w:rFonts w:ascii="Times New Roman" w:cs="Times New Roman" w:eastAsia="Times New Roman" w:hAnsi="Times New Roman"/>
          <w:sz w:val="14"/>
          <w:szCs w:val="14"/>
          <w:color w:val="auto"/>
        </w:rPr>
      </w:pPr>
    </w:p>
    <w:p>
      <w:pPr>
        <w:ind w:left="520" w:firstLine="391"/>
        <w:spacing w:after="0" w:line="294" w:lineRule="auto"/>
        <w:tabs>
          <w:tab w:leader="none" w:pos="1247"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Company, the Trustee, any Paying Agent or the Registrar will have any responsibility or liability for any aspect of the records relating to or payments made on account of beneficial ownership interests in a Global Security or for maintaining, supervising or reviewing any records relating to such beneficial ownership interests.</w:t>
      </w:r>
    </w:p>
    <w:p>
      <w:pPr>
        <w:spacing w:after="0" w:line="12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8.04</w:t>
      </w:r>
      <w:r>
        <w:rPr>
          <w:sz w:val="20"/>
          <w:szCs w:val="20"/>
          <w:color w:val="auto"/>
        </w:rPr>
        <w:tab/>
      </w:r>
      <w:r>
        <w:rPr>
          <w:rFonts w:ascii="Times New Roman" w:cs="Times New Roman" w:eastAsia="Times New Roman" w:hAnsi="Times New Roman"/>
          <w:sz w:val="14"/>
          <w:szCs w:val="14"/>
          <w:u w:val="single" w:color="auto"/>
          <w:color w:val="auto"/>
        </w:rPr>
        <w:t>Effect of Consents.</w:t>
      </w:r>
    </w:p>
    <w:p>
      <w:pPr>
        <w:spacing w:after="0" w:line="184"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4"/>
          <w:szCs w:val="14"/>
          <w:color w:val="auto"/>
        </w:rPr>
        <w:t>After an amendment, supplement, waiver or other action becomes effective as to any series of Securities, a consent to it by a Holder of such series of Securities is a continuing consent conclusive and binding upon such Holder and every subsequent Holder of the same Securities or portion thereof, and of any Security issued upon the transfer thereof or in exchange therefor or in place thereof, even if notation of the consent is not made on any such Security. An amendment, supplement or waiver becomes effective in accordance with its terms and thereafter binds every Holder.</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SECURITYHOLDERS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MEETINGS</w:t>
      </w:r>
    </w:p>
    <w:p>
      <w:pPr>
        <w:spacing w:after="0" w:line="17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9.01</w:t>
      </w:r>
      <w:r>
        <w:rPr>
          <w:sz w:val="20"/>
          <w:szCs w:val="20"/>
          <w:color w:val="auto"/>
        </w:rPr>
        <w:tab/>
      </w:r>
      <w:r>
        <w:rPr>
          <w:rFonts w:ascii="Times New Roman" w:cs="Times New Roman" w:eastAsia="Times New Roman" w:hAnsi="Times New Roman"/>
          <w:sz w:val="14"/>
          <w:szCs w:val="14"/>
          <w:u w:val="single" w:color="auto"/>
          <w:color w:val="auto"/>
        </w:rPr>
        <w:t>Purposes of Meetings.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meeting of Securityholders of any or all series may be called at any time and from time to time pursuant to the provisions of this Article IX for any of the following purposes:</w:t>
      </w:r>
    </w:p>
    <w:p>
      <w:pPr>
        <w:spacing w:after="0" w:line="184" w:lineRule="exact"/>
        <w:rPr>
          <w:sz w:val="20"/>
          <w:szCs w:val="20"/>
          <w:color w:val="auto"/>
        </w:rPr>
      </w:pPr>
    </w:p>
    <w:p>
      <w:pPr>
        <w:ind w:left="520" w:firstLine="391"/>
        <w:spacing w:after="0" w:line="294" w:lineRule="auto"/>
        <w:tabs>
          <w:tab w:leader="none" w:pos="1223"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give any notice to the Company or to the Trustee, or to give any directions to the Trustee, or to consent to the waiving of any Default or Event of Default hereunder and its consequences, or to take any other action authorized to be taken by Securityholders pursuant to any of the provisions of Article VIII;</w:t>
      </w:r>
    </w:p>
    <w:p>
      <w:pPr>
        <w:spacing w:after="0" w:line="122" w:lineRule="exact"/>
        <w:rPr>
          <w:rFonts w:ascii="Times New Roman" w:cs="Times New Roman" w:eastAsia="Times New Roman" w:hAnsi="Times New Roman"/>
          <w:sz w:val="14"/>
          <w:szCs w:val="14"/>
          <w:color w:val="auto"/>
        </w:rPr>
      </w:pPr>
    </w:p>
    <w:p>
      <w:pPr>
        <w:ind w:left="1220" w:hanging="309"/>
        <w:spacing w:after="0"/>
        <w:tabs>
          <w:tab w:leader="none" w:pos="12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the Trustee and nominate a successor trustee pursuant to the provisions of Article XI;</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76" w:name="page77"/>
    <w:bookmarkEnd w:id="76"/>
    <w:p>
      <w:pPr>
        <w:ind w:left="1220" w:hanging="309"/>
        <w:spacing w:after="0"/>
        <w:tabs>
          <w:tab w:leader="none" w:pos="12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consent to the execution of an Indenture or of indentures supplemental hereto pursuant to the provisions of Section 14.02; or</w:t>
      </w:r>
    </w:p>
    <w:p>
      <w:pPr>
        <w:spacing w:after="0" w:line="183" w:lineRule="exact"/>
        <w:rPr>
          <w:rFonts w:ascii="Times New Roman" w:cs="Times New Roman" w:eastAsia="Times New Roman" w:hAnsi="Times New Roman"/>
          <w:sz w:val="14"/>
          <w:szCs w:val="14"/>
          <w:color w:val="auto"/>
        </w:rPr>
      </w:pPr>
    </w:p>
    <w:p>
      <w:pPr>
        <w:ind w:left="520" w:firstLine="391"/>
        <w:spacing w:after="0" w:line="294" w:lineRule="auto"/>
        <w:tabs>
          <w:tab w:leader="none" w:pos="1228"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take any other action authorized to be taken by or on behalf of the Holders of any specified aggregate principal amount of the Securities of any one or more or all series, as the case may be, under any other provision of this Indenture or under applicable law.</w:t>
      </w:r>
    </w:p>
    <w:p>
      <w:pPr>
        <w:spacing w:after="0" w:line="12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9.02</w:t>
      </w:r>
      <w:r>
        <w:rPr>
          <w:sz w:val="20"/>
          <w:szCs w:val="20"/>
          <w:color w:val="auto"/>
        </w:rPr>
        <w:tab/>
      </w:r>
      <w:r>
        <w:rPr>
          <w:rFonts w:ascii="Times New Roman" w:cs="Times New Roman" w:eastAsia="Times New Roman" w:hAnsi="Times New Roman"/>
          <w:sz w:val="14"/>
          <w:szCs w:val="14"/>
          <w:u w:val="single" w:color="auto"/>
          <w:color w:val="auto"/>
        </w:rPr>
        <w:t>Call of Meetings by Trustee.</w:t>
      </w:r>
    </w:p>
    <w:p>
      <w:pPr>
        <w:spacing w:after="0" w:line="184" w:lineRule="exact"/>
        <w:rPr>
          <w:sz w:val="20"/>
          <w:szCs w:val="20"/>
          <w:color w:val="auto"/>
        </w:rPr>
      </w:pPr>
    </w:p>
    <w:p>
      <w:pPr>
        <w:jc w:val="both"/>
        <w:ind w:firstLine="517"/>
        <w:spacing w:after="0" w:line="269" w:lineRule="auto"/>
        <w:rPr>
          <w:sz w:val="20"/>
          <w:szCs w:val="20"/>
          <w:color w:val="auto"/>
        </w:rPr>
      </w:pPr>
      <w:r>
        <w:rPr>
          <w:rFonts w:ascii="Times New Roman" w:cs="Times New Roman" w:eastAsia="Times New Roman" w:hAnsi="Times New Roman"/>
          <w:sz w:val="14"/>
          <w:szCs w:val="14"/>
          <w:color w:val="auto"/>
        </w:rPr>
        <w:t>The Trustee may at any time call a meeting of all Securityholders of all series that may be affected by the action proposed to be taken, to take any action specified in Section 9.01, to be held at such time and at such place as the Trustee shall determine. Notice of every meeting of the Securityholders of a series, setting forth the time and the place of such meeting and in general terms the action proposed to be taken at such meeting, shall be mailed to Holders of Securities of such series at their addresses as they shall appear on the Register of the Company. Such notice shall be mailed not less than 20 nor more than 90 days prior to the date fixed for the meeting.</w:t>
      </w:r>
    </w:p>
    <w:p>
      <w:pPr>
        <w:spacing w:after="0" w:line="14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9.03</w:t>
      </w:r>
      <w:r>
        <w:rPr>
          <w:sz w:val="20"/>
          <w:szCs w:val="20"/>
          <w:color w:val="auto"/>
        </w:rPr>
        <w:tab/>
      </w:r>
      <w:r>
        <w:rPr>
          <w:rFonts w:ascii="Times New Roman" w:cs="Times New Roman" w:eastAsia="Times New Roman" w:hAnsi="Times New Roman"/>
          <w:sz w:val="14"/>
          <w:szCs w:val="14"/>
          <w:u w:val="single" w:color="auto"/>
          <w:color w:val="auto"/>
        </w:rPr>
        <w:t>Call of Meetings by Company or Securityholders.</w:t>
      </w:r>
    </w:p>
    <w:p>
      <w:pPr>
        <w:spacing w:after="0" w:line="184" w:lineRule="exact"/>
        <w:rPr>
          <w:sz w:val="20"/>
          <w:szCs w:val="20"/>
          <w:color w:val="auto"/>
        </w:rPr>
      </w:pPr>
    </w:p>
    <w:p>
      <w:pPr>
        <w:jc w:val="both"/>
        <w:ind w:firstLine="517"/>
        <w:spacing w:after="0" w:line="267" w:lineRule="auto"/>
        <w:rPr>
          <w:sz w:val="20"/>
          <w:szCs w:val="20"/>
          <w:color w:val="auto"/>
        </w:rPr>
      </w:pPr>
      <w:r>
        <w:rPr>
          <w:rFonts w:ascii="Times New Roman" w:cs="Times New Roman" w:eastAsia="Times New Roman" w:hAnsi="Times New Roman"/>
          <w:sz w:val="14"/>
          <w:szCs w:val="14"/>
          <w:color w:val="auto"/>
        </w:rPr>
        <w:t>In case at any time the Company or the Holders of at least 10% in aggregate principal amount of the Securities of a series (or of all series, as the case may be) then Outstanding that may be affected by the action proposed to be taken, shall have requested the Trustee to call a meeting of Securityholders of such series (or of all series), by written request setting forth in reasonable detail the action proposed to be taken at the meeting, and the Trustee shall not have mailed the notice of such meeting within 20 days after receipt of such request, then the Company or such Securityholders may determine the time and the place for such meeting and may call such meeting to take any action authorized in Section 9.01, by mailing notice thereof as provided in Section 9.02.</w:t>
      </w:r>
    </w:p>
    <w:p>
      <w:pPr>
        <w:spacing w:after="0" w:line="31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9.04</w:t>
      </w:r>
      <w:r>
        <w:rPr>
          <w:sz w:val="20"/>
          <w:szCs w:val="20"/>
          <w:color w:val="auto"/>
        </w:rPr>
        <w:tab/>
      </w:r>
      <w:r>
        <w:rPr>
          <w:rFonts w:ascii="Times New Roman" w:cs="Times New Roman" w:eastAsia="Times New Roman" w:hAnsi="Times New Roman"/>
          <w:sz w:val="14"/>
          <w:szCs w:val="14"/>
          <w:u w:val="single" w:color="auto"/>
          <w:color w:val="auto"/>
        </w:rPr>
        <w:t>Qualifications for Voting.</w:t>
      </w:r>
    </w:p>
    <w:p>
      <w:pPr>
        <w:spacing w:after="0" w:line="184"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4"/>
          <w:szCs w:val="14"/>
          <w:color w:val="auto"/>
        </w:rPr>
        <w:t>To be entitled to vote at any meeting of Securityholders, a Person shall (a) be a Holder of one or more Securities affected by the action proposed to be taken at the meeting or (b) be a Person appointed by an instrument in writing as proxy by a Holder of one or more such Securities. The only Persons who shall be entitled to be present or to speak at any meeting of Securityholders shall be the Persons entitled to vote at such meeting and their counsel and any representatives of the Trustee and its counsel and any representatives of the Company and its counsel.</w:t>
      </w:r>
    </w:p>
    <w:p>
      <w:pPr>
        <w:spacing w:after="0" w:line="31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9.05</w:t>
      </w:r>
      <w:r>
        <w:rPr>
          <w:sz w:val="20"/>
          <w:szCs w:val="20"/>
          <w:color w:val="auto"/>
        </w:rPr>
        <w:tab/>
      </w:r>
      <w:r>
        <w:rPr>
          <w:rFonts w:ascii="Times New Roman" w:cs="Times New Roman" w:eastAsia="Times New Roman" w:hAnsi="Times New Roman"/>
          <w:sz w:val="14"/>
          <w:szCs w:val="14"/>
          <w:u w:val="single" w:color="auto"/>
          <w:color w:val="auto"/>
        </w:rPr>
        <w:t>Regulation of Meetings.</w:t>
      </w:r>
    </w:p>
    <w:p>
      <w:pPr>
        <w:spacing w:after="0" w:line="184" w:lineRule="exact"/>
        <w:rPr>
          <w:sz w:val="20"/>
          <w:szCs w:val="20"/>
          <w:color w:val="auto"/>
        </w:rPr>
      </w:pPr>
    </w:p>
    <w:p>
      <w:pPr>
        <w:jc w:val="both"/>
        <w:ind w:left="520" w:firstLine="391"/>
        <w:spacing w:after="0" w:line="275" w:lineRule="auto"/>
        <w:tabs>
          <w:tab w:leader="none" w:pos="1248"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other provisions of this Indenture, the Trustee may make such reasonable regulations as it may deem advisable for any meeting of Securityholders,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fit.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77" w:name="page78"/>
    <w:bookmarkEnd w:id="77"/>
    <w:p>
      <w:pPr>
        <w:jc w:val="both"/>
        <w:ind w:left="520" w:firstLine="391"/>
        <w:spacing w:after="0" w:line="275" w:lineRule="auto"/>
        <w:tabs>
          <w:tab w:leader="none" w:pos="1226"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by an instrument in writing, appoint a temporary chairman of the meeting, unless the meeting shall have been called by the Company or by Securityholders as provided in Section 9.03, in which case the Company or the Securityholders calling the meeting, as the case may be, shall in like manner appoint a temporary chair. A permanent chairman and a permanent secretary of the meeting shall be elected by majority vote of the meeting.</w:t>
      </w:r>
    </w:p>
    <w:p>
      <w:pPr>
        <w:spacing w:after="0" w:line="135" w:lineRule="exact"/>
        <w:rPr>
          <w:rFonts w:ascii="Times New Roman" w:cs="Times New Roman" w:eastAsia="Times New Roman" w:hAnsi="Times New Roman"/>
          <w:sz w:val="14"/>
          <w:szCs w:val="14"/>
          <w:color w:val="auto"/>
        </w:rPr>
      </w:pPr>
    </w:p>
    <w:p>
      <w:pPr>
        <w:jc w:val="both"/>
        <w:ind w:left="520" w:firstLine="391"/>
        <w:spacing w:after="0" w:line="263" w:lineRule="auto"/>
        <w:tabs>
          <w:tab w:leader="none" w:pos="1212"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meeting of Securityholders of a series, each Securityholder of such series of such Securityholder’s proxy shall be entitled to one vote for each $1,000 principal amount of Securities of such series Outstanding held or represented by him; provided, however, that no vote shall be cast or counted at any meeting in respect of any Security challenged as not Outstanding and ruled by the chairman of the meeting to be not Outstanding. The chairman of the meeting shall have no right to vote other than by virtue of Securities of such series held by him or her or instruments in writing as aforesaid duly designating him or her as the Person to vote on behalf of other Securityholders. At any meeting of the Securityholders duly called pursuant to the provisions of Section 9.02 or 9.03 the presence of Persons holding or representing Securities in an aggregate principal amount sufficient to take action upon the business for the transaction of which such meeting was called shall be necessary to constitute a quorum, and any such meeting may be adjourned from time to time by a majority of those present, whether or not constituting a quorum, and the meeting may be held as so adjourned without further notice.</w:t>
      </w:r>
    </w:p>
    <w:p>
      <w:pPr>
        <w:spacing w:after="0" w:line="14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9.06</w:t>
      </w:r>
      <w:r>
        <w:rPr>
          <w:sz w:val="20"/>
          <w:szCs w:val="20"/>
          <w:color w:val="auto"/>
        </w:rPr>
        <w:tab/>
      </w:r>
      <w:r>
        <w:rPr>
          <w:rFonts w:ascii="Times New Roman" w:cs="Times New Roman" w:eastAsia="Times New Roman" w:hAnsi="Times New Roman"/>
          <w:sz w:val="13"/>
          <w:szCs w:val="13"/>
          <w:u w:val="single" w:color="auto"/>
          <w:color w:val="auto"/>
        </w:rPr>
        <w:t>Voting.</w:t>
      </w:r>
    </w:p>
    <w:p>
      <w:pPr>
        <w:spacing w:after="0" w:line="184" w:lineRule="exact"/>
        <w:rPr>
          <w:sz w:val="20"/>
          <w:szCs w:val="20"/>
          <w:color w:val="auto"/>
        </w:rPr>
      </w:pPr>
    </w:p>
    <w:p>
      <w:pPr>
        <w:jc w:val="both"/>
        <w:ind w:firstLine="517"/>
        <w:spacing w:after="0" w:line="262" w:lineRule="auto"/>
        <w:rPr>
          <w:sz w:val="20"/>
          <w:szCs w:val="20"/>
          <w:color w:val="auto"/>
        </w:rPr>
      </w:pPr>
      <w:r>
        <w:rPr>
          <w:rFonts w:ascii="Times New Roman" w:cs="Times New Roman" w:eastAsia="Times New Roman" w:hAnsi="Times New Roman"/>
          <w:sz w:val="14"/>
          <w:szCs w:val="14"/>
          <w:color w:val="auto"/>
        </w:rPr>
        <w:t>The vote upon any resolution submitted to any meeting of Securityholders of a series shall be by written ballots on which shall be subscribed the signatures of the Holders of Securities of such series or of their representatives by proxy and the principal amounts of the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Securityholders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9.02. The record shall show the principal amounts of the Securities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w:t>
      </w:r>
    </w:p>
    <w:p>
      <w:pPr>
        <w:spacing w:after="0" w:line="3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Any record so signed and verified shall be conclusive evidence of the matters therein stated.</w:t>
      </w:r>
    </w:p>
    <w:p>
      <w:pPr>
        <w:spacing w:after="0" w:line="18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9.07</w:t>
      </w:r>
      <w:r>
        <w:rPr>
          <w:sz w:val="20"/>
          <w:szCs w:val="20"/>
          <w:color w:val="auto"/>
        </w:rPr>
        <w:tab/>
      </w:r>
      <w:r>
        <w:rPr>
          <w:rFonts w:ascii="Times New Roman" w:cs="Times New Roman" w:eastAsia="Times New Roman" w:hAnsi="Times New Roman"/>
          <w:sz w:val="14"/>
          <w:szCs w:val="14"/>
          <w:u w:val="single" w:color="auto"/>
          <w:color w:val="auto"/>
        </w:rPr>
        <w:t>No Delay of Rights by Meeting.</w:t>
      </w:r>
    </w:p>
    <w:p>
      <w:pPr>
        <w:spacing w:after="0" w:line="184"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Nothing contained in this Article IX shall be deemed or construed to authorize or permit, by reason of any call of a meeting of Securityholders of any series or any rights expressly or impliedly conferred hereunder to make such call, any hindrance or delay in the exercise of any right or rights conferred upon or reserved to the Trustee or to the Securityholders of such series under any of the provisions of this Indenture or of the Securities of such series.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4"/>
          <w:szCs w:val="14"/>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REPORTS BY THE COMPANY AND THE TRUSTEE AND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SECURITYHOLDERS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LISTS</w:t>
      </w:r>
    </w:p>
    <w:p>
      <w:pPr>
        <w:spacing w:after="0" w:line="17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10.01</w:t>
      </w:r>
      <w:r>
        <w:rPr>
          <w:sz w:val="20"/>
          <w:szCs w:val="20"/>
          <w:color w:val="auto"/>
        </w:rPr>
        <w:tab/>
      </w:r>
      <w:r>
        <w:rPr>
          <w:rFonts w:ascii="Times New Roman" w:cs="Times New Roman" w:eastAsia="Times New Roman" w:hAnsi="Times New Roman"/>
          <w:sz w:val="14"/>
          <w:szCs w:val="14"/>
          <w:u w:val="single" w:color="auto"/>
          <w:color w:val="auto"/>
        </w:rPr>
        <w:t>Reports by Trustee.</w:t>
      </w:r>
    </w:p>
    <w:p>
      <w:pPr>
        <w:spacing w:after="0" w:line="184" w:lineRule="exact"/>
        <w:rPr>
          <w:sz w:val="20"/>
          <w:szCs w:val="20"/>
          <w:color w:val="auto"/>
        </w:rPr>
      </w:pPr>
    </w:p>
    <w:p>
      <w:pPr>
        <w:jc w:val="both"/>
        <w:ind w:left="520" w:firstLine="391"/>
        <w:spacing w:after="0" w:line="275" w:lineRule="auto"/>
        <w:tabs>
          <w:tab w:leader="none" w:pos="1248"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 long as any Securities are outstanding, the Trustee shall transmit to Holders such reports concerning the Trustee and its actions under this Indenture as may be required pursuant to the Trust Indenture Act at the times and in the manner provided therein. If required by Section 313(a) of the Trust Indenture Act, the Trustee shall, within 60 days after each anniversary following the date of this Indenture deliver to Holders a brief report which complies with the provisions of such Section 313(a).</w:t>
      </w:r>
    </w:p>
    <w:p>
      <w:pPr>
        <w:spacing w:after="0" w:line="135" w:lineRule="exact"/>
        <w:rPr>
          <w:rFonts w:ascii="Times New Roman" w:cs="Times New Roman" w:eastAsia="Times New Roman" w:hAnsi="Times New Roman"/>
          <w:sz w:val="14"/>
          <w:szCs w:val="14"/>
          <w:color w:val="auto"/>
        </w:rPr>
      </w:pPr>
    </w:p>
    <w:p>
      <w:pPr>
        <w:jc w:val="both"/>
        <w:ind w:left="520" w:firstLine="391"/>
        <w:spacing w:after="0" w:line="275" w:lineRule="auto"/>
        <w:tabs>
          <w:tab w:leader="none" w:pos="12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at the time of the transmission to the Holders of Securities of any report pursuant to the provisions of this Section 10.01, file a copy of such report with each stock exchange upon which the Securities are listed, if any, and also with the SEC in respect of a Security listed and registered on a national securities exchange, if any. The Company agrees to notify the Trustee when, as and if the Securities become listed on any stock exchange or any delisting thereof.</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will reimburse the Trustee for all expenses incurred in the preparation and transmission of any report pursuant to the provisions of this Section 10.01 and of Section 10.02.</w:t>
      </w:r>
    </w:p>
    <w:p>
      <w:pPr>
        <w:spacing w:after="0" w:line="18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10.02</w:t>
      </w:r>
      <w:r>
        <w:rPr>
          <w:sz w:val="20"/>
          <w:szCs w:val="20"/>
          <w:color w:val="auto"/>
        </w:rPr>
        <w:tab/>
      </w:r>
      <w:r>
        <w:rPr>
          <w:rFonts w:ascii="Times New Roman" w:cs="Times New Roman" w:eastAsia="Times New Roman" w:hAnsi="Times New Roman"/>
          <w:sz w:val="14"/>
          <w:szCs w:val="14"/>
          <w:u w:val="single" w:color="auto"/>
          <w:color w:val="auto"/>
        </w:rPr>
        <w:t>Reports by the Company.</w:t>
      </w:r>
    </w:p>
    <w:p>
      <w:pPr>
        <w:spacing w:after="0" w:line="184"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The Company shall file with the Trustee and the SEC, and transmit to Holders, such information, documents and other reports, and such summaries thereof, as may be required pursuant to the Trust Indenture Act at the times and in the manner provided in the Trust Indenture Act; provided that, unless available on EDGAR, any such information, documents or reports required to be filed with the SEC pursuant to Section 13 or 15(d) of the Exchange Act shall be filed with the Trustee within 30 days after the same is filed with the SEC; and provided further, that the filing of the reports specified in Section 13 or 15(d) of the Exchange Act by an entity that is the direct or indirect parent of the Company will satisfy the requirements of this Section 10.02 so long as such entity is an obligor or guarantor on the Securities; and provided further that the reports of such entity will not be required to include condensed consolidating financial information for the Company in a footnote to the financial statements of such entity.</w:t>
      </w:r>
    </w:p>
    <w:p>
      <w:pPr>
        <w:spacing w:after="0" w:line="144"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89" w:right="319" w:bottom="1440" w:gutter="0" w:footer="0" w:header="0"/>
        </w:sectPr>
      </w:pPr>
    </w:p>
    <w:bookmarkStart w:id="79" w:name="page80"/>
    <w:bookmarkEnd w:id="79"/>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10.03</w:t>
      </w:r>
      <w:r>
        <w:rPr>
          <w:sz w:val="20"/>
          <w:szCs w:val="20"/>
          <w:color w:val="auto"/>
        </w:rPr>
        <w:tab/>
      </w:r>
      <w:r>
        <w:rPr>
          <w:rFonts w:ascii="Times New Roman" w:cs="Times New Roman" w:eastAsia="Times New Roman" w:hAnsi="Times New Roman"/>
          <w:sz w:val="14"/>
          <w:szCs w:val="14"/>
          <w:u w:val="single" w:color="auto"/>
          <w:color w:val="auto"/>
        </w:rPr>
        <w:t>Securityholders’ Lists.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covenants and agrees that it will furnish or cause to be furnished to the Trustee:</w:t>
      </w:r>
    </w:p>
    <w:p>
      <w:pPr>
        <w:spacing w:after="0" w:line="184" w:lineRule="exact"/>
        <w:rPr>
          <w:sz w:val="20"/>
          <w:szCs w:val="20"/>
          <w:color w:val="auto"/>
        </w:rPr>
      </w:pPr>
    </w:p>
    <w:p>
      <w:pPr>
        <w:ind w:left="520" w:firstLine="391"/>
        <w:spacing w:after="0" w:line="294" w:lineRule="auto"/>
        <w:tabs>
          <w:tab w:leader="none" w:pos="1221"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semi-annually, within 15 days after each Record Date, but in any event not less frequently than semi-annually, a list in such form as the Trustee may reasonably require of the names and addresses of the Holders of Securities to which such Record Date applies, as of such Record Date, and</w:t>
      </w:r>
    </w:p>
    <w:p>
      <w:pPr>
        <w:spacing w:after="0" w:line="122" w:lineRule="exact"/>
        <w:rPr>
          <w:rFonts w:ascii="Times New Roman" w:cs="Times New Roman" w:eastAsia="Times New Roman" w:hAnsi="Times New Roman"/>
          <w:sz w:val="14"/>
          <w:szCs w:val="14"/>
          <w:color w:val="auto"/>
        </w:rPr>
      </w:pPr>
    </w:p>
    <w:p>
      <w:pPr>
        <w:ind w:left="520" w:firstLine="391"/>
        <w:spacing w:after="0" w:line="294" w:lineRule="auto"/>
        <w:tabs>
          <w:tab w:leader="none" w:pos="1238"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such other times as the Trustee may request in writing, within 30 days after receipt by the Company of any such request, a list of similar form and content as of a date not more than 15 days prior to the time such list is furnished;</w:t>
      </w:r>
    </w:p>
    <w:p>
      <w:pPr>
        <w:spacing w:after="0" w:line="12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provided, however, that so long as the Trustee shall be the Registrar, such lists shall not be required to be furnished; and provided, further, that the Trustee shall not be held accountable by reason of (i) the disclosure of any information as to the names and addresses of the Holders in accordance with the TIA Section 312, regardless of the source from which the information was derived and (ii) mailing any material pursuant to a request made under TIA Section 312.</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CONCERNING THE TRUSTEE</w:t>
      </w:r>
    </w:p>
    <w:p>
      <w:pPr>
        <w:spacing w:after="0" w:line="17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11.01</w:t>
      </w:r>
      <w:r>
        <w:rPr>
          <w:sz w:val="20"/>
          <w:szCs w:val="20"/>
          <w:color w:val="auto"/>
        </w:rPr>
        <w:tab/>
      </w:r>
      <w:r>
        <w:rPr>
          <w:rFonts w:ascii="Times New Roman" w:cs="Times New Roman" w:eastAsia="Times New Roman" w:hAnsi="Times New Roman"/>
          <w:sz w:val="14"/>
          <w:szCs w:val="14"/>
          <w:u w:val="single" w:color="auto"/>
          <w:color w:val="auto"/>
        </w:rPr>
        <w:t>Rights of Trustees; Compensation and Indemnity.</w:t>
      </w:r>
    </w:p>
    <w:p>
      <w:pPr>
        <w:spacing w:after="0" w:line="184"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The Trustee accepts the trusts created by this Indenture upon the terms and conditions hereof, including the following, to all of which the parties hereto and the Holders from time to time of the Securities agree:</w:t>
      </w:r>
    </w:p>
    <w:p>
      <w:pPr>
        <w:spacing w:after="0" w:line="123" w:lineRule="exact"/>
        <w:rPr>
          <w:sz w:val="20"/>
          <w:szCs w:val="20"/>
          <w:color w:val="auto"/>
        </w:rPr>
      </w:pPr>
    </w:p>
    <w:p>
      <w:pPr>
        <w:jc w:val="both"/>
        <w:ind w:left="520" w:firstLine="391"/>
        <w:spacing w:after="0" w:line="266" w:lineRule="auto"/>
        <w:tabs>
          <w:tab w:leader="none" w:pos="1212"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be entitled to such compensation as the Company and the Trustee shall from time to time agree in writing for all services rendered by it hereunder (including in any agent capacity in which it acts). The compensation of the Trustee shall not be limited by any provision of law in regard to the compensation of a trustee of an express trust. The Company shall reimburse the Trustee promptly upon its request for all reasonable out-of-pocket expenses, disbursements and advances incurred or made by the Trustee in accordance with any provision of this Indenture (including the reasonable compensation and expenses and disbursements of its agents and counsel), except any such expense, disbursement or advance as may be attributable to its own gross negligence, bad faith or willful misconduct.</w:t>
      </w:r>
    </w:p>
    <w:p>
      <w:pPr>
        <w:spacing w:after="0" w:line="142" w:lineRule="exact"/>
        <w:rPr>
          <w:sz w:val="20"/>
          <w:szCs w:val="20"/>
          <w:color w:val="auto"/>
        </w:rPr>
      </w:pPr>
    </w:p>
    <w:p>
      <w:pPr>
        <w:jc w:val="both"/>
        <w:ind w:firstLine="517"/>
        <w:spacing w:after="0" w:line="263" w:lineRule="auto"/>
        <w:rPr>
          <w:sz w:val="20"/>
          <w:szCs w:val="20"/>
          <w:color w:val="auto"/>
        </w:rPr>
      </w:pPr>
      <w:r>
        <w:rPr>
          <w:rFonts w:ascii="Times New Roman" w:cs="Times New Roman" w:eastAsia="Times New Roman" w:hAnsi="Times New Roman"/>
          <w:sz w:val="14"/>
          <w:szCs w:val="14"/>
          <w:color w:val="auto"/>
        </w:rPr>
        <w:t>The Company also agrees to indemnify each of the Trustee and any predecessor Trustee hereunder for, and to hold it harmless against, any and all loss, liability, damage, claim, or expense including taxes (other than taxes based on the income of the Trustee) incurred without its own negligence, bad faith or willful misconduct, arising out of or in connection with the acceptance or administration of the trust or trusts hereunder and the performance of its duties (including in any agent capacity in which it acts), as well as the costs and expenses of defending itself against any claim or liability in connection with the exercise or performance of any of its powers or duties hereunder, except those attributable to its gross negligence, willful misconduct or bad faith. The Trustee shall notify the Company promptly of any claim for which it may seek indemnity. The Company shall defend the claim and the Trustee shall cooperate in the defense. The Trustee may have one separate counsel of its selection and the Company shall pay the reasonable fees and expenses of such counsel. The Company need not pay for any settlement made without its consent, which consent shall not be unreasonably withheld.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80" w:name="page81"/>
    <w:bookmarkEnd w:id="80"/>
    <w:p>
      <w:pPr>
        <w:jc w:val="both"/>
        <w:ind w:firstLine="517"/>
        <w:spacing w:after="0" w:line="266" w:lineRule="auto"/>
        <w:rPr>
          <w:sz w:val="20"/>
          <w:szCs w:val="20"/>
          <w:color w:val="auto"/>
        </w:rPr>
      </w:pPr>
      <w:r>
        <w:rPr>
          <w:rFonts w:ascii="Times New Roman" w:cs="Times New Roman" w:eastAsia="Times New Roman" w:hAnsi="Times New Roman"/>
          <w:sz w:val="14"/>
          <w:szCs w:val="14"/>
          <w:color w:val="auto"/>
        </w:rPr>
        <w:t>As security for the performance of the obligations of the Company under this Section 11.01(a), the Trustee shall have a lien upon all property and funds held or collected by the Trustee as such, except funds held in trust by the Trustee to pay principal of and interest on any Securities. Notwithstanding any provisions of this Indenture to the contrary, the obligations of the Company to compensate and indemnify the Trustee under this Section 11.01(a) shall survive the resignation or removal of the Trustee, the termination of this Indenture and any satisfaction and discharge under Article XII. When the Trustee incurs expenses or renders services in connection with an Event of Default specified in clause (e) or (f) of Section 7.01 occurs, the expenses (including the reasonable charges of its counsel) and compensation for the services are intended to constitute expenses of administration under any applicable federal or state bankruptcy, insolvency or similar laws.</w:t>
      </w:r>
    </w:p>
    <w:p>
      <w:pPr>
        <w:spacing w:after="0" w:line="142" w:lineRule="exact"/>
        <w:rPr>
          <w:sz w:val="20"/>
          <w:szCs w:val="20"/>
          <w:color w:val="auto"/>
        </w:rPr>
      </w:pPr>
    </w:p>
    <w:p>
      <w:pPr>
        <w:ind w:left="520" w:firstLine="391"/>
        <w:spacing w:after="0" w:line="294" w:lineRule="auto"/>
        <w:tabs>
          <w:tab w:leader="none" w:pos="1222"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execute any of the trusts or powers hereof or perform any duties hereunder either directly or by or through its agents or attorneys and the Trustee shall not be responsible for any misconduct or negligence on the part of any agent or attorney appointed with due care by it hereunder.</w:t>
      </w:r>
    </w:p>
    <w:p>
      <w:pPr>
        <w:spacing w:after="0" w:line="122" w:lineRule="exact"/>
        <w:rPr>
          <w:rFonts w:ascii="Times New Roman" w:cs="Times New Roman" w:eastAsia="Times New Roman" w:hAnsi="Times New Roman"/>
          <w:sz w:val="14"/>
          <w:szCs w:val="14"/>
          <w:color w:val="auto"/>
        </w:rPr>
      </w:pPr>
    </w:p>
    <w:p>
      <w:pPr>
        <w:jc w:val="both"/>
        <w:ind w:left="520" w:firstLine="391"/>
        <w:spacing w:after="0" w:line="264" w:lineRule="auto"/>
        <w:tabs>
          <w:tab w:leader="none" w:pos="1237"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responsible in any manner whatsoever for the correctness of the recitals herein or in the Securities (except its certificates of authentication thereon) contained, all of which are made solely by the Company; and the Trustee shall not be responsible or accountable in any manner whatsoever for or with respect to the validity or execution or sufficiency of this Indenture or of the Securities (except its certificates of authentication thereon), and the Trustee makes no representation with respect thereto,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The Trustee shall not be accountable for the use or application by the Company of any Securities, or the proceeds of any Securities, authenticated and delivered by the Trustee in conformity with the provisions of this Indenture.</w:t>
      </w:r>
    </w:p>
    <w:p>
      <w:pPr>
        <w:spacing w:after="0" w:line="143" w:lineRule="exact"/>
        <w:rPr>
          <w:rFonts w:ascii="Times New Roman" w:cs="Times New Roman" w:eastAsia="Times New Roman" w:hAnsi="Times New Roman"/>
          <w:sz w:val="14"/>
          <w:szCs w:val="14"/>
          <w:color w:val="auto"/>
        </w:rPr>
      </w:pPr>
    </w:p>
    <w:p>
      <w:pPr>
        <w:ind w:left="520" w:firstLine="391"/>
        <w:spacing w:after="0" w:line="294" w:lineRule="auto"/>
        <w:tabs>
          <w:tab w:leader="none" w:pos="1262"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consult with counsel of its selection, and, to the extent permitted by Section 11.02, any Opinion of Counsel shall be full and complete authorization and protection in respect of any action taken, suffered or omitted by the Trustee hereunder in good faith and in accordance with such Opinion of Counsel.</w:t>
      </w:r>
    </w:p>
    <w:p>
      <w:pPr>
        <w:spacing w:after="0" w:line="122" w:lineRule="exact"/>
        <w:rPr>
          <w:rFonts w:ascii="Times New Roman" w:cs="Times New Roman" w:eastAsia="Times New Roman" w:hAnsi="Times New Roman"/>
          <w:sz w:val="14"/>
          <w:szCs w:val="14"/>
          <w:color w:val="auto"/>
        </w:rPr>
      </w:pPr>
    </w:p>
    <w:p>
      <w:pPr>
        <w:jc w:val="both"/>
        <w:ind w:left="520" w:firstLine="391"/>
        <w:spacing w:after="0" w:line="269" w:lineRule="auto"/>
        <w:tabs>
          <w:tab w:leader="none" w:pos="123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to the extent permitted by Section 11.02, may rely upon the certificate of the Secretary or one of the Assistant Secretaries of the Company as to the adoption of any Board Resolution or resolution of the stockholders of the Company, and any request, direction, order or demand of the Company mentioned herein shall be sufficiently evidenced by, and whenever in the administration of this Indenture the Trustee shall deem it desirable that a matter be proved or established prior to taking, suffering or omitting any action hereunder, the Trustee may rely upon, an Officer’s Certificate of the Company (unless other evidence in respect thereof be herein specifically prescribed).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81" w:name="page82"/>
    <w:bookmarkEnd w:id="81"/>
    <w:p>
      <w:pPr>
        <w:ind w:firstLine="391"/>
        <w:spacing w:after="0" w:line="294" w:lineRule="auto"/>
        <w:tabs>
          <w:tab w:leader="none" w:pos="675"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 11.04, the Trustee or any agent of the Trustee, in its individual or any other capacity, may become the owner or pledgee of Securities and, subject to Sections 310(b) and 311 of the Trust Indenture Act, may otherwise deal with the Company with the same rights it would have had if it were not the Trustee or such agent.</w:t>
      </w:r>
    </w:p>
    <w:p>
      <w:pPr>
        <w:spacing w:after="0" w:line="122" w:lineRule="exact"/>
        <w:rPr>
          <w:rFonts w:ascii="Times New Roman" w:cs="Times New Roman" w:eastAsia="Times New Roman" w:hAnsi="Times New Roman"/>
          <w:sz w:val="14"/>
          <w:szCs w:val="14"/>
          <w:color w:val="auto"/>
        </w:rPr>
      </w:pPr>
    </w:p>
    <w:p>
      <w:pPr>
        <w:ind w:firstLine="391"/>
        <w:spacing w:after="0" w:line="294" w:lineRule="auto"/>
        <w:tabs>
          <w:tab w:leader="none" w:pos="713"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22" w:lineRule="exact"/>
        <w:rPr>
          <w:rFonts w:ascii="Times New Roman" w:cs="Times New Roman" w:eastAsia="Times New Roman" w:hAnsi="Times New Roman"/>
          <w:sz w:val="14"/>
          <w:szCs w:val="14"/>
          <w:color w:val="auto"/>
        </w:rPr>
      </w:pPr>
    </w:p>
    <w:p>
      <w:pPr>
        <w:jc w:val="both"/>
        <w:ind w:firstLine="391"/>
        <w:spacing w:after="0" w:line="275" w:lineRule="auto"/>
        <w:tabs>
          <w:tab w:leader="none" w:pos="743"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taken by the Trustee pursuant to any provision hereof at the request or with the consent of any Person who at the time is the Holder of any Security shall be conclusive and binding in respect of such Security upon all future Holders thereof or of any Security or Securities which may be issued for or in lieu thereof in whole or in part, whether or not such Security shall have noted thereon the fact that such request or consent had been made or given.</w:t>
      </w:r>
    </w:p>
    <w:p>
      <w:pPr>
        <w:spacing w:after="0" w:line="135" w:lineRule="exact"/>
        <w:rPr>
          <w:rFonts w:ascii="Times New Roman" w:cs="Times New Roman" w:eastAsia="Times New Roman" w:hAnsi="Times New Roman"/>
          <w:sz w:val="14"/>
          <w:szCs w:val="14"/>
          <w:color w:val="auto"/>
        </w:rPr>
      </w:pPr>
    </w:p>
    <w:p>
      <w:pPr>
        <w:jc w:val="both"/>
        <w:ind w:firstLine="391"/>
        <w:spacing w:after="0" w:line="275" w:lineRule="auto"/>
        <w:tabs>
          <w:tab w:leader="none" w:pos="697"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provisions of Section 11.02, the Trustee may conclusively rely and shall be fully protected in acting or refraining from acting upon any resolution, certificate, statement, instrument, opinion, report, notice, request, consent, order, approval, bond, debenture, other evidence of indebtedness or other paper or document (whether in its original or facsimile form) believed by it to be genuine and to have been signed or presented by the proper party or parties.</w:t>
      </w:r>
    </w:p>
    <w:p>
      <w:pPr>
        <w:spacing w:after="0" w:line="135" w:lineRule="exact"/>
        <w:rPr>
          <w:rFonts w:ascii="Times New Roman" w:cs="Times New Roman" w:eastAsia="Times New Roman" w:hAnsi="Times New Roman"/>
          <w:sz w:val="14"/>
          <w:szCs w:val="14"/>
          <w:color w:val="auto"/>
        </w:rPr>
      </w:pPr>
    </w:p>
    <w:p>
      <w:pPr>
        <w:jc w:val="both"/>
        <w:ind w:firstLine="391"/>
        <w:spacing w:after="0" w:line="275" w:lineRule="auto"/>
        <w:tabs>
          <w:tab w:leader="none" w:pos="703"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provisions of Section 11.02, the Trustee shall not be under any obligation to exercise any of the rights or powers vested in it by this Indenture at the request, order or direction of any of the Holders of the Securities, pursuant to any provision of this Indenture, unless one or more of the Holders of the Securities shall have offered to the Trustee security or indemnity satisfactory to it against the costs, expenses and liabilities which may be incurred by it therein or thereby.</w:t>
      </w:r>
    </w:p>
    <w:p>
      <w:pPr>
        <w:spacing w:after="0" w:line="135" w:lineRule="exact"/>
        <w:rPr>
          <w:rFonts w:ascii="Times New Roman" w:cs="Times New Roman" w:eastAsia="Times New Roman" w:hAnsi="Times New Roman"/>
          <w:sz w:val="14"/>
          <w:szCs w:val="14"/>
          <w:color w:val="auto"/>
        </w:rPr>
      </w:pPr>
    </w:p>
    <w:p>
      <w:pPr>
        <w:ind w:firstLine="391"/>
        <w:spacing w:after="0" w:line="294" w:lineRule="auto"/>
        <w:tabs>
          <w:tab w:leader="none" w:pos="728"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provisions of Section 11.02, the Trustee shall not be liable for any action taken or omitted by it in good faith and believed by it to be authorized or within its discretion or within the rights or powers conferred upon it by this Indenture.</w:t>
      </w:r>
    </w:p>
    <w:p>
      <w:pPr>
        <w:spacing w:after="0" w:line="122" w:lineRule="exact"/>
        <w:rPr>
          <w:rFonts w:ascii="Times New Roman" w:cs="Times New Roman" w:eastAsia="Times New Roman" w:hAnsi="Times New Roman"/>
          <w:sz w:val="14"/>
          <w:szCs w:val="14"/>
          <w:color w:val="auto"/>
        </w:rPr>
      </w:pPr>
    </w:p>
    <w:p>
      <w:pPr>
        <w:jc w:val="both"/>
        <w:ind w:firstLine="391"/>
        <w:spacing w:after="0" w:line="275" w:lineRule="auto"/>
        <w:tabs>
          <w:tab w:leader="none" w:pos="676"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provisions of Section 11.02, the Trustee shall not be deemed to have knowledge or notice of any Default or Event of Default unless a Responsible Officer of the Trustee has actual knowledge thereof or unless the Holders of not less than 25% of the Outstanding Securities notify the Trustee thereof, and such notice references the Securities and this Indenture.</w:t>
      </w:r>
    </w:p>
    <w:p>
      <w:pPr>
        <w:spacing w:after="0" w:line="135" w:lineRule="exact"/>
        <w:rPr>
          <w:rFonts w:ascii="Times New Roman" w:cs="Times New Roman" w:eastAsia="Times New Roman" w:hAnsi="Times New Roman"/>
          <w:sz w:val="14"/>
          <w:szCs w:val="14"/>
          <w:color w:val="auto"/>
        </w:rPr>
      </w:pPr>
    </w:p>
    <w:p>
      <w:pPr>
        <w:jc w:val="both"/>
        <w:ind w:firstLine="391"/>
        <w:spacing w:after="0" w:line="269" w:lineRule="auto"/>
        <w:tabs>
          <w:tab w:leader="none" w:pos="77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provisions of the first paragraph of Section 11.02,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may, but shall not be required to, make further inquiry or investigation into such facts or matters as it may see fit, and if the Trustee shall determine to make such further inquiry or investigation, it shall be entitled with the prior consent of the Company, which shall not be unreasonably withheld, to examine the books, records and premises of the Company.</w:t>
      </w:r>
    </w:p>
    <w:p>
      <w:pPr>
        <w:spacing w:after="0" w:line="14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71120</wp:posOffset>
            </wp:positionV>
            <wp:extent cx="7160260" cy="139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0760"/>
          </w:cols>
          <w:pgMar w:left="820" w:top="491" w:right="319" w:bottom="1440" w:gutter="0" w:footer="0" w:header="0"/>
        </w:sectPr>
      </w:pPr>
    </w:p>
    <w:bookmarkStart w:id="82" w:name="page83"/>
    <w:bookmarkEnd w:id="82"/>
    <w:p>
      <w:pPr>
        <w:ind w:left="520" w:firstLine="391"/>
        <w:spacing w:after="0" w:line="294" w:lineRule="auto"/>
        <w:tabs>
          <w:tab w:leader="none" w:pos="1288"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2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11.02</w:t>
      </w:r>
      <w:r>
        <w:rPr>
          <w:sz w:val="20"/>
          <w:szCs w:val="20"/>
          <w:color w:val="auto"/>
        </w:rPr>
        <w:tab/>
      </w:r>
      <w:r>
        <w:rPr>
          <w:rFonts w:ascii="Times New Roman" w:cs="Times New Roman" w:eastAsia="Times New Roman" w:hAnsi="Times New Roman"/>
          <w:sz w:val="14"/>
          <w:szCs w:val="14"/>
          <w:u w:val="single" w:color="auto"/>
          <w:color w:val="auto"/>
        </w:rPr>
        <w:t>Duties of Trustee.</w:t>
      </w:r>
    </w:p>
    <w:p>
      <w:pPr>
        <w:spacing w:after="0" w:line="184" w:lineRule="exact"/>
        <w:rPr>
          <w:sz w:val="20"/>
          <w:szCs w:val="20"/>
          <w:color w:val="auto"/>
        </w:rPr>
      </w:pPr>
    </w:p>
    <w:p>
      <w:pPr>
        <w:jc w:val="both"/>
        <w:ind w:left="520" w:firstLine="391"/>
        <w:spacing w:after="0" w:line="275" w:lineRule="auto"/>
        <w:tabs>
          <w:tab w:leader="none" w:pos="1248"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one or more of the Events of Default specified in Section 7.01 with respect to the Securities of any series shall have happened, then, during the continuance thereof, the Trustee shall, with respect to such Securities, exercise such of the rights and powers vested in it by this Indenture, and shall use the same degree of care and skill in their exercise, as a prudent person would exercise or use under the circumstances in the conduct of such person’s own affairs.</w:t>
      </w:r>
    </w:p>
    <w:p>
      <w:pPr>
        <w:spacing w:after="0" w:line="135" w:lineRule="exact"/>
        <w:rPr>
          <w:rFonts w:ascii="Times New Roman" w:cs="Times New Roman" w:eastAsia="Times New Roman" w:hAnsi="Times New Roman"/>
          <w:sz w:val="14"/>
          <w:szCs w:val="14"/>
          <w:color w:val="auto"/>
        </w:rPr>
      </w:pPr>
    </w:p>
    <w:p>
      <w:pPr>
        <w:ind w:left="520" w:firstLine="391"/>
        <w:spacing w:after="0" w:line="294" w:lineRule="auto"/>
        <w:tabs>
          <w:tab w:leader="none" w:pos="1278"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provisions of this Indenture shall be construed as relieving the Trustee from liability for its own negligent action, negligent failure to act, or its own willful misconduct, except that, anything in this Indenture contained to the contrary notwithstanding,</w:t>
      </w:r>
    </w:p>
    <w:p>
      <w:pPr>
        <w:spacing w:after="0" w:line="122" w:lineRule="exact"/>
        <w:rPr>
          <w:rFonts w:ascii="Times New Roman" w:cs="Times New Roman" w:eastAsia="Times New Roman" w:hAnsi="Times New Roman"/>
          <w:sz w:val="14"/>
          <w:szCs w:val="14"/>
          <w:color w:val="auto"/>
        </w:rPr>
      </w:pPr>
    </w:p>
    <w:p>
      <w:pPr>
        <w:ind w:left="1580" w:hanging="282"/>
        <w:spacing w:after="0"/>
        <w:tabs>
          <w:tab w:leader="none" w:pos="1580"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and until an Event of Default specified in Section 7.01 with respect to the Securities of any series shall have happened which at the time is continuing,</w:t>
      </w:r>
    </w:p>
    <w:p>
      <w:pPr>
        <w:spacing w:after="0" w:line="183" w:lineRule="exact"/>
        <w:rPr>
          <w:rFonts w:ascii="Times New Roman" w:cs="Times New Roman" w:eastAsia="Times New Roman" w:hAnsi="Times New Roman"/>
          <w:sz w:val="14"/>
          <w:szCs w:val="14"/>
          <w:color w:val="auto"/>
        </w:rPr>
      </w:pPr>
    </w:p>
    <w:p>
      <w:pPr>
        <w:jc w:val="both"/>
        <w:ind w:left="1300" w:firstLine="386"/>
        <w:spacing w:after="0" w:line="275" w:lineRule="auto"/>
        <w:tabs>
          <w:tab w:leader="none" w:pos="2036" w:val="left"/>
        </w:tabs>
        <w:numPr>
          <w:ilvl w:val="2"/>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undertakes to perform such duties and only such duties with respect to the Securities of that series as are specifically set out in this Indenture, and no implied covenants or obligations shall be read into this Indenture against the Trustee, whose duties and obligations shall be determined solely by the express provisions of this Indenture; and</w:t>
      </w:r>
    </w:p>
    <w:p>
      <w:pPr>
        <w:spacing w:after="0" w:line="135" w:lineRule="exact"/>
        <w:rPr>
          <w:rFonts w:ascii="Times New Roman" w:cs="Times New Roman" w:eastAsia="Times New Roman" w:hAnsi="Times New Roman"/>
          <w:sz w:val="14"/>
          <w:szCs w:val="14"/>
          <w:color w:val="auto"/>
        </w:rPr>
      </w:pPr>
    </w:p>
    <w:p>
      <w:pPr>
        <w:jc w:val="both"/>
        <w:ind w:left="1300" w:firstLine="386"/>
        <w:spacing w:after="0" w:line="266" w:lineRule="auto"/>
        <w:tabs>
          <w:tab w:leader="none" w:pos="2023" w:val="left"/>
        </w:tabs>
        <w:numPr>
          <w:ilvl w:val="2"/>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conclusively rely, as to the truth of the statements and the correctness of the opinions expressed therein, in the absence of bad faith on the part of the Trustee, upon certificates or opinions furnished to the Trustee pursuant to the express provisions of this Indenture; but in the case of any such certificates or opinions which, by the provisions of this Indenture,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statements, opinions or conclusions stated therein);</w:t>
      </w:r>
    </w:p>
    <w:p>
      <w:pPr>
        <w:spacing w:after="0" w:line="141" w:lineRule="exact"/>
        <w:rPr>
          <w:rFonts w:ascii="Times New Roman" w:cs="Times New Roman" w:eastAsia="Times New Roman" w:hAnsi="Times New Roman"/>
          <w:sz w:val="14"/>
          <w:szCs w:val="14"/>
          <w:color w:val="auto"/>
        </w:rPr>
      </w:pPr>
    </w:p>
    <w:p>
      <w:pPr>
        <w:ind w:left="920" w:firstLine="378"/>
        <w:spacing w:after="0" w:line="294" w:lineRule="auto"/>
        <w:tabs>
          <w:tab w:leader="none" w:pos="1649"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to any Holder of Securities or to any other Person for any error of judgment made in good faith by a Responsible Officer or Officers of the Trustee, unless it shall be proved that the Trustee was negligent in ascertaining the pertinent facts; and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83" w:name="page84"/>
    <w:bookmarkEnd w:id="83"/>
    <w:p>
      <w:pPr>
        <w:jc w:val="both"/>
        <w:ind w:left="920" w:firstLine="378"/>
        <w:spacing w:after="0" w:line="275" w:lineRule="auto"/>
        <w:tabs>
          <w:tab w:leader="none" w:pos="1738"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to any Holder of Securities or to any other Person with respect to any action taken or omitted to be taken by it in good faith, in accordance with the direction of Securityholders given as provided in Section 7.06, relating to the time, method and place of conducting any proceeding for any remedy available to the Trustee or exercising any trust or power conferred upon the Trustee by this Indenture.</w:t>
      </w:r>
    </w:p>
    <w:p>
      <w:pPr>
        <w:spacing w:after="0" w:line="135" w:lineRule="exact"/>
        <w:rPr>
          <w:rFonts w:ascii="Times New Roman" w:cs="Times New Roman" w:eastAsia="Times New Roman" w:hAnsi="Times New Roman"/>
          <w:sz w:val="14"/>
          <w:szCs w:val="14"/>
          <w:color w:val="auto"/>
        </w:rPr>
      </w:pPr>
    </w:p>
    <w:p>
      <w:pPr>
        <w:jc w:val="both"/>
        <w:ind w:left="520" w:firstLine="391"/>
        <w:spacing w:after="0" w:line="275" w:lineRule="auto"/>
        <w:tabs>
          <w:tab w:leader="none" w:pos="1233"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provisions of this Indenture shall require the Trustee to expend or risk its own funds or otherwise to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35" w:lineRule="exact"/>
        <w:rPr>
          <w:rFonts w:ascii="Times New Roman" w:cs="Times New Roman" w:eastAsia="Times New Roman" w:hAnsi="Times New Roman"/>
          <w:sz w:val="14"/>
          <w:szCs w:val="14"/>
          <w:color w:val="auto"/>
        </w:rPr>
      </w:pPr>
    </w:p>
    <w:p>
      <w:pPr>
        <w:ind w:left="520" w:firstLine="391"/>
        <w:spacing w:after="0" w:line="294" w:lineRule="auto"/>
        <w:tabs>
          <w:tab w:leader="none" w:pos="1216"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therein expressly so provided, every provision of this Indenture relating to the conduct or affecting the liability of or affording protection to the Trustee shall be subject to the provisions of this Section 11.02.</w:t>
      </w:r>
    </w:p>
    <w:p>
      <w:pPr>
        <w:spacing w:after="0" w:line="12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11.03</w:t>
      </w:r>
      <w:r>
        <w:rPr>
          <w:sz w:val="20"/>
          <w:szCs w:val="20"/>
          <w:color w:val="auto"/>
        </w:rPr>
        <w:tab/>
      </w:r>
      <w:r>
        <w:rPr>
          <w:rFonts w:ascii="Times New Roman" w:cs="Times New Roman" w:eastAsia="Times New Roman" w:hAnsi="Times New Roman"/>
          <w:sz w:val="14"/>
          <w:szCs w:val="14"/>
          <w:u w:val="single" w:color="auto"/>
          <w:color w:val="auto"/>
        </w:rPr>
        <w:t>Notice of Defaults.</w:t>
      </w:r>
    </w:p>
    <w:p>
      <w:pPr>
        <w:spacing w:after="0" w:line="184" w:lineRule="exact"/>
        <w:rPr>
          <w:sz w:val="20"/>
          <w:szCs w:val="20"/>
          <w:color w:val="auto"/>
        </w:rPr>
      </w:pPr>
    </w:p>
    <w:p>
      <w:pPr>
        <w:jc w:val="both"/>
        <w:ind w:firstLine="517"/>
        <w:spacing w:after="0" w:line="263" w:lineRule="auto"/>
        <w:rPr>
          <w:sz w:val="20"/>
          <w:szCs w:val="20"/>
          <w:color w:val="auto"/>
        </w:rPr>
      </w:pPr>
      <w:r>
        <w:rPr>
          <w:rFonts w:ascii="Times New Roman" w:cs="Times New Roman" w:eastAsia="Times New Roman" w:hAnsi="Times New Roman"/>
          <w:sz w:val="14"/>
          <w:szCs w:val="14"/>
          <w:color w:val="auto"/>
        </w:rPr>
        <w:t>Within 90 days after the occurrence thereof, and if known to the Trustee, the Trustee shall give to the Holders of the Securities of a series notice of each Default or Event of Default with respect to the Securities of such series known to the Trustee, by transmitting such notice to Holders at their addresses as the same shall then appear on the Register of the Company, unless such Default shall have been cured or waived before the giving of such notice (the term “Default” being hereby defined to be the events specified in Section 7.01, which are, or after notice or lapse of time or both would become, Events of Default as defined in said Section). Except in the case of a Default or Event of Default in payment of the principal of, premium, if any, or interest on any of the Securities of such series when and as the same shall become payable, or to make any sinking fund payment as to Securities of the same series, the Trustee shall be protected in withholding such notice, if and so long as a Responsible Officer or Responsible Officers of the Trustee in good faith determines that the withholding of such notice is in the interests of the Holders of the Securities of such series.</w:t>
      </w:r>
    </w:p>
    <w:p>
      <w:pPr>
        <w:spacing w:after="0" w:line="3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11.04</w:t>
      </w:r>
      <w:r>
        <w:rPr>
          <w:sz w:val="20"/>
          <w:szCs w:val="20"/>
          <w:color w:val="auto"/>
        </w:rPr>
        <w:tab/>
      </w:r>
      <w:r>
        <w:rPr>
          <w:rFonts w:ascii="Times New Roman" w:cs="Times New Roman" w:eastAsia="Times New Roman" w:hAnsi="Times New Roman"/>
          <w:sz w:val="14"/>
          <w:szCs w:val="14"/>
          <w:u w:val="single" w:color="auto"/>
          <w:color w:val="auto"/>
        </w:rPr>
        <w:t>Eligibility; Disqualification.</w:t>
      </w:r>
    </w:p>
    <w:p>
      <w:pPr>
        <w:spacing w:after="0" w:line="184" w:lineRule="exact"/>
        <w:rPr>
          <w:sz w:val="20"/>
          <w:szCs w:val="20"/>
          <w:color w:val="auto"/>
        </w:rPr>
      </w:pPr>
    </w:p>
    <w:p>
      <w:pPr>
        <w:jc w:val="both"/>
        <w:ind w:left="520" w:firstLine="391"/>
        <w:spacing w:after="0" w:line="275" w:lineRule="auto"/>
        <w:tabs>
          <w:tab w:leader="none" w:pos="1236"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at all times satisfy the requirements of TIA Section 310(a). The Trustee, together with its parent company, shall have a combined capital and surplus of at least $50 million as set forth in its most recent published annual report of condition, and shall have a Corporate Trust Office. If at any time the Trustee shall cease to be eligible in accordance with the provisions of this Section 11.04, it shall resign immediately in the manner and with the effect hereinafter specified in this Article.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84" w:name="page85"/>
    <w:bookmarkEnd w:id="84"/>
    <w:p>
      <w:pPr>
        <w:jc w:val="both"/>
        <w:ind w:left="520" w:firstLine="391"/>
        <w:spacing w:after="0" w:line="264" w:lineRule="auto"/>
        <w:tabs>
          <w:tab w:leader="none" w:pos="1243"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comply with TIA Section 310(b); provided, however, that there shall be excluded from the operation of TIA Section 310(b)(i) any indenture or indentures under which other securities or certificates of interest or participation in other securities of the Company are outstanding if the requirements for such exclusion set forth in TIA Section 310(b)(i) are met. If the Trustee has or shall acquire a conflicting interest within the meaning of Section 310(b) of the Trust Indenture Act, the Trustee shall either eliminate such interest or resign, to the extent and in the manner provided by, and subject to the provisions of, the Trust Indenture Act and this Indenture. If Section 310(b) of the Trust Indenture Act is amended any time after the date of this Indenture to change the circumstances under which a Trustee shall be deemed to have a conflicting interest with respect to the Securities of any series or to change any of the definitions in connection therewith, this Section 11.04 shall be automatically amended to incorporate such changes.</w:t>
      </w:r>
    </w:p>
    <w:p>
      <w:pPr>
        <w:spacing w:after="0" w:line="1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11.05</w:t>
      </w:r>
      <w:r>
        <w:rPr>
          <w:sz w:val="20"/>
          <w:szCs w:val="20"/>
          <w:color w:val="auto"/>
        </w:rPr>
        <w:tab/>
      </w:r>
      <w:r>
        <w:rPr>
          <w:rFonts w:ascii="Times New Roman" w:cs="Times New Roman" w:eastAsia="Times New Roman" w:hAnsi="Times New Roman"/>
          <w:sz w:val="14"/>
          <w:szCs w:val="14"/>
          <w:u w:val="single" w:color="auto"/>
          <w:color w:val="auto"/>
        </w:rPr>
        <w:t>Registration and Notice; Removal.</w:t>
      </w:r>
    </w:p>
    <w:p>
      <w:pPr>
        <w:spacing w:after="0" w:line="184" w:lineRule="exact"/>
        <w:rPr>
          <w:sz w:val="20"/>
          <w:szCs w:val="20"/>
          <w:color w:val="auto"/>
        </w:rPr>
      </w:pPr>
    </w:p>
    <w:p>
      <w:pPr>
        <w:jc w:val="both"/>
        <w:ind w:firstLine="517"/>
        <w:spacing w:after="0" w:line="269" w:lineRule="auto"/>
        <w:rPr>
          <w:sz w:val="20"/>
          <w:szCs w:val="20"/>
          <w:color w:val="auto"/>
        </w:rPr>
      </w:pPr>
      <w:r>
        <w:rPr>
          <w:rFonts w:ascii="Times New Roman" w:cs="Times New Roman" w:eastAsia="Times New Roman" w:hAnsi="Times New Roman"/>
          <w:sz w:val="14"/>
          <w:szCs w:val="14"/>
          <w:color w:val="auto"/>
        </w:rPr>
        <w:t>The Trustee, or any successor to it hereafter appointed, may at any time resign and be discharged of the trusts hereby created with respect to any one or more or all series of Securities by giving to the Company notice in writing. Such resignation shall take effect upon the appointment of a successor Trustee and the acceptance of such appointment by such successor Trustee. Any Trustee hereunder may be removed with respect to any series of Securities at any time by the filing with such Trustee and the delivery to the Company of an instrument or instruments in writing signed by the Holders of a majority in principal amount of the Securities of such series then Outstanding, specifying such removal and the date when it shall become effective.</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If at any time:</w:t>
      </w:r>
    </w:p>
    <w:p>
      <w:pPr>
        <w:spacing w:after="0" w:line="184" w:lineRule="exact"/>
        <w:rPr>
          <w:sz w:val="20"/>
          <w:szCs w:val="20"/>
          <w:color w:val="auto"/>
        </w:rPr>
      </w:pPr>
    </w:p>
    <w:p>
      <w:pPr>
        <w:ind w:left="920" w:hanging="397"/>
        <w:spacing w:after="0" w:line="294" w:lineRule="auto"/>
        <w:tabs>
          <w:tab w:leader="none" w:pos="9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fail to comply with the provisions of TIA Section 310(b) after written request therefor by the Company or by any Holder who has been a bona fide Holder of a Security for at least six months (or, if it is a shorter period, the period since the initial issuance of the Securities of such series), or</w:t>
      </w:r>
    </w:p>
    <w:p>
      <w:pPr>
        <w:spacing w:after="0" w:line="122" w:lineRule="exact"/>
        <w:rPr>
          <w:rFonts w:ascii="Times New Roman" w:cs="Times New Roman" w:eastAsia="Times New Roman" w:hAnsi="Times New Roman"/>
          <w:sz w:val="14"/>
          <w:szCs w:val="14"/>
          <w:color w:val="auto"/>
        </w:rPr>
      </w:pPr>
    </w:p>
    <w:p>
      <w:pPr>
        <w:ind w:left="920" w:hanging="397"/>
        <w:spacing w:after="0" w:line="294" w:lineRule="auto"/>
        <w:tabs>
          <w:tab w:leader="none" w:pos="9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cease to be eligible under Section 11.04 and shall fail to resign after written request therefor by the Company or by any Holder who has been a bona fide Holder of a Security for at least six months (or, if it is a shorter period, the period since the initial issuance of the Securities of such series), or</w:t>
      </w:r>
    </w:p>
    <w:p>
      <w:pPr>
        <w:spacing w:after="0" w:line="122" w:lineRule="exact"/>
        <w:rPr>
          <w:rFonts w:ascii="Times New Roman" w:cs="Times New Roman" w:eastAsia="Times New Roman" w:hAnsi="Times New Roman"/>
          <w:sz w:val="14"/>
          <w:szCs w:val="14"/>
          <w:color w:val="auto"/>
        </w:rPr>
      </w:pPr>
    </w:p>
    <w:p>
      <w:pPr>
        <w:ind w:left="920" w:hanging="397"/>
        <w:spacing w:after="0" w:line="294" w:lineRule="auto"/>
        <w:tabs>
          <w:tab w:leader="none" w:pos="9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2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then, in any such case, (i) the Company by written notice to the Trustee may remove the Trustee and appoint a successor Trustee with respect to all Securities, or (ii) subject to TIA Section 315(e), any Securityholder who has been a bona fide Holder of a Security for at least six months (or, if it is a shorter period, the period since the initial issuance of the Securities of such series) may, on behalf of himself and all others similarly situated, petition any court of competent jurisdiction for the removal of the Trustee with respect to all Securities and the appointment of a successor Trustee or Trustees.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85" w:name="page86"/>
    <w:bookmarkEnd w:id="85"/>
    <w:p>
      <w:pPr>
        <w:ind w:firstLine="517"/>
        <w:spacing w:after="0" w:line="294" w:lineRule="auto"/>
        <w:rPr>
          <w:sz w:val="20"/>
          <w:szCs w:val="20"/>
          <w:color w:val="auto"/>
        </w:rPr>
      </w:pPr>
      <w:r>
        <w:rPr>
          <w:rFonts w:ascii="Times New Roman" w:cs="Times New Roman" w:eastAsia="Times New Roman" w:hAnsi="Times New Roman"/>
          <w:sz w:val="14"/>
          <w:szCs w:val="14"/>
          <w:color w:val="auto"/>
        </w:rPr>
        <w:t>Upon its resignation or removal, any Trustee shall be entitled to the payment of reasonable compensation for the services rendered hereunder by such Trustee and to the payment of all reasonable expenses incurred hereunder and all moneys then due to it hereunder. The Trustee’s rights to indemnification provided in Section 11.01(a) shall survive its resignation or removal.</w:t>
      </w:r>
    </w:p>
    <w:p>
      <w:pPr>
        <w:spacing w:after="0" w:line="12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11.06</w:t>
      </w:r>
      <w:r>
        <w:rPr>
          <w:sz w:val="20"/>
          <w:szCs w:val="20"/>
          <w:color w:val="auto"/>
        </w:rPr>
        <w:tab/>
      </w:r>
      <w:r>
        <w:rPr>
          <w:rFonts w:ascii="Times New Roman" w:cs="Times New Roman" w:eastAsia="Times New Roman" w:hAnsi="Times New Roman"/>
          <w:sz w:val="14"/>
          <w:szCs w:val="14"/>
          <w:u w:val="single" w:color="auto"/>
          <w:color w:val="auto"/>
        </w:rPr>
        <w:t>Successor Trustee by Appointment.</w:t>
      </w:r>
    </w:p>
    <w:p>
      <w:pPr>
        <w:spacing w:after="0" w:line="184" w:lineRule="exact"/>
        <w:rPr>
          <w:sz w:val="20"/>
          <w:szCs w:val="20"/>
          <w:color w:val="auto"/>
        </w:rPr>
      </w:pPr>
    </w:p>
    <w:p>
      <w:pPr>
        <w:jc w:val="both"/>
        <w:ind w:left="520" w:firstLine="391"/>
        <w:spacing w:after="0" w:line="259" w:lineRule="auto"/>
        <w:tabs>
          <w:tab w:leader="none" w:pos="125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at any time the Trustee shall resign, or shall be removed (unless the Trustee shall be removed as provided in Section 11.04(b), in which event the vacancy shall be filled as provided in said subdivision), or shall become incapable of acting, or shall be adjudged bankrupt or insolvent, or if a receiver of the Trustee or of its property shall be appointed, or if any public officer shall take charge or control of the Trustee or of its property or affairs for the purpose of rehabilitation, conservation or liquidation with respect to the Securities of one or more series, a successor Trustee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series) may be appointed by the Holders of a majority in principal amount of the Securities of that or those series then Outstanding, by an instrument or instruments in writing signed in duplicate by such Holders and filed, one original thereof with the Company and the other with the successor Trustee; but, until a successor Trustee shall have been so appointed by the Holders of Securities of that or those series as herein authorized, the Company, or, in case all or substantially all the assets of the Company shall be in the possession of one or more custodians or receivers lawfully appointed, or of trustees in bankruptcy or reorganization proceedings (including a trustee or trustees appointed under the provisions of the federal bankruptcy laws, as now or hereafter constituted), or of assignees for the benefit of creditors, such receivers, custodians, trustees or assignees, as the case may be, by an instrument in writing, shall appoint a successor Trustee with respect to the Securities of such series. Subject to the provisions of Sections 11.04 and 11.05, upon the appointment as aforesaid of a successor Trustee with respect to the Securities of any series, the Trustee with respect to the Securities of such series shall cease to be Trustee hereunder. After any such appointment other than by the Holders of Securities of that or those series, the Person making such appointment shall forthwith cause notice thereof to be mailed to the Holders of Securities of such series at their addresses as the same shall then appear on the Register of the Company but any successor Trustee with respect to the Securities of such series so appointed shall, immediately and without further act, be superseded by a successor Trustee appointed by the Holders of Securities of such series in the manner above prescribed, if such appointment be made prior to the expiration of one year from the date of the mailing of such notice by the Company, or by such receivers, trustees or assignees. Each notice shall include the name of the successor Trustee and the address of its Corporate Trust Office.</w:t>
      </w:r>
    </w:p>
    <w:p>
      <w:pPr>
        <w:spacing w:after="0" w:line="149" w:lineRule="exact"/>
        <w:rPr>
          <w:rFonts w:ascii="Times New Roman" w:cs="Times New Roman" w:eastAsia="Times New Roman" w:hAnsi="Times New Roman"/>
          <w:sz w:val="14"/>
          <w:szCs w:val="14"/>
          <w:color w:val="auto"/>
        </w:rPr>
      </w:pPr>
    </w:p>
    <w:p>
      <w:pPr>
        <w:jc w:val="both"/>
        <w:ind w:left="520" w:firstLine="391"/>
        <w:spacing w:after="0" w:line="264" w:lineRule="auto"/>
        <w:tabs>
          <w:tab w:leader="none" w:pos="1229"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Trustee with respect to the Securities of one or more series shall resign or be removed and a successor Trustee shall not have been appointed by the Company or by the Holders of the Securities of such series or, if any successor Trustee so appointed shall not have accepted its appointment by way of notice to the Trustee, then within 30 days after providing such notice, the resigning Trustee at the expense of the Company may apply to any court of competent jurisdiction for the appointment of a successor Trustee. If in any other case a successor Trustee shall not be appointed pursuant to the foregoing provisions of this Section 11.06 within three months after such appointment might have been made hereunder, the Holder of any Security of the applicable series or any retiring Trustee at the expense of the Company may apply to any court of competent jurisdiction to appoint a successor Trustee. Such court may thereupon, in any such case, after such notice, if any, as such court may deem proper and prescribe, appoint a successor Trustee.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86" w:name="page87"/>
    <w:bookmarkEnd w:id="86"/>
    <w:p>
      <w:pPr>
        <w:jc w:val="both"/>
        <w:ind w:left="520" w:firstLine="391"/>
        <w:spacing w:after="0" w:line="260" w:lineRule="auto"/>
        <w:tabs>
          <w:tab w:leader="none" w:pos="1234"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successor Trustee appointed hereunder with respect to the Securities of one or more series shall execute, acknowledge and deliver to its predecessor Trustee and to the Company, or to the receivers, trustees, assignees or court appointing it, as the case may be, an instrument accepting such appointment hereunder, and thereupon such successor Trustee, without any further act, deed or conveyance, shall become vested with all the authority, rights, powers, trusts, immunities, duties and obligations with respect to such series of such predecessor Trustee with like effect as if originally named as Trustee hereunder, and such predecessor Trustee, upon payment of its charges and disbursements then unpaid, shall thereupon become obligated to pay over, and such successor Trustee shall be entitled to receive, all moneys and properties held by such predecessor Trustee as Trustee hereunder, subject nevertheless to its lien provided for in Section 11.01(a). Nevertheless, on the written request of the Company or of the successor Trustee or of the Holders of at least 10% in principal amount of the Securities of such series then Outstanding, such predecessor Trustee, upon payment of its said charges and disbursements, shall execute and deliver an instrument transferring to such successor Trustee upon the trusts herein expressed all the rights, powers and trusts of such predecessor Trustee and shall assign, transfer and deliver to the successor Trustee all moneys and properties held by such predecessor Trustee, subject nevertheless to its lien provided for in Section 11.01(a); and, upon request of any such successor Trustee, the Company shall make, execute, acknowledge and deliver any and all instruments in writing for more fully and effectually vesting in and confirming to such successor Trustee all such authority, rights, powers, trusts, immunities, duties and obligations.</w:t>
      </w:r>
    </w:p>
    <w:p>
      <w:pPr>
        <w:spacing w:after="0" w:line="14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11.07</w:t>
      </w:r>
      <w:r>
        <w:rPr>
          <w:sz w:val="20"/>
          <w:szCs w:val="20"/>
          <w:color w:val="auto"/>
        </w:rPr>
        <w:tab/>
      </w:r>
      <w:r>
        <w:rPr>
          <w:rFonts w:ascii="Times New Roman" w:cs="Times New Roman" w:eastAsia="Times New Roman" w:hAnsi="Times New Roman"/>
          <w:sz w:val="14"/>
          <w:szCs w:val="14"/>
          <w:u w:val="single" w:color="auto"/>
          <w:color w:val="auto"/>
        </w:rPr>
        <w:t>Successor Trustee by Merger, Conversion, Consolidation or Succession to Business.</w:t>
      </w:r>
    </w:p>
    <w:p>
      <w:pPr>
        <w:spacing w:after="0" w:line="184" w:lineRule="exact"/>
        <w:rPr>
          <w:sz w:val="20"/>
          <w:szCs w:val="20"/>
          <w:color w:val="auto"/>
        </w:rPr>
      </w:pPr>
    </w:p>
    <w:p>
      <w:pPr>
        <w:jc w:val="both"/>
        <w:ind w:firstLine="517"/>
        <w:spacing w:after="0" w:line="261" w:lineRule="auto"/>
        <w:rPr>
          <w:sz w:val="20"/>
          <w:szCs w:val="20"/>
          <w:color w:val="auto"/>
        </w:rPr>
      </w:pPr>
      <w:r>
        <w:rPr>
          <w:rFonts w:ascii="Times New Roman" w:cs="Times New Roman" w:eastAsia="Times New Roman" w:hAnsi="Times New Roman"/>
          <w:sz w:val="14"/>
          <w:szCs w:val="14"/>
          <w:color w:val="auto"/>
        </w:rPr>
        <w:t>Any Person into which the Trustee or any successor to it in the trusts created by this Indenture shall be merged or converted, or any Person with which it or any successor to it shall be consolidated, or any Person resulting from any merger, conversion or consolidation to which the Trustee or any such successor to it shall be a party, or any Person to which the Trustee or any successor to it shall sell or otherwise transfer all or substantially all of the corporate trust business of the Trustee, shall be the successor Trustee under this Indenture without the execution or filing of any paper or any further act on the part of any of the parties hereto; provided that such Person shall be otherwise qualified and eligible under this Article. In case at the time such successor to the Trustee shall succeed to the trusts created by this Indenture with respect to one or more series of Securities, any of such Securities shall have been authenticated but not delivered by the Trustee then in office, any successor to such Trustee may adopt the certificate of authentication of any predecessor Trustee, and deliver such Securities so authenticated; and in case at that time any of the Securities shall not have been authenticated, any successor to the Trustee may authenticate such Securities either in the name of any predecessor hereunder or in the name of the successor Trustee; and in all such cases such certificates shall have the full force which it is anywhere in the Securities or in this Indenture provided that the certificate of the Trustee shall have; provided, however, that the right to adopt the certificate of authentication of any predecessor Trustee or authenticate Securities in the name of any predecessor Trustee shall apply only to its successor or successors by merger, conversion or consolidation.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87" w:name="page88"/>
    <w:bookmarkEnd w:id="87"/>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11.08</w:t>
      </w:r>
      <w:r>
        <w:rPr>
          <w:sz w:val="20"/>
          <w:szCs w:val="20"/>
          <w:color w:val="auto"/>
        </w:rPr>
        <w:tab/>
      </w:r>
      <w:r>
        <w:rPr>
          <w:rFonts w:ascii="Times New Roman" w:cs="Times New Roman" w:eastAsia="Times New Roman" w:hAnsi="Times New Roman"/>
          <w:sz w:val="14"/>
          <w:szCs w:val="14"/>
          <w:u w:val="single" w:color="auto"/>
          <w:color w:val="auto"/>
        </w:rPr>
        <w:t>Right to Rely on Officer’s Certificate.</w:t>
      </w:r>
    </w:p>
    <w:p>
      <w:pPr>
        <w:spacing w:after="0" w:line="184" w:lineRule="exact"/>
        <w:rPr>
          <w:sz w:val="20"/>
          <w:szCs w:val="20"/>
          <w:color w:val="auto"/>
        </w:rPr>
      </w:pPr>
    </w:p>
    <w:p>
      <w:pPr>
        <w:jc w:val="both"/>
        <w:ind w:firstLine="517"/>
        <w:spacing w:after="0" w:line="266" w:lineRule="auto"/>
        <w:rPr>
          <w:sz w:val="20"/>
          <w:szCs w:val="20"/>
          <w:color w:val="auto"/>
        </w:rPr>
      </w:pPr>
      <w:r>
        <w:rPr>
          <w:rFonts w:ascii="Times New Roman" w:cs="Times New Roman" w:eastAsia="Times New Roman" w:hAnsi="Times New Roman"/>
          <w:sz w:val="14"/>
          <w:szCs w:val="14"/>
          <w:color w:val="auto"/>
        </w:rPr>
        <w:t>Subject to Section 11.02, and subject to the provisions of Section 16.01 with respect to the certificates required thereby, whenever in the administration of the provisions of this Indenture the Trustee shall deem it necessary or desirable that a matter be proved or established prior to taking or suffering any action hereunder, such matter (unless other evidence in respect thereof be herein specifically prescribed) may, in the absence of gross negligence, bad faith or willful misconduct on the part of the Trustee, be deemed to be conclusively proved and established by an Officer’s Certificate with respect thereto delivered to the Trustee, and such Officer’s Certificate, in the absence of negligence, bad faith or willful misconduct on the part of the Trustee, shall be full warrant to the Trustee for any action taken, suffered or omitted by it under the provisions of this Indenture upon the faith thereof.</w:t>
      </w:r>
    </w:p>
    <w:p>
      <w:pPr>
        <w:spacing w:after="0" w:line="14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11.09</w:t>
      </w:r>
      <w:r>
        <w:rPr>
          <w:sz w:val="20"/>
          <w:szCs w:val="20"/>
          <w:color w:val="auto"/>
        </w:rPr>
        <w:tab/>
      </w:r>
      <w:r>
        <w:rPr>
          <w:rFonts w:ascii="Times New Roman" w:cs="Times New Roman" w:eastAsia="Times New Roman" w:hAnsi="Times New Roman"/>
          <w:sz w:val="14"/>
          <w:szCs w:val="14"/>
          <w:u w:val="single" w:color="auto"/>
          <w:color w:val="auto"/>
        </w:rPr>
        <w:t>Appointment of Authenticating Agent.</w:t>
      </w:r>
    </w:p>
    <w:p>
      <w:pPr>
        <w:spacing w:after="0" w:line="184"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The Trustee may appoint an agent (the “Authenticating Agent”) reasonably acceptable to the Company to authenticate the Securities of the series issued upon exchange, registration of transfer or partial redemption thereof, and the Securities so authenticated shall be entitled to the benefits of this Indenture and shall be valid and obligatory for all purposes as if authenticated by the Trustee hereunder. The Trustee shall give written notice of such appointment to all Holders of Securities of the series with respect to which such Authenticating Agent will serve. Unless limited by the terms of such appointment, any such Authenticating Agent may authenticate Securities whenever the Trustee may do so. Each reference in this Indenture to authentication and delivery by the Trustee includes authentication and delivery by the Authenticating Agent. Securities so authenticated shall be entitled to the benefits of this Indenture and shall be valid and obligatory for all purposes as if authenticated by the Trustee hereunder.</w:t>
      </w:r>
    </w:p>
    <w:p>
      <w:pPr>
        <w:spacing w:after="0" w:line="144"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Each Authenticating Agent shall at all times be a bank or trust company or corporation organized and doing business and in good standing under the laws of the United States,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Article XI,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Article XI, it shall resign immediately in the manner and with the effect specified in this Article XI.</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88" w:name="page89"/>
    <w:bookmarkEnd w:id="88"/>
    <w:p>
      <w:pPr>
        <w:jc w:val="both"/>
        <w:ind w:firstLine="517"/>
        <w:spacing w:after="0" w:line="269" w:lineRule="auto"/>
        <w:rPr>
          <w:sz w:val="20"/>
          <w:szCs w:val="20"/>
          <w:color w:val="auto"/>
        </w:rPr>
      </w:pPr>
      <w:r>
        <w:rPr>
          <w:rFonts w:ascii="Times New Roman" w:cs="Times New Roman" w:eastAsia="Times New Roman" w:hAnsi="Times New Roman"/>
          <w:sz w:val="14"/>
          <w:szCs w:val="14"/>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Article XI, without the execution or filing of any paper or any further act on the part of the Trustee or the Authenticating Agent.</w:t>
      </w:r>
    </w:p>
    <w:p>
      <w:pPr>
        <w:spacing w:after="0" w:line="140"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11.09, the Trustee may appoint a successor Authenticating Agent which shall be acceptable to the Company and shall give written notice of such appointment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11.09.</w:t>
      </w:r>
    </w:p>
    <w:p>
      <w:pPr>
        <w:spacing w:after="0" w:line="144"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The Trustee agrees to pay to each Authenticating Agent from time to time reasonable compensation for its services under this Section 11.09, and the Trustee shall be entitled to be reimbursed for such payments, subject to the provisions of Section 11.01.</w:t>
      </w:r>
    </w:p>
    <w:p>
      <w:pPr>
        <w:spacing w:after="0" w:line="12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11.10</w:t>
      </w:r>
      <w:r>
        <w:rPr>
          <w:sz w:val="20"/>
          <w:szCs w:val="20"/>
          <w:color w:val="auto"/>
        </w:rPr>
        <w:tab/>
      </w:r>
      <w:r>
        <w:rPr>
          <w:rFonts w:ascii="Times New Roman" w:cs="Times New Roman" w:eastAsia="Times New Roman" w:hAnsi="Times New Roman"/>
          <w:sz w:val="14"/>
          <w:szCs w:val="14"/>
          <w:u w:val="single" w:color="auto"/>
          <w:color w:val="auto"/>
        </w:rPr>
        <w:t>Communications by Securityholders with Other Securityholders.</w:t>
      </w:r>
    </w:p>
    <w:p>
      <w:pPr>
        <w:spacing w:after="0" w:line="184"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Holders of Securities may communicate pursuant to Section 312(b) of the Trust Indenture Act with other Holders with respect to their rights under this Indenture or the Securities. The Company, the Trustee, the Registrar and anyone else shall have the protection of Section 312(c) of the Trust Indenture Act with respect to such communications.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SATISFACTION AND DISCHARGE; DEFEASANCE</w:t>
      </w:r>
    </w:p>
    <w:p>
      <w:pPr>
        <w:spacing w:after="0" w:line="17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12.01</w:t>
      </w:r>
      <w:r>
        <w:rPr>
          <w:sz w:val="20"/>
          <w:szCs w:val="20"/>
          <w:color w:val="auto"/>
        </w:rPr>
        <w:tab/>
      </w:r>
      <w:r>
        <w:rPr>
          <w:rFonts w:ascii="Times New Roman" w:cs="Times New Roman" w:eastAsia="Times New Roman" w:hAnsi="Times New Roman"/>
          <w:sz w:val="14"/>
          <w:szCs w:val="14"/>
          <w:u w:val="single" w:color="auto"/>
          <w:color w:val="auto"/>
        </w:rPr>
        <w:t>Applicability of Article.</w:t>
      </w:r>
    </w:p>
    <w:p>
      <w:pPr>
        <w:spacing w:after="0" w:line="184"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If, pursuant to Section 3.01, provision is made for the defeasance of Securities of a series and if the Securities of such series are denominated and payable only in U.S. Dollars (except as provided pursuant to Section 3.01), then the provisions of this Article shall be applicable except as otherwise specified pursuant to Section 3.01 for Securities of such series. Defeasance provisions, if any, for Securities denominated in a Foreign Currency may be specified pursuant to Section 3.01.</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89" w:name="page90"/>
    <w:bookmarkEnd w:id="89"/>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12.02</w:t>
      </w:r>
      <w:r>
        <w:rPr>
          <w:sz w:val="20"/>
          <w:szCs w:val="20"/>
          <w:color w:val="auto"/>
        </w:rPr>
        <w:tab/>
      </w:r>
      <w:r>
        <w:rPr>
          <w:rFonts w:ascii="Times New Roman" w:cs="Times New Roman" w:eastAsia="Times New Roman" w:hAnsi="Times New Roman"/>
          <w:sz w:val="14"/>
          <w:szCs w:val="14"/>
          <w:u w:val="single" w:color="auto"/>
          <w:color w:val="auto"/>
        </w:rPr>
        <w:t>Satisfaction and Discharge of Indenture.</w:t>
      </w:r>
    </w:p>
    <w:p>
      <w:pPr>
        <w:spacing w:after="0" w:line="184"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This Indenture, with respect to the Securities of any series (if all series issued under this Indenture are not to be affected), shall, upon Company Order, cease to be of further effect (except as to any surviving rights of registration of transfer or exchange of such Securities herein expressly provided for and rights to receive payments of principal of and premium, if any, and interest on such Securities) and the Trustee, at the expense of the Company, shall execute proper instruments acknowledging satisfaction and discharge of this Indenture, when,</w:t>
      </w:r>
    </w:p>
    <w:p>
      <w:pPr>
        <w:spacing w:after="0" w:line="136" w:lineRule="exact"/>
        <w:rPr>
          <w:sz w:val="20"/>
          <w:szCs w:val="20"/>
          <w:color w:val="auto"/>
        </w:rPr>
      </w:pPr>
    </w:p>
    <w:p>
      <w:pPr>
        <w:ind w:left="1220" w:hanging="309"/>
        <w:spacing w:after="0"/>
        <w:tabs>
          <w:tab w:leader="none" w:pos="12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w:t>
      </w:r>
    </w:p>
    <w:p>
      <w:pPr>
        <w:spacing w:after="0" w:line="183" w:lineRule="exact"/>
        <w:rPr>
          <w:rFonts w:ascii="Times New Roman" w:cs="Times New Roman" w:eastAsia="Times New Roman" w:hAnsi="Times New Roman"/>
          <w:sz w:val="14"/>
          <w:szCs w:val="14"/>
          <w:color w:val="auto"/>
        </w:rPr>
      </w:pPr>
    </w:p>
    <w:p>
      <w:pPr>
        <w:jc w:val="both"/>
        <w:ind w:left="920" w:firstLine="378"/>
        <w:spacing w:after="0" w:line="275" w:lineRule="auto"/>
        <w:tabs>
          <w:tab w:leader="none" w:pos="1590"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Securities of such series theretofore authenticated and delivered (other than (A) Securities that have been destroyed, lost or stolen and that have been replaced or paid as provided in Section 3.07 and (B) Securities for whose payment money has theretofore been deposited in trust or segregated and held in trust by the Company and thereafter repaid to the Company or discharged from such trust, as provided in Section 6.03) have been delivered to the Trustee for cancellation; or</w:t>
      </w:r>
    </w:p>
    <w:p>
      <w:pPr>
        <w:spacing w:after="0" w:line="135" w:lineRule="exact"/>
        <w:rPr>
          <w:rFonts w:ascii="Times New Roman" w:cs="Times New Roman" w:eastAsia="Times New Roman" w:hAnsi="Times New Roman"/>
          <w:sz w:val="14"/>
          <w:szCs w:val="14"/>
          <w:color w:val="auto"/>
        </w:rPr>
      </w:pPr>
    </w:p>
    <w:p>
      <w:pPr>
        <w:ind w:left="1620" w:hanging="322"/>
        <w:spacing w:after="0"/>
        <w:tabs>
          <w:tab w:leader="none" w:pos="1620"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Securities of such series not theretofore delivered to the Trustee for cancellation,</w:t>
      </w:r>
    </w:p>
    <w:p>
      <w:pPr>
        <w:spacing w:after="0" w:line="183" w:lineRule="exact"/>
        <w:rPr>
          <w:rFonts w:ascii="Times New Roman" w:cs="Times New Roman" w:eastAsia="Times New Roman" w:hAnsi="Times New Roman"/>
          <w:sz w:val="14"/>
          <w:szCs w:val="14"/>
          <w:color w:val="auto"/>
        </w:rPr>
      </w:pPr>
    </w:p>
    <w:p>
      <w:pPr>
        <w:ind w:left="2020" w:hanging="334"/>
        <w:spacing w:after="0"/>
        <w:tabs>
          <w:tab w:leader="none" w:pos="2020" w:val="left"/>
        </w:tabs>
        <w:numPr>
          <w:ilvl w:val="2"/>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become due and payable, or</w:t>
      </w:r>
    </w:p>
    <w:p>
      <w:pPr>
        <w:spacing w:after="0" w:line="183" w:lineRule="exact"/>
        <w:rPr>
          <w:rFonts w:ascii="Times New Roman" w:cs="Times New Roman" w:eastAsia="Times New Roman" w:hAnsi="Times New Roman"/>
          <w:sz w:val="14"/>
          <w:szCs w:val="14"/>
          <w:color w:val="auto"/>
        </w:rPr>
      </w:pPr>
    </w:p>
    <w:p>
      <w:pPr>
        <w:ind w:left="2020" w:hanging="334"/>
        <w:spacing w:after="0"/>
        <w:tabs>
          <w:tab w:leader="none" w:pos="2020" w:val="left"/>
        </w:tabs>
        <w:numPr>
          <w:ilvl w:val="2"/>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become due and payable at their Stated Maturity within one year, or</w:t>
      </w:r>
    </w:p>
    <w:p>
      <w:pPr>
        <w:spacing w:after="0" w:line="183" w:lineRule="exact"/>
        <w:rPr>
          <w:rFonts w:ascii="Times New Roman" w:cs="Times New Roman" w:eastAsia="Times New Roman" w:hAnsi="Times New Roman"/>
          <w:sz w:val="14"/>
          <w:szCs w:val="14"/>
          <w:color w:val="auto"/>
        </w:rPr>
      </w:pPr>
    </w:p>
    <w:p>
      <w:pPr>
        <w:ind w:left="1300" w:firstLine="386"/>
        <w:spacing w:after="0" w:line="294" w:lineRule="auto"/>
        <w:tabs>
          <w:tab w:leader="none" w:pos="2063" w:val="left"/>
        </w:tabs>
        <w:numPr>
          <w:ilvl w:val="2"/>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to be called for redemption within one year under arrangements satisfactory to the Trustee for the giving of notice by the Trustee in the name, and at the expense, of the Company, and the Company,</w:t>
      </w:r>
    </w:p>
    <w:p>
      <w:pPr>
        <w:spacing w:after="0" w:line="1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and in the case of (A), (B) or (C) above, has deposited or caused to be deposited with the Trustee or Paying Agent as trust funds in trust for the purpose an amount in the Currency in which such Securities are denominated (except as otherwise provided pursuant to Section 3.01) sufficient to pay and discharge the entire Indebtedness on such Securities for principal and premium, if any, and interest to the date of such deposit (in the case of Securities that have become due and payable) or to the Stated Maturity or Redemption Date, as the case may be; provided, however, in the event a petition for relief under federal bankruptcy laws, as now or hereafter constituted, or any other applicable federal or state bankruptcy, insolvency or other similar law, is filed with respect to the Company within 91 days after the deposit and the Trustee is required to return the moneys then on deposit with the Trustee to the Company, the obligations of the Company under this Indenture with respect to such Securities shall not be deemed terminated or discharged;</w:t>
      </w:r>
    </w:p>
    <w:p>
      <w:pPr>
        <w:spacing w:after="0" w:line="144" w:lineRule="exact"/>
        <w:rPr>
          <w:sz w:val="20"/>
          <w:szCs w:val="20"/>
          <w:color w:val="auto"/>
        </w:rPr>
      </w:pPr>
    </w:p>
    <w:p>
      <w:pPr>
        <w:ind w:left="1220" w:hanging="309"/>
        <w:spacing w:after="0"/>
        <w:tabs>
          <w:tab w:leader="none" w:pos="12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paid or caused to be paid all other sums payable hereunder by the Company; and</w:t>
      </w:r>
    </w:p>
    <w:p>
      <w:pPr>
        <w:spacing w:after="0" w:line="183" w:lineRule="exact"/>
        <w:rPr>
          <w:rFonts w:ascii="Times New Roman" w:cs="Times New Roman" w:eastAsia="Times New Roman" w:hAnsi="Times New Roman"/>
          <w:sz w:val="14"/>
          <w:szCs w:val="14"/>
          <w:color w:val="auto"/>
        </w:rPr>
      </w:pPr>
    </w:p>
    <w:p>
      <w:pPr>
        <w:ind w:left="520" w:firstLine="391"/>
        <w:spacing w:after="0" w:line="294" w:lineRule="auto"/>
        <w:tabs>
          <w:tab w:leader="none" w:pos="1261"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delivered to the Trustee an Officer’s Certificate and an Opinion of Counsel each stating that all conditions precedent herein provided for relating to the satisfaction and discharge of this Indenture with respect to such series have been complied with.</w:t>
      </w:r>
    </w:p>
    <w:p>
      <w:pPr>
        <w:spacing w:after="0" w:line="12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4"/>
          <w:szCs w:val="14"/>
          <w:color w:val="auto"/>
        </w:rPr>
        <w:t>Notwithstanding the satisfaction and discharge of this Indenture, the obligations of the Company to the Trustee under Section 11.01 and, if money shall have been deposited with the Trustee pursuant to subclause (B) of clause (a)(i) of this Section, the obligations of the Trustee under Section 12.07 and the last paragraph of Section 6.03(e) shall survive.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90" w:name="page91"/>
    <w:bookmarkEnd w:id="90"/>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12.03</w:t>
      </w:r>
      <w:r>
        <w:rPr>
          <w:sz w:val="20"/>
          <w:szCs w:val="20"/>
          <w:color w:val="auto"/>
        </w:rPr>
        <w:tab/>
      </w:r>
      <w:r>
        <w:rPr>
          <w:rFonts w:ascii="Times New Roman" w:cs="Times New Roman" w:eastAsia="Times New Roman" w:hAnsi="Times New Roman"/>
          <w:sz w:val="14"/>
          <w:szCs w:val="14"/>
          <w:u w:val="single" w:color="auto"/>
          <w:color w:val="auto"/>
        </w:rPr>
        <w:t>Defeasance upon Deposit of Moneys or U.S. Government Obligations.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At the Company’s option, either (a) the Company shall be deemed to have been Discharged (as defined below) from its obligations with respect to Securities of any series on the first day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after the applicable conditions set forth below have been satisfied or (b) the Company shall cease to be under any obligation to comply with any term, provision or condition set forth in Section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6.04 and Section 10.02 with respect to Securities of any series (and, if so specified pursuant to Section 3.01, any other restrictive covenant added for the benefit of such series pursuant to Section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3.01) at any time after the applicable conditions set forth below have been satisfied (such action under clauses (a) or (b) of this paragraph in no circumstance may be construed as an Event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Default under Section 7.01):</w:t>
      </w:r>
    </w:p>
    <w:p>
      <w:pPr>
        <w:spacing w:after="0" w:line="170" w:lineRule="exact"/>
        <w:rPr>
          <w:sz w:val="20"/>
          <w:szCs w:val="20"/>
          <w:color w:val="auto"/>
        </w:rPr>
      </w:pPr>
    </w:p>
    <w:p>
      <w:pPr>
        <w:jc w:val="both"/>
        <w:ind w:left="520" w:firstLine="391"/>
        <w:spacing w:after="0" w:line="264" w:lineRule="auto"/>
        <w:tabs>
          <w:tab w:leader="none" w:pos="123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deposited or caused to be deposited irrevocably with the Trustee as trust funds in trust, specifically pledged as security for, and dedicated solely to, the benefit of the Holders of the Securities of such series (i) cash in U.S. Dollars in an amount, or (ii) U.S. Government Obligations (as defined below) that through the payment of interest and principal in respect thereof in accordance with their terms will provide, not later than one day before the due date of any payment, cash in U.S. Dollars in an amount, or (iii) a combination of (i) and (ii), sufficient to pay and discharge each installment of principal (including any mandatory sinking fund payments or any analogous payments applicable to the Outstanding Securities) of and premium, if any, and interest on, the Outstanding Securities of such series on the dates such installments of interest or principal and premium are due; provided that the Trustee shall have been irrevocably instructed to apply such cash or the proceeds of such U.S. Government Obligations to said payments with respect to the Securities.</w:t>
      </w:r>
    </w:p>
    <w:p>
      <w:pPr>
        <w:spacing w:after="0" w:line="143" w:lineRule="exact"/>
        <w:rPr>
          <w:rFonts w:ascii="Times New Roman" w:cs="Times New Roman" w:eastAsia="Times New Roman" w:hAnsi="Times New Roman"/>
          <w:sz w:val="14"/>
          <w:szCs w:val="14"/>
          <w:color w:val="auto"/>
        </w:rPr>
      </w:pPr>
    </w:p>
    <w:p>
      <w:pPr>
        <w:ind w:left="520" w:firstLine="391"/>
        <w:spacing w:after="0" w:line="294" w:lineRule="auto"/>
        <w:tabs>
          <w:tab w:leader="none" w:pos="1223"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with respect to the Securities of such series shall have occurred and be continuing on the date of such deposit (other than a Default resulting from the borrowing of funds and the grant of any related liens to be applied to such deposit); and</w:t>
      </w:r>
    </w:p>
    <w:p>
      <w:pPr>
        <w:spacing w:after="0" w:line="122" w:lineRule="exact"/>
        <w:rPr>
          <w:rFonts w:ascii="Times New Roman" w:cs="Times New Roman" w:eastAsia="Times New Roman" w:hAnsi="Times New Roman"/>
          <w:sz w:val="14"/>
          <w:szCs w:val="14"/>
          <w:color w:val="auto"/>
        </w:rPr>
      </w:pPr>
    </w:p>
    <w:p>
      <w:pPr>
        <w:jc w:val="both"/>
        <w:ind w:left="520" w:firstLine="391"/>
        <w:spacing w:after="0" w:line="269" w:lineRule="auto"/>
        <w:tabs>
          <w:tab w:leader="none" w:pos="1231"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the Trustee an Opinion of Counsel to the effect that Holders of the Securities of such series will not recognize income, gain or loss for U.S. federal income tax purposes as a result of the Company’s exercise of its option under this Section and will be subject to federal income tax on the same amounts and in the same manner and at the same times as would have been the case if such action had not been exercised and, in the case of the Securities of such series being Discharged accompanied by a ruling to that effect received from or published by the Internal Revenue Service.</w:t>
      </w:r>
    </w:p>
    <w:p>
      <w:pPr>
        <w:spacing w:after="0" w:line="140" w:lineRule="exact"/>
        <w:rPr>
          <w:sz w:val="20"/>
          <w:szCs w:val="20"/>
          <w:color w:val="auto"/>
        </w:rPr>
      </w:pPr>
    </w:p>
    <w:p>
      <w:pPr>
        <w:jc w:val="both"/>
        <w:ind w:firstLine="517"/>
        <w:spacing w:after="0" w:line="266" w:lineRule="auto"/>
        <w:rPr>
          <w:sz w:val="20"/>
          <w:szCs w:val="20"/>
          <w:color w:val="auto"/>
        </w:rPr>
      </w:pPr>
      <w:r>
        <w:rPr>
          <w:rFonts w:ascii="Times New Roman" w:cs="Times New Roman" w:eastAsia="Times New Roman" w:hAnsi="Times New Roman"/>
          <w:sz w:val="14"/>
          <w:szCs w:val="14"/>
          <w:color w:val="auto"/>
        </w:rPr>
        <w:t>“Discharged” means that the Company shall be deemed to have paid and discharged the entire Indebtedness represented by, and obligations under, the Securities of such series and to have satisfied all the obligations under this Indenture relating to the Securities of such series (and the Trustee, at the expense of the Company, shall execute proper instruments acknowledging the same), except (A) the rights of Holders of Securities of such series to receive, from the trust fund described in clause (a) above, payment of the principal of and premium, if any, and interest on such Securities when such payments are due, (B) the Company’s obligations with respect to Securities of such series under Sections 3.04, 3.06, 3.07, 6.02, 12.06 and 12.07 and (C) the rights, powers, trusts, duties and immunities of the Trustee hereunder.</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91" w:name="page92"/>
    <w:bookmarkEnd w:id="91"/>
    <w:p>
      <w:pPr>
        <w:jc w:val="both"/>
        <w:ind w:firstLine="517"/>
        <w:spacing w:after="0" w:line="263" w:lineRule="auto"/>
        <w:rPr>
          <w:sz w:val="20"/>
          <w:szCs w:val="20"/>
          <w:color w:val="auto"/>
        </w:rPr>
      </w:pPr>
      <w:r>
        <w:rPr>
          <w:rFonts w:ascii="Times New Roman" w:cs="Times New Roman" w:eastAsia="Times New Roman" w:hAnsi="Times New Roman"/>
          <w:sz w:val="14"/>
          <w:szCs w:val="14"/>
          <w:color w:val="auto"/>
        </w:rPr>
        <w:t>“U.S. Government Obligations” means securities that are (i) direct obligations of the United States for the payment of which its full faith and credit is pledged or (ii) obligations of a Person controlled or supervised by and acting as an agency or instrumentality of the United States the timely of payment of which is unconditionally guaranteed as a full faith and credit obligation by the United States, that, in either case under clauses (i) or (ii) are not callable or redeemable at the action of the issuer thereof, and shall also include a depositary receipt issued by a bank (as defined in Section 3(a)(2) of the Securities Act of 1933, as amended) or trust company as custodian with respect to any such U.S. Government Obligation or a specific payment of interest on or principal of any such U.S. Government Obligation held by such custodian for the account of the holder of a depositary receipt; provided that (except as required by law) such custodian is not authorized to make any deduction from the amount payable to the holder of such depositary receipt from any amount received by the custodian in respect of the U.S. Government Obligation or the specific payment of interest on or principal of the U.S. Government Obligation evidenced by such depositary receipt.</w:t>
      </w:r>
    </w:p>
    <w:p>
      <w:pPr>
        <w:spacing w:after="0" w:line="1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12.04</w:t>
      </w:r>
      <w:r>
        <w:rPr>
          <w:sz w:val="20"/>
          <w:szCs w:val="20"/>
          <w:color w:val="auto"/>
        </w:rPr>
        <w:tab/>
      </w:r>
      <w:r>
        <w:rPr>
          <w:rFonts w:ascii="Times New Roman" w:cs="Times New Roman" w:eastAsia="Times New Roman" w:hAnsi="Times New Roman"/>
          <w:sz w:val="14"/>
          <w:szCs w:val="14"/>
          <w:u w:val="single" w:color="auto"/>
          <w:color w:val="auto"/>
        </w:rPr>
        <w:t>Repayment to Company.</w:t>
      </w:r>
    </w:p>
    <w:p>
      <w:pPr>
        <w:spacing w:after="0" w:line="184" w:lineRule="exact"/>
        <w:rPr>
          <w:sz w:val="20"/>
          <w:szCs w:val="20"/>
          <w:color w:val="auto"/>
        </w:rPr>
      </w:pPr>
    </w:p>
    <w:p>
      <w:pPr>
        <w:jc w:val="both"/>
        <w:ind w:firstLine="517"/>
        <w:spacing w:after="0" w:line="269" w:lineRule="auto"/>
        <w:rPr>
          <w:sz w:val="20"/>
          <w:szCs w:val="20"/>
          <w:color w:val="auto"/>
        </w:rPr>
      </w:pPr>
      <w:r>
        <w:rPr>
          <w:rFonts w:ascii="Times New Roman" w:cs="Times New Roman" w:eastAsia="Times New Roman" w:hAnsi="Times New Roman"/>
          <w:sz w:val="14"/>
          <w:szCs w:val="14"/>
          <w:color w:val="auto"/>
        </w:rPr>
        <w:t>The Trustee and any Paying Agent shall promptly pay to the Company (or to its designee) upon Company Order any excess moneys or U.S. Government Obligations held by them at any time, including any such moneys or obligations held by the Trustee under any escrow trust agreement entered into pursuant to Section 12.06. The provisions of the last paragraph of Section 6.03 shall apply to any money held by the Trustee or any Paying Agent under this Article that remains unclaimed for two years after the Maturity of any series of Securities for which money or U.S. Government Obligations have been deposited pursuant to Section 12.03.</w:t>
      </w:r>
    </w:p>
    <w:p>
      <w:pPr>
        <w:spacing w:after="0" w:line="14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12.05</w:t>
      </w:r>
      <w:r>
        <w:rPr>
          <w:sz w:val="20"/>
          <w:szCs w:val="20"/>
          <w:color w:val="auto"/>
        </w:rPr>
        <w:tab/>
      </w:r>
      <w:r>
        <w:rPr>
          <w:rFonts w:ascii="Times New Roman" w:cs="Times New Roman" w:eastAsia="Times New Roman" w:hAnsi="Times New Roman"/>
          <w:sz w:val="14"/>
          <w:szCs w:val="14"/>
          <w:u w:val="single" w:color="auto"/>
          <w:color w:val="auto"/>
        </w:rPr>
        <w:t>Indemnity for U.S. Government Obligations.</w:t>
      </w:r>
    </w:p>
    <w:p>
      <w:pPr>
        <w:spacing w:after="0" w:line="184"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The Company shall pay and shall indemnify the Trustee against any tax, fee or other charge imposed on or assessed against the cash or deposited U.S. Government Obligations or the principal or interest received in respect thereof.</w:t>
      </w:r>
    </w:p>
    <w:p>
      <w:pPr>
        <w:spacing w:after="0" w:line="12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12.06</w:t>
      </w:r>
      <w:r>
        <w:rPr>
          <w:sz w:val="20"/>
          <w:szCs w:val="20"/>
          <w:color w:val="auto"/>
        </w:rPr>
        <w:tab/>
      </w:r>
      <w:r>
        <w:rPr>
          <w:rFonts w:ascii="Times New Roman" w:cs="Times New Roman" w:eastAsia="Times New Roman" w:hAnsi="Times New Roman"/>
          <w:sz w:val="14"/>
          <w:szCs w:val="14"/>
          <w:u w:val="single" w:color="auto"/>
          <w:color w:val="auto"/>
        </w:rPr>
        <w:t>Deposits to Be Held in Escrow.</w:t>
      </w:r>
    </w:p>
    <w:p>
      <w:pPr>
        <w:spacing w:after="0" w:line="184" w:lineRule="exact"/>
        <w:rPr>
          <w:sz w:val="20"/>
          <w:szCs w:val="20"/>
          <w:color w:val="auto"/>
        </w:rPr>
      </w:pPr>
    </w:p>
    <w:p>
      <w:pPr>
        <w:jc w:val="both"/>
        <w:ind w:firstLine="517"/>
        <w:spacing w:after="0" w:line="263" w:lineRule="auto"/>
        <w:rPr>
          <w:sz w:val="20"/>
          <w:szCs w:val="20"/>
          <w:color w:val="auto"/>
        </w:rPr>
      </w:pPr>
      <w:r>
        <w:rPr>
          <w:rFonts w:ascii="Times New Roman" w:cs="Times New Roman" w:eastAsia="Times New Roman" w:hAnsi="Times New Roman"/>
          <w:sz w:val="14"/>
          <w:szCs w:val="14"/>
          <w:color w:val="auto"/>
        </w:rPr>
        <w:t>Any deposits with the Trustee referred to in Section 12.03 above shall be irrevocable (except to the extent provided in Sections 12.04 and 12.07) and shall be made under the terms of an escrow trust agreement in form and substance agreed upon by the Trustee and the Company. If any Outstanding Securities of a series are to be redeemed prior to their Stated Maturity, whether pursuant to any optional redemption provisions or in accordance with any mandatory or optional sinking fund requirement, the applicable escrow trust agreement shall provide therefor and the Company shall make such arrangements as are satisfactory to the Trustee for the giving of notice of redemption by the Trustee in the name, and at the expense, of the Company. The agreement shall provide that, upon satisfaction of any mandatory sinking fund payment requirements, whether by deposit of moneys, application of proceeds of deposited U.S. Government Obligations or, if permitted, by delivery of Securities, the Trustee shall pay or deliver over to the Company as excess moneys pursuant to Section 12.04 all funds or obligations then held under the agreement and allocable to the sinking fund payment requirements so satisfied.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92" w:name="page93"/>
    <w:bookmarkEnd w:id="92"/>
    <w:p>
      <w:pPr>
        <w:jc w:val="both"/>
        <w:ind w:firstLine="517"/>
        <w:spacing w:after="0" w:line="263" w:lineRule="auto"/>
        <w:rPr>
          <w:sz w:val="20"/>
          <w:szCs w:val="20"/>
          <w:color w:val="auto"/>
        </w:rPr>
      </w:pPr>
      <w:r>
        <w:rPr>
          <w:rFonts w:ascii="Times New Roman" w:cs="Times New Roman" w:eastAsia="Times New Roman" w:hAnsi="Times New Roman"/>
          <w:sz w:val="14"/>
          <w:szCs w:val="14"/>
          <w:color w:val="auto"/>
        </w:rPr>
        <w:t>If Securities of a series with respect to which such deposits are made may be subject to later redemption at the option of the Company or pursuant to optional sinking fund payments, the applicable escrow trust agreement may, at the option of the Company, provide therefor. In the case of an optional redemption in whole or in part, such agreement shall require the Company to deposit with the Trustee on or before the date notice of redemption is given funds sufficient to pay the Redemption Price of the Securities to be redeemed together with all unpaid interest thereon to the Redemption Date. Upon such deposit of funds, the Trustee shall pay or deliver over to the Company as excess funds pursuant to Section 12.04 all funds or obligations then held under such agreement and allocable to the Securities to be redeemed. In the case of exercise of optional sinking fund payment rights by the Company, such agreement shall, at the option of the Company, provide that upon deposit by the Company with the Trustee of funds pursuant to such exercise the Trustee shall pay or deliver over to the Company as excess funds pursuant to Section 12.04 all funds or obligations then held under such agreement for such series and allocable to the Securities to be redeemed.</w:t>
      </w:r>
    </w:p>
    <w:p>
      <w:pPr>
        <w:spacing w:after="0" w:line="1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12.07</w:t>
      </w:r>
      <w:r>
        <w:rPr>
          <w:sz w:val="20"/>
          <w:szCs w:val="20"/>
          <w:color w:val="auto"/>
        </w:rPr>
        <w:tab/>
      </w:r>
      <w:r>
        <w:rPr>
          <w:rFonts w:ascii="Times New Roman" w:cs="Times New Roman" w:eastAsia="Times New Roman" w:hAnsi="Times New Roman"/>
          <w:sz w:val="14"/>
          <w:szCs w:val="14"/>
          <w:u w:val="single" w:color="auto"/>
          <w:color w:val="auto"/>
        </w:rPr>
        <w:t>Application of Trust Money.</w:t>
      </w:r>
    </w:p>
    <w:p>
      <w:pPr>
        <w:spacing w:after="0" w:line="184" w:lineRule="exact"/>
        <w:rPr>
          <w:sz w:val="20"/>
          <w:szCs w:val="20"/>
          <w:color w:val="auto"/>
        </w:rPr>
      </w:pPr>
    </w:p>
    <w:p>
      <w:pPr>
        <w:jc w:val="both"/>
        <w:ind w:left="520" w:firstLine="391"/>
        <w:spacing w:after="0" w:line="264" w:lineRule="auto"/>
        <w:tabs>
          <w:tab w:leader="none" w:pos="1232"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Trustee nor any other Paying Agent shall be required to pay interest on any moneys deposited pursuant to the provisions of this Indenture, except such as it shall agree with the Company in writing to pay thereon. Any moneys so deposited for the payment of the principal of, or premium, if any, or interest on the Securities of any series and remaining unclaimed for two years after the date of the maturity of the Securities of such series or the date fixed for the redemption of all the Securities of such series at the time outstanding, as the case may be, shall be repaid by the Trustee or such other Paying Agent to the Company upon its written request and thereafter, anything in this Indenture to the contrary notwithstanding, any rights of the Holders of Securities of such series in respect of which such moneys shall have been deposited shall be enforceable only against the Company, and all liability of the Trustee or such other Paying Agent with respect to such moneys shall thereafter cease.</w:t>
      </w:r>
    </w:p>
    <w:p>
      <w:pPr>
        <w:spacing w:after="0" w:line="143" w:lineRule="exact"/>
        <w:rPr>
          <w:rFonts w:ascii="Times New Roman" w:cs="Times New Roman" w:eastAsia="Times New Roman" w:hAnsi="Times New Roman"/>
          <w:sz w:val="14"/>
          <w:szCs w:val="14"/>
          <w:color w:val="auto"/>
        </w:rPr>
      </w:pPr>
    </w:p>
    <w:p>
      <w:pPr>
        <w:jc w:val="both"/>
        <w:ind w:left="520" w:firstLine="391"/>
        <w:spacing w:after="0" w:line="269" w:lineRule="auto"/>
        <w:tabs>
          <w:tab w:leader="none" w:pos="1238"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provisions of the foregoing paragraph, any moneys which at any time shall be deposited by the Company or on its behalf with the Trustee or any other Paying Agent for the purpose of paying the principal of, premium, if any, and interest on any of the Securities shall be and are hereby assigned, transferred and set over to the Trustee or such other Paying Agent in trust for the respective Holders of the Securities for the purpose for which such moneys shall have been deposited; but such moneys need not be segregated from other funds except to the extent required by law.</w:t>
      </w:r>
    </w:p>
    <w:p>
      <w:pPr>
        <w:spacing w:after="0" w:line="14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12.08</w:t>
      </w:r>
      <w:r>
        <w:rPr>
          <w:sz w:val="20"/>
          <w:szCs w:val="20"/>
          <w:color w:val="auto"/>
        </w:rPr>
        <w:tab/>
      </w:r>
      <w:r>
        <w:rPr>
          <w:rFonts w:ascii="Times New Roman" w:cs="Times New Roman" w:eastAsia="Times New Roman" w:hAnsi="Times New Roman"/>
          <w:sz w:val="14"/>
          <w:szCs w:val="14"/>
          <w:u w:val="single" w:color="auto"/>
          <w:color w:val="auto"/>
        </w:rPr>
        <w:t>Deposits of Non-U.S. Currencies.</w:t>
      </w:r>
    </w:p>
    <w:p>
      <w:pPr>
        <w:spacing w:after="0" w:line="184"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Notwithstanding the foregoing provisions of this Article, if the Securities of any series are payable in a Currency other than U.S. Dollars, the Currency or the nature of the government obligations to be deposited with the Trustee under the foregoing provisions of this Article shall be as set forth in the Officer’s Certificate or established in the supplemental indenture under which the Securities of such series are issued.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4"/>
          <w:szCs w:val="14"/>
          <w:b w:val="1"/>
          <w:bCs w:val="1"/>
          <w:color w:val="auto"/>
        </w:rPr>
        <w:t>ARTICLE XIII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IMMUNITY OF CERTAIN PERSONS</w:t>
      </w:r>
    </w:p>
    <w:p>
      <w:pPr>
        <w:spacing w:after="0" w:line="17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13.01</w:t>
      </w:r>
      <w:r>
        <w:rPr>
          <w:sz w:val="20"/>
          <w:szCs w:val="20"/>
          <w:color w:val="auto"/>
        </w:rPr>
        <w:tab/>
      </w:r>
      <w:r>
        <w:rPr>
          <w:rFonts w:ascii="Times New Roman" w:cs="Times New Roman" w:eastAsia="Times New Roman" w:hAnsi="Times New Roman"/>
          <w:sz w:val="14"/>
          <w:szCs w:val="14"/>
          <w:u w:val="single" w:color="auto"/>
          <w:color w:val="auto"/>
        </w:rPr>
        <w:t>No Personal Liability.</w:t>
      </w:r>
    </w:p>
    <w:p>
      <w:pPr>
        <w:spacing w:after="0" w:line="184" w:lineRule="exact"/>
        <w:rPr>
          <w:sz w:val="20"/>
          <w:szCs w:val="20"/>
          <w:color w:val="auto"/>
        </w:rPr>
      </w:pPr>
    </w:p>
    <w:p>
      <w:pPr>
        <w:jc w:val="both"/>
        <w:ind w:firstLine="517"/>
        <w:spacing w:after="0" w:line="261" w:lineRule="auto"/>
        <w:rPr>
          <w:sz w:val="20"/>
          <w:szCs w:val="20"/>
          <w:color w:val="auto"/>
        </w:rPr>
      </w:pPr>
      <w:r>
        <w:rPr>
          <w:rFonts w:ascii="Times New Roman" w:cs="Times New Roman" w:eastAsia="Times New Roman" w:hAnsi="Times New Roman"/>
          <w:sz w:val="14"/>
          <w:szCs w:val="14"/>
          <w:color w:val="auto"/>
        </w:rPr>
        <w:t>No recourse shall be had for the payment of the principal of, or the premium, if any, or interest on, any Security or for any claim based thereon or otherwise in respect thereof or of the Indebtedness represented thereby, or upon any obligation, covenant or agreement of this Indenture, against any incorporator, stockholder, officer or director, as such, past, present or future, of the Company or of any successor corporation, either directly or through the Company or any successor corporation, whether by virtue of any constitutional provision, statute or rule of law, or by the enforcement of any assessment or penalty or otherwise; it being expressly agreed and understood that this Indenture and the Securities are solely corporate obligations, and that no personal liability whatsoever shall attach to, or be incurred by, any incorporator, stockholder, officer or director, as such, past, present or future, of the Company or of any successor corporation, either directly or through the Company or any successor corporation, because of the incurring of the Indebtedness hereby authorized or under or by reason of any of the obligations, covenants, promises or agreements contained in this Indenture or in any of the Securities, or to be implied herefrom or therefrom, and that all liability, if any, of that character against every such incorporator, stockholder, officer and director is, by the acceptance of the Securities and as a condition of, and as part of the consideration for, the execution of this Indenture and the issue of the Securities expressly waived and released.</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XIV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SUPPLEMENTAL INDENTURES</w:t>
      </w:r>
    </w:p>
    <w:p>
      <w:pPr>
        <w:spacing w:after="0" w:line="17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14.01</w:t>
      </w:r>
      <w:r>
        <w:rPr>
          <w:sz w:val="20"/>
          <w:szCs w:val="20"/>
          <w:color w:val="auto"/>
        </w:rPr>
        <w:tab/>
      </w:r>
      <w:r>
        <w:rPr>
          <w:rFonts w:ascii="Times New Roman" w:cs="Times New Roman" w:eastAsia="Times New Roman" w:hAnsi="Times New Roman"/>
          <w:sz w:val="14"/>
          <w:szCs w:val="14"/>
          <w:u w:val="single" w:color="auto"/>
          <w:color w:val="auto"/>
        </w:rPr>
        <w:t>Without Consent of Securityholders.</w:t>
      </w:r>
    </w:p>
    <w:p>
      <w:pPr>
        <w:spacing w:after="0" w:line="184"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Except as otherwise provided as contemplated by Section 3.01 with respect to any series of Securities, the Company and the Trustee, at any time and from time to time, may enter into one or more indentures supplemental hereto, in form satisfactory to the Trustee, for any one or more of or all the following purposes:</w:t>
      </w:r>
    </w:p>
    <w:p>
      <w:pPr>
        <w:spacing w:after="0" w:line="123" w:lineRule="exact"/>
        <w:rPr>
          <w:sz w:val="20"/>
          <w:szCs w:val="20"/>
          <w:color w:val="auto"/>
        </w:rPr>
      </w:pPr>
    </w:p>
    <w:p>
      <w:pPr>
        <w:jc w:val="both"/>
        <w:ind w:left="520" w:firstLine="391"/>
        <w:spacing w:after="0" w:line="269" w:lineRule="auto"/>
        <w:tabs>
          <w:tab w:leader="none" w:pos="1213"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the covenants and agreements of the Company, to be observed thereafter and during the period, if any, in such supplemental indenture or indentures expressed, and to add Events of Default, in each case for the protection or benefit of the Holders of all or any series of the Securities (and if such covenants, agreements and Events of Default are to be for the benefit of fewer than all series of Securities, stating that such covenants, agreements and Events of Default are expressly being included for the benefit of such series as shall be identified therein), or to surrender any right or power herein conferred upon the Company;</w:t>
      </w:r>
    </w:p>
    <w:p>
      <w:pPr>
        <w:spacing w:after="0" w:line="139" w:lineRule="exact"/>
        <w:rPr>
          <w:rFonts w:ascii="Times New Roman" w:cs="Times New Roman" w:eastAsia="Times New Roman" w:hAnsi="Times New Roman"/>
          <w:sz w:val="14"/>
          <w:szCs w:val="14"/>
          <w:color w:val="auto"/>
        </w:rPr>
      </w:pPr>
    </w:p>
    <w:p>
      <w:pPr>
        <w:jc w:val="both"/>
        <w:ind w:left="520" w:firstLine="391"/>
        <w:spacing w:after="0" w:line="275" w:lineRule="auto"/>
        <w:tabs>
          <w:tab w:leader="none" w:pos="1238"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delete or modify any Events of Default with respect to all or any series of the Securities, the form and terms of which are being established pursuant to such supplemental indenture as permitted in Section 3.01 (and, if any such Event of Default is applicable to fewer than all such series of the Securities, specifying the series to which such Event of Default is applicable), and to specify the rights and remedies of the Trustee and the Holders of such Securities in connection therewith;</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89" w:right="319" w:bottom="1440" w:gutter="0" w:footer="0" w:header="0"/>
        </w:sectPr>
      </w:pPr>
    </w:p>
    <w:bookmarkStart w:id="94" w:name="page95"/>
    <w:bookmarkEnd w:id="94"/>
    <w:p>
      <w:pPr>
        <w:ind w:firstLine="391"/>
        <w:spacing w:after="0" w:line="294" w:lineRule="auto"/>
        <w:tabs>
          <w:tab w:leader="none" w:pos="721"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or change any of the provisions of this Indenture to provide, change or eliminate any restrictions on the payment of principal of or premium, if any, on Securities; provided that any such action shall not adversely affect the interests of the Holders of Securities of any series in any material respect;</w:t>
      </w:r>
    </w:p>
    <w:p>
      <w:pPr>
        <w:spacing w:after="0" w:line="122" w:lineRule="exact"/>
        <w:rPr>
          <w:rFonts w:ascii="Times New Roman" w:cs="Times New Roman" w:eastAsia="Times New Roman" w:hAnsi="Times New Roman"/>
          <w:sz w:val="14"/>
          <w:szCs w:val="14"/>
          <w:color w:val="auto"/>
        </w:rPr>
      </w:pPr>
    </w:p>
    <w:p>
      <w:pPr>
        <w:ind w:firstLine="391"/>
        <w:spacing w:after="0" w:line="294" w:lineRule="auto"/>
        <w:tabs>
          <w:tab w:leader="none" w:pos="703"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change or eliminate any of the provisions of this Indenture; provided that any such change or elimination shall become effective only when there is no Outstanding Security of any series created prior to the execution of such supplemental indenture that is entitled to the benefit of such provision and as to which such supplemental indenture would apply;</w:t>
      </w:r>
    </w:p>
    <w:p>
      <w:pPr>
        <w:spacing w:after="0" w:line="122" w:lineRule="exact"/>
        <w:rPr>
          <w:rFonts w:ascii="Times New Roman" w:cs="Times New Roman" w:eastAsia="Times New Roman" w:hAnsi="Times New Roman"/>
          <w:sz w:val="14"/>
          <w:szCs w:val="14"/>
          <w:color w:val="auto"/>
        </w:rPr>
      </w:pPr>
    </w:p>
    <w:p>
      <w:pPr>
        <w:ind w:firstLine="391"/>
        <w:spacing w:after="0" w:line="294" w:lineRule="auto"/>
        <w:tabs>
          <w:tab w:leader="none" w:pos="723"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the succession of another corporation to the Company, or successive successions, and the assumption by such successor of the covenants and obligations of the Company contained in the Securities of one or more series and in this Indenture or any supplemental indenture;</w:t>
      </w:r>
    </w:p>
    <w:p>
      <w:pPr>
        <w:spacing w:after="0" w:line="122" w:lineRule="exact"/>
        <w:rPr>
          <w:rFonts w:ascii="Times New Roman" w:cs="Times New Roman" w:eastAsia="Times New Roman" w:hAnsi="Times New Roman"/>
          <w:sz w:val="14"/>
          <w:szCs w:val="14"/>
          <w:color w:val="auto"/>
        </w:rPr>
      </w:pPr>
    </w:p>
    <w:p>
      <w:pPr>
        <w:ind w:firstLine="391"/>
        <w:spacing w:after="0" w:line="294" w:lineRule="auto"/>
        <w:tabs>
          <w:tab w:leader="none" w:pos="682"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hereunder by a successor Trustee with respect to one or more series of Securities and to add to or change any of the provisions of this Indenture as shall be necessary for or facilitate the administration of the trusts hereunder by more than one Trustee, pursuant to the requirements of Section 11.06(c);</w:t>
      </w:r>
    </w:p>
    <w:p>
      <w:pPr>
        <w:spacing w:after="0" w:line="122" w:lineRule="exact"/>
        <w:rPr>
          <w:rFonts w:ascii="Times New Roman" w:cs="Times New Roman" w:eastAsia="Times New Roman" w:hAnsi="Times New Roman"/>
          <w:sz w:val="14"/>
          <w:szCs w:val="14"/>
          <w:color w:val="auto"/>
        </w:rPr>
      </w:pPr>
    </w:p>
    <w:p>
      <w:pPr>
        <w:ind w:left="700" w:hanging="309"/>
        <w:spacing w:after="0"/>
        <w:tabs>
          <w:tab w:leader="none" w:pos="70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secure any series of Securities;</w:t>
      </w:r>
    </w:p>
    <w:p>
      <w:pPr>
        <w:spacing w:after="0" w:line="183" w:lineRule="exact"/>
        <w:rPr>
          <w:rFonts w:ascii="Times New Roman" w:cs="Times New Roman" w:eastAsia="Times New Roman" w:hAnsi="Times New Roman"/>
          <w:sz w:val="14"/>
          <w:szCs w:val="14"/>
          <w:color w:val="auto"/>
        </w:rPr>
      </w:pPr>
    </w:p>
    <w:p>
      <w:pPr>
        <w:ind w:left="700" w:hanging="309"/>
        <w:spacing w:after="0"/>
        <w:tabs>
          <w:tab w:leader="none" w:pos="70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any changes to this Indenture pursuant to Sections 11.05, 11.06 or 11.07 hereof as permitted by the terms thereof;</w:t>
      </w:r>
    </w:p>
    <w:p>
      <w:pPr>
        <w:spacing w:after="0" w:line="183" w:lineRule="exact"/>
        <w:rPr>
          <w:rFonts w:ascii="Times New Roman" w:cs="Times New Roman" w:eastAsia="Times New Roman" w:hAnsi="Times New Roman"/>
          <w:sz w:val="14"/>
          <w:szCs w:val="14"/>
          <w:color w:val="auto"/>
        </w:rPr>
      </w:pPr>
    </w:p>
    <w:p>
      <w:pPr>
        <w:jc w:val="both"/>
        <w:ind w:firstLine="391"/>
        <w:spacing w:after="0" w:line="269" w:lineRule="auto"/>
        <w:tabs>
          <w:tab w:leader="none" w:pos="707"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or to correct or supplement any provision contained herein or in any indenture supplemental hereto which may be defective or inconsistent with any other provision contained herein or in any supplemental indenture or to conform the terms hereof, as amended and supplemented, that are applicable to the Securities of any series to the description of the terms of such Securities in the offering memorandum, prospectus supplement or other offering document applicable to such Securities at the time of initial sale thereof, provided that any such action shall not adversely affect the interests of the Holders of Securities of such series or any other series of Securities;</w:t>
      </w:r>
    </w:p>
    <w:p>
      <w:pPr>
        <w:spacing w:after="0" w:line="139" w:lineRule="exact"/>
        <w:rPr>
          <w:rFonts w:ascii="Times New Roman" w:cs="Times New Roman" w:eastAsia="Times New Roman" w:hAnsi="Times New Roman"/>
          <w:sz w:val="14"/>
          <w:szCs w:val="14"/>
          <w:color w:val="auto"/>
        </w:rPr>
      </w:pPr>
    </w:p>
    <w:p>
      <w:pPr>
        <w:ind w:left="660" w:hanging="269"/>
        <w:spacing w:after="0"/>
        <w:tabs>
          <w:tab w:leader="none" w:pos="6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or change or eliminate any provision of this Indenture as shall be necessary or desirable in accordance with any amendments to the Trust Indenture Act;</w:t>
      </w:r>
    </w:p>
    <w:p>
      <w:pPr>
        <w:spacing w:after="0" w:line="183" w:lineRule="exact"/>
        <w:rPr>
          <w:rFonts w:ascii="Times New Roman" w:cs="Times New Roman" w:eastAsia="Times New Roman" w:hAnsi="Times New Roman"/>
          <w:sz w:val="14"/>
          <w:szCs w:val="14"/>
          <w:color w:val="auto"/>
        </w:rPr>
      </w:pPr>
    </w:p>
    <w:p>
      <w:pPr>
        <w:ind w:firstLine="391"/>
        <w:spacing w:after="0" w:line="294" w:lineRule="auto"/>
        <w:tabs>
          <w:tab w:leader="none" w:pos="765"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guarantors or co-obligors with respect to any series of Securities or to release guarantors from their guarantees of Securities in accordance with the terms of the applicable series of Securities;</w:t>
      </w:r>
    </w:p>
    <w:p>
      <w:pPr>
        <w:spacing w:after="0" w:line="12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71120</wp:posOffset>
            </wp:positionV>
            <wp:extent cx="7160260" cy="139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0760"/>
          </w:cols>
          <w:pgMar w:left="820" w:top="491" w:right="319" w:bottom="1440" w:gutter="0" w:footer="0" w:header="0"/>
        </w:sectPr>
      </w:pPr>
    </w:p>
    <w:bookmarkStart w:id="95" w:name="page96"/>
    <w:bookmarkEnd w:id="95"/>
    <w:p>
      <w:pPr>
        <w:ind w:left="1180" w:hanging="269"/>
        <w:spacing w:after="0"/>
        <w:tabs>
          <w:tab w:leader="none" w:pos="118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in any series of Securities that does not adversely affect in any material respect the interests of the Holders of such Securities;</w:t>
      </w:r>
    </w:p>
    <w:p>
      <w:pPr>
        <w:spacing w:after="0" w:line="183" w:lineRule="exact"/>
        <w:rPr>
          <w:rFonts w:ascii="Times New Roman" w:cs="Times New Roman" w:eastAsia="Times New Roman" w:hAnsi="Times New Roman"/>
          <w:sz w:val="14"/>
          <w:szCs w:val="14"/>
          <w:color w:val="auto"/>
        </w:rPr>
      </w:pPr>
    </w:p>
    <w:p>
      <w:pPr>
        <w:ind w:left="1260" w:hanging="349"/>
        <w:spacing w:after="0"/>
        <w:tabs>
          <w:tab w:leader="none" w:pos="12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securities in addition to certificated securities;</w:t>
      </w:r>
    </w:p>
    <w:p>
      <w:pPr>
        <w:spacing w:after="0" w:line="183" w:lineRule="exact"/>
        <w:rPr>
          <w:rFonts w:ascii="Times New Roman" w:cs="Times New Roman" w:eastAsia="Times New Roman" w:hAnsi="Times New Roman"/>
          <w:sz w:val="14"/>
          <w:szCs w:val="14"/>
          <w:color w:val="auto"/>
        </w:rPr>
      </w:pPr>
    </w:p>
    <w:p>
      <w:pPr>
        <w:ind w:left="520" w:firstLine="391"/>
        <w:spacing w:after="0" w:line="294" w:lineRule="auto"/>
        <w:tabs>
          <w:tab w:leader="none" w:pos="1274"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supplement any of the provisions of this Indenture to such extent as shall be necessary to permit or facilitate the defeasance and discharge of any series of Securities; provided that any such action shall not adversely affect the interests of the Holders of Securities of such series or any other series of Securities;</w:t>
      </w:r>
    </w:p>
    <w:p>
      <w:pPr>
        <w:spacing w:after="0" w:line="122" w:lineRule="exact"/>
        <w:rPr>
          <w:rFonts w:ascii="Times New Roman" w:cs="Times New Roman" w:eastAsia="Times New Roman" w:hAnsi="Times New Roman"/>
          <w:sz w:val="14"/>
          <w:szCs w:val="14"/>
          <w:color w:val="auto"/>
        </w:rPr>
      </w:pPr>
    </w:p>
    <w:p>
      <w:pPr>
        <w:ind w:left="1220" w:hanging="309"/>
        <w:spacing w:after="0"/>
        <w:tabs>
          <w:tab w:leader="none" w:pos="12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prohibit the authentication and delivery of additional series of Securities; or</w:t>
      </w:r>
    </w:p>
    <w:p>
      <w:pPr>
        <w:spacing w:after="0" w:line="183" w:lineRule="exact"/>
        <w:rPr>
          <w:rFonts w:ascii="Times New Roman" w:cs="Times New Roman" w:eastAsia="Times New Roman" w:hAnsi="Times New Roman"/>
          <w:sz w:val="14"/>
          <w:szCs w:val="14"/>
          <w:color w:val="auto"/>
        </w:rPr>
      </w:pPr>
    </w:p>
    <w:p>
      <w:pPr>
        <w:jc w:val="both"/>
        <w:ind w:left="520" w:firstLine="391"/>
        <w:spacing w:after="0" w:line="275" w:lineRule="auto"/>
        <w:tabs>
          <w:tab w:leader="none" w:pos="1225"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establish the form and terms of Securities of any series as permitted in Section 3.01, or to authorize the issuance of additional Securities of a series previously authorized or to add to the conditions, limitations or restrictions on the authorized amount, terms or purposes of issue, authentication or delivery of the Securities of any series, as herein set forth, or other conditions, limitations or restrictions thereafter to be observed.</w:t>
      </w:r>
    </w:p>
    <w:p>
      <w:pPr>
        <w:spacing w:after="0" w:line="136" w:lineRule="exact"/>
        <w:rPr>
          <w:sz w:val="20"/>
          <w:szCs w:val="20"/>
          <w:color w:val="auto"/>
        </w:rPr>
      </w:pPr>
    </w:p>
    <w:p>
      <w:pPr>
        <w:ind w:firstLine="517"/>
        <w:spacing w:after="0" w:line="294" w:lineRule="auto"/>
        <w:rPr>
          <w:sz w:val="20"/>
          <w:szCs w:val="20"/>
          <w:color w:val="auto"/>
        </w:rPr>
      </w:pPr>
      <w:r>
        <w:rPr>
          <w:rFonts w:ascii="Times New Roman" w:cs="Times New Roman" w:eastAsia="Times New Roman" w:hAnsi="Times New Roman"/>
          <w:sz w:val="14"/>
          <w:szCs w:val="14"/>
          <w:color w:val="auto"/>
        </w:rPr>
        <w:t>Subject to the provisions of Section 14.03, the Trustee is authorized to join with the Company in the execution of any such supplemental indenture, to make the further agreements and stipulations which may be therein contained and to accept the conveyance, transfer, assignment, mortgage or pledge of any property or assets thereunder.</w:t>
      </w:r>
    </w:p>
    <w:p>
      <w:pPr>
        <w:spacing w:after="0" w:line="123" w:lineRule="exact"/>
        <w:rPr>
          <w:sz w:val="20"/>
          <w:szCs w:val="20"/>
          <w:color w:val="auto"/>
        </w:rPr>
      </w:pPr>
    </w:p>
    <w:p>
      <w:pPr>
        <w:ind w:firstLine="517"/>
        <w:spacing w:after="0" w:line="294" w:lineRule="auto"/>
        <w:rPr>
          <w:sz w:val="20"/>
          <w:szCs w:val="20"/>
          <w:color w:val="auto"/>
        </w:rPr>
      </w:pPr>
      <w:r>
        <w:rPr>
          <w:rFonts w:ascii="Times New Roman" w:cs="Times New Roman" w:eastAsia="Times New Roman" w:hAnsi="Times New Roman"/>
          <w:sz w:val="14"/>
          <w:szCs w:val="14"/>
          <w:color w:val="auto"/>
        </w:rPr>
        <w:t>Any supplemental indenture authorized by the provisions of this Section 14.01 may be executed by the Company and the Trustee without the consent of the Holders of any of the Securities at the time Outstanding, notwithstanding any of the provisions of Section 14.02.</w:t>
      </w:r>
    </w:p>
    <w:p>
      <w:pPr>
        <w:spacing w:after="0" w:line="12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14.02</w:t>
      </w:r>
      <w:r>
        <w:rPr>
          <w:sz w:val="20"/>
          <w:szCs w:val="20"/>
          <w:color w:val="auto"/>
        </w:rPr>
        <w:tab/>
      </w:r>
      <w:r>
        <w:rPr>
          <w:rFonts w:ascii="Times New Roman" w:cs="Times New Roman" w:eastAsia="Times New Roman" w:hAnsi="Times New Roman"/>
          <w:sz w:val="14"/>
          <w:szCs w:val="14"/>
          <w:u w:val="single" w:color="auto"/>
          <w:color w:val="auto"/>
        </w:rPr>
        <w:t>With Consent of Securityholders; Limitations.</w:t>
      </w:r>
    </w:p>
    <w:p>
      <w:pPr>
        <w:spacing w:after="0" w:line="184" w:lineRule="exact"/>
        <w:rPr>
          <w:sz w:val="20"/>
          <w:szCs w:val="20"/>
          <w:color w:val="auto"/>
        </w:rPr>
      </w:pPr>
    </w:p>
    <w:p>
      <w:pPr>
        <w:jc w:val="both"/>
        <w:ind w:left="520" w:firstLine="391"/>
        <w:spacing w:after="0" w:line="267" w:lineRule="auto"/>
        <w:tabs>
          <w:tab w:leader="none" w:pos="1239"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consent of the Holders (evidenced as provided in Article VIII) of a majority in aggregate principal amount of the Outstanding Securities of each series affected by such supplemental indenture voting separately, the Company and the Trustee may, from time to time and at any time, enter into an indenture or indentures supplemental hereto for the purpose of adding any provisions to or changing in any manner or eliminating any provisions of this Indenture or of modifying in any manner the rights of the Holders of the Securities of such series to be affected; provided, however, that no such supplemental indenture shall, without the consent of the Holder of each Outstanding Security of each such series affected thereby,</w:t>
      </w:r>
    </w:p>
    <w:p>
      <w:pPr>
        <w:spacing w:after="0" w:line="317" w:lineRule="exact"/>
        <w:rPr>
          <w:rFonts w:ascii="Times New Roman" w:cs="Times New Roman" w:eastAsia="Times New Roman" w:hAnsi="Times New Roman"/>
          <w:sz w:val="14"/>
          <w:szCs w:val="14"/>
          <w:color w:val="auto"/>
        </w:rPr>
      </w:pPr>
    </w:p>
    <w:p>
      <w:pPr>
        <w:jc w:val="both"/>
        <w:ind w:left="920" w:firstLine="378"/>
        <w:spacing w:after="0" w:line="264" w:lineRule="auto"/>
        <w:tabs>
          <w:tab w:leader="none" w:pos="1645" w:val="left"/>
        </w:tabs>
        <w:numPr>
          <w:ilvl w:val="1"/>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 the Stated Maturity of the principal of, or any installment of interest on, any Security, or reduce the principal amount thereof or the interest thereon or any premium payable upon redemption thereof, or extend the Stated Maturity of, or change the place of payment where, or the Currency in which the principal of and premium, if any, or interest on such Security is denominated or payable, or reduce the amount of the principal of an Original Issue Discount Security that would be due and payable upon a declaration of acceleration of the Maturity thereof pursuant to Section 7.02, or impair the right to institute suit for the enforcement of any payment on or after the Stated Maturity thereof (or, in the case of redemption, on or after the Redemption Date), or materially adversely affect the economic terms of any right to convert or exchange any Security as may be provided pursuant to Section 3.01; or</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96" w:name="page97"/>
    <w:bookmarkEnd w:id="96"/>
    <w:p>
      <w:pPr>
        <w:jc w:val="both"/>
        <w:ind w:left="400" w:firstLine="378"/>
        <w:spacing w:after="0" w:line="275" w:lineRule="auto"/>
        <w:tabs>
          <w:tab w:leader="none" w:pos="1126" w:val="left"/>
        </w:tabs>
        <w:numPr>
          <w:ilvl w:val="1"/>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in principal amount of the Outstanding Securities of any series, the consent of whose Holders is required for any supplemental indenture, or the consent of whose Holders is required for any waiver of compliance with certain provisions of this Indenture or certain Defaults hereunder and their consequences provided for in this Indenture; or</w:t>
      </w:r>
    </w:p>
    <w:p>
      <w:pPr>
        <w:spacing w:after="0" w:line="135" w:lineRule="exact"/>
        <w:rPr>
          <w:rFonts w:ascii="Times New Roman" w:cs="Times New Roman" w:eastAsia="Times New Roman" w:hAnsi="Times New Roman"/>
          <w:sz w:val="14"/>
          <w:szCs w:val="14"/>
          <w:color w:val="auto"/>
        </w:rPr>
      </w:pPr>
    </w:p>
    <w:p>
      <w:pPr>
        <w:jc w:val="both"/>
        <w:ind w:left="400" w:firstLine="378"/>
        <w:spacing w:after="0" w:line="269" w:lineRule="auto"/>
        <w:tabs>
          <w:tab w:leader="none" w:pos="1183" w:val="left"/>
        </w:tabs>
        <w:numPr>
          <w:ilvl w:val="1"/>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any of the provisions of this Section, Section 7.06 or Section 6.06,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 Section 6.06, or the deletion of this proviso, in accordance with the requirements of Sections 11.06 and 14.01(f); or</w:t>
      </w:r>
    </w:p>
    <w:p>
      <w:pPr>
        <w:spacing w:after="0" w:line="139" w:lineRule="exact"/>
        <w:rPr>
          <w:rFonts w:ascii="Times New Roman" w:cs="Times New Roman" w:eastAsia="Times New Roman" w:hAnsi="Times New Roman"/>
          <w:sz w:val="14"/>
          <w:szCs w:val="14"/>
          <w:color w:val="auto"/>
        </w:rPr>
      </w:pPr>
    </w:p>
    <w:p>
      <w:pPr>
        <w:ind w:left="1120" w:hanging="342"/>
        <w:spacing w:after="0"/>
        <w:tabs>
          <w:tab w:leader="none" w:pos="1120" w:val="left"/>
        </w:tabs>
        <w:numPr>
          <w:ilvl w:val="1"/>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without the written consent of the Trustee, the rights, duties or immunities of the Trustee.</w:t>
      </w:r>
    </w:p>
    <w:p>
      <w:pPr>
        <w:spacing w:after="0" w:line="183" w:lineRule="exact"/>
        <w:rPr>
          <w:rFonts w:ascii="Times New Roman" w:cs="Times New Roman" w:eastAsia="Times New Roman" w:hAnsi="Times New Roman"/>
          <w:sz w:val="14"/>
          <w:szCs w:val="14"/>
          <w:color w:val="auto"/>
        </w:rPr>
      </w:pPr>
    </w:p>
    <w:p>
      <w:pPr>
        <w:jc w:val="both"/>
        <w:ind w:firstLine="391"/>
        <w:spacing w:after="0" w:line="275" w:lineRule="auto"/>
        <w:tabs>
          <w:tab w:leader="none" w:pos="691"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supplemental indenture that changes or eliminates any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35" w:lineRule="exact"/>
        <w:rPr>
          <w:rFonts w:ascii="Times New Roman" w:cs="Times New Roman" w:eastAsia="Times New Roman" w:hAnsi="Times New Roman"/>
          <w:sz w:val="14"/>
          <w:szCs w:val="14"/>
          <w:color w:val="auto"/>
        </w:rPr>
      </w:pPr>
    </w:p>
    <w:p>
      <w:pPr>
        <w:ind w:firstLine="391"/>
        <w:spacing w:after="0" w:line="294" w:lineRule="auto"/>
        <w:tabs>
          <w:tab w:leader="none" w:pos="705"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shall not be necessary for the consent of the Securityholders under this Section 14.02 to approve the particular form of any proposed supplemental indenture, but it shall be sufficient if such consent shall approve the substance thereof.</w:t>
      </w:r>
    </w:p>
    <w:p>
      <w:pPr>
        <w:spacing w:after="0" w:line="122" w:lineRule="exact"/>
        <w:rPr>
          <w:rFonts w:ascii="Times New Roman" w:cs="Times New Roman" w:eastAsia="Times New Roman" w:hAnsi="Times New Roman"/>
          <w:sz w:val="14"/>
          <w:szCs w:val="14"/>
          <w:color w:val="auto"/>
        </w:rPr>
      </w:pPr>
    </w:p>
    <w:p>
      <w:pPr>
        <w:jc w:val="both"/>
        <w:ind w:firstLine="391"/>
        <w:spacing w:after="0" w:line="275" w:lineRule="auto"/>
        <w:tabs>
          <w:tab w:leader="none" w:pos="707"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set a record date for purposes of determining the identity of the Holders of each series of Securities entitled to give a written consent or waive compliance by the Company as authorized or permitted by this Section. Such record date shall not be more than 30 days prior to the first solicitation of such consent or waiver or the date of the most recent list of Holders furnished to the Trustee prior to such solicitation pursuant to Section 312 of the Trust Indenture Act.</w:t>
      </w:r>
    </w:p>
    <w:p>
      <w:pPr>
        <w:spacing w:after="0" w:line="135" w:lineRule="exact"/>
        <w:rPr>
          <w:rFonts w:ascii="Times New Roman" w:cs="Times New Roman" w:eastAsia="Times New Roman" w:hAnsi="Times New Roman"/>
          <w:sz w:val="14"/>
          <w:szCs w:val="14"/>
          <w:color w:val="auto"/>
        </w:rPr>
      </w:pPr>
    </w:p>
    <w:p>
      <w:pPr>
        <w:jc w:val="both"/>
        <w:ind w:firstLine="391"/>
        <w:spacing w:after="0" w:line="275" w:lineRule="auto"/>
        <w:tabs>
          <w:tab w:leader="none" w:pos="696"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after the execution by the Company and the Trustee of any supplemental indenture pursuant to the provisions of this Section 14.02, the Company shall mail a notice, setting forth in general terms the substance of such supplemental indenture, to the Holders of Securities at their addresses as the same shall then appear in the Register of the Company. Any failure of the Company to mail such notice, or any defect therein, shall not, however, in any way impair or affect the validity of any such supplemental indenture.</w:t>
      </w:r>
    </w:p>
    <w:p>
      <w:pPr>
        <w:spacing w:after="0" w:line="13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71120</wp:posOffset>
            </wp:positionV>
            <wp:extent cx="7160260" cy="139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0760"/>
          </w:cols>
          <w:pgMar w:left="820" w:top="491" w:right="319" w:bottom="1440" w:gutter="0" w:footer="0" w:header="0"/>
        </w:sectPr>
      </w:pPr>
    </w:p>
    <w:bookmarkStart w:id="97" w:name="page98"/>
    <w:bookmarkEnd w:id="97"/>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14.03</w:t>
      </w:r>
      <w:r>
        <w:rPr>
          <w:sz w:val="20"/>
          <w:szCs w:val="20"/>
          <w:color w:val="auto"/>
        </w:rPr>
        <w:tab/>
      </w:r>
      <w:r>
        <w:rPr>
          <w:rFonts w:ascii="Times New Roman" w:cs="Times New Roman" w:eastAsia="Times New Roman" w:hAnsi="Times New Roman"/>
          <w:sz w:val="14"/>
          <w:szCs w:val="14"/>
          <w:u w:val="single" w:color="auto"/>
          <w:color w:val="auto"/>
        </w:rPr>
        <w:t>Trustee Protected.</w:t>
      </w:r>
    </w:p>
    <w:p>
      <w:pPr>
        <w:spacing w:after="0" w:line="184" w:lineRule="exact"/>
        <w:rPr>
          <w:sz w:val="20"/>
          <w:szCs w:val="20"/>
          <w:color w:val="auto"/>
        </w:rPr>
      </w:pPr>
    </w:p>
    <w:p>
      <w:pPr>
        <w:jc w:val="both"/>
        <w:ind w:firstLine="517"/>
        <w:spacing w:after="0" w:line="269" w:lineRule="auto"/>
        <w:rPr>
          <w:sz w:val="20"/>
          <w:szCs w:val="20"/>
          <w:color w:val="auto"/>
        </w:rPr>
      </w:pPr>
      <w:r>
        <w:rPr>
          <w:rFonts w:ascii="Times New Roman" w:cs="Times New Roman" w:eastAsia="Times New Roman" w:hAnsi="Times New Roman"/>
          <w:sz w:val="14"/>
          <w:szCs w:val="14"/>
          <w:color w:val="auto"/>
        </w:rPr>
        <w:t>Upon the request of the Company, accompanied by the Officer’s Certificate and Opinion of Counsel required by Section 16.01 and evidence reasonably satisfactory to the Trustee of consent of the Holders if the supplemental indenture is to be executed pursuant to Section 14.02, the Trustee shall join with the Company in the execution of said supplemental indenture unless said supplemental indenture affects the Trustee’s own rights, duties or immunities under this Indenture or otherwise, in which case the Trustee may in its discretion, but shall not be obligated to, enter into said supplemental indenture. The Trustee shall be fully protected in relying upon such Officer’s Certificate and an Opinion of Counsel.</w:t>
      </w:r>
    </w:p>
    <w:p>
      <w:pPr>
        <w:spacing w:after="0" w:line="14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14.04</w:t>
      </w:r>
      <w:r>
        <w:rPr>
          <w:sz w:val="20"/>
          <w:szCs w:val="20"/>
          <w:color w:val="auto"/>
        </w:rPr>
        <w:tab/>
      </w:r>
      <w:r>
        <w:rPr>
          <w:rFonts w:ascii="Times New Roman" w:cs="Times New Roman" w:eastAsia="Times New Roman" w:hAnsi="Times New Roman"/>
          <w:sz w:val="14"/>
          <w:szCs w:val="14"/>
          <w:u w:val="single" w:color="auto"/>
          <w:color w:val="auto"/>
        </w:rPr>
        <w:t>Effect of Execution of Supplemental Indenture.</w:t>
      </w:r>
    </w:p>
    <w:p>
      <w:pPr>
        <w:spacing w:after="0" w:line="184" w:lineRule="exact"/>
        <w:rPr>
          <w:sz w:val="20"/>
          <w:szCs w:val="20"/>
          <w:color w:val="auto"/>
        </w:rPr>
      </w:pPr>
    </w:p>
    <w:p>
      <w:pPr>
        <w:jc w:val="both"/>
        <w:ind w:firstLine="517"/>
        <w:spacing w:after="0" w:line="269" w:lineRule="auto"/>
        <w:rPr>
          <w:sz w:val="20"/>
          <w:szCs w:val="20"/>
          <w:color w:val="auto"/>
        </w:rPr>
      </w:pPr>
      <w:r>
        <w:rPr>
          <w:rFonts w:ascii="Times New Roman" w:cs="Times New Roman" w:eastAsia="Times New Roman" w:hAnsi="Times New Roman"/>
          <w:sz w:val="14"/>
          <w:szCs w:val="14"/>
          <w:color w:val="auto"/>
        </w:rPr>
        <w:t>Upon the execution of any supplemental indenture pursuant to the provisions of this Article XIV, this Indenture shall be deemed to be modified and amended in accordance therewith and, except as herein otherwise expressly provided, the respective rights, limitations of rights, obligations, duties and immunities under this Indenture of the Trustee, the Company and the Holders of all of the Securities or of the Securities of any series affected, as the case may be,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4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14.05</w:t>
      </w:r>
      <w:r>
        <w:rPr>
          <w:sz w:val="20"/>
          <w:szCs w:val="20"/>
          <w:color w:val="auto"/>
        </w:rPr>
        <w:tab/>
      </w:r>
      <w:r>
        <w:rPr>
          <w:rFonts w:ascii="Times New Roman" w:cs="Times New Roman" w:eastAsia="Times New Roman" w:hAnsi="Times New Roman"/>
          <w:sz w:val="14"/>
          <w:szCs w:val="14"/>
          <w:u w:val="single" w:color="auto"/>
          <w:color w:val="auto"/>
        </w:rPr>
        <w:t>Notation on or Exchange of Securities.</w:t>
      </w:r>
    </w:p>
    <w:p>
      <w:pPr>
        <w:spacing w:after="0" w:line="184" w:lineRule="exact"/>
        <w:rPr>
          <w:sz w:val="20"/>
          <w:szCs w:val="20"/>
          <w:color w:val="auto"/>
        </w:rPr>
      </w:pPr>
    </w:p>
    <w:p>
      <w:pPr>
        <w:jc w:val="both"/>
        <w:ind w:firstLine="517"/>
        <w:spacing w:after="0" w:line="267" w:lineRule="auto"/>
        <w:rPr>
          <w:sz w:val="20"/>
          <w:szCs w:val="20"/>
          <w:color w:val="auto"/>
        </w:rPr>
      </w:pPr>
      <w:r>
        <w:rPr>
          <w:rFonts w:ascii="Times New Roman" w:cs="Times New Roman" w:eastAsia="Times New Roman" w:hAnsi="Times New Roman"/>
          <w:sz w:val="14"/>
          <w:szCs w:val="14"/>
          <w:color w:val="auto"/>
        </w:rPr>
        <w:t>Securities of any series authenticated and delivered after the execution of any supplemental indenture pursuant to the provisions of this Article may bear a notation in the form approved by the Trustee as to any matter provided for in such supplemental indenture. If the Company or the Trustee shall so determine, new Securities so modified as to conform, in the opinion of the Trustee and the Board of Directors of the Company, to any modification of this Indenture contained in any such supplemental indenture may be prepared and executed by the Company and authenticated and delivered by the Trustee in exchange for the Securities then Outstanding in equal aggregate principal amounts, and such exchange shall be made without cost to the Holders of the Securities.</w:t>
      </w:r>
    </w:p>
    <w:p>
      <w:pPr>
        <w:spacing w:after="0" w:line="3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14.06</w:t>
      </w:r>
      <w:r>
        <w:rPr>
          <w:sz w:val="20"/>
          <w:szCs w:val="20"/>
          <w:color w:val="auto"/>
        </w:rPr>
        <w:tab/>
      </w:r>
      <w:r>
        <w:rPr>
          <w:rFonts w:ascii="Times New Roman" w:cs="Times New Roman" w:eastAsia="Times New Roman" w:hAnsi="Times New Roman"/>
          <w:sz w:val="14"/>
          <w:szCs w:val="14"/>
          <w:u w:val="single" w:color="auto"/>
          <w:color w:val="auto"/>
        </w:rPr>
        <w:t>Conformity with TIA.</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Every supplemental indenture executed pursuant to the provisions of this Article shall conform to the requirements of the Trust Indenture Act as then in effect.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XV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SUBORDINATION OF SECURITIES</w:t>
      </w:r>
    </w:p>
    <w:p>
      <w:pPr>
        <w:spacing w:after="0" w:line="17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15.01</w:t>
      </w:r>
      <w:r>
        <w:rPr>
          <w:sz w:val="20"/>
          <w:szCs w:val="20"/>
          <w:color w:val="auto"/>
        </w:rPr>
        <w:tab/>
      </w:r>
      <w:r>
        <w:rPr>
          <w:rFonts w:ascii="Times New Roman" w:cs="Times New Roman" w:eastAsia="Times New Roman" w:hAnsi="Times New Roman"/>
          <w:sz w:val="14"/>
          <w:szCs w:val="14"/>
          <w:u w:val="single" w:color="auto"/>
          <w:color w:val="auto"/>
        </w:rPr>
        <w:t>Agreement to Subordinate.</w:t>
      </w:r>
    </w:p>
    <w:p>
      <w:pPr>
        <w:spacing w:after="0" w:line="184" w:lineRule="exact"/>
        <w:rPr>
          <w:sz w:val="20"/>
          <w:szCs w:val="20"/>
          <w:color w:val="auto"/>
        </w:rPr>
      </w:pPr>
    </w:p>
    <w:p>
      <w:pPr>
        <w:jc w:val="both"/>
        <w:ind w:firstLine="517"/>
        <w:spacing w:after="0" w:line="266" w:lineRule="auto"/>
        <w:rPr>
          <w:sz w:val="20"/>
          <w:szCs w:val="20"/>
          <w:color w:val="auto"/>
        </w:rPr>
      </w:pPr>
      <w:r>
        <w:rPr>
          <w:rFonts w:ascii="Times New Roman" w:cs="Times New Roman" w:eastAsia="Times New Roman" w:hAnsi="Times New Roman"/>
          <w:sz w:val="14"/>
          <w:szCs w:val="14"/>
          <w:color w:val="auto"/>
        </w:rPr>
        <w:t>In the event a series of Securities is designated as subordinated pursuant to Section 3.01, and except as otherwise provided in a Company Order or in one or more indentures supplemental hereto, the Company, for itself, its successors and assigns, covenants and agrees, and each Holder of Securities of such series by his, her or its acceptance thereof, likewise covenants and agrees, that the payment of the principal of (and premium, if any) and interest, if any, on each and all of the Securities of such series is hereby expressly subordinated, to the extent and in the manner hereinafter set forth, in right of payment to the prior payment in full of all Senior Indebtedness. In the event a series of Securities is not designated as subordinated pursuant to Section 3.01(s), this Article XV shall have no effect upon the Securities.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98" w:name="page99"/>
    <w:bookmarkEnd w:id="98"/>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15.02</w:t>
      </w:r>
      <w:r>
        <w:rPr>
          <w:sz w:val="20"/>
          <w:szCs w:val="20"/>
          <w:color w:val="auto"/>
        </w:rPr>
        <w:tab/>
      </w:r>
      <w:r>
        <w:rPr>
          <w:rFonts w:ascii="Times New Roman" w:cs="Times New Roman" w:eastAsia="Times New Roman" w:hAnsi="Times New Roman"/>
          <w:sz w:val="14"/>
          <w:szCs w:val="14"/>
          <w:u w:val="single" w:color="auto"/>
          <w:color w:val="auto"/>
        </w:rPr>
        <w:t>Distribution on Dissolution, Liquidation and Reorganization; Subrogation of Securities.</w:t>
      </w:r>
    </w:p>
    <w:p>
      <w:pPr>
        <w:spacing w:after="0" w:line="184" w:lineRule="exact"/>
        <w:rPr>
          <w:sz w:val="20"/>
          <w:szCs w:val="20"/>
          <w:color w:val="auto"/>
        </w:rPr>
      </w:pPr>
    </w:p>
    <w:p>
      <w:pPr>
        <w:jc w:val="both"/>
        <w:ind w:firstLine="517"/>
        <w:spacing w:after="0" w:line="269" w:lineRule="auto"/>
        <w:rPr>
          <w:sz w:val="20"/>
          <w:szCs w:val="20"/>
          <w:color w:val="auto"/>
        </w:rPr>
      </w:pPr>
      <w:r>
        <w:rPr>
          <w:rFonts w:ascii="Times New Roman" w:cs="Times New Roman" w:eastAsia="Times New Roman" w:hAnsi="Times New Roman"/>
          <w:sz w:val="14"/>
          <w:szCs w:val="14"/>
          <w:color w:val="auto"/>
        </w:rPr>
        <w:t>Subject to Section 15.01, upon any distribution of assets of the Company upon any dissolution, winding up, liquidation or reorganization of the Company, whether in bankruptcy, insolvency, reorganization or receivership proceedings or upon an assignment for the benefit of creditors or any other marshalling of the assets and liabilities of the Company or otherwise (subject to the power of a court of competent jurisdiction to make other equitable provision reflecting the rights conferred in this Indenture upon the Senior Indebtedness and the holders thereof with respect to the Securities and the holders thereof by a lawful plan of reorganization under applicable bankruptcy law):</w:t>
      </w:r>
    </w:p>
    <w:p>
      <w:pPr>
        <w:spacing w:after="0" w:line="140" w:lineRule="exact"/>
        <w:rPr>
          <w:sz w:val="20"/>
          <w:szCs w:val="20"/>
          <w:color w:val="auto"/>
        </w:rPr>
      </w:pPr>
    </w:p>
    <w:p>
      <w:pPr>
        <w:ind w:left="520" w:firstLine="391"/>
        <w:spacing w:after="0" w:line="294" w:lineRule="auto"/>
        <w:tabs>
          <w:tab w:leader="none" w:pos="1225"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all Senior Indebtedness shall be entitled to receive payment in full of the principal thereof (and premium, if any) and interest due thereon before the Holders of the Securities are entitled to receive any payment upon the principal (or premium, if any) or interest, if any, on Indebtedness evidenced by the Securities; and</w:t>
      </w:r>
    </w:p>
    <w:p>
      <w:pPr>
        <w:spacing w:after="0" w:line="122" w:lineRule="exact"/>
        <w:rPr>
          <w:rFonts w:ascii="Times New Roman" w:cs="Times New Roman" w:eastAsia="Times New Roman" w:hAnsi="Times New Roman"/>
          <w:sz w:val="14"/>
          <w:szCs w:val="14"/>
          <w:color w:val="auto"/>
        </w:rPr>
      </w:pPr>
    </w:p>
    <w:p>
      <w:pPr>
        <w:jc w:val="both"/>
        <w:ind w:left="520" w:firstLine="391"/>
        <w:spacing w:after="0" w:line="264" w:lineRule="auto"/>
        <w:tabs>
          <w:tab w:leader="none" w:pos="1249"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payment or distribution of assets of the Company of any kind or character, whether in cash, property or securities, to which the Holders of the Securities or the Trustee would be entitled except for the provisions of this Article XV shall be paid by the liquidation trustee or agent or other Person making such payment or distribution, whether a trustee in bankruptcy, a receiver or liquidating trustee or otherwise, directly to the holders of Senior Indebtedness or their representative or representatives or to the trustee or trustees under any indenture under which any instruments evidencing any of such Senior Indebtedness may have been issued, ratably according to the aggregate amounts remaining unpaid on account of the principal of (and premium, if any) and interest on the Senior Indebtedness held or represented by each, to the extent necessary to make payment in full of all Senior Indebtedness remaining unpaid, after giving effect to any concurrent payment or distribution to the holders of such Senior Indebtedness; and</w:t>
      </w:r>
    </w:p>
    <w:p>
      <w:pPr>
        <w:spacing w:after="0" w:line="143" w:lineRule="exact"/>
        <w:rPr>
          <w:rFonts w:ascii="Times New Roman" w:cs="Times New Roman" w:eastAsia="Times New Roman" w:hAnsi="Times New Roman"/>
          <w:sz w:val="14"/>
          <w:szCs w:val="14"/>
          <w:color w:val="auto"/>
        </w:rPr>
      </w:pPr>
    </w:p>
    <w:p>
      <w:pPr>
        <w:jc w:val="both"/>
        <w:ind w:left="520" w:firstLine="391"/>
        <w:spacing w:after="0" w:line="264" w:lineRule="auto"/>
        <w:tabs>
          <w:tab w:leader="none" w:pos="1281"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notwithstanding the foregoing, any payment or distribution of assets of the Company of any kind or character, whether in cash, property or securities prohibited by the foregoing, shall be received by the Trustee or the Holders of the Securities before all Senior Indebtedness is paid in full, such payment or distribution shall be paid over, upon written notice to a Responsible Officer of the Trustee, to the holder of such Senior Indebtedness or his, her or its representative or representatives or to the trustee or trustees under any indenture under which any instrument evidencing any of such Senior Indebtedness may have been issued, ratably as aforesaid, as calculated by the Company, for application to payment of all Senior Indebtedness remaining unpaid until all such Senior Indebtedness shall have been paid in full, after giving effect to any concurrent payment or distribution to the holders of such Senior Indebtedness.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99" w:name="page100"/>
    <w:bookmarkEnd w:id="99"/>
    <w:p>
      <w:pPr>
        <w:jc w:val="both"/>
        <w:ind w:left="520" w:firstLine="391"/>
        <w:spacing w:after="0" w:line="259" w:lineRule="auto"/>
        <w:tabs>
          <w:tab w:leader="none" w:pos="1223"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payment in full of all Senior Indebtedness, the Holders of the Securities shall be subrogated to the rights of the holders of Senior Indebtedness (to the extent that distributions otherwise payable to such holder have been applied to the payment of Senior Indebtedness) to receive payments or distributions of cash, property or securities of the Company applicable to Senior Indebtedness until the principal of (and premium, if any) and interest, if any, on the Securities shall be paid in full and no such payments or distributions to the Holders of the Securities of cash, property or securities otherwise distributable to the holders of Senior Indebtedness shall, as between the Company, its creditors other than the holders of Senior Indebtedness, and the Holders of the Securities be deemed to be a payment by the Company to or on account of the Securities. It is understood that the provisions of this Article XV are and are intended solely for the purpose of defining the relative rights of the Holders of the Securities, on the one hand, and the holders of the Senior Indebtedness, on the other hand. Nothing contained in this Article XV or elsewhere in this Indenture or in the Securities is intended to or shall impair, as between the Company, its creditors other than the holders of Senior Indebtedness, and the Holders of the Securities, the obligation of the Company, which is unconditional and absolute, to pay to the Holders of the Securities the principal of (and premium, if any) and interest, if any, on the Securities as and when the same shall become due and payable in accordance with their terms, or to affect the relative rights of the Holders of the Securities and creditors of the Company other than the holders of Senior Indebtedness, nor shall anything herein or in the Securities prevent the Trustee or the Holder of any Security from exercising all remedies otherwise permitted by applicable law upon default under this Indenture, subject to the rights, if any, under this Article XV of the holders of Senior Indebtedness in respect of cash, property or securities of the Company received upon the exercise of any such remedy. Upon any payment or distribution of assets of the Company referred to in this Article XV, the Trustee, subject to the provisions of Section 15.05, shall be entitled to conclusively rely upon a certificate of the liquidating trustee or agent or other person making any distribution to the Trustee for the purpose of ascertaining the Persons entitled to participate in such distribution, the holders of Senior Indebtedness and other indebtedness of the Company, the amount thereof or payable thereon, the amount or amounts paid or distributed thereof and all other facts pertinent thereto or to this Article XV.</w:t>
      </w:r>
    </w:p>
    <w:p>
      <w:pPr>
        <w:spacing w:after="0" w:line="15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15.03</w:t>
      </w:r>
      <w:r>
        <w:rPr>
          <w:sz w:val="20"/>
          <w:szCs w:val="20"/>
          <w:color w:val="auto"/>
        </w:rPr>
        <w:tab/>
      </w:r>
      <w:r>
        <w:rPr>
          <w:rFonts w:ascii="Times New Roman" w:cs="Times New Roman" w:eastAsia="Times New Roman" w:hAnsi="Times New Roman"/>
          <w:sz w:val="14"/>
          <w:szCs w:val="14"/>
          <w:u w:val="single" w:color="auto"/>
          <w:color w:val="auto"/>
        </w:rPr>
        <w:t>No Payment on Securities in Event of Default on Senior Indebtedness.</w:t>
      </w:r>
    </w:p>
    <w:p>
      <w:pPr>
        <w:spacing w:after="0" w:line="184" w:lineRule="exact"/>
        <w:rPr>
          <w:sz w:val="20"/>
          <w:szCs w:val="20"/>
          <w:color w:val="auto"/>
        </w:rPr>
      </w:pPr>
    </w:p>
    <w:p>
      <w:pPr>
        <w:jc w:val="both"/>
        <w:ind w:firstLine="517"/>
        <w:spacing w:after="0" w:line="269" w:lineRule="auto"/>
        <w:rPr>
          <w:sz w:val="20"/>
          <w:szCs w:val="20"/>
          <w:color w:val="auto"/>
        </w:rPr>
      </w:pPr>
      <w:r>
        <w:rPr>
          <w:rFonts w:ascii="Times New Roman" w:cs="Times New Roman" w:eastAsia="Times New Roman" w:hAnsi="Times New Roman"/>
          <w:sz w:val="14"/>
          <w:szCs w:val="14"/>
          <w:color w:val="auto"/>
        </w:rPr>
        <w:t>Subject to Section 15.01, no payment by the Company on account of principal (or premium, if any), sinking funds or interest, if any, on the Securities shall be made at anytime if: (i) a default on Senior Indebtedness exists that permits the holders of such Senior Indebtedness to accelerate its maturity and (ii) the default is the subject of judicial proceedings or the Company has received notice of such default. The Company may resume payments on the Securities when full payment of amounts then due for principal (premium, if any), sinking funds and interest on Senior Indebtedness has been made or duly provided for in money or money’s worth.</w:t>
      </w:r>
    </w:p>
    <w:p>
      <w:pPr>
        <w:spacing w:after="0" w:line="140" w:lineRule="exact"/>
        <w:rPr>
          <w:sz w:val="20"/>
          <w:szCs w:val="20"/>
          <w:color w:val="auto"/>
        </w:rPr>
      </w:pPr>
    </w:p>
    <w:p>
      <w:pPr>
        <w:jc w:val="both"/>
        <w:ind w:firstLine="517"/>
        <w:spacing w:after="0" w:line="266" w:lineRule="auto"/>
        <w:rPr>
          <w:sz w:val="20"/>
          <w:szCs w:val="20"/>
          <w:color w:val="auto"/>
        </w:rPr>
      </w:pPr>
      <w:r>
        <w:rPr>
          <w:rFonts w:ascii="Times New Roman" w:cs="Times New Roman" w:eastAsia="Times New Roman" w:hAnsi="Times New Roman"/>
          <w:sz w:val="14"/>
          <w:szCs w:val="14"/>
          <w:color w:val="auto"/>
        </w:rPr>
        <w:t>In the event that, notwithstanding the foregoing, any payment shall be received by the Trustee when such payment is prohibited by the preceding paragraph of this Section 15.03, such payment shall be held in trust for the benefit of, and shall be paid over or delivered to, the holders of such Senior Indebtedness or their respective representatives, or to the trustee or trustees under any indenture pursuant to which any of such Senior Indebtedness may have been issued, as their respective interests may appear, as calculated by the Company, but only to the extent that the holders of such Senior Indebtedness (or their representative or representatives or a trustee) notify the Trustee in writing within 90 days of such payment of the amounts then due and owing on such Senior Indebtedness and only the amounts specified in such notice to the Trustee shall be paid to the holders of such Senior Indebtedness.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100" w:name="page101"/>
    <w:bookmarkEnd w:id="100"/>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15.04</w:t>
      </w:r>
      <w:r>
        <w:rPr>
          <w:sz w:val="20"/>
          <w:szCs w:val="20"/>
          <w:color w:val="auto"/>
        </w:rPr>
        <w:tab/>
      </w:r>
      <w:r>
        <w:rPr>
          <w:rFonts w:ascii="Times New Roman" w:cs="Times New Roman" w:eastAsia="Times New Roman" w:hAnsi="Times New Roman"/>
          <w:sz w:val="14"/>
          <w:szCs w:val="14"/>
          <w:u w:val="single" w:color="auto"/>
          <w:color w:val="auto"/>
        </w:rPr>
        <w:t>Payments on Securities Permitted.</w:t>
      </w:r>
    </w:p>
    <w:p>
      <w:pPr>
        <w:spacing w:after="0" w:line="184"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Subject to Section 15.01, nothing contained in this Indenture or in any of the Securities shall (a) affect the obligation of the Company to make, or prevent the Company from making, at any time except as provided in Sections 15.02 and 15.03, payments of principal of (or premium, if any) or interest, if any, on the Securities or (b) prevent the application by the Trustee of any moneys or assets deposited with it hereunder to the payment of or on account of the principal of (or premium, if any) or interest, if any, on the Securities, unless a Responsible Officer of the Trustee shall have received at its Corporate Trust Office written notice of any fact prohibiting the making of such payment from the Company or from the holder of any Senior Indebtedness or from the trustee for any such holder, together with proof satisfactory to the Trustee of such holding of Senior Indebtedness or of the authority of such trustee more than two Business Days prior to the date fixed for such payment.</w:t>
      </w:r>
    </w:p>
    <w:p>
      <w:pPr>
        <w:spacing w:after="0" w:line="1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15.05</w:t>
      </w:r>
      <w:r>
        <w:rPr>
          <w:sz w:val="20"/>
          <w:szCs w:val="20"/>
          <w:color w:val="auto"/>
        </w:rPr>
        <w:tab/>
      </w:r>
      <w:r>
        <w:rPr>
          <w:rFonts w:ascii="Times New Roman" w:cs="Times New Roman" w:eastAsia="Times New Roman" w:hAnsi="Times New Roman"/>
          <w:sz w:val="14"/>
          <w:szCs w:val="14"/>
          <w:u w:val="single" w:color="auto"/>
          <w:color w:val="auto"/>
        </w:rPr>
        <w:t>Authorization of Securityholders to Trustee to Effect Subordination.</w:t>
      </w:r>
    </w:p>
    <w:p>
      <w:pPr>
        <w:spacing w:after="0" w:line="184"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Subject to Section 15.01, each Holder of Securities by his acceptance thereof authorizes and directs the Trustee on his, her or its behalf to take such action as may be necessary or appropriate to effectuate the subordination as provided in this Article XV and appoints the Trustee his attorney-in-fact for any and all such purposes.</w:t>
      </w:r>
    </w:p>
    <w:p>
      <w:pPr>
        <w:spacing w:after="0" w:line="12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15.06</w:t>
      </w:r>
      <w:r>
        <w:rPr>
          <w:sz w:val="20"/>
          <w:szCs w:val="20"/>
          <w:color w:val="auto"/>
        </w:rPr>
        <w:tab/>
      </w:r>
      <w:r>
        <w:rPr>
          <w:rFonts w:ascii="Times New Roman" w:cs="Times New Roman" w:eastAsia="Times New Roman" w:hAnsi="Times New Roman"/>
          <w:sz w:val="14"/>
          <w:szCs w:val="14"/>
          <w:u w:val="single" w:color="auto"/>
          <w:color w:val="auto"/>
        </w:rPr>
        <w:t>Notices to Trustee.</w:t>
      </w:r>
    </w:p>
    <w:p>
      <w:pPr>
        <w:spacing w:after="0" w:line="184" w:lineRule="exact"/>
        <w:rPr>
          <w:sz w:val="20"/>
          <w:szCs w:val="20"/>
          <w:color w:val="auto"/>
        </w:rPr>
      </w:pPr>
    </w:p>
    <w:p>
      <w:pPr>
        <w:jc w:val="both"/>
        <w:ind w:firstLine="517"/>
        <w:spacing w:after="0" w:line="259" w:lineRule="auto"/>
        <w:rPr>
          <w:sz w:val="20"/>
          <w:szCs w:val="20"/>
          <w:color w:val="auto"/>
        </w:rPr>
      </w:pPr>
      <w:r>
        <w:rPr>
          <w:rFonts w:ascii="Times New Roman" w:cs="Times New Roman" w:eastAsia="Times New Roman" w:hAnsi="Times New Roman"/>
          <w:sz w:val="14"/>
          <w:szCs w:val="14"/>
          <w:color w:val="auto"/>
        </w:rPr>
        <w:t>The Company shall give prompt written notice to a Responsible Officer of the Trustee of any fact known to the Company that would prohibit the making of any payment of monies or assets to or by the Trustee in respect of the Securities of any series pursuant to the provisions of this Article XV. Subject to Section 15.01, notwithstanding the provisions of this Article XV or any other provisions of this Indenture, neither the Trustee nor any Paying Agent (other than the Company) shall be charged with knowledge of the existence of any Senior Indebtedness or of any fact which would prohibit the making of any payment of moneys or assets to or by the Trustee or such Paying Agent, unless and until a Responsible Officer of the Trustee or such Paying Agent shall have received (in the case of a Responsible Officer of the Trustee, at the Corporate Trust Office of the Trustee) written notice thereof from the Company or from the holder of any Senior Indebtedness or from the trustee for any such holder, together with proof satisfactory to the Trustee of such holding of Senior Indebtedness or of the authority of such trustee and, prior to the receipt of any such written notice, the Trustee shall be entitled in all respects conclusively to presume that no such facts exist; provided, however, that if at least two Business Days prior to the date upon which by the terms hereof any such moneys or assets may become payable for any purpose (including, without limitation, the payment of either the principal (or premium, if any) or interest, if any, on any Security) a Responsible Officer of the Trustee shall not have received with respect to such moneys or assets the notice provided for in this Section 15.06, then, anything herein contained to the contrary notwithstanding, the Trustee shall have full power and authority to receive such moneys or assets and to apply the same to the purpose for which they were received, and shall not be affected by any notice to the contrary which may be received by it within two Business Days prior to such date. The Trustee shall be entitled to rely on the delivery to it of a written notice by a Person representing himself to be a holder of Senior Indebtedness (or a trustee on behalf of such holder) to establish that such a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Article XV,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XV and, if such evidence is not furnished, the Trustee may defer any payment to such Person pending judicial determination as to the right of such Person to receive such payment.</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101" w:name="page102"/>
    <w:bookmarkEnd w:id="101"/>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15.07</w:t>
      </w:r>
      <w:r>
        <w:rPr>
          <w:sz w:val="20"/>
          <w:szCs w:val="20"/>
          <w:color w:val="auto"/>
        </w:rPr>
        <w:tab/>
      </w:r>
      <w:r>
        <w:rPr>
          <w:rFonts w:ascii="Times New Roman" w:cs="Times New Roman" w:eastAsia="Times New Roman" w:hAnsi="Times New Roman"/>
          <w:sz w:val="14"/>
          <w:szCs w:val="14"/>
          <w:u w:val="single" w:color="auto"/>
          <w:color w:val="auto"/>
        </w:rPr>
        <w:t>Trustee as Holder of Senior Indebtedness.</w:t>
      </w:r>
    </w:p>
    <w:p>
      <w:pPr>
        <w:spacing w:after="0" w:line="184"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Subject to Section 15.01, the Trustee in its individual capacity shall be entitled to all the rights set forth in this Article XV in respect of any Senior Indebtedness at any time held by it to the same extent as any other holder of Senior Indebtedness and nothing in this Indenture shall be construed to deprive the Trustee of any of its rights as such holder. Nothing in this Article XV shall apply to claims of, or payments to, the Trustee under or pursuant to Sections 7.05 or 11.01.</w:t>
      </w:r>
    </w:p>
    <w:p>
      <w:pPr>
        <w:spacing w:after="0" w:line="13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15.08</w:t>
      </w:r>
      <w:r>
        <w:rPr>
          <w:sz w:val="20"/>
          <w:szCs w:val="20"/>
          <w:color w:val="auto"/>
        </w:rPr>
        <w:tab/>
      </w:r>
      <w:r>
        <w:rPr>
          <w:rFonts w:ascii="Times New Roman" w:cs="Times New Roman" w:eastAsia="Times New Roman" w:hAnsi="Times New Roman"/>
          <w:sz w:val="14"/>
          <w:szCs w:val="14"/>
          <w:u w:val="single" w:color="auto"/>
          <w:color w:val="auto"/>
        </w:rPr>
        <w:t>Modifications of Terms of Senior Indebtedness.</w:t>
      </w:r>
    </w:p>
    <w:p>
      <w:pPr>
        <w:spacing w:after="0" w:line="184"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Subject to Section 15.01, any renewal or extension of the time of payment of any Senior Indebtedness or the exercise by the holders of Senior Indebtedness of any of their rights under any instrument creating or evidencing Senior Indebtedness, including, without limitation, the waiver of default thereunder, may be made or done all without notice to or assent from the Holders of the Securities or the Trustee. No compromise, alteration, amendment, modification, extension, renewal or other change of, or waiver, consent or other action in respect of, any liability or obligation under or in respect of, or of any of the terms, covenants or conditions of any indenture or other instrument under which any Senior Indebtedness is outstanding or of such Senior Indebtedness, whether or not such release is in accordance with the provisions of any applicable document, shall in any way alter or affect any of the provisions of this Article XV or of the Securities relating to the subordination thereof.</w:t>
      </w:r>
    </w:p>
    <w:p>
      <w:pPr>
        <w:spacing w:after="0" w:line="1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15.09</w:t>
      </w:r>
      <w:r>
        <w:rPr>
          <w:sz w:val="20"/>
          <w:szCs w:val="20"/>
          <w:color w:val="auto"/>
        </w:rPr>
        <w:tab/>
      </w:r>
      <w:r>
        <w:rPr>
          <w:rFonts w:ascii="Times New Roman" w:cs="Times New Roman" w:eastAsia="Times New Roman" w:hAnsi="Times New Roman"/>
          <w:sz w:val="14"/>
          <w:szCs w:val="14"/>
          <w:u w:val="single" w:color="auto"/>
          <w:color w:val="auto"/>
        </w:rPr>
        <w:t>Reliance on Judicial Order or Certificate of Liquidating Agent.</w:t>
      </w:r>
    </w:p>
    <w:p>
      <w:pPr>
        <w:spacing w:after="0" w:line="184"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Subject to Section 15.01, upon any payment or distribution of assets of the Company referred to in this Article XV, the Trustee and the Holders of the Securities shall be entitled to conclusively rely upon any order or decree entered by any court of competent jurisdiction in which such insolvency, bankruptcy, receivership, liquidation, reorganization, dissolution, winding up or similar case or proceeding is pending, or a certificate of the trustee in bankruptcy, liquidating trustee, custodian, receiver, assignee for the benefit of creditors, agent or other person making such payment or distribution, delivered to the Trustee or to the Holders of Securities, for the purpose of ascertaining the Persons entitled to participate in such payment or distribution, the holders of Senior Indebtedness and other indebtedness of the Company, the amount thereof or payable thereon, the amount or amounts paid or distributed thereon and all other facts pertinent thereto or to this Article XV.</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102" w:name="page103"/>
    <w:bookmarkEnd w:id="102"/>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15.10</w:t>
      </w:r>
      <w:r>
        <w:rPr>
          <w:sz w:val="20"/>
          <w:szCs w:val="20"/>
          <w:color w:val="auto"/>
        </w:rPr>
        <w:tab/>
      </w:r>
      <w:r>
        <w:rPr>
          <w:rFonts w:ascii="Times New Roman" w:cs="Times New Roman" w:eastAsia="Times New Roman" w:hAnsi="Times New Roman"/>
          <w:sz w:val="14"/>
          <w:szCs w:val="14"/>
          <w:u w:val="single" w:color="auto"/>
          <w:color w:val="auto"/>
        </w:rPr>
        <w:t>Satisfaction and Discharge; Defeasance and Covenant Defeasance.</w:t>
      </w:r>
    </w:p>
    <w:p>
      <w:pPr>
        <w:spacing w:after="0" w:line="184"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Subject to Section 15.01, amounts and U.S. Government Obligations deposited in trust with the Trustee pursuant to and in accordance with Article XII and not, at the time of such deposit, prohibited to be deposited under Sections 15.02 or 15.03 shall not be subject to this Article XV.</w:t>
      </w:r>
    </w:p>
    <w:p>
      <w:pPr>
        <w:spacing w:after="0" w:line="12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15.11</w:t>
      </w:r>
      <w:r>
        <w:rPr>
          <w:sz w:val="20"/>
          <w:szCs w:val="20"/>
          <w:color w:val="auto"/>
        </w:rPr>
        <w:tab/>
      </w:r>
      <w:r>
        <w:rPr>
          <w:rFonts w:ascii="Times New Roman" w:cs="Times New Roman" w:eastAsia="Times New Roman" w:hAnsi="Times New Roman"/>
          <w:sz w:val="14"/>
          <w:szCs w:val="14"/>
          <w:u w:val="single" w:color="auto"/>
          <w:color w:val="auto"/>
        </w:rPr>
        <w:t>Trustee Not Fiduciary for Holders of Senior Indebtedness.</w:t>
      </w:r>
    </w:p>
    <w:p>
      <w:pPr>
        <w:spacing w:after="0" w:line="184" w:lineRule="exact"/>
        <w:rPr>
          <w:sz w:val="20"/>
          <w:szCs w:val="20"/>
          <w:color w:val="auto"/>
        </w:rPr>
      </w:pPr>
    </w:p>
    <w:p>
      <w:pPr>
        <w:jc w:val="both"/>
        <w:ind w:firstLine="517"/>
        <w:spacing w:after="0" w:line="269" w:lineRule="auto"/>
        <w:rPr>
          <w:sz w:val="20"/>
          <w:szCs w:val="20"/>
          <w:color w:val="auto"/>
        </w:rPr>
      </w:pPr>
      <w:r>
        <w:rPr>
          <w:rFonts w:ascii="Times New Roman" w:cs="Times New Roman" w:eastAsia="Times New Roman" w:hAnsi="Times New Roman"/>
          <w:sz w:val="14"/>
          <w:szCs w:val="14"/>
          <w:color w:val="auto"/>
        </w:rPr>
        <w:t>With respect to the holders of Senior Indebtedness, the Trustee undertakes to perform or observe only such of its covenants and obligations as are specifically set forth in this Article XV, and no implied covenants or obligations with respect to the holders of Senior Indebtedness shall be read into this Indenture against the Trustee. The Trustee shall not be deemed to owe any fiduciary duty to the holders of Senior Indebtedness. The Trustee shall not be liable to any such holder if it shall pay over or distribute to or on behalf of Holders of Securities or the Company, or any other Person, moneys or assets to which any holder of Senior Indebtedness shall be entitled by virtue of this Article XV or otherwise.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XVI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MISCELLANEOUS PROVISIONS</w:t>
      </w:r>
    </w:p>
    <w:p>
      <w:pPr>
        <w:spacing w:after="0" w:line="17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16.01</w:t>
      </w:r>
      <w:r>
        <w:rPr>
          <w:sz w:val="20"/>
          <w:szCs w:val="20"/>
          <w:color w:val="auto"/>
        </w:rPr>
        <w:tab/>
      </w:r>
      <w:r>
        <w:rPr>
          <w:rFonts w:ascii="Times New Roman" w:cs="Times New Roman" w:eastAsia="Times New Roman" w:hAnsi="Times New Roman"/>
          <w:sz w:val="14"/>
          <w:szCs w:val="14"/>
          <w:u w:val="single" w:color="auto"/>
          <w:color w:val="auto"/>
        </w:rPr>
        <w:t>Certificates and Opinions as to Conditions Precedent.</w:t>
      </w:r>
    </w:p>
    <w:p>
      <w:pPr>
        <w:spacing w:after="0" w:line="184" w:lineRule="exact"/>
        <w:rPr>
          <w:sz w:val="20"/>
          <w:szCs w:val="20"/>
          <w:color w:val="auto"/>
        </w:rPr>
      </w:pPr>
    </w:p>
    <w:p>
      <w:pPr>
        <w:jc w:val="both"/>
        <w:ind w:left="520" w:firstLine="391"/>
        <w:spacing w:after="0" w:line="266" w:lineRule="auto"/>
        <w:tabs>
          <w:tab w:leader="none" w:pos="1233"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any request or application by the Company to the Trustee to take any action under any of the provisions of this Indenture, the Company shall furnish to the Trustee an Officer’s Certificate stating that all conditions precedent, if any, provided for in this Indenture (including any covenant compliance with which constitutes a condition precedent)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 is specifically required by any provision of this Indenture relating to such particular application or demand, no additional certificate or opinion need be furnished.</w:t>
      </w:r>
    </w:p>
    <w:p>
      <w:pPr>
        <w:spacing w:after="0" w:line="141" w:lineRule="exact"/>
        <w:rPr>
          <w:rFonts w:ascii="Times New Roman" w:cs="Times New Roman" w:eastAsia="Times New Roman" w:hAnsi="Times New Roman"/>
          <w:sz w:val="14"/>
          <w:szCs w:val="14"/>
          <w:color w:val="auto"/>
        </w:rPr>
      </w:pPr>
    </w:p>
    <w:p>
      <w:pPr>
        <w:jc w:val="both"/>
        <w:ind w:left="520" w:firstLine="391"/>
        <w:spacing w:after="0" w:line="264" w:lineRule="auto"/>
        <w:tabs>
          <w:tab w:leader="none" w:pos="1242"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certificate or opinion provided for in this Indenture and delivered to the Trustee with respect to compliance with a condition or covenant provided for in this Indenture (other than the certificates provided pursuant to Section 6.05 of this Indenture) shall include (i) a statement that the Person signing such certificate or opinion has read such covenant or condition and the definitions herein related thereto; (ii) a brief statement as to the nature and scope of the examination or investigation upon which the statements or opinions contained in such certificate or opinion are based; (iii) a statement that, in the view or opinion of such Person, he or she has made such examination or investigation as is necessary to enable such Person to express an informed view or opinion as to whether or not such covenant or condition has been complied with; and (iv) a statement as to whether or not, in the view or opinion of such Person, such condition or covenant has been complied with.</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103" w:name="page104"/>
    <w:bookmarkEnd w:id="103"/>
    <w:p>
      <w:pPr>
        <w:jc w:val="both"/>
        <w:ind w:left="520" w:firstLine="391"/>
        <w:spacing w:after="0" w:line="266" w:lineRule="auto"/>
        <w:tabs>
          <w:tab w:leader="none" w:pos="1229"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certificate, statement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statement or opinion is based are erroneous. Any certificate, statement or opinion of counsel may be based, insofar as it relates to factual matters, upon a certificate, statement or opinion of, or representations by, an officer or officers of the Company stating that the information with respect to such factual matters is in the possession of the Company, unless such counsel knows, or in the exercise of reasonable care should know, that the certificate, statement or opinion or representations with respect to such matters are erroneous.</w:t>
      </w:r>
    </w:p>
    <w:p>
      <w:pPr>
        <w:spacing w:after="0" w:line="141" w:lineRule="exact"/>
        <w:rPr>
          <w:rFonts w:ascii="Times New Roman" w:cs="Times New Roman" w:eastAsia="Times New Roman" w:hAnsi="Times New Roman"/>
          <w:sz w:val="14"/>
          <w:szCs w:val="14"/>
          <w:color w:val="auto"/>
        </w:rPr>
      </w:pPr>
    </w:p>
    <w:p>
      <w:pPr>
        <w:jc w:val="both"/>
        <w:ind w:left="520" w:firstLine="391"/>
        <w:spacing w:after="0" w:line="269" w:lineRule="auto"/>
        <w:tabs>
          <w:tab w:leader="none" w:pos="1217"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certificate, statement or opinion of an officer of the Company or of counsel to the Company may be based, insofar as it relates to accounting matters, upon a certificate or opinion of, or representations by, an accountant or firm of accountants, unless such officer or counsel, as the case may be, knows, or in the exercise of reasonable care should know, that the certificate or opinion or representations with respect to the accounting matters upon which his or her certificate, statement or opinion may be based are erroneous. Any certificate or opinion of any firm of independent registered public accountants filed with the Trustee shall contain a statement that such firm is independent.</w:t>
      </w:r>
    </w:p>
    <w:p>
      <w:pPr>
        <w:spacing w:after="0" w:line="139" w:lineRule="exact"/>
        <w:rPr>
          <w:rFonts w:ascii="Times New Roman" w:cs="Times New Roman" w:eastAsia="Times New Roman" w:hAnsi="Times New Roman"/>
          <w:sz w:val="14"/>
          <w:szCs w:val="14"/>
          <w:color w:val="auto"/>
        </w:rPr>
      </w:pPr>
    </w:p>
    <w:p>
      <w:pPr>
        <w:jc w:val="both"/>
        <w:ind w:left="520" w:firstLine="391"/>
        <w:spacing w:after="0" w:line="275" w:lineRule="auto"/>
        <w:tabs>
          <w:tab w:leader="none" w:pos="1227"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35" w:lineRule="exact"/>
        <w:rPr>
          <w:rFonts w:ascii="Times New Roman" w:cs="Times New Roman" w:eastAsia="Times New Roman" w:hAnsi="Times New Roman"/>
          <w:sz w:val="14"/>
          <w:szCs w:val="14"/>
          <w:color w:val="auto"/>
        </w:rPr>
      </w:pPr>
    </w:p>
    <w:p>
      <w:pPr>
        <w:ind w:left="520" w:firstLine="391"/>
        <w:spacing w:after="0" w:line="294" w:lineRule="auto"/>
        <w:tabs>
          <w:tab w:leader="none" w:pos="1192"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2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16.02</w:t>
      </w:r>
      <w:r>
        <w:rPr>
          <w:sz w:val="20"/>
          <w:szCs w:val="20"/>
          <w:color w:val="auto"/>
        </w:rPr>
        <w:tab/>
      </w:r>
      <w:r>
        <w:rPr>
          <w:rFonts w:ascii="Times New Roman" w:cs="Times New Roman" w:eastAsia="Times New Roman" w:hAnsi="Times New Roman"/>
          <w:sz w:val="14"/>
          <w:szCs w:val="14"/>
          <w:u w:val="single" w:color="auto"/>
          <w:color w:val="auto"/>
        </w:rPr>
        <w:t>Trust Indenture Act Controls.</w:t>
      </w:r>
    </w:p>
    <w:p>
      <w:pPr>
        <w:spacing w:after="0" w:line="184" w:lineRule="exact"/>
        <w:rPr>
          <w:sz w:val="20"/>
          <w:szCs w:val="20"/>
          <w:color w:val="auto"/>
        </w:rPr>
      </w:pPr>
    </w:p>
    <w:p>
      <w:pPr>
        <w:ind w:firstLine="517"/>
        <w:spacing w:after="0" w:line="294" w:lineRule="auto"/>
        <w:rPr>
          <w:sz w:val="20"/>
          <w:szCs w:val="20"/>
          <w:color w:val="auto"/>
        </w:rPr>
      </w:pPr>
      <w:r>
        <w:rPr>
          <w:rFonts w:ascii="Times New Roman" w:cs="Times New Roman" w:eastAsia="Times New Roman" w:hAnsi="Times New Roman"/>
          <w:sz w:val="14"/>
          <w:szCs w:val="14"/>
          <w:color w:val="auto"/>
        </w:rPr>
        <w:t>If and to the extent that any provision of this Indenture limits, qualifies or conflicts with the duties imposed by, or another provision included in this Indenture which is required to be included in this Indenture by any of the provisions of Sections 310 to 318, inclusive, of the Trust Indenture Act, such imposed duties or incorporated provision shall control.</w:t>
      </w:r>
    </w:p>
    <w:p>
      <w:pPr>
        <w:spacing w:after="0" w:line="12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16.03</w:t>
      </w:r>
      <w:r>
        <w:rPr>
          <w:sz w:val="20"/>
          <w:szCs w:val="20"/>
          <w:color w:val="auto"/>
        </w:rPr>
        <w:tab/>
      </w:r>
      <w:r>
        <w:rPr>
          <w:rFonts w:ascii="Times New Roman" w:cs="Times New Roman" w:eastAsia="Times New Roman" w:hAnsi="Times New Roman"/>
          <w:sz w:val="14"/>
          <w:szCs w:val="14"/>
          <w:u w:val="single" w:color="auto"/>
          <w:color w:val="auto"/>
        </w:rPr>
        <w:t>Notices to the Company and Trustee.</w:t>
      </w:r>
    </w:p>
    <w:p>
      <w:pPr>
        <w:spacing w:after="0" w:line="184" w:lineRule="exact"/>
        <w:rPr>
          <w:sz w:val="20"/>
          <w:szCs w:val="20"/>
          <w:color w:val="auto"/>
        </w:rPr>
      </w:pPr>
    </w:p>
    <w:p>
      <w:pPr>
        <w:ind w:firstLine="517"/>
        <w:spacing w:after="0" w:line="294" w:lineRule="auto"/>
        <w:rPr>
          <w:sz w:val="20"/>
          <w:szCs w:val="20"/>
          <w:color w:val="auto"/>
        </w:rPr>
      </w:pPr>
      <w:r>
        <w:rPr>
          <w:rFonts w:ascii="Times New Roman" w:cs="Times New Roman" w:eastAsia="Times New Roman" w:hAnsi="Times New Roman"/>
          <w:sz w:val="14"/>
          <w:szCs w:val="14"/>
          <w:color w:val="auto"/>
        </w:rPr>
        <w:t>Any notice or demand authorized by this Indenture to be made upon, given or furnished to, or filed with, the Company or the Trustee shall be sufficiently made, given, furnished or filed for all purposes if it shall be mailed, delivered or telefaxed to:</w:t>
      </w:r>
    </w:p>
    <w:p>
      <w:pPr>
        <w:spacing w:after="0" w:line="123" w:lineRule="exact"/>
        <w:rPr>
          <w:sz w:val="20"/>
          <w:szCs w:val="20"/>
          <w:color w:val="auto"/>
        </w:rPr>
      </w:pPr>
    </w:p>
    <w:p>
      <w:pPr>
        <w:ind w:left="520" w:firstLine="391"/>
        <w:spacing w:after="0" w:line="294" w:lineRule="auto"/>
        <w:tabs>
          <w:tab w:leader="none" w:pos="1217"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at 2 Gansevoort Street, 9th Floor New York, New York 10014, Attention: Sean Power, or at such other address or facsimile number as may have been furnished in writing to the Trustee by the Company.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104" w:name="page105"/>
    <w:bookmarkEnd w:id="104"/>
    <w:p>
      <w:pPr>
        <w:ind w:left="1220" w:hanging="309"/>
        <w:spacing w:after="0"/>
        <w:tabs>
          <w:tab w:leader="none" w:pos="12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at the Corporate Trust Office of the Trustee, Attention: Trust Administrator.</w:t>
      </w:r>
    </w:p>
    <w:p>
      <w:pPr>
        <w:spacing w:after="0" w:line="183" w:lineRule="exact"/>
        <w:rPr>
          <w:rFonts w:ascii="Times New Roman" w:cs="Times New Roman" w:eastAsia="Times New Roman" w:hAnsi="Times New Roman"/>
          <w:sz w:val="14"/>
          <w:szCs w:val="14"/>
          <w:color w:val="auto"/>
        </w:rPr>
      </w:pPr>
    </w:p>
    <w:p>
      <w:pPr>
        <w:ind w:left="1200" w:hanging="289"/>
        <w:spacing w:after="0"/>
        <w:tabs>
          <w:tab w:leader="none" w:pos="120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such notice, demand or other document shall be in the English language.</w:t>
      </w:r>
    </w:p>
    <w:p>
      <w:pPr>
        <w:spacing w:after="0" w:line="18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16.04</w:t>
      </w:r>
      <w:r>
        <w:rPr>
          <w:sz w:val="20"/>
          <w:szCs w:val="20"/>
          <w:color w:val="auto"/>
        </w:rPr>
        <w:tab/>
      </w:r>
      <w:r>
        <w:rPr>
          <w:rFonts w:ascii="Times New Roman" w:cs="Times New Roman" w:eastAsia="Times New Roman" w:hAnsi="Times New Roman"/>
          <w:sz w:val="14"/>
          <w:szCs w:val="14"/>
          <w:u w:val="single" w:color="auto"/>
          <w:color w:val="auto"/>
        </w:rPr>
        <w:t>Notices to Securityholders; Waiver.</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Any notice required or permitted to be given to Securityholders shall be sufficiently given (unless otherwise herein expressly provided),</w:t>
      </w:r>
    </w:p>
    <w:p>
      <w:pPr>
        <w:spacing w:after="0" w:line="184" w:lineRule="exact"/>
        <w:rPr>
          <w:sz w:val="20"/>
          <w:szCs w:val="20"/>
          <w:color w:val="auto"/>
        </w:rPr>
      </w:pPr>
    </w:p>
    <w:p>
      <w:pPr>
        <w:ind w:left="1220" w:hanging="309"/>
        <w:spacing w:after="0"/>
        <w:tabs>
          <w:tab w:leader="none" w:pos="12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to Holders, if given in writing by first class mail, postage prepaid, to such Holders at their addresses as the same shall appear on the Register of the Company.</w:t>
      </w:r>
    </w:p>
    <w:p>
      <w:pPr>
        <w:spacing w:after="0" w:line="183" w:lineRule="exact"/>
        <w:rPr>
          <w:rFonts w:ascii="Times New Roman" w:cs="Times New Roman" w:eastAsia="Times New Roman" w:hAnsi="Times New Roman"/>
          <w:sz w:val="14"/>
          <w:szCs w:val="14"/>
          <w:color w:val="auto"/>
        </w:rPr>
      </w:pPr>
    </w:p>
    <w:p>
      <w:pPr>
        <w:ind w:left="520" w:firstLine="391"/>
        <w:spacing w:after="0" w:line="294" w:lineRule="auto"/>
        <w:tabs>
          <w:tab w:leader="none" w:pos="1229"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suspension of regular mail service or by reason of any other cause it shall be impracticable to give notice by mail, then such notification as shall be given with the approval of the Trustee shall constitute sufficient notice for every purpose hereunder.</w:t>
      </w:r>
    </w:p>
    <w:p>
      <w:pPr>
        <w:spacing w:after="0" w:line="122" w:lineRule="exact"/>
        <w:rPr>
          <w:rFonts w:ascii="Times New Roman" w:cs="Times New Roman" w:eastAsia="Times New Roman" w:hAnsi="Times New Roman"/>
          <w:sz w:val="14"/>
          <w:szCs w:val="14"/>
          <w:color w:val="auto"/>
        </w:rPr>
      </w:pPr>
    </w:p>
    <w:p>
      <w:pPr>
        <w:jc w:val="both"/>
        <w:ind w:left="520" w:firstLine="391"/>
        <w:spacing w:after="0" w:line="264" w:lineRule="auto"/>
        <w:tabs>
          <w:tab w:leader="none" w:pos="1208"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on such waiver. In any case where notice to Holders is given by mail; neither the failure to mail such notice nor any defect in any notice so mailed to any particular Holder shall affect the sufficiency of such notice with respect to other Holders, and any notice that is mailed in the manner herein provided shall be conclusively presumed to have been duly given. In any case where notice to Holders is given by publication, any defect in any notice so published as to any particular Holder shall not affect the sufficiency of such notice with respect to other Holders, and any notice that is published in the manner herein provided shall be conclusively presumed to have been duly given.</w:t>
      </w:r>
    </w:p>
    <w:p>
      <w:pPr>
        <w:spacing w:after="0" w:line="1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16.05</w:t>
      </w:r>
      <w:r>
        <w:rPr>
          <w:sz w:val="20"/>
          <w:szCs w:val="20"/>
          <w:color w:val="auto"/>
        </w:rPr>
        <w:tab/>
      </w:r>
      <w:r>
        <w:rPr>
          <w:rFonts w:ascii="Times New Roman" w:cs="Times New Roman" w:eastAsia="Times New Roman" w:hAnsi="Times New Roman"/>
          <w:sz w:val="14"/>
          <w:szCs w:val="14"/>
          <w:u w:val="single" w:color="auto"/>
          <w:color w:val="auto"/>
        </w:rPr>
        <w:t>Legal Holiday.</w:t>
      </w:r>
    </w:p>
    <w:p>
      <w:pPr>
        <w:spacing w:after="0" w:line="184" w:lineRule="exact"/>
        <w:rPr>
          <w:sz w:val="20"/>
          <w:szCs w:val="20"/>
          <w:color w:val="auto"/>
        </w:rPr>
      </w:pPr>
    </w:p>
    <w:p>
      <w:pPr>
        <w:jc w:val="both"/>
        <w:ind w:firstLine="517"/>
        <w:spacing w:after="0" w:line="267" w:lineRule="auto"/>
        <w:rPr>
          <w:sz w:val="20"/>
          <w:szCs w:val="20"/>
          <w:color w:val="auto"/>
        </w:rPr>
      </w:pPr>
      <w:r>
        <w:rPr>
          <w:rFonts w:ascii="Times New Roman" w:cs="Times New Roman" w:eastAsia="Times New Roman" w:hAnsi="Times New Roman"/>
          <w:sz w:val="14"/>
          <w:szCs w:val="14"/>
          <w:color w:val="auto"/>
        </w:rPr>
        <w:t>Unless otherwise specified pursuant to Section 3.01, in any case where any Interest Payment Date, Redemption Date or Maturity of any Security of any series shall not be a Business Day at any Place of Payment for the Securities of that series, then payment of principal and premium, if any, or interest need not be made at such Place of Payment on such date, but may be made on the next succeeding Business Day at such Place of Payment with the same force and effect as if made on such Interest Payment Date, Redemption Date or Maturity and no interest shall accrue on such payment for the period from and after such Interest Payment Date, Redemption Date or Maturity, as the case may be, to such Business Day if such payment is made or duly provided for on such Business Day.</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105" w:name="page106"/>
    <w:bookmarkEnd w:id="105"/>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16.06</w:t>
      </w:r>
      <w:r>
        <w:rPr>
          <w:sz w:val="20"/>
          <w:szCs w:val="20"/>
          <w:color w:val="auto"/>
        </w:rPr>
        <w:tab/>
      </w:r>
      <w:r>
        <w:rPr>
          <w:rFonts w:ascii="Times New Roman" w:cs="Times New Roman" w:eastAsia="Times New Roman" w:hAnsi="Times New Roman"/>
          <w:sz w:val="14"/>
          <w:szCs w:val="14"/>
          <w:u w:val="single" w:color="auto"/>
          <w:color w:val="auto"/>
        </w:rPr>
        <w:t>Effects of Headings and Table of Contents.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Article and Section headings herein and the Table of Contents are for convenience only and shall not affect the construction hereof.</w:t>
      </w:r>
    </w:p>
    <w:p>
      <w:pPr>
        <w:spacing w:after="0" w:line="18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16.07</w:t>
      </w:r>
      <w:r>
        <w:rPr>
          <w:sz w:val="20"/>
          <w:szCs w:val="20"/>
          <w:color w:val="auto"/>
        </w:rPr>
        <w:tab/>
      </w:r>
      <w:r>
        <w:rPr>
          <w:rFonts w:ascii="Times New Roman" w:cs="Times New Roman" w:eastAsia="Times New Roman" w:hAnsi="Times New Roman"/>
          <w:sz w:val="14"/>
          <w:szCs w:val="14"/>
          <w:u w:val="single" w:color="auto"/>
          <w:color w:val="auto"/>
        </w:rPr>
        <w:t>Successors and Assigns.</w:t>
      </w:r>
    </w:p>
    <w:p>
      <w:pPr>
        <w:spacing w:after="0" w:line="184"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All covenants and agreements in this Indenture by the parties hereto shall bind their respective successors and assigns and inure to the benefit of their permitted successors and assigns, whether so expressed or not.</w:t>
      </w:r>
    </w:p>
    <w:p>
      <w:pPr>
        <w:spacing w:after="0" w:line="12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16.08</w:t>
      </w:r>
      <w:r>
        <w:rPr>
          <w:sz w:val="20"/>
          <w:szCs w:val="20"/>
          <w:color w:val="auto"/>
        </w:rPr>
        <w:tab/>
      </w:r>
      <w:r>
        <w:rPr>
          <w:rFonts w:ascii="Times New Roman" w:cs="Times New Roman" w:eastAsia="Times New Roman" w:hAnsi="Times New Roman"/>
          <w:sz w:val="14"/>
          <w:szCs w:val="14"/>
          <w:u w:val="single" w:color="auto"/>
          <w:color w:val="auto"/>
        </w:rPr>
        <w:t>Separability Clause.</w:t>
      </w:r>
    </w:p>
    <w:p>
      <w:pPr>
        <w:spacing w:after="0" w:line="184"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2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16.09</w:t>
      </w:r>
      <w:r>
        <w:rPr>
          <w:sz w:val="20"/>
          <w:szCs w:val="20"/>
          <w:color w:val="auto"/>
        </w:rPr>
        <w:tab/>
      </w:r>
      <w:r>
        <w:rPr>
          <w:rFonts w:ascii="Times New Roman" w:cs="Times New Roman" w:eastAsia="Times New Roman" w:hAnsi="Times New Roman"/>
          <w:sz w:val="14"/>
          <w:szCs w:val="14"/>
          <w:u w:val="single" w:color="auto"/>
          <w:color w:val="auto"/>
        </w:rPr>
        <w:t>Benefits of Indenture.</w:t>
      </w:r>
    </w:p>
    <w:p>
      <w:pPr>
        <w:spacing w:after="0" w:line="184" w:lineRule="exact"/>
        <w:rPr>
          <w:sz w:val="20"/>
          <w:szCs w:val="20"/>
          <w:color w:val="auto"/>
        </w:rPr>
      </w:pPr>
    </w:p>
    <w:p>
      <w:pPr>
        <w:jc w:val="both"/>
        <w:ind w:firstLine="517"/>
        <w:spacing w:after="0" w:line="269" w:lineRule="auto"/>
        <w:rPr>
          <w:sz w:val="20"/>
          <w:szCs w:val="20"/>
          <w:color w:val="auto"/>
        </w:rPr>
      </w:pPr>
      <w:r>
        <w:rPr>
          <w:rFonts w:ascii="Times New Roman" w:cs="Times New Roman" w:eastAsia="Times New Roman" w:hAnsi="Times New Roman"/>
          <w:sz w:val="14"/>
          <w:szCs w:val="14"/>
          <w:color w:val="auto"/>
        </w:rPr>
        <w:t>Nothing in this Indenture expressed and nothing that may be implied from any of the provisions hereof is intended, or shall be construed, to confer upon, or to give to, any Person or corporation other than the parties hereto and their successors and the Holders of the Securities any benefit or any right, remedy or claim under or by reason of this Indenture or any covenant, condition, stipulation, promise or agreement hereof, and all covenants, conditions, stipulations, promises and agreements in this Indenture contained shall be for the sole and exclusive benefit of the parties hereto and their successors and of the Holders of the Securities.</w:t>
      </w:r>
    </w:p>
    <w:p>
      <w:pPr>
        <w:spacing w:after="0" w:line="14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16.10</w:t>
      </w:r>
      <w:r>
        <w:rPr>
          <w:sz w:val="20"/>
          <w:szCs w:val="20"/>
          <w:color w:val="auto"/>
        </w:rPr>
        <w:tab/>
      </w:r>
      <w:r>
        <w:rPr>
          <w:rFonts w:ascii="Times New Roman" w:cs="Times New Roman" w:eastAsia="Times New Roman" w:hAnsi="Times New Roman"/>
          <w:sz w:val="14"/>
          <w:szCs w:val="14"/>
          <w:u w:val="single" w:color="auto"/>
          <w:color w:val="auto"/>
        </w:rPr>
        <w:t>Counterparts Originals.</w:t>
      </w:r>
    </w:p>
    <w:p>
      <w:pPr>
        <w:spacing w:after="0" w:line="184"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This Indenture may be executed in any number of counterparts, each of which so executed shall be deemed to be an original, but all such counterparts shall together constitute but one and the same instrument.</w:t>
      </w:r>
    </w:p>
    <w:p>
      <w:pPr>
        <w:spacing w:after="0" w:line="12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16.11</w:t>
      </w:r>
      <w:r>
        <w:rPr>
          <w:sz w:val="20"/>
          <w:szCs w:val="20"/>
          <w:color w:val="auto"/>
        </w:rPr>
        <w:tab/>
      </w:r>
      <w:r>
        <w:rPr>
          <w:rFonts w:ascii="Times New Roman" w:cs="Times New Roman" w:eastAsia="Times New Roman" w:hAnsi="Times New Roman"/>
          <w:sz w:val="14"/>
          <w:szCs w:val="14"/>
          <w:u w:val="single" w:color="auto"/>
          <w:color w:val="auto"/>
        </w:rPr>
        <w:t>Governing Law; Waiver of Trial by Jury.</w:t>
      </w:r>
    </w:p>
    <w:p>
      <w:pPr>
        <w:spacing w:after="0" w:line="184" w:lineRule="exact"/>
        <w:rPr>
          <w:sz w:val="20"/>
          <w:szCs w:val="20"/>
          <w:color w:val="auto"/>
        </w:rPr>
      </w:pPr>
    </w:p>
    <w:p>
      <w:pPr>
        <w:jc w:val="both"/>
        <w:ind w:firstLine="517"/>
        <w:spacing w:after="0" w:line="294" w:lineRule="auto"/>
        <w:rPr>
          <w:sz w:val="20"/>
          <w:szCs w:val="20"/>
          <w:color w:val="auto"/>
        </w:rPr>
      </w:pPr>
      <w:r>
        <w:rPr>
          <w:rFonts w:ascii="Times New Roman" w:cs="Times New Roman" w:eastAsia="Times New Roman" w:hAnsi="Times New Roman"/>
          <w:sz w:val="14"/>
          <w:szCs w:val="14"/>
          <w:color w:val="auto"/>
        </w:rPr>
        <w:t>This Indenture and the Securities shall be deemed to be contracts made under the law of the State of New York, and for all purposes shall be governed by and construed in accordance with the law of the State of New York.</w:t>
      </w:r>
    </w:p>
    <w:p>
      <w:pPr>
        <w:spacing w:after="0" w:line="123"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color w:val="auto"/>
        </w:rPr>
        <w:t>IN WITNESS WHEREOF, the parties have caused this Indenture to be duly executed as of the date first written above.</w:t>
      </w:r>
    </w:p>
    <w:p>
      <w:pPr>
        <w:spacing w:after="0" w:line="37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TG THERAPEUTICS, INC.</w:t>
      </w:r>
    </w:p>
    <w:p>
      <w:pPr>
        <w:spacing w:after="0" w:line="18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Issuer</w:t>
      </w:r>
    </w:p>
    <w:p>
      <w:pPr>
        <w:spacing w:after="0" w:line="18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By:</w:t>
      </w:r>
    </w:p>
    <w:p>
      <w:pPr>
        <w:spacing w:after="0" w:line="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-100965</wp:posOffset>
            </wp:positionV>
            <wp:extent cx="329628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3296285" cy="6985"/>
                    </a:xfrm>
                    <a:prstGeom prst="rect">
                      <a:avLst/>
                    </a:prstGeom>
                    <a:noFill/>
                  </pic:spPr>
                </pic:pic>
              </a:graphicData>
            </a:graphic>
          </wp:anchor>
        </w:drawing>
      </w:r>
    </w:p>
    <w:p>
      <w:pPr>
        <w:spacing w:after="0" w:line="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-100965</wp:posOffset>
            </wp:positionV>
            <wp:extent cx="315277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3152775" cy="698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14605</wp:posOffset>
            </wp:positionV>
            <wp:extent cx="322072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3220720" cy="6985"/>
                    </a:xfrm>
                    <a:prstGeom prst="rect">
                      <a:avLst/>
                    </a:prstGeom>
                    <a:noFill/>
                  </pic:spPr>
                </pic:pic>
              </a:graphicData>
            </a:graphic>
          </wp:anchor>
        </w:drawing>
      </w:r>
    </w:p>
    <w:p>
      <w:pPr>
        <w:spacing w:after="0" w:line="17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Trustee</w:t>
      </w:r>
    </w:p>
    <w:p>
      <w:pPr>
        <w:spacing w:after="0" w:line="18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By:</w:t>
      </w:r>
    </w:p>
    <w:p>
      <w:pPr>
        <w:spacing w:after="0" w:line="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-100965</wp:posOffset>
            </wp:positionV>
            <wp:extent cx="329628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3296285" cy="6985"/>
                    </a:xfrm>
                    <a:prstGeom prst="rect">
                      <a:avLst/>
                    </a:prstGeom>
                    <a:noFill/>
                  </pic:spPr>
                </pic:pic>
              </a:graphicData>
            </a:graphic>
          </wp:anchor>
        </w:drawing>
      </w:r>
    </w:p>
    <w:p>
      <w:pPr>
        <w:spacing w:after="0" w:line="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-100965</wp:posOffset>
            </wp:positionV>
            <wp:extent cx="315277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3152775" cy="698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14605</wp:posOffset>
            </wp:positionV>
            <wp:extent cx="322072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3220720" cy="6985"/>
                    </a:xfrm>
                    <a:prstGeom prst="rect">
                      <a:avLst/>
                    </a:prstGeom>
                    <a:noFill/>
                  </pic:spPr>
                </pic:pic>
              </a:graphicData>
            </a:graphic>
          </wp:anchor>
        </w:drawing>
      </w:r>
    </w:p>
    <w:p>
      <w:pPr>
        <w:spacing w:after="0" w:line="16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color w:val="auto"/>
        </w:rPr>
        <w:t>[Signature Page to Indenture]</w:t>
      </w:r>
    </w:p>
    <w:p>
      <w:pPr>
        <w:sectPr>
          <w:pgSz w:w="11900" w:h="16838" w:orient="portrait"/>
          <w:cols w:equalWidth="0" w:num="1">
            <w:col w:w="9639"/>
          </w:cols>
          <w:pgMar w:left="820" w:top="491" w:right="1440"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18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1"/>
          <w:szCs w:val="1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-68580</wp:posOffset>
            </wp:positionV>
            <wp:extent cx="923290" cy="547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923290" cy="547370"/>
                    </a:xfrm>
                    <a:prstGeom prst="rect">
                      <a:avLst/>
                    </a:prstGeom>
                    <a:noFill/>
                  </pic:spPr>
                </pic:pic>
              </a:graphicData>
            </a:graphic>
          </wp:anchor>
        </w:drawing>
      </w:r>
    </w:p>
    <w:p>
      <w:pPr>
        <w:ind w:left="7340"/>
        <w:spacing w:after="0" w:line="232" w:lineRule="auto"/>
        <w:rPr>
          <w:sz w:val="20"/>
          <w:szCs w:val="20"/>
          <w:color w:val="auto"/>
        </w:rPr>
      </w:pPr>
      <w:r>
        <w:rPr>
          <w:rFonts w:ascii="Times New Roman" w:cs="Times New Roman" w:eastAsia="Times New Roman" w:hAnsi="Times New Roman"/>
          <w:sz w:val="11"/>
          <w:szCs w:val="11"/>
          <w:color w:val="auto"/>
        </w:rPr>
        <w:t>51 John F. Kennedy Parkway, Suite 120</w:t>
      </w:r>
    </w:p>
    <w:p>
      <w:pPr>
        <w:ind w:left="7340"/>
        <w:spacing w:after="0" w:line="225" w:lineRule="auto"/>
        <w:rPr>
          <w:sz w:val="20"/>
          <w:szCs w:val="20"/>
          <w:color w:val="auto"/>
        </w:rPr>
      </w:pPr>
      <w:r>
        <w:rPr>
          <w:rFonts w:ascii="Times New Roman" w:cs="Times New Roman" w:eastAsia="Times New Roman" w:hAnsi="Times New Roman"/>
          <w:sz w:val="11"/>
          <w:szCs w:val="11"/>
          <w:color w:val="auto"/>
        </w:rPr>
        <w:t>Short Hills, New Jersey 07078-2704</w:t>
      </w:r>
    </w:p>
    <w:p>
      <w:pPr>
        <w:ind w:left="7340"/>
        <w:spacing w:after="0"/>
        <w:rPr>
          <w:sz w:val="20"/>
          <w:szCs w:val="20"/>
          <w:color w:val="auto"/>
        </w:rPr>
      </w:pPr>
      <w:r>
        <w:rPr>
          <w:rFonts w:ascii="Times New Roman" w:cs="Times New Roman" w:eastAsia="Times New Roman" w:hAnsi="Times New Roman"/>
          <w:sz w:val="11"/>
          <w:szCs w:val="11"/>
          <w:u w:val="single" w:color="auto"/>
          <w:color w:val="auto"/>
        </w:rPr>
        <w:t>www.dlapiper.com</w:t>
      </w:r>
    </w:p>
    <w:p>
      <w:pPr>
        <w:spacing w:after="0" w:line="98"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1"/>
          <w:szCs w:val="11"/>
          <w:color w:val="auto"/>
        </w:rPr>
        <w:t>T: 973-520-2550</w:t>
      </w:r>
    </w:p>
    <w:p>
      <w:pPr>
        <w:ind w:left="7340"/>
        <w:spacing w:after="0" w:line="232" w:lineRule="auto"/>
        <w:rPr>
          <w:sz w:val="20"/>
          <w:szCs w:val="20"/>
          <w:color w:val="auto"/>
        </w:rPr>
      </w:pPr>
      <w:r>
        <w:rPr>
          <w:rFonts w:ascii="Times New Roman" w:cs="Times New Roman" w:eastAsia="Times New Roman" w:hAnsi="Times New Roman"/>
          <w:sz w:val="11"/>
          <w:szCs w:val="11"/>
          <w:color w:val="auto"/>
        </w:rPr>
        <w:t>F: 973-520-2551</w:t>
      </w:r>
    </w:p>
    <w:p>
      <w:pPr>
        <w:ind w:left="7340"/>
        <w:spacing w:after="0" w:line="225" w:lineRule="auto"/>
        <w:rPr>
          <w:sz w:val="20"/>
          <w:szCs w:val="20"/>
          <w:color w:val="auto"/>
        </w:rPr>
      </w:pPr>
      <w:r>
        <w:rPr>
          <w:rFonts w:ascii="Times New Roman" w:cs="Times New Roman" w:eastAsia="Times New Roman" w:hAnsi="Times New Roman"/>
          <w:sz w:val="11"/>
          <w:szCs w:val="11"/>
          <w:color w:val="auto"/>
        </w:rPr>
        <w:t>Attorney Responsible for Short Hills Office:</w:t>
      </w:r>
    </w:p>
    <w:p>
      <w:pPr>
        <w:ind w:left="7340"/>
        <w:spacing w:after="0"/>
        <w:rPr>
          <w:sz w:val="20"/>
          <w:szCs w:val="20"/>
          <w:color w:val="auto"/>
        </w:rPr>
      </w:pPr>
      <w:r>
        <w:rPr>
          <w:rFonts w:ascii="Times New Roman" w:cs="Times New Roman" w:eastAsia="Times New Roman" w:hAnsi="Times New Roman"/>
          <w:sz w:val="11"/>
          <w:szCs w:val="11"/>
          <w:color w:val="auto"/>
        </w:rPr>
        <w:t>Emilio Ragosa</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August 8,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TG Therapeutics,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3020 Carrington Mill Blvd, Suite 475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Morrisville, North Carolina 27560</w:t>
      </w:r>
    </w:p>
    <w:p>
      <w:pPr>
        <w:spacing w:after="0" w:line="17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Re:</w:t>
      </w:r>
      <w:r>
        <w:rPr>
          <w:sz w:val="20"/>
          <w:szCs w:val="20"/>
          <w:color w:val="auto"/>
        </w:rPr>
        <w:tab/>
      </w:r>
      <w:r>
        <w:rPr>
          <w:rFonts w:ascii="Times New Roman" w:cs="Times New Roman" w:eastAsia="Times New Roman" w:hAnsi="Times New Roman"/>
          <w:sz w:val="14"/>
          <w:szCs w:val="14"/>
          <w:u w:val="single" w:color="auto"/>
          <w:color w:val="auto"/>
        </w:rPr>
        <w:t>Registration Statement on Form S-3ASR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80" w:lineRule="exact"/>
        <w:rPr>
          <w:sz w:val="20"/>
          <w:szCs w:val="20"/>
          <w:color w:val="auto"/>
        </w:rPr>
      </w:pPr>
    </w:p>
    <w:p>
      <w:pPr>
        <w:ind w:right="40" w:firstLine="517"/>
        <w:spacing w:after="0" w:line="264" w:lineRule="auto"/>
        <w:rPr>
          <w:sz w:val="20"/>
          <w:szCs w:val="20"/>
          <w:color w:val="auto"/>
        </w:rPr>
      </w:pPr>
      <w:r>
        <w:rPr>
          <w:rFonts w:ascii="Times New Roman" w:cs="Times New Roman" w:eastAsia="Times New Roman" w:hAnsi="Times New Roman"/>
          <w:sz w:val="14"/>
          <w:szCs w:val="14"/>
          <w:color w:val="auto"/>
        </w:rPr>
        <w:t>We have acted as counsel to TG Therapeutics, Inc., a Delaware corporation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in connection with the filing of a registration statement on Form S-3ASR (the “</w:t>
      </w:r>
      <w:r>
        <w:rPr>
          <w:rFonts w:ascii="Times New Roman" w:cs="Times New Roman" w:eastAsia="Times New Roman" w:hAnsi="Times New Roman"/>
          <w:sz w:val="14"/>
          <w:szCs w:val="14"/>
          <w:b w:val="1"/>
          <w:bCs w:val="1"/>
          <w:i w:val="1"/>
          <w:iCs w:val="1"/>
          <w:color w:val="auto"/>
        </w:rPr>
        <w:t>Registration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Statement</w:t>
      </w:r>
      <w:r>
        <w:rPr>
          <w:rFonts w:ascii="Times New Roman" w:cs="Times New Roman" w:eastAsia="Times New Roman" w:hAnsi="Times New Roman"/>
          <w:sz w:val="14"/>
          <w:szCs w:val="14"/>
          <w:color w:val="auto"/>
        </w:rPr>
        <w:t>”), filed with the Securities and Exchange Commission (the “</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on the date hereof, under the Securities Act of 1933, as amended (the “</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The Registration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Statement includes a prospectus (the “</w:t>
      </w:r>
      <w:r>
        <w:rPr>
          <w:rFonts w:ascii="Times New Roman" w:cs="Times New Roman" w:eastAsia="Times New Roman" w:hAnsi="Times New Roman"/>
          <w:sz w:val="14"/>
          <w:szCs w:val="14"/>
          <w:b w:val="1"/>
          <w:bCs w:val="1"/>
          <w:i w:val="1"/>
          <w:iCs w:val="1"/>
          <w:color w:val="auto"/>
        </w:rPr>
        <w:t>Prospectus</w:t>
      </w:r>
      <w:r>
        <w:rPr>
          <w:rFonts w:ascii="Times New Roman" w:cs="Times New Roman" w:eastAsia="Times New Roman" w:hAnsi="Times New Roman"/>
          <w:sz w:val="14"/>
          <w:szCs w:val="14"/>
          <w:color w:val="auto"/>
        </w:rPr>
        <w:t>”) that provides that it may be supplemented in the future by one or more supplements to the Prospectus (each, a “</w:t>
      </w:r>
      <w:r>
        <w:rPr>
          <w:rFonts w:ascii="Times New Roman" w:cs="Times New Roman" w:eastAsia="Times New Roman" w:hAnsi="Times New Roman"/>
          <w:sz w:val="14"/>
          <w:szCs w:val="14"/>
          <w:b w:val="1"/>
          <w:bCs w:val="1"/>
          <w:i w:val="1"/>
          <w:iCs w:val="1"/>
          <w:color w:val="auto"/>
        </w:rPr>
        <w:t>Prospectus Supplement</w:t>
      </w:r>
      <w:r>
        <w:rPr>
          <w:rFonts w:ascii="Times New Roman" w:cs="Times New Roman" w:eastAsia="Times New Roman" w:hAnsi="Times New Roman"/>
          <w:sz w:val="14"/>
          <w:szCs w:val="14"/>
          <w:color w:val="auto"/>
        </w:rPr>
        <w:t>”). The Prospectus, as it may be supplemented by one or more Prospectus Supplements, relates to the proposed offering and sale from time to time, pursuant to Rule 415 under the Securities Act, of an indeterminate amount of the following securities (the “</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 (i) shares of the Company’s common stock, par value $0.001 per share (the “</w:t>
      </w:r>
      <w:r>
        <w:rPr>
          <w:rFonts w:ascii="Times New Roman" w:cs="Times New Roman" w:eastAsia="Times New Roman" w:hAnsi="Times New Roman"/>
          <w:sz w:val="14"/>
          <w:szCs w:val="14"/>
          <w:b w:val="1"/>
          <w:bCs w:val="1"/>
          <w:i w:val="1"/>
          <w:iCs w:val="1"/>
          <w:color w:val="auto"/>
        </w:rPr>
        <w:t>Common Stock</w:t>
      </w:r>
      <w:r>
        <w:rPr>
          <w:rFonts w:ascii="Times New Roman" w:cs="Times New Roman" w:eastAsia="Times New Roman" w:hAnsi="Times New Roman"/>
          <w:sz w:val="14"/>
          <w:szCs w:val="14"/>
          <w:color w:val="auto"/>
        </w:rPr>
        <w:t>”), (ii) shares of the Company’s preferred stock, $0.001 par value per share (the “</w:t>
      </w:r>
      <w:r>
        <w:rPr>
          <w:rFonts w:ascii="Times New Roman" w:cs="Times New Roman" w:eastAsia="Times New Roman" w:hAnsi="Times New Roman"/>
          <w:sz w:val="14"/>
          <w:szCs w:val="14"/>
          <w:b w:val="1"/>
          <w:bCs w:val="1"/>
          <w:i w:val="1"/>
          <w:iCs w:val="1"/>
          <w:color w:val="auto"/>
        </w:rPr>
        <w:t>Preferred Stock</w:t>
      </w:r>
      <w:r>
        <w:rPr>
          <w:rFonts w:ascii="Times New Roman" w:cs="Times New Roman" w:eastAsia="Times New Roman" w:hAnsi="Times New Roman"/>
          <w:sz w:val="14"/>
          <w:szCs w:val="14"/>
          <w:color w:val="auto"/>
        </w:rPr>
        <w:t>”), (iii) warrants to purchase shares of Common Stock or shares of Preferred Stock (the “</w:t>
      </w:r>
      <w:r>
        <w:rPr>
          <w:rFonts w:ascii="Times New Roman" w:cs="Times New Roman" w:eastAsia="Times New Roman" w:hAnsi="Times New Roman"/>
          <w:sz w:val="14"/>
          <w:szCs w:val="14"/>
          <w:b w:val="1"/>
          <w:bCs w:val="1"/>
          <w:i w:val="1"/>
          <w:iCs w:val="1"/>
          <w:color w:val="auto"/>
        </w:rPr>
        <w:t>Warrants</w:t>
      </w:r>
      <w:r>
        <w:rPr>
          <w:rFonts w:ascii="Times New Roman" w:cs="Times New Roman" w:eastAsia="Times New Roman" w:hAnsi="Times New Roman"/>
          <w:sz w:val="14"/>
          <w:szCs w:val="14"/>
          <w:color w:val="auto"/>
        </w:rPr>
        <w:t>”), (iv) debt securities of the Company (the “</w:t>
      </w:r>
      <w:r>
        <w:rPr>
          <w:rFonts w:ascii="Times New Roman" w:cs="Times New Roman" w:eastAsia="Times New Roman" w:hAnsi="Times New Roman"/>
          <w:sz w:val="14"/>
          <w:szCs w:val="14"/>
          <w:b w:val="1"/>
          <w:bCs w:val="1"/>
          <w:i w:val="1"/>
          <w:iCs w:val="1"/>
          <w:color w:val="auto"/>
        </w:rPr>
        <w:t>Debt Securities</w:t>
      </w:r>
      <w:r>
        <w:rPr>
          <w:rFonts w:ascii="Times New Roman" w:cs="Times New Roman" w:eastAsia="Times New Roman" w:hAnsi="Times New Roman"/>
          <w:sz w:val="14"/>
          <w:szCs w:val="14"/>
          <w:color w:val="auto"/>
        </w:rPr>
        <w:t>”), and (v) units (the “</w:t>
      </w:r>
      <w:r>
        <w:rPr>
          <w:rFonts w:ascii="Times New Roman" w:cs="Times New Roman" w:eastAsia="Times New Roman" w:hAnsi="Times New Roman"/>
          <w:sz w:val="14"/>
          <w:szCs w:val="14"/>
          <w:b w:val="1"/>
          <w:bCs w:val="1"/>
          <w:i w:val="1"/>
          <w:iCs w:val="1"/>
          <w:color w:val="auto"/>
        </w:rPr>
        <w:t>Units</w:t>
      </w:r>
      <w:r>
        <w:rPr>
          <w:rFonts w:ascii="Times New Roman" w:cs="Times New Roman" w:eastAsia="Times New Roman" w:hAnsi="Times New Roman"/>
          <w:sz w:val="14"/>
          <w:szCs w:val="14"/>
          <w:color w:val="auto"/>
        </w:rPr>
        <w:t>”) consisting of Common Stock, Preferred Stock, Warrants, Debt Securities or any combination of the foregoing.</w:t>
      </w:r>
    </w:p>
    <w:p>
      <w:pPr>
        <w:spacing w:after="0" w:line="143" w:lineRule="exact"/>
        <w:rPr>
          <w:sz w:val="20"/>
          <w:szCs w:val="20"/>
          <w:color w:val="auto"/>
        </w:rPr>
      </w:pPr>
    </w:p>
    <w:p>
      <w:pPr>
        <w:ind w:right="240" w:firstLine="517"/>
        <w:spacing w:after="0" w:line="269" w:lineRule="auto"/>
        <w:rPr>
          <w:sz w:val="20"/>
          <w:szCs w:val="20"/>
          <w:color w:val="auto"/>
        </w:rPr>
      </w:pPr>
      <w:r>
        <w:rPr>
          <w:rFonts w:ascii="Times New Roman" w:cs="Times New Roman" w:eastAsia="Times New Roman" w:hAnsi="Times New Roman"/>
          <w:sz w:val="14"/>
          <w:szCs w:val="14"/>
          <w:color w:val="auto"/>
        </w:rPr>
        <w:t>In connection with this opinion letter, we have examined the Registration Statement and originals, or copies certified or otherwise identified to our satisfaction, of (i) the amended and restated certificate of incorporation, as amended (the “</w:t>
      </w:r>
      <w:r>
        <w:rPr>
          <w:rFonts w:ascii="Times New Roman" w:cs="Times New Roman" w:eastAsia="Times New Roman" w:hAnsi="Times New Roman"/>
          <w:sz w:val="14"/>
          <w:szCs w:val="14"/>
          <w:b w:val="1"/>
          <w:bCs w:val="1"/>
          <w:i w:val="1"/>
          <w:iCs w:val="1"/>
          <w:color w:val="auto"/>
        </w:rPr>
        <w:t>Certificate</w:t>
      </w:r>
      <w:r>
        <w:rPr>
          <w:rFonts w:ascii="Times New Roman" w:cs="Times New Roman" w:eastAsia="Times New Roman" w:hAnsi="Times New Roman"/>
          <w:sz w:val="14"/>
          <w:szCs w:val="14"/>
          <w:color w:val="auto"/>
        </w:rPr>
        <w:t>”), (ii) the amended and restated bylaws of the Company (the “</w:t>
      </w:r>
      <w:r>
        <w:rPr>
          <w:rFonts w:ascii="Times New Roman" w:cs="Times New Roman" w:eastAsia="Times New Roman" w:hAnsi="Times New Roman"/>
          <w:sz w:val="14"/>
          <w:szCs w:val="14"/>
          <w:b w:val="1"/>
          <w:bCs w:val="1"/>
          <w:i w:val="1"/>
          <w:iCs w:val="1"/>
          <w:color w:val="auto"/>
        </w:rPr>
        <w:t>Bylaws</w:t>
      </w:r>
      <w:r>
        <w:rPr>
          <w:rFonts w:ascii="Times New Roman" w:cs="Times New Roman" w:eastAsia="Times New Roman" w:hAnsi="Times New Roman"/>
          <w:sz w:val="14"/>
          <w:szCs w:val="14"/>
          <w:color w:val="auto"/>
        </w:rPr>
        <w:t>”), (iii) the Form of Indenture (the “</w:t>
      </w:r>
      <w:r>
        <w:rPr>
          <w:rFonts w:ascii="Times New Roman" w:cs="Times New Roman" w:eastAsia="Times New Roman" w:hAnsi="Times New Roman"/>
          <w:sz w:val="14"/>
          <w:szCs w:val="14"/>
          <w:b w:val="1"/>
          <w:bCs w:val="1"/>
          <w:i w:val="1"/>
          <w:iCs w:val="1"/>
          <w:color w:val="auto"/>
        </w:rPr>
        <w:t>Base Indenture</w:t>
      </w:r>
      <w:r>
        <w:rPr>
          <w:rFonts w:ascii="Times New Roman" w:cs="Times New Roman" w:eastAsia="Times New Roman" w:hAnsi="Times New Roman"/>
          <w:sz w:val="14"/>
          <w:szCs w:val="14"/>
          <w:color w:val="auto"/>
        </w:rPr>
        <w:t>”) by and between the Company and the trustee to be named therein (the “</w:t>
      </w:r>
      <w:r>
        <w:rPr>
          <w:rFonts w:ascii="Times New Roman" w:cs="Times New Roman" w:eastAsia="Times New Roman" w:hAnsi="Times New Roman"/>
          <w:sz w:val="14"/>
          <w:szCs w:val="14"/>
          <w:b w:val="1"/>
          <w:bCs w:val="1"/>
          <w:i w:val="1"/>
          <w:iCs w:val="1"/>
          <w:color w:val="auto"/>
        </w:rPr>
        <w:t>Trustee</w:t>
      </w:r>
      <w:r>
        <w:rPr>
          <w:rFonts w:ascii="Times New Roman" w:cs="Times New Roman" w:eastAsia="Times New Roman" w:hAnsi="Times New Roman"/>
          <w:sz w:val="14"/>
          <w:szCs w:val="14"/>
          <w:color w:val="auto"/>
        </w:rPr>
        <w:t>”), filed as Exhibit 4.3 to the Registration Statement, (iv) certain resolutions of the Company’s Board of Directors relating to the Registration Statement, and (v) such other documents, records and other instruments as we have deemed appropriate for purposes of the opinions set forth herein.</w:t>
      </w:r>
    </w:p>
    <w:p>
      <w:pPr>
        <w:spacing w:after="0" w:line="140" w:lineRule="exact"/>
        <w:rPr>
          <w:sz w:val="20"/>
          <w:szCs w:val="20"/>
          <w:color w:val="auto"/>
        </w:rPr>
      </w:pPr>
    </w:p>
    <w:p>
      <w:pPr>
        <w:ind w:right="40" w:firstLine="517"/>
        <w:spacing w:after="0" w:line="267" w:lineRule="auto"/>
        <w:rPr>
          <w:sz w:val="20"/>
          <w:szCs w:val="20"/>
          <w:color w:val="auto"/>
        </w:rPr>
      </w:pPr>
      <w:r>
        <w:rPr>
          <w:rFonts w:ascii="Times New Roman" w:cs="Times New Roman" w:eastAsia="Times New Roman" w:hAnsi="Times New Roman"/>
          <w:sz w:val="14"/>
          <w:szCs w:val="14"/>
          <w:color w:val="auto"/>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 With respect to matters of fact relevant to our opinions as set forth below, we have relied upon certificates of officers of the Company, representations made by the Company in documents examined by us and representations of officers of the Company. We have also obtained and relied upon such certificates and assurances from public officials as we have deemed necessary for the purposes of our opinions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388620</wp:posOffset>
            </wp:positionV>
            <wp:extent cx="7160260" cy="139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08" w:name="page109"/>
    <w:bookmarkEnd w:id="108"/>
    <w:p>
      <w:pPr>
        <w:ind w:left="520"/>
        <w:spacing w:after="0"/>
        <w:rPr>
          <w:sz w:val="20"/>
          <w:szCs w:val="20"/>
          <w:color w:val="auto"/>
        </w:rPr>
      </w:pPr>
      <w:r>
        <w:rPr>
          <w:rFonts w:ascii="Times New Roman" w:cs="Times New Roman" w:eastAsia="Times New Roman" w:hAnsi="Times New Roman"/>
          <w:sz w:val="14"/>
          <w:szCs w:val="14"/>
          <w:color w:val="auto"/>
        </w:rPr>
        <w:t>For the purpose of the opinions set forth below, we have also assumed, without independent investigation or verification, that:</w:t>
      </w:r>
    </w:p>
    <w:p>
      <w:pPr>
        <w:spacing w:after="0" w:line="184" w:lineRule="exact"/>
        <w:rPr>
          <w:sz w:val="20"/>
          <w:szCs w:val="20"/>
          <w:color w:val="auto"/>
        </w:rPr>
      </w:pPr>
    </w:p>
    <w:p>
      <w:pPr>
        <w:jc w:val="both"/>
        <w:ind w:right="440" w:firstLine="517"/>
        <w:spacing w:after="0" w:line="275" w:lineRule="auto"/>
        <w:rPr>
          <w:sz w:val="20"/>
          <w:szCs w:val="20"/>
          <w:color w:val="auto"/>
        </w:rPr>
      </w:pPr>
      <w:r>
        <w:rPr>
          <w:rFonts w:ascii="Times New Roman" w:cs="Times New Roman" w:eastAsia="Times New Roman" w:hAnsi="Times New Roman"/>
          <w:sz w:val="14"/>
          <w:szCs w:val="14"/>
          <w:color w:val="auto"/>
        </w:rPr>
        <w:t>A. the issuance, sale, number or amount, as the case may be, and terms of Securities to be offered from time to time will be duly authorized and established, in accordance with the Certificate, the Bylaws and applicable Delaware law (each, a “</w:t>
      </w:r>
      <w:r>
        <w:rPr>
          <w:rFonts w:ascii="Times New Roman" w:cs="Times New Roman" w:eastAsia="Times New Roman" w:hAnsi="Times New Roman"/>
          <w:sz w:val="14"/>
          <w:szCs w:val="14"/>
          <w:b w:val="1"/>
          <w:bCs w:val="1"/>
          <w:i w:val="1"/>
          <w:iCs w:val="1"/>
          <w:color w:val="auto"/>
        </w:rPr>
        <w:t>Corporate Action</w:t>
      </w:r>
      <w:r>
        <w:rPr>
          <w:rFonts w:ascii="Times New Roman" w:cs="Times New Roman" w:eastAsia="Times New Roman" w:hAnsi="Times New Roman"/>
          <w:sz w:val="14"/>
          <w:szCs w:val="14"/>
          <w:color w:val="auto"/>
        </w:rPr>
        <w:t>”), and will not conflict with or constitute a breach of the terms of any agreement or instrument to which the Company is subject;</w:t>
      </w:r>
    </w:p>
    <w:p>
      <w:pPr>
        <w:spacing w:after="0" w:line="136" w:lineRule="exact"/>
        <w:rPr>
          <w:sz w:val="20"/>
          <w:szCs w:val="20"/>
          <w:color w:val="auto"/>
        </w:rPr>
      </w:pPr>
    </w:p>
    <w:p>
      <w:pPr>
        <w:jc w:val="both"/>
        <w:ind w:right="20" w:firstLine="517"/>
        <w:spacing w:after="0" w:line="275" w:lineRule="auto"/>
        <w:rPr>
          <w:sz w:val="20"/>
          <w:szCs w:val="20"/>
          <w:color w:val="auto"/>
        </w:rPr>
      </w:pPr>
      <w:r>
        <w:rPr>
          <w:rFonts w:ascii="Times New Roman" w:cs="Times New Roman" w:eastAsia="Times New Roman" w:hAnsi="Times New Roman"/>
          <w:sz w:val="14"/>
          <w:szCs w:val="14"/>
          <w:color w:val="auto"/>
        </w:rPr>
        <w:t>B. at the time of issuance and sale of shares of Common Stock, a sufficient number of shares of Common Stock will be authorized and available for issuance and that the consideration for the issuance and sale of the Common Stock (or Preferred Stock convertible into Common Stock or Warrants exercisable for Common Stock) will be in an amount that is not less than the par value of the Common Stock;</w:t>
      </w:r>
    </w:p>
    <w:p>
      <w:pPr>
        <w:spacing w:after="0" w:line="136" w:lineRule="exact"/>
        <w:rPr>
          <w:sz w:val="20"/>
          <w:szCs w:val="20"/>
          <w:color w:val="auto"/>
        </w:rPr>
      </w:pPr>
    </w:p>
    <w:p>
      <w:pPr>
        <w:ind w:right="120" w:firstLine="517"/>
        <w:spacing w:after="0" w:line="269" w:lineRule="auto"/>
        <w:rPr>
          <w:sz w:val="20"/>
          <w:szCs w:val="20"/>
          <w:color w:val="auto"/>
        </w:rPr>
      </w:pPr>
      <w:r>
        <w:rPr>
          <w:rFonts w:ascii="Times New Roman" w:cs="Times New Roman" w:eastAsia="Times New Roman" w:hAnsi="Times New Roman"/>
          <w:sz w:val="14"/>
          <w:szCs w:val="14"/>
          <w:color w:val="auto"/>
        </w:rPr>
        <w:t>C. prior to the issuance of shares of one or more series of Preferred Stock, an appropriate certificate of designation relating to each such series of Preferred Stock will have been duly authorized by Corporate Action and filed with the Secretary of State of the State of Delaware and at the time of issuance and sale, a sufficient number of shares of Preferred Stock will be authorized, designated and available for issuance and that the consideration for the issuance and sale of the Preferred Stock (or Warrants exercisable for Preferred Stock) will be in an amount that is not less than the par value of the Preferred Stock;</w:t>
      </w:r>
    </w:p>
    <w:p>
      <w:pPr>
        <w:spacing w:after="0" w:line="136" w:lineRule="exact"/>
        <w:rPr>
          <w:sz w:val="20"/>
          <w:szCs w:val="20"/>
          <w:color w:val="auto"/>
        </w:rPr>
      </w:pPr>
    </w:p>
    <w:p>
      <w:pPr>
        <w:ind w:right="120" w:firstLine="517"/>
        <w:spacing w:after="0" w:line="278" w:lineRule="auto"/>
        <w:rPr>
          <w:sz w:val="20"/>
          <w:szCs w:val="20"/>
          <w:color w:val="auto"/>
        </w:rPr>
      </w:pPr>
      <w:r>
        <w:rPr>
          <w:rFonts w:ascii="Times New Roman" w:cs="Times New Roman" w:eastAsia="Times New Roman" w:hAnsi="Times New Roman"/>
          <w:sz w:val="14"/>
          <w:szCs w:val="14"/>
          <w:color w:val="auto"/>
        </w:rPr>
        <w:t>D. any Warrants will be issued under one or more warrant agreements (each, a “</w:t>
      </w:r>
      <w:r>
        <w:rPr>
          <w:rFonts w:ascii="Times New Roman" w:cs="Times New Roman" w:eastAsia="Times New Roman" w:hAnsi="Times New Roman"/>
          <w:sz w:val="14"/>
          <w:szCs w:val="14"/>
          <w:b w:val="1"/>
          <w:bCs w:val="1"/>
          <w:i w:val="1"/>
          <w:iCs w:val="1"/>
          <w:color w:val="auto"/>
        </w:rPr>
        <w:t>Warrant Agreement</w:t>
      </w:r>
      <w:r>
        <w:rPr>
          <w:rFonts w:ascii="Times New Roman" w:cs="Times New Roman" w:eastAsia="Times New Roman" w:hAnsi="Times New Roman"/>
          <w:sz w:val="14"/>
          <w:szCs w:val="14"/>
          <w:color w:val="auto"/>
        </w:rPr>
        <w:t>”) between the Company and the financial institution identified in the Warrant Agreement as a warrant agent (each, a “</w:t>
      </w:r>
      <w:r>
        <w:rPr>
          <w:rFonts w:ascii="Times New Roman" w:cs="Times New Roman" w:eastAsia="Times New Roman" w:hAnsi="Times New Roman"/>
          <w:sz w:val="14"/>
          <w:szCs w:val="14"/>
          <w:b w:val="1"/>
          <w:bCs w:val="1"/>
          <w:i w:val="1"/>
          <w:iCs w:val="1"/>
          <w:color w:val="auto"/>
        </w:rPr>
        <w:t>Warrant Agent</w:t>
      </w:r>
      <w:r>
        <w:rPr>
          <w:rFonts w:ascii="Times New Roman" w:cs="Times New Roman" w:eastAsia="Times New Roman" w:hAnsi="Times New Roman"/>
          <w:sz w:val="14"/>
          <w:szCs w:val="14"/>
          <w:color w:val="auto"/>
        </w:rPr>
        <w:t>”) and the execution, delivery and performance of the applicable Warrant Agreement will be duly authorized by Corporate Action, and will not conflict with or constitute a breach of the terms of any agreement or instrument to which the Company is subject;</w:t>
      </w:r>
    </w:p>
    <w:p>
      <w:pPr>
        <w:spacing w:after="0" w:line="134" w:lineRule="exact"/>
        <w:rPr>
          <w:sz w:val="20"/>
          <w:szCs w:val="20"/>
          <w:color w:val="auto"/>
        </w:rPr>
      </w:pPr>
    </w:p>
    <w:p>
      <w:pPr>
        <w:ind w:right="60" w:firstLine="517"/>
        <w:spacing w:after="0" w:line="294" w:lineRule="auto"/>
        <w:rPr>
          <w:sz w:val="20"/>
          <w:szCs w:val="20"/>
          <w:color w:val="auto"/>
        </w:rPr>
      </w:pPr>
      <w:r>
        <w:rPr>
          <w:rFonts w:ascii="Times New Roman" w:cs="Times New Roman" w:eastAsia="Times New Roman" w:hAnsi="Times New Roman"/>
          <w:sz w:val="14"/>
          <w:szCs w:val="14"/>
          <w:color w:val="auto"/>
        </w:rPr>
        <w:t>E. any Warrants offered under the Registration Statement and the related Warrant Agreement, as applicable, will be executed in the forms filed as exhibits to the Registration Statement or incorporated by reference therein;</w:t>
      </w:r>
    </w:p>
    <w:p>
      <w:pPr>
        <w:spacing w:after="0" w:line="123" w:lineRule="exact"/>
        <w:rPr>
          <w:sz w:val="20"/>
          <w:szCs w:val="20"/>
          <w:color w:val="auto"/>
        </w:rPr>
      </w:pPr>
    </w:p>
    <w:p>
      <w:pPr>
        <w:ind w:right="80" w:firstLine="517"/>
        <w:spacing w:after="0" w:line="266" w:lineRule="auto"/>
        <w:rPr>
          <w:sz w:val="20"/>
          <w:szCs w:val="20"/>
          <w:color w:val="auto"/>
        </w:rPr>
      </w:pPr>
      <w:r>
        <w:rPr>
          <w:rFonts w:ascii="Times New Roman" w:cs="Times New Roman" w:eastAsia="Times New Roman" w:hAnsi="Times New Roman"/>
          <w:sz w:val="14"/>
          <w:szCs w:val="14"/>
          <w:color w:val="auto"/>
        </w:rPr>
        <w:t>F. to the extent that the obligations of the Company under any Warrant Agreement may depend upon such matters, each of the parties thereto other than the Company, will be duly organized, validly existing and in good standing under the laws of its jurisdiction of organization and will be duly qualified to engage in the activities contemplated by such Warrant Agreement; that such Warrant Agreement has been duly authorized, executed and delivered by such party and constitutes the legal, valid and binding obligation of such party, enforceable against such party in accordance with its terms; that such party is in compliance, generally and with respect to acting as a party with respect to its obligations under such Warrant Agreement, with all applicable laws and regulations, and that such party has the requisite organizational and legal power and authority to perform its obligations under such Warrant Agreement;</w:t>
      </w:r>
    </w:p>
    <w:p>
      <w:pPr>
        <w:spacing w:after="0" w:line="138" w:lineRule="exact"/>
        <w:rPr>
          <w:sz w:val="20"/>
          <w:szCs w:val="20"/>
          <w:color w:val="auto"/>
        </w:rPr>
      </w:pPr>
    </w:p>
    <w:p>
      <w:pPr>
        <w:ind w:right="160" w:firstLine="517"/>
        <w:spacing w:after="0" w:line="278" w:lineRule="auto"/>
        <w:rPr>
          <w:sz w:val="20"/>
          <w:szCs w:val="20"/>
          <w:color w:val="auto"/>
        </w:rPr>
      </w:pPr>
      <w:r>
        <w:rPr>
          <w:rFonts w:ascii="Times New Roman" w:cs="Times New Roman" w:eastAsia="Times New Roman" w:hAnsi="Times New Roman"/>
          <w:sz w:val="14"/>
          <w:szCs w:val="14"/>
          <w:color w:val="auto"/>
        </w:rPr>
        <w:t>G. each series of Debt Securities will be issued under the Base Indenture and any necessary amendment or supplement thereto (collectively, the “</w:t>
      </w:r>
      <w:r>
        <w:rPr>
          <w:rFonts w:ascii="Times New Roman" w:cs="Times New Roman" w:eastAsia="Times New Roman" w:hAnsi="Times New Roman"/>
          <w:sz w:val="14"/>
          <w:szCs w:val="14"/>
          <w:b w:val="1"/>
          <w:bCs w:val="1"/>
          <w:i w:val="1"/>
          <w:iCs w:val="1"/>
          <w:color w:val="auto"/>
        </w:rPr>
        <w:t>Indenture</w:t>
      </w:r>
      <w:r>
        <w:rPr>
          <w:rFonts w:ascii="Times New Roman" w:cs="Times New Roman" w:eastAsia="Times New Roman" w:hAnsi="Times New Roman"/>
          <w:sz w:val="14"/>
          <w:szCs w:val="14"/>
          <w:color w:val="auto"/>
        </w:rPr>
        <w:t>”) between the Company and the Trustee, and the execution, delivery and performance of the Indenture will be duly authorized by Corporate Action, and will not conflict with or constitute a breach of the terms of any agreement or instrument to which the Company is subject;</w:t>
      </w:r>
    </w:p>
    <w:p>
      <w:pPr>
        <w:spacing w:after="0" w:line="134" w:lineRule="exact"/>
        <w:rPr>
          <w:sz w:val="20"/>
          <w:szCs w:val="20"/>
          <w:color w:val="auto"/>
        </w:rPr>
      </w:pPr>
    </w:p>
    <w:p>
      <w:pPr>
        <w:ind w:firstLine="517"/>
        <w:spacing w:after="0" w:line="266" w:lineRule="auto"/>
        <w:rPr>
          <w:sz w:val="20"/>
          <w:szCs w:val="20"/>
          <w:color w:val="auto"/>
        </w:rPr>
      </w:pPr>
      <w:r>
        <w:rPr>
          <w:rFonts w:ascii="Times New Roman" w:cs="Times New Roman" w:eastAsia="Times New Roman" w:hAnsi="Times New Roman"/>
          <w:sz w:val="14"/>
          <w:szCs w:val="14"/>
          <w:color w:val="auto"/>
        </w:rPr>
        <w:t>H. to the extent that the obligations of the Company under the Indenture may depend upon such matters, the Trustee will be duly organized, validly existing and in good standing under the laws of its jurisdiction of organization; that the Trustee will be duly qualified to engage in the activities contemplated by the Indenture; that the Indenture will be duly authorized, executed and delivered by the Trustee and will constitute the legal, valid and binding obligation of such Trustee, enforceable against the Trustee in accordance with its terms; that the Trustee will be in compliance, generally and with respect to acting as a trustee under the Indenture, with all applicable laws and regulations, and that the Trustee will have the requisite organizational and legal power and authority to perform its obligations under such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276860</wp:posOffset>
            </wp:positionV>
            <wp:extent cx="7160260" cy="139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109" w:name="page110"/>
    <w:bookmarkEnd w:id="109"/>
    <w:p>
      <w:pPr>
        <w:jc w:val="both"/>
        <w:ind w:right="160" w:firstLine="517"/>
        <w:spacing w:after="0" w:line="278" w:lineRule="auto"/>
        <w:rPr>
          <w:sz w:val="20"/>
          <w:szCs w:val="20"/>
          <w:color w:val="auto"/>
        </w:rPr>
      </w:pPr>
      <w:r>
        <w:rPr>
          <w:rFonts w:ascii="Times New Roman" w:cs="Times New Roman" w:eastAsia="Times New Roman" w:hAnsi="Times New Roman"/>
          <w:sz w:val="14"/>
          <w:szCs w:val="14"/>
          <w:color w:val="auto"/>
        </w:rPr>
        <w:t>I. any Units will be issued pursuant to purchase or similar agreements to be entered into by the Company and the parties thereto (each, a “</w:t>
      </w:r>
      <w:r>
        <w:rPr>
          <w:rFonts w:ascii="Times New Roman" w:cs="Times New Roman" w:eastAsia="Times New Roman" w:hAnsi="Times New Roman"/>
          <w:sz w:val="14"/>
          <w:szCs w:val="14"/>
          <w:b w:val="1"/>
          <w:bCs w:val="1"/>
          <w:i w:val="1"/>
          <w:iCs w:val="1"/>
          <w:color w:val="auto"/>
        </w:rPr>
        <w:t>Unit Agreement</w:t>
      </w:r>
      <w:r>
        <w:rPr>
          <w:rFonts w:ascii="Times New Roman" w:cs="Times New Roman" w:eastAsia="Times New Roman" w:hAnsi="Times New Roman"/>
          <w:sz w:val="14"/>
          <w:szCs w:val="14"/>
          <w:color w:val="auto"/>
        </w:rPr>
        <w:t>”) and the execution, delivery and performance of the applicable Unit Agreement will be duly authorized by Corporate Action, and will not conflict with or constitute a breach of the terms of any agreement or instrument to which the Company is subject;</w:t>
      </w:r>
    </w:p>
    <w:p>
      <w:pPr>
        <w:spacing w:after="0" w:line="134" w:lineRule="exact"/>
        <w:rPr>
          <w:sz w:val="20"/>
          <w:szCs w:val="20"/>
          <w:color w:val="auto"/>
        </w:rPr>
      </w:pPr>
    </w:p>
    <w:p>
      <w:pPr>
        <w:ind w:right="40" w:firstLine="517"/>
        <w:spacing w:after="0" w:line="266" w:lineRule="auto"/>
        <w:rPr>
          <w:sz w:val="20"/>
          <w:szCs w:val="20"/>
          <w:color w:val="auto"/>
        </w:rPr>
      </w:pPr>
      <w:r>
        <w:rPr>
          <w:rFonts w:ascii="Times New Roman" w:cs="Times New Roman" w:eastAsia="Times New Roman" w:hAnsi="Times New Roman"/>
          <w:sz w:val="14"/>
          <w:szCs w:val="14"/>
          <w:color w:val="auto"/>
        </w:rPr>
        <w:t>J. to the extent that the obligations of the Company under any Unit Agreement may depend upon such matters, each of the parties thereto other than the Company, will be duly organized, validly existing and in good standing under the laws of its jurisdiction of organization and will be duly qualified to engage in the activities contemplated by such Unit Agreement; that such Unit Agreement has been duly authorized, executed and delivered by such party and constitutes the legal, valid and binding obligation of such party, enforceable against such party in accordance with its terms; that such party is in compliance, generally and with respect to acting as a party with respect to its obligations under such Unit Agreement, with all applicable laws and regulations, and that such party has the requisite organizational and legal power and authority to perform its obligations under such Unit Agreement;</w:t>
      </w:r>
    </w:p>
    <w:p>
      <w:pPr>
        <w:spacing w:after="0" w:line="142" w:lineRule="exact"/>
        <w:rPr>
          <w:sz w:val="20"/>
          <w:szCs w:val="20"/>
          <w:color w:val="auto"/>
        </w:rPr>
      </w:pPr>
    </w:p>
    <w:p>
      <w:pPr>
        <w:ind w:right="360" w:firstLine="517"/>
        <w:spacing w:after="0" w:line="294" w:lineRule="auto"/>
        <w:rPr>
          <w:sz w:val="20"/>
          <w:szCs w:val="20"/>
          <w:color w:val="auto"/>
        </w:rPr>
      </w:pPr>
      <w:r>
        <w:rPr>
          <w:rFonts w:ascii="Times New Roman" w:cs="Times New Roman" w:eastAsia="Times New Roman" w:hAnsi="Times New Roman"/>
          <w:sz w:val="14"/>
          <w:szCs w:val="14"/>
          <w:color w:val="auto"/>
        </w:rPr>
        <w:t>K. any Units offered under the Registration Statement and the related purchase or similar agreement, as applicable, will be executed in the forms filed as exhibits to the Registration Statement or incorporated by reference therein;</w:t>
      </w:r>
    </w:p>
    <w:p>
      <w:pPr>
        <w:spacing w:after="0" w:line="123" w:lineRule="exact"/>
        <w:rPr>
          <w:sz w:val="20"/>
          <w:szCs w:val="20"/>
          <w:color w:val="auto"/>
        </w:rPr>
      </w:pPr>
    </w:p>
    <w:p>
      <w:pPr>
        <w:ind w:right="240" w:firstLine="517"/>
        <w:spacing w:after="0" w:line="294" w:lineRule="auto"/>
        <w:rPr>
          <w:sz w:val="20"/>
          <w:szCs w:val="20"/>
          <w:color w:val="auto"/>
        </w:rPr>
      </w:pPr>
      <w:r>
        <w:rPr>
          <w:rFonts w:ascii="Times New Roman" w:cs="Times New Roman" w:eastAsia="Times New Roman" w:hAnsi="Times New Roman"/>
          <w:sz w:val="14"/>
          <w:szCs w:val="14"/>
          <w:color w:val="auto"/>
        </w:rPr>
        <w:t>L. the Registration Statement and any amendments thereto (including post-effective amendments) will have become effective and such effectiveness shall not have been terminated or rescinded and will comply with all applicable federal and state laws at the time the Securities are offered and issued as contemplated by the Registration Statement;</w:t>
      </w:r>
    </w:p>
    <w:p>
      <w:pPr>
        <w:spacing w:after="0" w:line="123" w:lineRule="exact"/>
        <w:rPr>
          <w:sz w:val="20"/>
          <w:szCs w:val="20"/>
          <w:color w:val="auto"/>
        </w:rPr>
      </w:pPr>
    </w:p>
    <w:p>
      <w:pPr>
        <w:ind w:firstLine="517"/>
        <w:spacing w:after="0" w:line="275" w:lineRule="auto"/>
        <w:rPr>
          <w:sz w:val="20"/>
          <w:szCs w:val="20"/>
          <w:color w:val="auto"/>
        </w:rPr>
      </w:pPr>
      <w:r>
        <w:rPr>
          <w:rFonts w:ascii="Times New Roman" w:cs="Times New Roman" w:eastAsia="Times New Roman" w:hAnsi="Times New Roman"/>
          <w:sz w:val="14"/>
          <w:szCs w:val="14"/>
          <w:color w:val="auto"/>
        </w:rPr>
        <w:t>M. a Prospectus Supplement will have been prepared, delivered (including through compliance with Rule 172 of the General Rules and Regulations promulgated under the Securities Act) and filed with the Commission describing the Securities offered thereby and will comply with all applicable laws at the time the Securities are offered and issued as contemplated by the Registration Statement;</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 all Securities will be issued and sold in compliance with applicable federal and state securities laws; and</w:t>
      </w:r>
    </w:p>
    <w:p>
      <w:pPr>
        <w:spacing w:after="0" w:line="180" w:lineRule="exact"/>
        <w:rPr>
          <w:sz w:val="20"/>
          <w:szCs w:val="20"/>
          <w:color w:val="auto"/>
        </w:rPr>
      </w:pPr>
    </w:p>
    <w:p>
      <w:pPr>
        <w:ind w:right="140" w:firstLine="517"/>
        <w:spacing w:after="0" w:line="300" w:lineRule="auto"/>
        <w:rPr>
          <w:sz w:val="20"/>
          <w:szCs w:val="20"/>
          <w:color w:val="auto"/>
        </w:rPr>
      </w:pPr>
      <w:r>
        <w:rPr>
          <w:rFonts w:ascii="Times New Roman" w:cs="Times New Roman" w:eastAsia="Times New Roman" w:hAnsi="Times New Roman"/>
          <w:sz w:val="14"/>
          <w:szCs w:val="14"/>
          <w:color w:val="auto"/>
        </w:rPr>
        <w:t>O. a definitive purchase, underwriting or similar agreement (each, a “</w:t>
      </w:r>
      <w:r>
        <w:rPr>
          <w:rFonts w:ascii="Times New Roman" w:cs="Times New Roman" w:eastAsia="Times New Roman" w:hAnsi="Times New Roman"/>
          <w:sz w:val="14"/>
          <w:szCs w:val="14"/>
          <w:b w:val="1"/>
          <w:bCs w:val="1"/>
          <w:i w:val="1"/>
          <w:iCs w:val="1"/>
          <w:color w:val="auto"/>
        </w:rPr>
        <w:t>Definitive Agreement</w:t>
      </w:r>
      <w:r>
        <w:rPr>
          <w:rFonts w:ascii="Times New Roman" w:cs="Times New Roman" w:eastAsia="Times New Roman" w:hAnsi="Times New Roman"/>
          <w:sz w:val="14"/>
          <w:szCs w:val="14"/>
          <w:color w:val="auto"/>
        </w:rPr>
        <w:t>”) with respect to any Securities offered or issued will have been duly authorized and validly executed and delivered by the Company and the other parties thereto.</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Subject to the foregoing and the other matters set forth herein, it is our opinion that, as of the date hereof:</w:t>
      </w:r>
    </w:p>
    <w:p>
      <w:pPr>
        <w:spacing w:after="0" w:line="184" w:lineRule="exact"/>
        <w:rPr>
          <w:sz w:val="20"/>
          <w:szCs w:val="20"/>
          <w:color w:val="auto"/>
        </w:rPr>
      </w:pPr>
    </w:p>
    <w:p>
      <w:pPr>
        <w:ind w:right="20" w:firstLine="523"/>
        <w:spacing w:after="0" w:line="264" w:lineRule="auto"/>
        <w:tabs>
          <w:tab w:leader="none" w:pos="66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due authorization by Corporate Action of the issuance and sale of shares of Common Stock and upon issuance and delivery of such shares of Common Stock against payment for such shares (in an amount at least equal to the aggregate par value of such shares of Common Stock) in accordance with the terms and provisions of the applicable Definitive Agreements, the terms of the Corporate Action and as contemplated by the Registration Statement and the applicable Prospectus Supplement, and, if applicable, upon the conversion, exchange or exercise of any other Securities in accordance with their respective terms, the terms of the Corporate Action and as contemplated by the Registration Statement and the applicable Prospectus Supplement (which shall, in each case, provide for payment of consideration that shall be at least equal to the aggregate par value of such shares of Common Stock), such shares of Common Stock will be validly issued, fully paid and nonassessable.</w:t>
      </w:r>
    </w:p>
    <w:p>
      <w:pPr>
        <w:spacing w:after="0" w:line="143" w:lineRule="exact"/>
        <w:rPr>
          <w:rFonts w:ascii="Times New Roman" w:cs="Times New Roman" w:eastAsia="Times New Roman" w:hAnsi="Times New Roman"/>
          <w:sz w:val="14"/>
          <w:szCs w:val="14"/>
          <w:color w:val="auto"/>
        </w:rPr>
      </w:pPr>
    </w:p>
    <w:p>
      <w:pPr>
        <w:ind w:firstLine="523"/>
        <w:spacing w:after="0" w:line="264" w:lineRule="auto"/>
        <w:tabs>
          <w:tab w:leader="none" w:pos="66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due authorization by Corporate Action of the issuance and sale of shares of a series of Preferred Stock and upon issuance and delivery of such shares of Preferred Stock against payment for such shares (in an amount at least equal to the aggregate par value of such shares of Preferred Stock) in accordance with the terms and provisions of applicable Definitive Agreements, the terms of the Corporate Action and as contemplated by the Registration Statement and the applicable Prospectus Supplement, and, if applicable, upon the conversion, exchange or exercise of any other Securities in accordance with their respective terms, the terms of the Corporate Action and as contemplated by the Registration Statement and the applicable Prospectus Supplement (which shall, in either case, provide for payment of consideration at least equal to the aggregate par value of such shares of Preferred Stock), such shares of such series of Preferred Stock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278130</wp:posOffset>
            </wp:positionV>
            <wp:extent cx="7160260" cy="139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40"/>
          </w:cols>
          <w:pgMar w:left="300" w:top="487" w:right="359" w:bottom="1440" w:gutter="0" w:footer="0" w:header="0"/>
        </w:sectPr>
      </w:pPr>
    </w:p>
    <w:bookmarkStart w:id="110" w:name="page111"/>
    <w:bookmarkEnd w:id="110"/>
    <w:p>
      <w:pPr>
        <w:ind w:firstLine="523"/>
        <w:spacing w:after="0" w:line="264" w:lineRule="auto"/>
        <w:tabs>
          <w:tab w:leader="none" w:pos="66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a Warrant Agreement providing for the specific terms of a particular issuance of Warrants has been duly authorized by Corporate Action and has been duly executed and delivered by the Company and the Warrant Agent named in such Warrant Agreement and such Warrants, conforming to the requirements of such Warrant Agreement, have been duly countersigned or authenticated, as required, by such Warrant Agent and duly executed and delivered by the Company against payment for such Warrants in accordance with the terms and provisions of such Warrant Agreement and applicable Definitive Agreements, the terms of the Corporate Action and as contemplated by the Registration Statement and the applicable Prospectus Supplement, such Warrants will be valid and binding obligations of the Company,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143" w:lineRule="exact"/>
        <w:rPr>
          <w:rFonts w:ascii="Times New Roman" w:cs="Times New Roman" w:eastAsia="Times New Roman" w:hAnsi="Times New Roman"/>
          <w:sz w:val="14"/>
          <w:szCs w:val="14"/>
          <w:color w:val="auto"/>
        </w:rPr>
      </w:pPr>
    </w:p>
    <w:p>
      <w:pPr>
        <w:ind w:right="120" w:firstLine="523"/>
        <w:spacing w:after="0" w:line="261" w:lineRule="auto"/>
        <w:tabs>
          <w:tab w:leader="none" w:pos="66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Indenture has been qualified under the Trust Indenture Act of 1939, as amended, the particular series of Debt Securities has been duly established in accordance with the terms of the applicable Indenture, the specific terms of a particular issuance of Debt Securities have been duly authorized by Corporate Action and are in accordance with the terms of the Indenture, the Indenture is duly executed and delivered by the Company, and such Debt Securities have been duly executed, authenticated, completed, issued and delivered, against payment for such Debt Securities, in accordance with the terms and provisions of the applicable Definitive Agreements, the terms of the Corporate Action and as contemplated by the Registration Statement and the applicable Prospectus Supplement, and, if applicable, upon the conversion, exchange or exercise of any other Securities in accordance with their respective terms, the terms of the Corporate Action and as contemplated by the Registration Statement and the applicable Prospectus Supplement, such Debt Securities will be validly issued and will constitute valid and binding obligations of the Company, and the Indenture will constitute a valid and binding obligation of the Company, except, with respect to each of the Debt Securities and the Indenture,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147" w:lineRule="exact"/>
        <w:rPr>
          <w:rFonts w:ascii="Times New Roman" w:cs="Times New Roman" w:eastAsia="Times New Roman" w:hAnsi="Times New Roman"/>
          <w:sz w:val="14"/>
          <w:szCs w:val="14"/>
          <w:color w:val="auto"/>
        </w:rPr>
      </w:pPr>
    </w:p>
    <w:p>
      <w:pPr>
        <w:ind w:right="60" w:firstLine="523"/>
        <w:spacing w:after="0" w:line="264" w:lineRule="auto"/>
        <w:tabs>
          <w:tab w:leader="none" w:pos="66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a Unit Agreement providing for the specific terms of a particular issuance of Unit has been duly authorized by Corporate Action and has been duly executed and delivered by the Company and the other parties named in such Unit Agreement and such Units, conforming to the requirements of such Unit Agreement, have been duly executed and delivered by the Company against payment for such Units in accordance with the terms and provisions of such Unit Agreement and applicable Definitive Agreements, the terms of the Corporate Action and as contemplated by the Registration Statement and the applicable Prospectus Supplement, such Units will be valid and binding obligations of the Company,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144" w:lineRule="exact"/>
        <w:rPr>
          <w:sz w:val="20"/>
          <w:szCs w:val="20"/>
          <w:color w:val="auto"/>
        </w:rPr>
      </w:pPr>
    </w:p>
    <w:p>
      <w:pPr>
        <w:ind w:right="60" w:firstLine="517"/>
        <w:spacing w:after="0" w:line="275" w:lineRule="auto"/>
        <w:rPr>
          <w:sz w:val="20"/>
          <w:szCs w:val="20"/>
          <w:color w:val="auto"/>
        </w:rPr>
      </w:pPr>
      <w:r>
        <w:rPr>
          <w:rFonts w:ascii="Times New Roman" w:cs="Times New Roman" w:eastAsia="Times New Roman" w:hAnsi="Times New Roman"/>
          <w:sz w:val="14"/>
          <w:szCs w:val="14"/>
          <w:color w:val="auto"/>
        </w:rPr>
        <w:t>The foregoing opinions are limited to the General Corporation Law of the State of Delaware and, with respect to our opinion in paragraph 4 above, the State of New York, and we express no opinion with respect to the laws of any other state or jurisdiction. Although the Securities may be issued from time to time on a delayed or continuous basis, the opinions expressed herein are limited to the laws, including rules and regulations, as in effect on the date hereof.</w:t>
      </w:r>
    </w:p>
    <w:p>
      <w:pPr>
        <w:spacing w:after="0" w:line="136" w:lineRule="exact"/>
        <w:rPr>
          <w:sz w:val="20"/>
          <w:szCs w:val="20"/>
          <w:color w:val="auto"/>
        </w:rPr>
      </w:pPr>
    </w:p>
    <w:p>
      <w:pPr>
        <w:ind w:right="180" w:firstLine="517"/>
        <w:spacing w:after="0" w:line="275" w:lineRule="auto"/>
        <w:rPr>
          <w:sz w:val="20"/>
          <w:szCs w:val="20"/>
          <w:color w:val="auto"/>
        </w:rPr>
      </w:pPr>
      <w:r>
        <w:rPr>
          <w:rFonts w:ascii="Times New Roman" w:cs="Times New Roman" w:eastAsia="Times New Roman" w:hAnsi="Times New Roman"/>
          <w:sz w:val="14"/>
          <w:szCs w:val="14"/>
          <w:color w:val="auto"/>
        </w:rPr>
        <w:t>The opinion letter is limited to the matters stated herein and no opinions may be implied or inferred beyond that matters expressly stated herein. The opinions expressed herein are as of the date hereof and we assume no obligation to update or supplement such opinions to reflect any facts or circumstances that may hereafter come to our attention or any changes in the law that may hereafter occur.</w:t>
      </w:r>
    </w:p>
    <w:p>
      <w:pPr>
        <w:spacing w:after="0" w:line="136" w:lineRule="exact"/>
        <w:rPr>
          <w:sz w:val="20"/>
          <w:szCs w:val="20"/>
          <w:color w:val="auto"/>
        </w:rPr>
      </w:pPr>
    </w:p>
    <w:p>
      <w:pPr>
        <w:ind w:right="180" w:firstLine="517"/>
        <w:spacing w:after="0" w:line="275" w:lineRule="auto"/>
        <w:rPr>
          <w:sz w:val="20"/>
          <w:szCs w:val="20"/>
          <w:color w:val="auto"/>
        </w:rPr>
      </w:pPr>
      <w:r>
        <w:rPr>
          <w:rFonts w:ascii="Times New Roman" w:cs="Times New Roman" w:eastAsia="Times New Roman" w:hAnsi="Times New Roman"/>
          <w:sz w:val="14"/>
          <w:szCs w:val="14"/>
          <w:color w:val="auto"/>
        </w:rPr>
        <w:t>We consent to your filing this opinion as an exhibit to the Registration Statement and to the reference to our firm under the caption “Legal Matters” in the Prospectus. In giving such consent, we do not hereby admit that we are acting within the category of persons whose consent is required under Section 7 of the Securities Act or the rules or regulations of the Securities and Exchange Commission thereunder.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4"/>
          <w:szCs w:val="14"/>
          <w:b w:val="1"/>
          <w:bCs w:val="1"/>
          <w:color w:val="auto"/>
        </w:rPr>
        <w:t>DLA Piper LLP (US)</w:t>
      </w:r>
    </w:p>
    <w:p>
      <w:pPr>
        <w:sectPr>
          <w:pgSz w:w="11900" w:h="16838" w:orient="portrait"/>
          <w:cols w:equalWidth="0" w:num="1">
            <w:col w:w="11280"/>
          </w:cols>
          <w:pgMar w:left="300" w:top="491" w:right="31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642620" cy="2527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642620" cy="2527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KPMG LLP</w:t>
      </w:r>
    </w:p>
    <w:p>
      <w:pPr>
        <w:spacing w:after="0" w:line="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345 Park Avenue</w:t>
      </w:r>
    </w:p>
    <w:p>
      <w:pPr>
        <w:spacing w:after="0" w:line="1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New York, NY 10154-0102</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6"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4"/>
          <w:szCs w:val="14"/>
          <w:color w:val="auto"/>
        </w:rPr>
        <w:t>We consent to the use of our reports dated March 3, 2025, with respect to the consolidated financial statements of TG Therapeutics, Inc. and subsidiaries, and the effectiveness of internal control over financial reporting, incorporated herein by reference, and to the reference to our firm under the heading "Experts" in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3136265</wp:posOffset>
            </wp:positionH>
            <wp:positionV relativeFrom="paragraph">
              <wp:posOffset>86995</wp:posOffset>
            </wp:positionV>
            <wp:extent cx="895985" cy="1917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895985" cy="19177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August 8, 2025</w:t>
      </w:r>
    </w:p>
    <w:p>
      <w:pPr>
        <w:sectPr>
          <w:pgSz w:w="11900" w:h="16838" w:orient="portrait"/>
          <w:cols w:equalWidth="0" w:num="1">
            <w:col w:w="11280"/>
          </w:cols>
          <w:pgMar w:left="300" w:top="123" w:right="319" w:bottom="1440" w:gutter="0" w:footer="0" w:header="0"/>
        </w:sectPr>
      </w:pPr>
    </w:p>
    <w:bookmarkStart w:id="112" w:name="page113"/>
    <w:bookmarkEnd w:id="112"/>
    <w:p>
      <w:pPr>
        <w:ind w:left="3440"/>
        <w:spacing w:after="0"/>
        <w:rPr>
          <w:sz w:val="20"/>
          <w:szCs w:val="20"/>
          <w:color w:val="auto"/>
        </w:rPr>
      </w:pPr>
      <w:r>
        <w:rPr>
          <w:rFonts w:ascii="Arial" w:cs="Arial" w:eastAsia="Arial" w:hAnsi="Arial"/>
          <w:sz w:val="29"/>
          <w:szCs w:val="29"/>
          <w:b w:val="1"/>
          <w:bCs w:val="1"/>
          <w:color w:val="auto"/>
        </w:rPr>
        <w:t>Calculation of Filing Fee Tables</w:t>
      </w:r>
    </w:p>
    <w:p>
      <w:pPr>
        <w:spacing w:after="0" w:line="173" w:lineRule="exact"/>
        <w:rPr>
          <w:sz w:val="20"/>
          <w:szCs w:val="20"/>
          <w:color w:val="auto"/>
        </w:rPr>
      </w:pPr>
    </w:p>
    <w:p>
      <w:pPr>
        <w:ind w:left="5360"/>
        <w:spacing w:after="0"/>
        <w:rPr>
          <w:sz w:val="20"/>
          <w:szCs w:val="20"/>
          <w:color w:val="auto"/>
        </w:rPr>
      </w:pPr>
      <w:r>
        <w:rPr>
          <w:rFonts w:ascii="Arial" w:cs="Arial" w:eastAsia="Arial" w:hAnsi="Arial"/>
          <w:sz w:val="29"/>
          <w:szCs w:val="29"/>
          <w:b w:val="1"/>
          <w:bCs w:val="1"/>
          <w:color w:val="auto"/>
        </w:rPr>
        <w:t>S-3</w:t>
      </w:r>
    </w:p>
    <w:p>
      <w:pPr>
        <w:spacing w:after="0" w:line="97"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auto"/>
        </w:rPr>
        <w:t>TG THERAPEUTICS, INC.</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300" w:type="dxa"/>
            <w:vAlign w:val="bottom"/>
            <w:tcBorders>
              <w:bottom w:val="single" w:sz="8" w:color="auto"/>
            </w:tcBorders>
            <w:gridSpan w:val="15"/>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Previously</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vMerge w:val="restart"/>
            <w:shd w:val="clear" w:color="auto" w:fill="9ADAF6"/>
          </w:tcPr>
          <w:p>
            <w:pPr>
              <w:jc w:val="center"/>
              <w:ind w:left="14"/>
              <w:spacing w:after="0"/>
              <w:rPr>
                <w:sz w:val="20"/>
                <w:szCs w:val="20"/>
                <w:color w:val="auto"/>
              </w:rPr>
            </w:pPr>
            <w:r>
              <w:rPr>
                <w:rFonts w:ascii="Arial" w:cs="Arial" w:eastAsia="Arial" w:hAnsi="Arial"/>
                <w:sz w:val="17"/>
                <w:szCs w:val="17"/>
                <w:b w:val="1"/>
                <w:bCs w:val="1"/>
                <w:color w:val="auto"/>
              </w:rPr>
              <w:t>Fee</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Proposed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8"/>
                <w:szCs w:val="8"/>
                <w:color w:val="auto"/>
              </w:rPr>
            </w:pPr>
          </w:p>
        </w:tc>
        <w:tc>
          <w:tcPr>
            <w:tcW w:w="8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8"/>
                <w:szCs w:val="8"/>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Connection</w:t>
            </w:r>
          </w:p>
        </w:tc>
        <w:tc>
          <w:tcPr>
            <w:tcW w:w="0" w:type="dxa"/>
            <w:vAlign w:val="bottom"/>
          </w:tcPr>
          <w:p>
            <w:pPr>
              <w:spacing w:after="0"/>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5"/>
                <w:szCs w:val="15"/>
                <w:color w:val="auto"/>
              </w:rPr>
            </w:pPr>
          </w:p>
        </w:tc>
        <w:tc>
          <w:tcPr>
            <w:tcW w:w="960" w:type="dxa"/>
            <w:vAlign w:val="bottom"/>
            <w:gridSpan w:val="2"/>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5"/>
                <w:szCs w:val="15"/>
                <w:color w:val="auto"/>
              </w:rPr>
            </w:pPr>
          </w:p>
        </w:tc>
        <w:tc>
          <w:tcPr>
            <w:tcW w:w="88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9ADAF6"/>
          </w:tcPr>
          <w:p>
            <w:pPr>
              <w:jc w:val="right"/>
              <w:ind w:right="14"/>
              <w:spacing w:after="0" w:line="174"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5"/>
                <w:szCs w:val="15"/>
                <w:color w:val="auto"/>
              </w:rPr>
            </w:pPr>
          </w:p>
        </w:tc>
        <w:tc>
          <w:tcPr>
            <w:tcW w:w="70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5"/>
                <w:szCs w:val="15"/>
                <w:color w:val="auto"/>
              </w:rPr>
            </w:pPr>
          </w:p>
        </w:tc>
        <w:tc>
          <w:tcPr>
            <w:tcW w:w="1000" w:type="dxa"/>
            <w:vAlign w:val="bottom"/>
            <w:tcBorders>
              <w:right w:val="single" w:sz="8" w:color="auto"/>
            </w:tcBorders>
            <w:vMerge w:val="continue"/>
            <w:shd w:val="clear" w:color="auto" w:fill="9ADAF6"/>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94" w:lineRule="exact"/>
              <w:rPr>
                <w:sz w:val="20"/>
                <w:szCs w:val="20"/>
                <w:color w:val="auto"/>
              </w:rPr>
            </w:pPr>
            <w:r>
              <w:rPr>
                <w:rFonts w:ascii="Arial" w:cs="Arial" w:eastAsia="Arial" w:hAnsi="Arial"/>
                <w:sz w:val="17"/>
                <w:szCs w:val="17"/>
                <w:b w:val="1"/>
                <w:bCs w:val="1"/>
                <w:color w:val="auto"/>
                <w:w w:val="98"/>
              </w:rPr>
              <w:t>Security</w:t>
            </w:r>
          </w:p>
        </w:tc>
        <w:tc>
          <w:tcPr>
            <w:tcW w:w="40" w:type="dxa"/>
            <w:vAlign w:val="bottom"/>
          </w:tcPr>
          <w:p>
            <w:pPr>
              <w:spacing w:after="0"/>
              <w:rPr>
                <w:sz w:val="16"/>
                <w:szCs w:val="16"/>
                <w:color w:val="auto"/>
              </w:rPr>
            </w:pPr>
          </w:p>
        </w:tc>
        <w:tc>
          <w:tcPr>
            <w:tcW w:w="7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840" w:type="dxa"/>
            <w:vAlign w:val="bottom"/>
            <w:shd w:val="clear" w:color="auto" w:fill="9ADAF6"/>
          </w:tcPr>
          <w:p>
            <w:pPr>
              <w:jc w:val="center"/>
              <w:ind w:left="34"/>
              <w:spacing w:after="0" w:line="194" w:lineRule="exact"/>
              <w:rPr>
                <w:sz w:val="20"/>
                <w:szCs w:val="20"/>
                <w:color w:val="auto"/>
              </w:rPr>
            </w:pPr>
            <w:r>
              <w:rPr>
                <w:rFonts w:ascii="Arial" w:cs="Arial" w:eastAsia="Arial" w:hAnsi="Arial"/>
                <w:sz w:val="17"/>
                <w:szCs w:val="17"/>
                <w:b w:val="1"/>
                <w:bCs w:val="1"/>
                <w:color w:val="auto"/>
              </w:rPr>
              <w:t>or Carry</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right"/>
              <w:ind w:right="54"/>
              <w:spacing w:after="0" w:line="194"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6"/>
                <w:szCs w:val="16"/>
                <w:color w:val="auto"/>
              </w:rPr>
            </w:pPr>
          </w:p>
        </w:tc>
        <w:tc>
          <w:tcPr>
            <w:tcW w:w="1040" w:type="dxa"/>
            <w:vAlign w:val="bottom"/>
            <w:shd w:val="clear" w:color="auto" w:fill="9ADAF6"/>
          </w:tcPr>
          <w:p>
            <w:pPr>
              <w:jc w:val="right"/>
              <w:spacing w:after="0" w:line="194" w:lineRule="exact"/>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Initial</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94" w:lineRule="exact"/>
              <w:rPr>
                <w:sz w:val="20"/>
                <w:szCs w:val="20"/>
                <w:color w:val="auto"/>
              </w:rPr>
            </w:pPr>
            <w:r>
              <w:rPr>
                <w:rFonts w:ascii="Arial" w:cs="Arial" w:eastAsia="Arial" w:hAnsi="Arial"/>
                <w:sz w:val="17"/>
                <w:szCs w:val="17"/>
                <w:b w:val="1"/>
                <w:bCs w:val="1"/>
                <w:color w:val="auto"/>
              </w:rPr>
              <w:t>Type</w:t>
            </w:r>
          </w:p>
        </w:tc>
        <w:tc>
          <w:tcPr>
            <w:tcW w:w="40" w:type="dxa"/>
            <w:vAlign w:val="bottom"/>
          </w:tcPr>
          <w:p>
            <w:pPr>
              <w:spacing w:after="0"/>
              <w:rPr>
                <w:sz w:val="16"/>
                <w:szCs w:val="16"/>
                <w:color w:val="auto"/>
              </w:rPr>
            </w:pPr>
          </w:p>
        </w:tc>
        <w:tc>
          <w:tcPr>
            <w:tcW w:w="7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840" w:type="dxa"/>
            <w:vAlign w:val="bottom"/>
            <w:shd w:val="clear" w:color="auto" w:fill="9ADAF6"/>
          </w:tcPr>
          <w:p>
            <w:pPr>
              <w:jc w:val="center"/>
              <w:ind w:left="34"/>
              <w:spacing w:after="0" w:line="194" w:lineRule="exact"/>
              <w:rPr>
                <w:sz w:val="20"/>
                <w:szCs w:val="20"/>
                <w:color w:val="auto"/>
              </w:rPr>
            </w:pPr>
            <w:r>
              <w:rPr>
                <w:rFonts w:ascii="Arial" w:cs="Arial" w:eastAsia="Arial" w:hAnsi="Arial"/>
                <w:sz w:val="17"/>
                <w:szCs w:val="17"/>
                <w:b w:val="1"/>
                <w:bCs w:val="1"/>
                <w:color w:val="auto"/>
              </w:rPr>
              <w:t>Forward</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right"/>
              <w:spacing w:after="0" w:line="194"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jc w:val="right"/>
              <w:ind w:right="294"/>
              <w:spacing w:after="0" w:line="194"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Effective</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vMerge w:val="restart"/>
            <w:shd w:val="clear" w:color="auto" w:fill="9ADAF6"/>
          </w:tcPr>
          <w:p>
            <w:pPr>
              <w:jc w:val="center"/>
              <w:ind w:left="34"/>
              <w:spacing w:after="0"/>
              <w:rPr>
                <w:sz w:val="20"/>
                <w:szCs w:val="20"/>
                <w:color w:val="auto"/>
              </w:rPr>
            </w:pPr>
            <w:r>
              <w:rPr>
                <w:rFonts w:ascii="Arial" w:cs="Arial" w:eastAsia="Arial" w:hAnsi="Arial"/>
                <w:sz w:val="17"/>
                <w:szCs w:val="17"/>
                <w:b w:val="1"/>
                <w:bCs w:val="1"/>
                <w:color w:val="auto"/>
                <w:w w:val="97"/>
              </w:rPr>
              <w:t>Rule</w:t>
            </w: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10"/>
                <w:szCs w:val="10"/>
                <w:color w:val="auto"/>
              </w:rPr>
            </w:pPr>
          </w:p>
        </w:tc>
        <w:tc>
          <w:tcPr>
            <w:tcW w:w="88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Price</w:t>
            </w:r>
          </w:p>
        </w:tc>
        <w:tc>
          <w:tcPr>
            <w:tcW w:w="20" w:type="dxa"/>
            <w:vAlign w:val="bottom"/>
          </w:tcPr>
          <w:p>
            <w:pPr>
              <w:spacing w:after="0"/>
              <w:rPr>
                <w:sz w:val="10"/>
                <w:szCs w:val="10"/>
                <w:color w:val="auto"/>
              </w:rPr>
            </w:pPr>
          </w:p>
        </w:tc>
        <w:tc>
          <w:tcPr>
            <w:tcW w:w="8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0"/>
                <w:szCs w:val="10"/>
                <w:color w:val="auto"/>
              </w:rPr>
            </w:pPr>
          </w:p>
        </w:tc>
        <w:tc>
          <w:tcPr>
            <w:tcW w:w="1000" w:type="dxa"/>
            <w:vAlign w:val="bottom"/>
            <w:tcBorders>
              <w:right w:val="single" w:sz="8" w:color="auto"/>
            </w:tcBorders>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41"/>
        </w:trPr>
        <w:tc>
          <w:tcPr>
            <w:tcW w:w="40" w:type="dxa"/>
            <w:vAlign w:val="bottom"/>
            <w:tcBorders>
              <w:left w:val="single" w:sz="8" w:color="auto"/>
            </w:tcBorders>
          </w:tcPr>
          <w:p>
            <w:pPr>
              <w:spacing w:after="0"/>
              <w:rPr>
                <w:sz w:val="12"/>
                <w:szCs w:val="12"/>
                <w:color w:val="auto"/>
              </w:rPr>
            </w:pPr>
          </w:p>
        </w:tc>
        <w:tc>
          <w:tcPr>
            <w:tcW w:w="8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vMerge w:val="continue"/>
            <w:shd w:val="clear" w:color="auto" w:fill="9ADAF6"/>
          </w:tcPr>
          <w:p>
            <w:pPr>
              <w:spacing w:after="0"/>
              <w:rPr>
                <w:sz w:val="12"/>
                <w:szCs w:val="12"/>
                <w:color w:val="auto"/>
              </w:rPr>
            </w:pPr>
          </w:p>
        </w:tc>
        <w:tc>
          <w:tcPr>
            <w:tcW w:w="1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right w:val="single" w:sz="8" w:color="auto"/>
            </w:tcBorders>
            <w:vMerge w:val="restart"/>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to be</w:t>
            </w:r>
          </w:p>
        </w:tc>
        <w:tc>
          <w:tcPr>
            <w:tcW w:w="0" w:type="dxa"/>
            <w:vAlign w:val="bottom"/>
          </w:tcPr>
          <w:p>
            <w:pPr>
              <w:spacing w:after="0"/>
              <w:rPr>
                <w:sz w:val="1"/>
                <w:szCs w:val="1"/>
                <w:color w:val="auto"/>
              </w:rPr>
            </w:pPr>
          </w:p>
        </w:tc>
      </w:tr>
      <w:tr>
        <w:trPr>
          <w:trHeight w:val="53"/>
        </w:trPr>
        <w:tc>
          <w:tcPr>
            <w:tcW w:w="40" w:type="dxa"/>
            <w:vAlign w:val="bottom"/>
            <w:tcBorders>
              <w:left w:val="single" w:sz="8" w:color="auto"/>
            </w:tcBorders>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shd w:val="clear" w:color="auto" w:fill="9ADAF6"/>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53"/>
        </w:trPr>
        <w:tc>
          <w:tcPr>
            <w:tcW w:w="40" w:type="dxa"/>
            <w:vAlign w:val="bottom"/>
            <w:tcBorders>
              <w:lef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40" w:type="dxa"/>
            <w:vAlign w:val="bottom"/>
            <w:gridSpan w:val="7"/>
          </w:tcPr>
          <w:p>
            <w:pPr>
              <w:jc w:val="right"/>
              <w:ind w:right="1194"/>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94" w:lineRule="exact"/>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700" w:type="dxa"/>
            <w:vAlign w:val="bottom"/>
            <w:vMerge w:val="restart"/>
            <w:shd w:val="clear" w:color="auto" w:fill="E7E7E2"/>
          </w:tcPr>
          <w:p>
            <w:pPr>
              <w:spacing w:after="0" w:line="194" w:lineRule="exact"/>
              <w:rPr>
                <w:sz w:val="20"/>
                <w:szCs w:val="20"/>
                <w:color w:val="auto"/>
              </w:rPr>
            </w:pPr>
            <w:r>
              <w:rPr>
                <w:rFonts w:ascii="Arial" w:cs="Arial" w:eastAsia="Arial" w:hAnsi="Arial"/>
                <w:sz w:val="17"/>
                <w:szCs w:val="17"/>
                <w:color w:val="auto"/>
              </w:rPr>
              <w:t>Equity</w:t>
            </w:r>
          </w:p>
        </w:tc>
        <w:tc>
          <w:tcPr>
            <w:tcW w:w="40" w:type="dxa"/>
            <w:vAlign w:val="bottom"/>
          </w:tcPr>
          <w:p>
            <w:pPr>
              <w:spacing w:after="0"/>
              <w:rPr>
                <w:sz w:val="8"/>
                <w:szCs w:val="8"/>
                <w:color w:val="auto"/>
              </w:rPr>
            </w:pPr>
          </w:p>
        </w:tc>
        <w:tc>
          <w:tcPr>
            <w:tcW w:w="780" w:type="dxa"/>
            <w:vAlign w:val="bottom"/>
            <w:vMerge w:val="restart"/>
            <w:shd w:val="clear" w:color="auto" w:fill="E7E7E2"/>
          </w:tcPr>
          <w:p>
            <w:pPr>
              <w:spacing w:after="0" w:line="194" w:lineRule="exact"/>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ind w:left="14"/>
              <w:spacing w:after="0" w:line="194" w:lineRule="exact"/>
              <w:rPr>
                <w:sz w:val="20"/>
                <w:szCs w:val="20"/>
                <w:color w:val="auto"/>
              </w:rPr>
            </w:pPr>
            <w:r>
              <w:rPr>
                <w:rFonts w:ascii="Arial" w:cs="Arial" w:eastAsia="Arial" w:hAnsi="Arial"/>
                <w:sz w:val="17"/>
                <w:szCs w:val="17"/>
                <w:color w:val="auto"/>
              </w:rPr>
              <w:t>457(r)</w:t>
            </w: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spacing w:after="0" w:line="194" w:lineRule="exact"/>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shd w:val="clear" w:color="auto" w:fill="E7E7E2"/>
          </w:tcPr>
          <w:p>
            <w:pPr>
              <w:spacing w:after="0" w:line="194" w:lineRule="exact"/>
              <w:rPr>
                <w:sz w:val="20"/>
                <w:szCs w:val="20"/>
                <w:color w:val="auto"/>
              </w:rPr>
            </w:pPr>
            <w:r>
              <w:rPr>
                <w:rFonts w:ascii="Arial" w:cs="Arial" w:eastAsia="Arial" w:hAnsi="Arial"/>
                <w:sz w:val="17"/>
                <w:szCs w:val="17"/>
                <w:color w:val="auto"/>
              </w:rPr>
              <w:t>$0.001</w:t>
            </w: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40" w:type="dxa"/>
            <w:vAlign w:val="bottom"/>
            <w:tcBorders>
              <w:left w:val="single" w:sz="8" w:color="auto"/>
            </w:tcBorders>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Preferred</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94" w:lineRule="exact"/>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8"/>
                <w:szCs w:val="8"/>
                <w:color w:val="auto"/>
              </w:rPr>
            </w:pPr>
          </w:p>
        </w:tc>
        <w:tc>
          <w:tcPr>
            <w:tcW w:w="700" w:type="dxa"/>
            <w:vAlign w:val="bottom"/>
            <w:vMerge w:val="restart"/>
            <w:shd w:val="clear" w:color="auto" w:fill="E7E7E2"/>
          </w:tcPr>
          <w:p>
            <w:pPr>
              <w:spacing w:after="0" w:line="194" w:lineRule="exact"/>
              <w:rPr>
                <w:sz w:val="20"/>
                <w:szCs w:val="20"/>
                <w:color w:val="auto"/>
              </w:rPr>
            </w:pPr>
            <w:r>
              <w:rPr>
                <w:rFonts w:ascii="Arial" w:cs="Arial" w:eastAsia="Arial" w:hAnsi="Arial"/>
                <w:sz w:val="17"/>
                <w:szCs w:val="17"/>
                <w:color w:val="auto"/>
              </w:rPr>
              <w:t>Equity</w:t>
            </w:r>
          </w:p>
        </w:tc>
        <w:tc>
          <w:tcPr>
            <w:tcW w:w="40" w:type="dxa"/>
            <w:vAlign w:val="bottom"/>
          </w:tcPr>
          <w:p>
            <w:pPr>
              <w:spacing w:after="0"/>
              <w:rPr>
                <w:sz w:val="8"/>
                <w:szCs w:val="8"/>
                <w:color w:val="auto"/>
              </w:rPr>
            </w:pPr>
          </w:p>
        </w:tc>
        <w:tc>
          <w:tcPr>
            <w:tcW w:w="780" w:type="dxa"/>
            <w:vAlign w:val="bottom"/>
            <w:vMerge w:val="restart"/>
            <w:shd w:val="clear" w:color="auto" w:fill="E7E7E2"/>
          </w:tcPr>
          <w:p>
            <w:pPr>
              <w:spacing w:after="0" w:line="194" w:lineRule="exact"/>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ind w:left="14"/>
              <w:spacing w:after="0" w:line="194" w:lineRule="exact"/>
              <w:rPr>
                <w:sz w:val="20"/>
                <w:szCs w:val="20"/>
                <w:color w:val="auto"/>
              </w:rPr>
            </w:pPr>
            <w:r>
              <w:rPr>
                <w:rFonts w:ascii="Arial" w:cs="Arial" w:eastAsia="Arial" w:hAnsi="Arial"/>
                <w:sz w:val="17"/>
                <w:szCs w:val="17"/>
                <w:color w:val="auto"/>
              </w:rPr>
              <w:t>457(r)</w:t>
            </w: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spacing w:after="0" w:line="194" w:lineRule="exact"/>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shd w:val="clear" w:color="auto" w:fill="E7E7E2"/>
          </w:tcPr>
          <w:p>
            <w:pPr>
              <w:spacing w:after="0" w:line="194" w:lineRule="exact"/>
              <w:rPr>
                <w:sz w:val="20"/>
                <w:szCs w:val="20"/>
                <w:color w:val="auto"/>
              </w:rPr>
            </w:pPr>
            <w:r>
              <w:rPr>
                <w:rFonts w:ascii="Arial" w:cs="Arial" w:eastAsia="Arial" w:hAnsi="Arial"/>
                <w:sz w:val="17"/>
                <w:szCs w:val="17"/>
                <w:color w:val="auto"/>
              </w:rPr>
              <w:t>$0.001</w:t>
            </w: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40" w:type="dxa"/>
            <w:vAlign w:val="bottom"/>
            <w:tcBorders>
              <w:left w:val="single" w:sz="8" w:color="auto"/>
            </w:tcBorders>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3</w:t>
            </w:r>
          </w:p>
        </w:tc>
        <w:tc>
          <w:tcPr>
            <w:tcW w:w="20" w:type="dxa"/>
            <w:vAlign w:val="bottom"/>
          </w:tcPr>
          <w:p>
            <w:pPr>
              <w:spacing w:after="0"/>
              <w:rPr>
                <w:sz w:val="15"/>
                <w:szCs w:val="15"/>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Debt</w:t>
            </w:r>
          </w:p>
        </w:tc>
        <w:tc>
          <w:tcPr>
            <w:tcW w:w="40" w:type="dxa"/>
            <w:vAlign w:val="bottom"/>
          </w:tcPr>
          <w:p>
            <w:pPr>
              <w:spacing w:after="0"/>
              <w:rPr>
                <w:sz w:val="15"/>
                <w:szCs w:val="15"/>
                <w:color w:val="auto"/>
              </w:rPr>
            </w:pPr>
          </w:p>
        </w:tc>
        <w:tc>
          <w:tcPr>
            <w:tcW w:w="78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ind w:left="14"/>
              <w:spacing w:after="0"/>
              <w:rPr>
                <w:sz w:val="20"/>
                <w:szCs w:val="20"/>
                <w:color w:val="auto"/>
              </w:rPr>
            </w:pPr>
            <w:r>
              <w:rPr>
                <w:rFonts w:ascii="Arial" w:cs="Arial" w:eastAsia="Arial" w:hAnsi="Arial"/>
                <w:sz w:val="17"/>
                <w:szCs w:val="17"/>
                <w:color w:val="auto"/>
              </w:rPr>
              <w:t>457(r)</w:t>
            </w: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4</w:t>
            </w:r>
          </w:p>
        </w:tc>
        <w:tc>
          <w:tcPr>
            <w:tcW w:w="20" w:type="dxa"/>
            <w:vAlign w:val="bottom"/>
          </w:tcPr>
          <w:p>
            <w:pPr>
              <w:spacing w:after="0"/>
              <w:rPr>
                <w:sz w:val="15"/>
                <w:szCs w:val="15"/>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Other</w:t>
            </w:r>
          </w:p>
        </w:tc>
        <w:tc>
          <w:tcPr>
            <w:tcW w:w="40" w:type="dxa"/>
            <w:vAlign w:val="bottom"/>
          </w:tcPr>
          <w:p>
            <w:pPr>
              <w:spacing w:after="0"/>
              <w:rPr>
                <w:sz w:val="15"/>
                <w:szCs w:val="15"/>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ind w:left="14"/>
              <w:spacing w:after="0"/>
              <w:rPr>
                <w:sz w:val="20"/>
                <w:szCs w:val="20"/>
                <w:color w:val="auto"/>
              </w:rPr>
            </w:pPr>
            <w:r>
              <w:rPr>
                <w:rFonts w:ascii="Arial" w:cs="Arial" w:eastAsia="Arial" w:hAnsi="Arial"/>
                <w:sz w:val="17"/>
                <w:szCs w:val="17"/>
                <w:color w:val="auto"/>
              </w:rPr>
              <w:t>457(r)</w:t>
            </w: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5</w:t>
            </w:r>
          </w:p>
        </w:tc>
        <w:tc>
          <w:tcPr>
            <w:tcW w:w="20" w:type="dxa"/>
            <w:vAlign w:val="bottom"/>
          </w:tcPr>
          <w:p>
            <w:pPr>
              <w:spacing w:after="0"/>
              <w:rPr>
                <w:sz w:val="15"/>
                <w:szCs w:val="15"/>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Other</w:t>
            </w:r>
          </w:p>
        </w:tc>
        <w:tc>
          <w:tcPr>
            <w:tcW w:w="40" w:type="dxa"/>
            <w:vAlign w:val="bottom"/>
          </w:tcPr>
          <w:p>
            <w:pPr>
              <w:spacing w:after="0"/>
              <w:rPr>
                <w:sz w:val="15"/>
                <w:szCs w:val="15"/>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Units</w:t>
            </w: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ind w:left="14"/>
              <w:spacing w:after="0"/>
              <w:rPr>
                <w:sz w:val="20"/>
                <w:szCs w:val="20"/>
                <w:color w:val="auto"/>
              </w:rPr>
            </w:pPr>
            <w:r>
              <w:rPr>
                <w:rFonts w:ascii="Arial" w:cs="Arial" w:eastAsia="Arial" w:hAnsi="Arial"/>
                <w:sz w:val="17"/>
                <w:szCs w:val="17"/>
                <w:color w:val="auto"/>
              </w:rPr>
              <w:t>457(r)</w:t>
            </w: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0" w:type="dxa"/>
            <w:vAlign w:val="bottom"/>
            <w:tcBorders>
              <w:lef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40" w:type="dxa"/>
            <w:vAlign w:val="bottom"/>
            <w:gridSpan w:val="7"/>
          </w:tcPr>
          <w:p>
            <w:pPr>
              <w:jc w:val="right"/>
              <w:ind w:right="1314"/>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4"/>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00" w:type="dxa"/>
            <w:vAlign w:val="bottom"/>
            <w:gridSpan w:val="6"/>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4"/>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7" w:lineRule="exact"/>
        <w:rPr>
          <w:sz w:val="20"/>
          <w:szCs w:val="20"/>
          <w:color w:val="auto"/>
        </w:rPr>
      </w:pPr>
    </w:p>
    <w:p>
      <w:pPr>
        <w:ind w:left="220" w:right="160" w:firstLine="2"/>
        <w:spacing w:after="0" w:line="245" w:lineRule="auto"/>
        <w:tabs>
          <w:tab w:leader="none" w:pos="47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An indeterminate amount of the securities of each identified class is being registered as may from time to time be offered hereunder at indeterminate prices, along with an indeterminate number of securities that may be issued upon exercise, settlement, exchange or conversion of securities offered or sold hereunder.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spacing w:after="0" w:line="159" w:lineRule="exact"/>
        <w:rPr>
          <w:rFonts w:ascii="Arial" w:cs="Arial" w:eastAsia="Arial" w:hAnsi="Arial"/>
          <w:sz w:val="17"/>
          <w:szCs w:val="17"/>
          <w:color w:val="auto"/>
        </w:rPr>
      </w:pPr>
    </w:p>
    <w:p>
      <w:pPr>
        <w:jc w:val="both"/>
        <w:ind w:left="220" w:right="340" w:firstLine="2"/>
        <w:spacing w:after="0" w:line="256" w:lineRule="auto"/>
        <w:tabs>
          <w:tab w:leader="none" w:pos="47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 accordance with Rules 456(b) and 457(r) under the Securities Act, the registrant is deferring payment of all registration fees and will pay the registration fees on a "pay-as-you-go" basis. The registrant will calculate the registration fee applicable to an offer of securities pursuant to this registration statement based on the fee payment rate in effect on the date of such fee payment.</w:t>
      </w:r>
    </w:p>
    <w:p>
      <w:pPr>
        <w:spacing w:after="0" w:line="149" w:lineRule="exact"/>
        <w:rPr>
          <w:rFonts w:ascii="Arial" w:cs="Arial" w:eastAsia="Arial" w:hAnsi="Arial"/>
          <w:sz w:val="17"/>
          <w:szCs w:val="17"/>
          <w:color w:val="auto"/>
        </w:rPr>
      </w:pPr>
    </w:p>
    <w:p>
      <w:pPr>
        <w:ind w:left="480" w:hanging="258"/>
        <w:spacing w:after="0"/>
        <w:tabs>
          <w:tab w:leader="none" w:pos="4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securities registered hereunder may be sold separately or in a combination with other securities registered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205105</wp:posOffset>
            </wp:positionV>
            <wp:extent cx="7144385" cy="393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7144385" cy="3937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1"/>
          <w:szCs w:val="11"/>
          <w:color w:val="auto"/>
        </w:rPr>
        <w:t>2</w:t>
      </w:r>
    </w:p>
    <w:p>
      <w:pPr>
        <w:spacing w:after="0" w:line="57" w:lineRule="exact"/>
        <w:rPr>
          <w:sz w:val="20"/>
          <w:szCs w:val="20"/>
          <w:color w:val="auto"/>
        </w:rPr>
      </w:pPr>
    </w:p>
    <w:p>
      <w:pPr>
        <w:ind w:left="220" w:right="160" w:firstLine="2"/>
        <w:spacing w:after="0" w:line="245" w:lineRule="auto"/>
        <w:tabs>
          <w:tab w:leader="none" w:pos="47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An indeterminate amount of the securities of each identified class is being registered as may from time to time be offered hereunder at indeterminate prices, along with an indeterminate number of securities that may be issued upon exercise, settlement, exchange or conversion of securities offered or sold hereunder.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spacing w:after="0" w:line="159" w:lineRule="exact"/>
        <w:rPr>
          <w:rFonts w:ascii="Arial" w:cs="Arial" w:eastAsia="Arial" w:hAnsi="Arial"/>
          <w:sz w:val="17"/>
          <w:szCs w:val="17"/>
          <w:color w:val="auto"/>
        </w:rPr>
      </w:pPr>
    </w:p>
    <w:p>
      <w:pPr>
        <w:jc w:val="both"/>
        <w:ind w:left="220" w:right="340" w:firstLine="2"/>
        <w:spacing w:after="0" w:line="256" w:lineRule="auto"/>
        <w:tabs>
          <w:tab w:leader="none" w:pos="47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 accordance with Rules 456(b) and 457(r) under the Securities Act, the registrant is deferring payment of all registration fees and will pay the registration fees on a "pay-as-you-go" basis. The registrant will calculate the registration fee applicable to an offer of securities pursuant to this registration statement based on the fee payment rate in effect on the date of such fee payment.</w:t>
      </w:r>
    </w:p>
    <w:p>
      <w:pPr>
        <w:spacing w:after="0" w:line="149" w:lineRule="exact"/>
        <w:rPr>
          <w:rFonts w:ascii="Arial" w:cs="Arial" w:eastAsia="Arial" w:hAnsi="Arial"/>
          <w:sz w:val="17"/>
          <w:szCs w:val="17"/>
          <w:color w:val="auto"/>
        </w:rPr>
      </w:pPr>
    </w:p>
    <w:p>
      <w:pPr>
        <w:ind w:left="480" w:hanging="258"/>
        <w:spacing w:after="0"/>
        <w:tabs>
          <w:tab w:leader="none" w:pos="4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securities registered hereunder may be sold separately or in a combination with other securities registered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205105</wp:posOffset>
            </wp:positionV>
            <wp:extent cx="7144385" cy="393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7144385" cy="39370"/>
                    </a:xfrm>
                    <a:prstGeom prst="rect">
                      <a:avLst/>
                    </a:prstGeom>
                    <a:noFill/>
                  </pic:spPr>
                </pic:pic>
              </a:graphicData>
            </a:graphic>
          </wp:anchor>
        </w:drawing>
      </w:r>
    </w:p>
    <w:p>
      <w:pPr>
        <w:sectPr>
          <w:pgSz w:w="11900" w:h="16838" w:orient="portrait"/>
          <w:cols w:equalWidth="0" w:num="1">
            <w:col w:w="11360"/>
          </w:cols>
          <w:pgMar w:left="300" w:top="140" w:right="239" w:bottom="0" w:gutter="0" w:footer="0" w:header="0"/>
        </w:sectPr>
      </w:pPr>
    </w:p>
    <w:p>
      <w:pPr>
        <w:spacing w:after="0" w:line="200" w:lineRule="exact"/>
        <w:rPr>
          <w:sz w:val="20"/>
          <w:szCs w:val="20"/>
          <w:color w:val="auto"/>
        </w:r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10"/>
          <w:szCs w:val="10"/>
          <w:color w:val="auto"/>
        </w:rPr>
        <w:t>3</w:t>
      </w:r>
    </w:p>
    <w:p>
      <w:pPr>
        <w:sectPr>
          <w:pgSz w:w="11900" w:h="16838" w:orient="portrait"/>
          <w:cols w:equalWidth="0" w:num="1">
            <w:col w:w="11360"/>
          </w:cols>
          <w:pgMar w:left="300" w:top="140" w:right="239" w:bottom="0" w:gutter="0" w:footer="0" w:header="0"/>
          <w:type w:val="continuous"/>
        </w:sectPr>
      </w:pPr>
    </w:p>
    <w:bookmarkStart w:id="113" w:name="page114"/>
    <w:bookmarkEnd w:id="113"/>
    <w:p>
      <w:pPr>
        <w:ind w:left="220" w:right="80" w:firstLine="2"/>
        <w:spacing w:after="0" w:line="245" w:lineRule="auto"/>
        <w:tabs>
          <w:tab w:leader="none" w:pos="47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An indeterminate amount of the securities of each identified class is being registered as may from time to time be offered hereunder at indeterminate prices, along with an indeterminate number of securities that may be issued upon exercise, settlement, exchange or conversion of securities offered or sold hereunder.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spacing w:after="0" w:line="160" w:lineRule="exact"/>
        <w:rPr>
          <w:rFonts w:ascii="Arial" w:cs="Arial" w:eastAsia="Arial" w:hAnsi="Arial"/>
          <w:sz w:val="17"/>
          <w:szCs w:val="17"/>
          <w:color w:val="auto"/>
        </w:rPr>
      </w:pPr>
    </w:p>
    <w:p>
      <w:pPr>
        <w:jc w:val="both"/>
        <w:ind w:left="220" w:right="260" w:firstLine="2"/>
        <w:spacing w:after="0" w:line="256" w:lineRule="auto"/>
        <w:tabs>
          <w:tab w:leader="none" w:pos="47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 accordance with Rules 456(b) and 457(r) under the Securities Act, the registrant is deferring payment of all registration fees and will pay the registration fees on a "pay-as-you-go" basis. The registrant will calculate the registration fee applicable to an offer of securities pursuant to this registration statement based on the fee payment rate in effect on the date of such fee payment.</w:t>
      </w:r>
    </w:p>
    <w:p>
      <w:pPr>
        <w:spacing w:after="0" w:line="149" w:lineRule="exact"/>
        <w:rPr>
          <w:rFonts w:ascii="Arial" w:cs="Arial" w:eastAsia="Arial" w:hAnsi="Arial"/>
          <w:sz w:val="17"/>
          <w:szCs w:val="17"/>
          <w:color w:val="auto"/>
        </w:rPr>
      </w:pPr>
    </w:p>
    <w:p>
      <w:pPr>
        <w:ind w:left="480" w:hanging="258"/>
        <w:spacing w:after="0"/>
        <w:tabs>
          <w:tab w:leader="none" w:pos="4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securities registered hereunder may be sold separately or in a combination with other securities registered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205105</wp:posOffset>
            </wp:positionV>
            <wp:extent cx="7144385" cy="393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7144385" cy="3937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1"/>
          <w:szCs w:val="11"/>
          <w:color w:val="auto"/>
        </w:rPr>
        <w:t>4</w:t>
      </w:r>
    </w:p>
    <w:p>
      <w:pPr>
        <w:spacing w:after="0" w:line="57" w:lineRule="exact"/>
        <w:rPr>
          <w:sz w:val="20"/>
          <w:szCs w:val="20"/>
          <w:color w:val="auto"/>
        </w:rPr>
      </w:pPr>
    </w:p>
    <w:p>
      <w:pPr>
        <w:ind w:left="220" w:right="80" w:firstLine="2"/>
        <w:spacing w:after="0" w:line="245" w:lineRule="auto"/>
        <w:tabs>
          <w:tab w:leader="none" w:pos="478"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An indeterminate amount of the securities of each identified class is being registered as may from time to time be offered hereunder at indeterminate prices, along with an indeterminate number of securities that may be issued upon exercise, settlement, exchange or conversion of securities offered or sold hereunder.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spacing w:after="0" w:line="159" w:lineRule="exact"/>
        <w:rPr>
          <w:rFonts w:ascii="Arial" w:cs="Arial" w:eastAsia="Arial" w:hAnsi="Arial"/>
          <w:sz w:val="17"/>
          <w:szCs w:val="17"/>
          <w:color w:val="auto"/>
        </w:rPr>
      </w:pPr>
    </w:p>
    <w:p>
      <w:pPr>
        <w:jc w:val="both"/>
        <w:ind w:left="220" w:right="260" w:firstLine="2"/>
        <w:spacing w:after="0" w:line="256" w:lineRule="auto"/>
        <w:tabs>
          <w:tab w:leader="none" w:pos="478"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In accordance with Rules 456(b) and 457(r) under the Securities Act, the registrant is deferring payment of all registration fees and will pay the registration fees on a "pay-as-you-go" basis. The registrant will calculate the registration fee applicable to an offer of securities pursuant to this registration statement based on the fee payment rate in effect on the date of such fee payment.</w:t>
      </w:r>
    </w:p>
    <w:p>
      <w:pPr>
        <w:spacing w:after="0" w:line="149" w:lineRule="exact"/>
        <w:rPr>
          <w:rFonts w:ascii="Arial" w:cs="Arial" w:eastAsia="Arial" w:hAnsi="Arial"/>
          <w:sz w:val="17"/>
          <w:szCs w:val="17"/>
          <w:color w:val="auto"/>
        </w:rPr>
      </w:pPr>
    </w:p>
    <w:p>
      <w:pPr>
        <w:ind w:left="480" w:hanging="258"/>
        <w:spacing w:after="0"/>
        <w:tabs>
          <w:tab w:leader="none" w:pos="4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securities registered hereunder may be sold separately or in a combination with other securities registered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205105</wp:posOffset>
            </wp:positionV>
            <wp:extent cx="7144385" cy="393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7144385" cy="3937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1"/>
          <w:szCs w:val="11"/>
          <w:color w:val="auto"/>
        </w:rPr>
        <w:t>5</w:t>
      </w:r>
    </w:p>
    <w:p>
      <w:pPr>
        <w:spacing w:after="0" w:line="57" w:lineRule="exact"/>
        <w:rPr>
          <w:sz w:val="20"/>
          <w:szCs w:val="20"/>
          <w:color w:val="auto"/>
        </w:rPr>
      </w:pPr>
    </w:p>
    <w:p>
      <w:pPr>
        <w:ind w:left="220" w:right="80" w:firstLine="2"/>
        <w:spacing w:after="0" w:line="245" w:lineRule="auto"/>
        <w:tabs>
          <w:tab w:leader="none" w:pos="47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An indeterminate amount of the securities of each identified class is being registered as may from time to time be offered hereunder at indeterminate prices, along with an indeterminate number of securities that may be issued upon exercise, settlement, exchange or conversion of securities offered or sold hereunder.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spacing w:after="0" w:line="159" w:lineRule="exact"/>
        <w:rPr>
          <w:rFonts w:ascii="Arial" w:cs="Arial" w:eastAsia="Arial" w:hAnsi="Arial"/>
          <w:sz w:val="17"/>
          <w:szCs w:val="17"/>
          <w:color w:val="auto"/>
        </w:rPr>
      </w:pPr>
    </w:p>
    <w:p>
      <w:pPr>
        <w:jc w:val="both"/>
        <w:ind w:left="220" w:right="260" w:firstLine="2"/>
        <w:spacing w:after="0" w:line="256" w:lineRule="auto"/>
        <w:tabs>
          <w:tab w:leader="none" w:pos="47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 accordance with Rules 456(b) and 457(r) under the Securities Act, the registrant is deferring payment of all registration fees and will pay the registration fees on a "pay-as-you-go" basis. The registrant will calculate the registration fee applicable to an offer of securities pursuant to this registration statement based on the fee payment rate in effect on the date of such fee payment.</w:t>
      </w:r>
    </w:p>
    <w:p>
      <w:pPr>
        <w:spacing w:after="0" w:line="149" w:lineRule="exact"/>
        <w:rPr>
          <w:rFonts w:ascii="Arial" w:cs="Arial" w:eastAsia="Arial" w:hAnsi="Arial"/>
          <w:sz w:val="17"/>
          <w:szCs w:val="17"/>
          <w:color w:val="auto"/>
        </w:rPr>
      </w:pPr>
    </w:p>
    <w:p>
      <w:pPr>
        <w:ind w:left="480" w:hanging="258"/>
        <w:spacing w:after="0"/>
        <w:tabs>
          <w:tab w:leader="none" w:pos="4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securities registered hereunder may be sold separately or in a combination with other securities registered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205105</wp:posOffset>
            </wp:positionV>
            <wp:extent cx="7144385" cy="393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71443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330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7"/>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40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shd w:val="clear" w:color="auto" w:fill="9ADAF6"/>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8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00" w:type="dxa"/>
            <w:vAlign w:val="bottom"/>
            <w:tcBorders>
              <w:left w:val="single" w:sz="8" w:color="9ADAF6"/>
            </w:tcBorders>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0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880" w:type="dxa"/>
            <w:vAlign w:val="bottom"/>
            <w:gridSpan w:val="2"/>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Security</w:t>
            </w:r>
          </w:p>
        </w:tc>
        <w:tc>
          <w:tcPr>
            <w:tcW w:w="100" w:type="dxa"/>
            <w:vAlign w:val="bottom"/>
            <w:tcBorders>
              <w:left w:val="single" w:sz="8" w:color="9ADAF6"/>
            </w:tcBorders>
          </w:tcPr>
          <w:p>
            <w:pPr>
              <w:spacing w:after="0"/>
              <w:rPr>
                <w:sz w:val="16"/>
                <w:szCs w:val="16"/>
                <w:color w:val="auto"/>
              </w:rPr>
            </w:pPr>
          </w:p>
        </w:tc>
        <w:tc>
          <w:tcPr>
            <w:tcW w:w="94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righ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shd w:val="clear" w:color="auto" w:fill="9ADAF6"/>
          </w:tcPr>
          <w:p>
            <w:pPr>
              <w:spacing w:after="0"/>
              <w:rPr>
                <w:sz w:val="16"/>
                <w:szCs w:val="16"/>
                <w:color w:val="auto"/>
              </w:rPr>
            </w:pPr>
          </w:p>
        </w:tc>
        <w:tc>
          <w:tcPr>
            <w:tcW w:w="520" w:type="dxa"/>
            <w:vAlign w:val="bottom"/>
            <w:tcBorders>
              <w:right w:val="single" w:sz="8" w:color="9ADAF6"/>
            </w:tcBorders>
            <w:gridSpan w:val="3"/>
            <w:vMerge w:val="restart"/>
            <w:shd w:val="clear" w:color="auto" w:fill="9ADAF6"/>
          </w:tcPr>
          <w:p>
            <w:pPr>
              <w:jc w:val="center"/>
              <w:ind w:right="114"/>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880" w:type="dxa"/>
            <w:vAlign w:val="bottom"/>
            <w:gridSpan w:val="2"/>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Title</w:t>
            </w:r>
          </w:p>
        </w:tc>
        <w:tc>
          <w:tcPr>
            <w:tcW w:w="100" w:type="dxa"/>
            <w:vAlign w:val="bottom"/>
            <w:tcBorders>
              <w:left w:val="single" w:sz="8" w:color="9ADAF6"/>
            </w:tcBorders>
          </w:tcPr>
          <w:p>
            <w:pPr>
              <w:spacing w:after="0"/>
              <w:rPr>
                <w:sz w:val="16"/>
                <w:szCs w:val="16"/>
                <w:color w:val="auto"/>
              </w:rPr>
            </w:pPr>
          </w:p>
        </w:tc>
        <w:tc>
          <w:tcPr>
            <w:tcW w:w="94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Paid</w:t>
            </w: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gridSpan w:val="3"/>
            <w:vMerge w:val="restart"/>
            <w:shd w:val="clear" w:color="auto" w:fill="9ADAF6"/>
          </w:tcPr>
          <w:p>
            <w:pPr>
              <w:spacing w:after="0"/>
              <w:rPr>
                <w:sz w:val="20"/>
                <w:szCs w:val="20"/>
                <w:color w:val="auto"/>
              </w:rPr>
            </w:pPr>
            <w:r>
              <w:rPr>
                <w:rFonts w:ascii="Arial" w:cs="Arial" w:eastAsia="Arial" w:hAnsi="Arial"/>
                <w:sz w:val="17"/>
                <w:szCs w:val="17"/>
                <w:b w:val="1"/>
                <w:bCs w:val="1"/>
                <w:color w:val="auto"/>
              </w:rPr>
              <w:t>Registrant or Filer</w:t>
            </w:r>
          </w:p>
        </w:tc>
        <w:tc>
          <w:tcPr>
            <w:tcW w:w="20" w:type="dxa"/>
            <w:vAlign w:val="bottom"/>
          </w:tcPr>
          <w:p>
            <w:pPr>
              <w:spacing w:after="0"/>
              <w:rPr>
                <w:sz w:val="8"/>
                <w:szCs w:val="8"/>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00" w:type="dxa"/>
            <w:vAlign w:val="bottom"/>
            <w:tcBorders>
              <w:right w:val="single" w:sz="8" w:color="9ADAF6"/>
            </w:tcBorders>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40" w:type="dxa"/>
            <w:vAlign w:val="bottom"/>
          </w:tcPr>
          <w:p>
            <w:pPr>
              <w:spacing w:after="0"/>
              <w:rPr>
                <w:sz w:val="8"/>
                <w:szCs w:val="8"/>
                <w:color w:val="auto"/>
              </w:rPr>
            </w:pPr>
          </w:p>
        </w:tc>
        <w:tc>
          <w:tcPr>
            <w:tcW w:w="180" w:type="dxa"/>
            <w:vAlign w:val="bottom"/>
            <w:shd w:val="clear" w:color="auto" w:fill="9ADAF6"/>
          </w:tcPr>
          <w:p>
            <w:pPr>
              <w:spacing w:after="0"/>
              <w:rPr>
                <w:sz w:val="8"/>
                <w:szCs w:val="8"/>
                <w:color w:val="auto"/>
              </w:rPr>
            </w:pPr>
          </w:p>
        </w:tc>
        <w:tc>
          <w:tcPr>
            <w:tcW w:w="520" w:type="dxa"/>
            <w:vAlign w:val="bottom"/>
            <w:tcBorders>
              <w:right w:val="single" w:sz="8" w:color="9ADAF6"/>
            </w:tcBorders>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880" w:type="dxa"/>
            <w:vAlign w:val="bottom"/>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100" w:type="dxa"/>
            <w:vAlign w:val="bottom"/>
            <w:tcBorders>
              <w:left w:val="single" w:sz="8" w:color="9ADAF6"/>
            </w:tcBorders>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2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3"/>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Borders>
              <w:right w:val="single" w:sz="8" w:color="9ADAF6"/>
            </w:tcBorders>
            <w:gridSpan w:val="3"/>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5"/>
                <w:szCs w:val="15"/>
                <w:color w:val="auto"/>
              </w:rPr>
            </w:pPr>
          </w:p>
        </w:tc>
        <w:tc>
          <w:tcPr>
            <w:tcW w:w="60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Borders>
              <w:right w:val="single" w:sz="8" w:color="9ADAF6"/>
            </w:tcBorders>
            <w:gridSpan w:val="4"/>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5"/>
                <w:szCs w:val="15"/>
                <w:color w:val="auto"/>
              </w:rPr>
            </w:pPr>
          </w:p>
        </w:tc>
        <w:tc>
          <w:tcPr>
            <w:tcW w:w="9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vMerge w:val="continue"/>
            <w:shd w:val="clear" w:color="auto" w:fill="9ADAF6"/>
          </w:tcPr>
          <w:p>
            <w:pPr>
              <w:spacing w:after="0"/>
              <w:rPr>
                <w:sz w:val="15"/>
                <w:szCs w:val="15"/>
                <w:color w:val="auto"/>
              </w:rPr>
            </w:pPr>
          </w:p>
        </w:tc>
        <w:tc>
          <w:tcPr>
            <w:tcW w:w="100" w:type="dxa"/>
            <w:vAlign w:val="bottom"/>
            <w:tcBorders>
              <w:left w:val="single" w:sz="8" w:color="9ADAF6"/>
            </w:tcBorders>
          </w:tcPr>
          <w:p>
            <w:pPr>
              <w:spacing w:after="0"/>
              <w:rPr>
                <w:sz w:val="15"/>
                <w:szCs w:val="15"/>
                <w:color w:val="auto"/>
              </w:rPr>
            </w:pPr>
          </w:p>
        </w:tc>
        <w:tc>
          <w:tcPr>
            <w:tcW w:w="940" w:type="dxa"/>
            <w:vAlign w:val="bottom"/>
            <w:gridSpan w:val="3"/>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ind w:left="220"/>
              <w:spacing w:after="0" w:line="194" w:lineRule="exact"/>
              <w:rPr>
                <w:sz w:val="20"/>
                <w:szCs w:val="20"/>
                <w:color w:val="auto"/>
              </w:rPr>
            </w:pPr>
            <w:r>
              <w:rPr>
                <w:rFonts w:ascii="Arial" w:cs="Arial" w:eastAsia="Arial" w:hAnsi="Arial"/>
                <w:sz w:val="17"/>
                <w:szCs w:val="17"/>
                <w:b w:val="1"/>
                <w:bCs w:val="1"/>
                <w:color w:val="auto"/>
              </w:rPr>
              <w:t>Name</w:t>
            </w: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6"/>
                <w:szCs w:val="16"/>
                <w:color w:val="auto"/>
              </w:rPr>
            </w:pPr>
          </w:p>
        </w:tc>
        <w:tc>
          <w:tcPr>
            <w:tcW w:w="600" w:type="dxa"/>
            <w:vAlign w:val="bottom"/>
            <w:tcBorders>
              <w:right w:val="single" w:sz="8" w:color="9ADAF6"/>
            </w:tcBorders>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Date</w:t>
            </w:r>
          </w:p>
        </w:tc>
        <w:tc>
          <w:tcPr>
            <w:tcW w:w="40" w:type="dxa"/>
            <w:vAlign w:val="bottom"/>
          </w:tcPr>
          <w:p>
            <w:pPr>
              <w:spacing w:after="0"/>
              <w:rPr>
                <w:sz w:val="16"/>
                <w:szCs w:val="16"/>
                <w:color w:val="auto"/>
              </w:rPr>
            </w:pPr>
          </w:p>
        </w:tc>
        <w:tc>
          <w:tcPr>
            <w:tcW w:w="700" w:type="dxa"/>
            <w:vAlign w:val="bottom"/>
            <w:tcBorders>
              <w:right w:val="single" w:sz="8" w:color="9ADAF6"/>
            </w:tcBorders>
            <w:gridSpan w:val="4"/>
            <w:shd w:val="clear" w:color="auto" w:fill="9ADAF6"/>
          </w:tcPr>
          <w:p>
            <w:pPr>
              <w:jc w:val="right"/>
              <w:spacing w:after="0" w:line="194"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with Fee</w:t>
            </w:r>
          </w:p>
        </w:tc>
        <w:tc>
          <w:tcPr>
            <w:tcW w:w="20" w:type="dxa"/>
            <w:vAlign w:val="bottom"/>
          </w:tcPr>
          <w:p>
            <w:pPr>
              <w:spacing w:after="0"/>
              <w:rPr>
                <w:sz w:val="16"/>
                <w:szCs w:val="16"/>
                <w:color w:val="auto"/>
              </w:rPr>
            </w:pPr>
          </w:p>
        </w:tc>
        <w:tc>
          <w:tcPr>
            <w:tcW w:w="880" w:type="dxa"/>
            <w:vAlign w:val="bottom"/>
            <w:gridSpan w:val="2"/>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with Fee</w:t>
            </w:r>
          </w:p>
        </w:tc>
        <w:tc>
          <w:tcPr>
            <w:tcW w:w="100" w:type="dxa"/>
            <w:vAlign w:val="bottom"/>
            <w:tcBorders>
              <w:left w:val="single" w:sz="8" w:color="9ADAF6"/>
            </w:tcBorders>
          </w:tcPr>
          <w:p>
            <w:pPr>
              <w:spacing w:after="0"/>
              <w:rPr>
                <w:sz w:val="16"/>
                <w:szCs w:val="16"/>
                <w:color w:val="auto"/>
              </w:rPr>
            </w:pPr>
          </w:p>
        </w:tc>
        <w:tc>
          <w:tcPr>
            <w:tcW w:w="94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40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shd w:val="clear" w:color="auto" w:fill="9ADAF6"/>
          </w:tcPr>
          <w:p>
            <w:pPr>
              <w:spacing w:after="0"/>
              <w:rPr>
                <w:sz w:val="10"/>
                <w:szCs w:val="10"/>
                <w:color w:val="auto"/>
              </w:rPr>
            </w:pPr>
          </w:p>
        </w:tc>
        <w:tc>
          <w:tcPr>
            <w:tcW w:w="3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8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880" w:type="dxa"/>
            <w:vAlign w:val="bottom"/>
            <w:gridSpan w:val="2"/>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100" w:type="dxa"/>
            <w:vAlign w:val="bottom"/>
            <w:tcBorders>
              <w:left w:val="single" w:sz="8" w:color="9ADAF6"/>
            </w:tcBorders>
          </w:tcPr>
          <w:p>
            <w:pPr>
              <w:spacing w:after="0"/>
              <w:rPr>
                <w:sz w:val="10"/>
                <w:szCs w:val="10"/>
                <w:color w:val="auto"/>
              </w:rPr>
            </w:pPr>
          </w:p>
        </w:tc>
        <w:tc>
          <w:tcPr>
            <w:tcW w:w="94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0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880" w:type="dxa"/>
            <w:vAlign w:val="bottom"/>
            <w:gridSpan w:val="2"/>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Claimed</w:t>
            </w:r>
          </w:p>
        </w:tc>
        <w:tc>
          <w:tcPr>
            <w:tcW w:w="100" w:type="dxa"/>
            <w:vAlign w:val="bottom"/>
            <w:tcBorders>
              <w:left w:val="single" w:sz="8" w:color="9ADAF6"/>
            </w:tcBorders>
          </w:tcPr>
          <w:p>
            <w:pPr>
              <w:spacing w:after="0"/>
              <w:rPr>
                <w:sz w:val="16"/>
                <w:szCs w:val="16"/>
                <w:color w:val="auto"/>
              </w:rPr>
            </w:pPr>
          </w:p>
        </w:tc>
        <w:tc>
          <w:tcPr>
            <w:tcW w:w="94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Source</w:t>
            </w: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40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shd w:val="clear" w:color="auto" w:fill="9ADAF6"/>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8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tcBorders>
              <w:left w:val="single" w:sz="8" w:color="9ADAF6"/>
            </w:tcBorders>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80" w:type="dxa"/>
            <w:vAlign w:val="bottom"/>
            <w:gridSpan w:val="14"/>
          </w:tcPr>
          <w:p>
            <w:pPr>
              <w:jc w:val="center"/>
              <w:ind w:right="176"/>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960" w:type="dxa"/>
            <w:vAlign w:val="bottom"/>
            <w:gridSpan w:val="3"/>
            <w:shd w:val="clear" w:color="auto" w:fill="E7E7E2"/>
          </w:tcPr>
          <w:p>
            <w:pPr>
              <w:spacing w:after="0" w:line="189"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4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300" w:type="dxa"/>
            <w:vAlign w:val="bottom"/>
            <w:gridSpan w:val="2"/>
            <w:vMerge w:val="restart"/>
            <w:shd w:val="clear" w:color="auto" w:fill="E7E7E2"/>
          </w:tcPr>
          <w:p>
            <w:pPr>
              <w:spacing w:after="0"/>
              <w:rPr>
                <w:sz w:val="20"/>
                <w:szCs w:val="20"/>
                <w:color w:val="auto"/>
              </w:rPr>
            </w:pPr>
            <w:r>
              <w:rPr>
                <w:rFonts w:ascii="Arial" w:cs="Arial" w:eastAsia="Arial" w:hAnsi="Arial"/>
                <w:sz w:val="17"/>
                <w:szCs w:val="17"/>
                <w:color w:val="auto"/>
                <w:w w:val="98"/>
              </w:rPr>
              <w:t>N/A</w:t>
            </w: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600" w:type="dxa"/>
            <w:vAlign w:val="bottom"/>
            <w:tcBorders>
              <w:right w:val="single" w:sz="8" w:color="E7E7E2"/>
            </w:tcBorders>
            <w:gridSpan w:val="3"/>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40" w:type="dxa"/>
            <w:vAlign w:val="bottom"/>
          </w:tcPr>
          <w:p>
            <w:pPr>
              <w:spacing w:after="0"/>
              <w:rPr>
                <w:sz w:val="16"/>
                <w:szCs w:val="16"/>
                <w:color w:val="auto"/>
              </w:rPr>
            </w:pPr>
          </w:p>
        </w:tc>
        <w:tc>
          <w:tcPr>
            <w:tcW w:w="180" w:type="dxa"/>
            <w:vAlign w:val="bottom"/>
            <w:shd w:val="clear" w:color="auto" w:fill="E7E7E2"/>
          </w:tcPr>
          <w:p>
            <w:pPr>
              <w:spacing w:after="0"/>
              <w:rPr>
                <w:sz w:val="16"/>
                <w:szCs w:val="16"/>
                <w:color w:val="auto"/>
              </w:rPr>
            </w:pPr>
          </w:p>
        </w:tc>
        <w:tc>
          <w:tcPr>
            <w:tcW w:w="520" w:type="dxa"/>
            <w:vAlign w:val="bottom"/>
            <w:tcBorders>
              <w:right w:val="single" w:sz="8" w:color="E7E7E2"/>
            </w:tcBorders>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880" w:type="dxa"/>
            <w:vAlign w:val="bottom"/>
            <w:gridSpan w:val="2"/>
            <w:vMerge w:val="restart"/>
            <w:shd w:val="clear" w:color="auto" w:fill="E7E7E2"/>
          </w:tcPr>
          <w:p>
            <w:pPr>
              <w:jc w:val="right"/>
              <w:ind w:right="580"/>
              <w:spacing w:after="0"/>
              <w:rPr>
                <w:sz w:val="20"/>
                <w:szCs w:val="20"/>
                <w:color w:val="auto"/>
              </w:rPr>
            </w:pPr>
            <w:r>
              <w:rPr>
                <w:rFonts w:ascii="Arial" w:cs="Arial" w:eastAsia="Arial" w:hAnsi="Arial"/>
                <w:sz w:val="17"/>
                <w:szCs w:val="17"/>
                <w:color w:val="auto"/>
                <w:w w:val="98"/>
              </w:rPr>
              <w:t>N/A</w:t>
            </w:r>
          </w:p>
        </w:tc>
        <w:tc>
          <w:tcPr>
            <w:tcW w:w="100" w:type="dxa"/>
            <w:vAlign w:val="bottom"/>
            <w:tcBorders>
              <w:left w:val="single" w:sz="8" w:color="E7E7E2"/>
            </w:tcBorders>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vMerge w:val="restart"/>
            <w:shd w:val="clear" w:color="auto" w:fill="E7E7E2"/>
          </w:tcPr>
          <w:p>
            <w:pPr>
              <w:ind w:left="4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9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2"/>
            <w:vMerge w:val="continue"/>
            <w:shd w:val="clear" w:color="auto" w:fill="E7E7E2"/>
          </w:tcPr>
          <w:p>
            <w:pPr>
              <w:spacing w:after="0"/>
              <w:rPr>
                <w:sz w:val="11"/>
                <w:szCs w:val="11"/>
                <w:color w:val="auto"/>
              </w:rPr>
            </w:pPr>
          </w:p>
        </w:tc>
        <w:tc>
          <w:tcPr>
            <w:tcW w:w="12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shd w:val="clear" w:color="auto" w:fill="E7E7E2"/>
          </w:tcPr>
          <w:p>
            <w:pPr>
              <w:spacing w:after="0"/>
              <w:rPr>
                <w:sz w:val="11"/>
                <w:szCs w:val="11"/>
                <w:color w:val="auto"/>
              </w:rPr>
            </w:pPr>
          </w:p>
        </w:tc>
        <w:tc>
          <w:tcPr>
            <w:tcW w:w="52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vMerge w:val="continue"/>
            <w:shd w:val="clear" w:color="auto" w:fill="E7E7E2"/>
          </w:tcPr>
          <w:p>
            <w:pPr>
              <w:spacing w:after="0"/>
              <w:rPr>
                <w:sz w:val="11"/>
                <w:szCs w:val="11"/>
                <w:color w:val="auto"/>
              </w:rPr>
            </w:pPr>
          </w:p>
        </w:tc>
        <w:tc>
          <w:tcPr>
            <w:tcW w:w="100" w:type="dxa"/>
            <w:vAlign w:val="bottom"/>
            <w:tcBorders>
              <w:left w:val="single" w:sz="8" w:color="E7E7E2"/>
            </w:tcBorders>
          </w:tcPr>
          <w:p>
            <w:pPr>
              <w:spacing w:after="0"/>
              <w:rPr>
                <w:sz w:val="11"/>
                <w:szCs w:val="11"/>
                <w:color w:val="auto"/>
              </w:rPr>
            </w:pPr>
          </w:p>
        </w:tc>
        <w:tc>
          <w:tcPr>
            <w:tcW w:w="5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96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40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8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tcBorders>
              <w:left w:val="single" w:sz="8" w:color="E7E7E2"/>
            </w:tcBorders>
          </w:tcPr>
          <w:p>
            <w:pPr>
              <w:spacing w:after="0"/>
              <w:rPr>
                <w:sz w:val="8"/>
                <w:szCs w:val="8"/>
                <w:color w:val="auto"/>
              </w:rPr>
            </w:pPr>
          </w:p>
        </w:tc>
        <w:tc>
          <w:tcPr>
            <w:tcW w:w="5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960" w:type="dxa"/>
            <w:vAlign w:val="bottom"/>
            <w:gridSpan w:val="3"/>
            <w:shd w:val="clear" w:color="auto" w:fill="E7E7E2"/>
          </w:tcPr>
          <w:p>
            <w:pPr>
              <w:spacing w:after="0" w:line="18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4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300" w:type="dxa"/>
            <w:vAlign w:val="bottom"/>
            <w:gridSpan w:val="2"/>
            <w:vMerge w:val="restart"/>
            <w:shd w:val="clear" w:color="auto" w:fill="E7E7E2"/>
          </w:tcPr>
          <w:p>
            <w:pPr>
              <w:spacing w:after="0"/>
              <w:rPr>
                <w:sz w:val="20"/>
                <w:szCs w:val="20"/>
                <w:color w:val="auto"/>
              </w:rPr>
            </w:pPr>
            <w:r>
              <w:rPr>
                <w:rFonts w:ascii="Arial" w:cs="Arial" w:eastAsia="Arial" w:hAnsi="Arial"/>
                <w:sz w:val="17"/>
                <w:szCs w:val="17"/>
                <w:color w:val="auto"/>
                <w:w w:val="98"/>
              </w:rPr>
              <w:t>N/A</w:t>
            </w:r>
          </w:p>
        </w:tc>
        <w:tc>
          <w:tcPr>
            <w:tcW w:w="1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00" w:type="dxa"/>
            <w:vAlign w:val="bottom"/>
            <w:tcBorders>
              <w:right w:val="single" w:sz="8" w:color="E7E7E2"/>
            </w:tcBorders>
            <w:gridSpan w:val="3"/>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40" w:type="dxa"/>
            <w:vAlign w:val="bottom"/>
          </w:tcPr>
          <w:p>
            <w:pPr>
              <w:spacing w:after="0"/>
              <w:rPr>
                <w:sz w:val="15"/>
                <w:szCs w:val="15"/>
                <w:color w:val="auto"/>
              </w:rPr>
            </w:pPr>
          </w:p>
        </w:tc>
        <w:tc>
          <w:tcPr>
            <w:tcW w:w="180" w:type="dxa"/>
            <w:vAlign w:val="bottom"/>
            <w:shd w:val="clear" w:color="auto" w:fill="E7E7E2"/>
          </w:tcPr>
          <w:p>
            <w:pPr>
              <w:spacing w:after="0"/>
              <w:rPr>
                <w:sz w:val="15"/>
                <w:szCs w:val="15"/>
                <w:color w:val="auto"/>
              </w:rPr>
            </w:pPr>
          </w:p>
        </w:tc>
        <w:tc>
          <w:tcPr>
            <w:tcW w:w="520" w:type="dxa"/>
            <w:vAlign w:val="bottom"/>
            <w:tcBorders>
              <w:right w:val="single" w:sz="8" w:color="E7E7E2"/>
            </w:tcBorders>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880" w:type="dxa"/>
            <w:vAlign w:val="bottom"/>
            <w:gridSpan w:val="2"/>
            <w:vMerge w:val="restart"/>
            <w:shd w:val="clear" w:color="auto" w:fill="E7E7E2"/>
          </w:tcPr>
          <w:p>
            <w:pPr>
              <w:jc w:val="right"/>
              <w:ind w:right="580"/>
              <w:spacing w:after="0"/>
              <w:rPr>
                <w:sz w:val="20"/>
                <w:szCs w:val="20"/>
                <w:color w:val="auto"/>
              </w:rPr>
            </w:pPr>
            <w:r>
              <w:rPr>
                <w:rFonts w:ascii="Arial" w:cs="Arial" w:eastAsia="Arial" w:hAnsi="Arial"/>
                <w:sz w:val="17"/>
                <w:szCs w:val="17"/>
                <w:color w:val="auto"/>
                <w:w w:val="98"/>
              </w:rPr>
              <w:t>N/A</w:t>
            </w:r>
          </w:p>
        </w:tc>
        <w:tc>
          <w:tcPr>
            <w:tcW w:w="100" w:type="dxa"/>
            <w:vAlign w:val="bottom"/>
            <w:tcBorders>
              <w:left w:val="single" w:sz="8" w:color="E7E7E2"/>
            </w:tcBorders>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vMerge w:val="restart"/>
            <w:shd w:val="clear" w:color="auto" w:fill="E7E7E2"/>
          </w:tcPr>
          <w:p>
            <w:pPr>
              <w:ind w:left="4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9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2"/>
            <w:vMerge w:val="continue"/>
            <w:shd w:val="clear" w:color="auto" w:fill="E7E7E2"/>
          </w:tcPr>
          <w:p>
            <w:pPr>
              <w:spacing w:after="0"/>
              <w:rPr>
                <w:sz w:val="11"/>
                <w:szCs w:val="11"/>
                <w:color w:val="auto"/>
              </w:rPr>
            </w:pPr>
          </w:p>
        </w:tc>
        <w:tc>
          <w:tcPr>
            <w:tcW w:w="12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shd w:val="clear" w:color="auto" w:fill="E7E7E2"/>
          </w:tcPr>
          <w:p>
            <w:pPr>
              <w:spacing w:after="0"/>
              <w:rPr>
                <w:sz w:val="11"/>
                <w:szCs w:val="11"/>
                <w:color w:val="auto"/>
              </w:rPr>
            </w:pPr>
          </w:p>
        </w:tc>
        <w:tc>
          <w:tcPr>
            <w:tcW w:w="52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vMerge w:val="continue"/>
            <w:shd w:val="clear" w:color="auto" w:fill="E7E7E2"/>
          </w:tcPr>
          <w:p>
            <w:pPr>
              <w:spacing w:after="0"/>
              <w:rPr>
                <w:sz w:val="11"/>
                <w:szCs w:val="11"/>
                <w:color w:val="auto"/>
              </w:rPr>
            </w:pPr>
          </w:p>
        </w:tc>
        <w:tc>
          <w:tcPr>
            <w:tcW w:w="100" w:type="dxa"/>
            <w:vAlign w:val="bottom"/>
            <w:tcBorders>
              <w:left w:val="single" w:sz="8" w:color="E7E7E2"/>
            </w:tcBorders>
          </w:tcPr>
          <w:p>
            <w:pPr>
              <w:spacing w:after="0"/>
              <w:rPr>
                <w:sz w:val="11"/>
                <w:szCs w:val="11"/>
                <w:color w:val="auto"/>
              </w:rPr>
            </w:pPr>
          </w:p>
        </w:tc>
        <w:tc>
          <w:tcPr>
            <w:tcW w:w="5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96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40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8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tcBorders>
              <w:left w:val="single" w:sz="8" w:color="E7E7E2"/>
            </w:tcBorders>
          </w:tcPr>
          <w:p>
            <w:pPr>
              <w:spacing w:after="0"/>
              <w:rPr>
                <w:sz w:val="8"/>
                <w:szCs w:val="8"/>
                <w:color w:val="auto"/>
              </w:rPr>
            </w:pPr>
          </w:p>
        </w:tc>
        <w:tc>
          <w:tcPr>
            <w:tcW w:w="5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5"/>
          </w:tcPr>
          <w:p>
            <w:pPr>
              <w:jc w:val="center"/>
              <w:ind w:left="154"/>
              <w:spacing w:after="0"/>
              <w:rPr>
                <w:sz w:val="20"/>
                <w:szCs w:val="20"/>
                <w:color w:val="auto"/>
              </w:rPr>
            </w:pPr>
            <w:r>
              <w:rPr>
                <w:rFonts w:ascii="Arial" w:cs="Arial" w:eastAsia="Arial" w:hAnsi="Arial"/>
                <w:sz w:val="17"/>
                <w:szCs w:val="17"/>
                <w:b w:val="1"/>
                <w:bCs w:val="1"/>
                <w:color w:val="auto"/>
              </w:rPr>
              <w:t>Rule 457(p)</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960" w:type="dxa"/>
            <w:vAlign w:val="bottom"/>
            <w:gridSpan w:val="3"/>
            <w:shd w:val="clear" w:color="auto" w:fill="E7E7E2"/>
          </w:tcPr>
          <w:p>
            <w:pPr>
              <w:spacing w:after="0" w:line="189"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4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300" w:type="dxa"/>
            <w:vAlign w:val="bottom"/>
            <w:gridSpan w:val="2"/>
            <w:vMerge w:val="restart"/>
            <w:shd w:val="clear" w:color="auto" w:fill="E7E7E2"/>
          </w:tcPr>
          <w:p>
            <w:pPr>
              <w:spacing w:after="0"/>
              <w:rPr>
                <w:sz w:val="20"/>
                <w:szCs w:val="20"/>
                <w:color w:val="auto"/>
              </w:rPr>
            </w:pPr>
            <w:r>
              <w:rPr>
                <w:rFonts w:ascii="Arial" w:cs="Arial" w:eastAsia="Arial" w:hAnsi="Arial"/>
                <w:sz w:val="17"/>
                <w:szCs w:val="17"/>
                <w:color w:val="auto"/>
                <w:w w:val="98"/>
              </w:rPr>
              <w:t>N/A</w:t>
            </w: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600" w:type="dxa"/>
            <w:vAlign w:val="bottom"/>
            <w:tcBorders>
              <w:right w:val="single" w:sz="8" w:color="E7E7E2"/>
            </w:tcBorders>
            <w:gridSpan w:val="3"/>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40" w:type="dxa"/>
            <w:vAlign w:val="bottom"/>
          </w:tcPr>
          <w:p>
            <w:pPr>
              <w:spacing w:after="0"/>
              <w:rPr>
                <w:sz w:val="16"/>
                <w:szCs w:val="16"/>
                <w:color w:val="auto"/>
              </w:rPr>
            </w:pPr>
          </w:p>
        </w:tc>
        <w:tc>
          <w:tcPr>
            <w:tcW w:w="180" w:type="dxa"/>
            <w:vAlign w:val="bottom"/>
            <w:shd w:val="clear" w:color="auto" w:fill="E7E7E2"/>
          </w:tcPr>
          <w:p>
            <w:pPr>
              <w:spacing w:after="0"/>
              <w:rPr>
                <w:sz w:val="16"/>
                <w:szCs w:val="16"/>
                <w:color w:val="auto"/>
              </w:rPr>
            </w:pPr>
          </w:p>
        </w:tc>
        <w:tc>
          <w:tcPr>
            <w:tcW w:w="520" w:type="dxa"/>
            <w:vAlign w:val="bottom"/>
            <w:tcBorders>
              <w:right w:val="single" w:sz="8" w:color="E7E7E2"/>
            </w:tcBorders>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880" w:type="dxa"/>
            <w:vAlign w:val="bottom"/>
            <w:gridSpan w:val="2"/>
            <w:vMerge w:val="restart"/>
            <w:shd w:val="clear" w:color="auto" w:fill="E7E7E2"/>
          </w:tcPr>
          <w:p>
            <w:pPr>
              <w:jc w:val="right"/>
              <w:ind w:right="580"/>
              <w:spacing w:after="0"/>
              <w:rPr>
                <w:sz w:val="20"/>
                <w:szCs w:val="20"/>
                <w:color w:val="auto"/>
              </w:rPr>
            </w:pPr>
            <w:r>
              <w:rPr>
                <w:rFonts w:ascii="Arial" w:cs="Arial" w:eastAsia="Arial" w:hAnsi="Arial"/>
                <w:sz w:val="17"/>
                <w:szCs w:val="17"/>
                <w:color w:val="auto"/>
                <w:w w:val="98"/>
              </w:rPr>
              <w:t>N/A</w:t>
            </w:r>
          </w:p>
        </w:tc>
        <w:tc>
          <w:tcPr>
            <w:tcW w:w="100" w:type="dxa"/>
            <w:vAlign w:val="bottom"/>
            <w:tcBorders>
              <w:left w:val="single" w:sz="8" w:color="E7E7E2"/>
            </w:tcBorders>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vMerge w:val="restart"/>
            <w:shd w:val="clear" w:color="auto" w:fill="E7E7E2"/>
          </w:tcPr>
          <w:p>
            <w:pPr>
              <w:ind w:left="4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9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2"/>
            <w:vMerge w:val="continue"/>
            <w:shd w:val="clear" w:color="auto" w:fill="E7E7E2"/>
          </w:tcPr>
          <w:p>
            <w:pPr>
              <w:spacing w:after="0"/>
              <w:rPr>
                <w:sz w:val="11"/>
                <w:szCs w:val="11"/>
                <w:color w:val="auto"/>
              </w:rPr>
            </w:pPr>
          </w:p>
        </w:tc>
        <w:tc>
          <w:tcPr>
            <w:tcW w:w="12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shd w:val="clear" w:color="auto" w:fill="E7E7E2"/>
          </w:tcPr>
          <w:p>
            <w:pPr>
              <w:spacing w:after="0"/>
              <w:rPr>
                <w:sz w:val="11"/>
                <w:szCs w:val="11"/>
                <w:color w:val="auto"/>
              </w:rPr>
            </w:pPr>
          </w:p>
        </w:tc>
        <w:tc>
          <w:tcPr>
            <w:tcW w:w="52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vMerge w:val="continue"/>
            <w:shd w:val="clear" w:color="auto" w:fill="E7E7E2"/>
          </w:tcPr>
          <w:p>
            <w:pPr>
              <w:spacing w:after="0"/>
              <w:rPr>
                <w:sz w:val="11"/>
                <w:szCs w:val="11"/>
                <w:color w:val="auto"/>
              </w:rPr>
            </w:pPr>
          </w:p>
        </w:tc>
        <w:tc>
          <w:tcPr>
            <w:tcW w:w="100" w:type="dxa"/>
            <w:vAlign w:val="bottom"/>
            <w:tcBorders>
              <w:left w:val="single" w:sz="8" w:color="E7E7E2"/>
            </w:tcBorders>
          </w:tcPr>
          <w:p>
            <w:pPr>
              <w:spacing w:after="0"/>
              <w:rPr>
                <w:sz w:val="11"/>
                <w:szCs w:val="11"/>
                <w:color w:val="auto"/>
              </w:rPr>
            </w:pPr>
          </w:p>
        </w:tc>
        <w:tc>
          <w:tcPr>
            <w:tcW w:w="5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96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40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8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tcBorders>
              <w:left w:val="single" w:sz="8" w:color="E7E7E2"/>
            </w:tcBorders>
          </w:tcPr>
          <w:p>
            <w:pPr>
              <w:spacing w:after="0"/>
              <w:rPr>
                <w:sz w:val="8"/>
                <w:szCs w:val="8"/>
                <w:color w:val="auto"/>
              </w:rPr>
            </w:pPr>
          </w:p>
        </w:tc>
        <w:tc>
          <w:tcPr>
            <w:tcW w:w="5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960" w:type="dxa"/>
            <w:vAlign w:val="bottom"/>
            <w:gridSpan w:val="3"/>
            <w:shd w:val="clear" w:color="auto" w:fill="E7E7E2"/>
          </w:tcPr>
          <w:p>
            <w:pPr>
              <w:spacing w:after="0" w:line="18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4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300" w:type="dxa"/>
            <w:vAlign w:val="bottom"/>
            <w:gridSpan w:val="2"/>
            <w:vMerge w:val="restart"/>
            <w:shd w:val="clear" w:color="auto" w:fill="E7E7E2"/>
          </w:tcPr>
          <w:p>
            <w:pPr>
              <w:spacing w:after="0"/>
              <w:rPr>
                <w:sz w:val="20"/>
                <w:szCs w:val="20"/>
                <w:color w:val="auto"/>
              </w:rPr>
            </w:pPr>
            <w:r>
              <w:rPr>
                <w:rFonts w:ascii="Arial" w:cs="Arial" w:eastAsia="Arial" w:hAnsi="Arial"/>
                <w:sz w:val="17"/>
                <w:szCs w:val="17"/>
                <w:color w:val="auto"/>
                <w:w w:val="98"/>
              </w:rPr>
              <w:t>N/A</w:t>
            </w:r>
          </w:p>
        </w:tc>
        <w:tc>
          <w:tcPr>
            <w:tcW w:w="1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00" w:type="dxa"/>
            <w:vAlign w:val="bottom"/>
            <w:tcBorders>
              <w:right w:val="single" w:sz="8" w:color="E7E7E2"/>
            </w:tcBorders>
            <w:gridSpan w:val="3"/>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40" w:type="dxa"/>
            <w:vAlign w:val="bottom"/>
          </w:tcPr>
          <w:p>
            <w:pPr>
              <w:spacing w:after="0"/>
              <w:rPr>
                <w:sz w:val="15"/>
                <w:szCs w:val="15"/>
                <w:color w:val="auto"/>
              </w:rPr>
            </w:pPr>
          </w:p>
        </w:tc>
        <w:tc>
          <w:tcPr>
            <w:tcW w:w="180" w:type="dxa"/>
            <w:vAlign w:val="bottom"/>
            <w:shd w:val="clear" w:color="auto" w:fill="E7E7E2"/>
          </w:tcPr>
          <w:p>
            <w:pPr>
              <w:spacing w:after="0"/>
              <w:rPr>
                <w:sz w:val="15"/>
                <w:szCs w:val="15"/>
                <w:color w:val="auto"/>
              </w:rPr>
            </w:pPr>
          </w:p>
        </w:tc>
        <w:tc>
          <w:tcPr>
            <w:tcW w:w="520" w:type="dxa"/>
            <w:vAlign w:val="bottom"/>
            <w:tcBorders>
              <w:right w:val="single" w:sz="8" w:color="E7E7E2"/>
            </w:tcBorders>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880" w:type="dxa"/>
            <w:vAlign w:val="bottom"/>
            <w:gridSpan w:val="2"/>
            <w:vMerge w:val="restart"/>
            <w:shd w:val="clear" w:color="auto" w:fill="E7E7E2"/>
          </w:tcPr>
          <w:p>
            <w:pPr>
              <w:jc w:val="right"/>
              <w:ind w:right="580"/>
              <w:spacing w:after="0"/>
              <w:rPr>
                <w:sz w:val="20"/>
                <w:szCs w:val="20"/>
                <w:color w:val="auto"/>
              </w:rPr>
            </w:pPr>
            <w:r>
              <w:rPr>
                <w:rFonts w:ascii="Arial" w:cs="Arial" w:eastAsia="Arial" w:hAnsi="Arial"/>
                <w:sz w:val="17"/>
                <w:szCs w:val="17"/>
                <w:color w:val="auto"/>
                <w:w w:val="98"/>
              </w:rPr>
              <w:t>N/A</w:t>
            </w:r>
          </w:p>
        </w:tc>
        <w:tc>
          <w:tcPr>
            <w:tcW w:w="100" w:type="dxa"/>
            <w:vAlign w:val="bottom"/>
            <w:tcBorders>
              <w:left w:val="single" w:sz="8" w:color="E7E7E2"/>
            </w:tcBorders>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vMerge w:val="restart"/>
            <w:shd w:val="clear" w:color="auto" w:fill="E7E7E2"/>
          </w:tcPr>
          <w:p>
            <w:pPr>
              <w:ind w:left="4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9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2"/>
            <w:vMerge w:val="continue"/>
            <w:shd w:val="clear" w:color="auto" w:fill="E7E7E2"/>
          </w:tcPr>
          <w:p>
            <w:pPr>
              <w:spacing w:after="0"/>
              <w:rPr>
                <w:sz w:val="11"/>
                <w:szCs w:val="11"/>
                <w:color w:val="auto"/>
              </w:rPr>
            </w:pPr>
          </w:p>
        </w:tc>
        <w:tc>
          <w:tcPr>
            <w:tcW w:w="12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shd w:val="clear" w:color="auto" w:fill="E7E7E2"/>
          </w:tcPr>
          <w:p>
            <w:pPr>
              <w:spacing w:after="0"/>
              <w:rPr>
                <w:sz w:val="11"/>
                <w:szCs w:val="11"/>
                <w:color w:val="auto"/>
              </w:rPr>
            </w:pPr>
          </w:p>
        </w:tc>
        <w:tc>
          <w:tcPr>
            <w:tcW w:w="52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vMerge w:val="continue"/>
            <w:shd w:val="clear" w:color="auto" w:fill="E7E7E2"/>
          </w:tcPr>
          <w:p>
            <w:pPr>
              <w:spacing w:after="0"/>
              <w:rPr>
                <w:sz w:val="11"/>
                <w:szCs w:val="11"/>
                <w:color w:val="auto"/>
              </w:rPr>
            </w:pPr>
          </w:p>
        </w:tc>
        <w:tc>
          <w:tcPr>
            <w:tcW w:w="100" w:type="dxa"/>
            <w:vAlign w:val="bottom"/>
            <w:tcBorders>
              <w:left w:val="single" w:sz="8" w:color="E7E7E2"/>
            </w:tcBorders>
          </w:tcPr>
          <w:p>
            <w:pPr>
              <w:spacing w:after="0"/>
              <w:rPr>
                <w:sz w:val="11"/>
                <w:szCs w:val="11"/>
                <w:color w:val="auto"/>
              </w:rPr>
            </w:pPr>
          </w:p>
        </w:tc>
        <w:tc>
          <w:tcPr>
            <w:tcW w:w="5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96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40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8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tcBorders>
              <w:left w:val="single" w:sz="8" w:color="E7E7E2"/>
            </w:tcBorders>
          </w:tcPr>
          <w:p>
            <w:pPr>
              <w:spacing w:after="0"/>
              <w:rPr>
                <w:sz w:val="8"/>
                <w:szCs w:val="8"/>
                <w:color w:val="auto"/>
              </w:rPr>
            </w:pPr>
          </w:p>
        </w:tc>
        <w:tc>
          <w:tcPr>
            <w:tcW w:w="5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330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7"/>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right w:val="single" w:sz="8" w:color="9ADAF6"/>
            </w:tcBorders>
            <w:shd w:val="clear" w:color="auto" w:fill="9ADAF6"/>
          </w:tcPr>
          <w:p>
            <w:pPr>
              <w:spacing w:after="0"/>
              <w:rPr>
                <w:sz w:val="17"/>
                <w:szCs w:val="17"/>
                <w:color w:val="auto"/>
              </w:rPr>
            </w:pPr>
          </w:p>
        </w:tc>
        <w:tc>
          <w:tcPr>
            <w:tcW w:w="840" w:type="dxa"/>
            <w:vAlign w:val="bottom"/>
            <w:gridSpan w:val="4"/>
            <w:shd w:val="clear" w:color="auto" w:fill="9ADAF6"/>
          </w:tcPr>
          <w:p>
            <w:pPr>
              <w:spacing w:after="0"/>
              <w:rPr>
                <w:sz w:val="20"/>
                <w:szCs w:val="20"/>
                <w:color w:val="auto"/>
              </w:rPr>
            </w:pPr>
            <w:r>
              <w:rPr>
                <w:rFonts w:ascii="Arial" w:cs="Arial" w:eastAsia="Arial" w:hAnsi="Arial"/>
                <w:sz w:val="17"/>
                <w:szCs w:val="17"/>
                <w:b w:val="1"/>
                <w:bCs w:val="1"/>
                <w:color w:val="auto"/>
                <w:w w:val="96"/>
              </w:rPr>
              <w:t>Amount of</w:t>
            </w:r>
          </w:p>
        </w:tc>
        <w:tc>
          <w:tcPr>
            <w:tcW w:w="3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right w:val="single" w:sz="8" w:color="9ADAF6"/>
            </w:tcBorders>
            <w:shd w:val="clear" w:color="auto" w:fill="9ADAF6"/>
          </w:tcPr>
          <w:p>
            <w:pPr>
              <w:spacing w:after="0"/>
              <w:rPr>
                <w:sz w:val="17"/>
                <w:szCs w:val="17"/>
                <w:color w:val="auto"/>
              </w:rPr>
            </w:pPr>
          </w:p>
        </w:tc>
        <w:tc>
          <w:tcPr>
            <w:tcW w:w="1840" w:type="dxa"/>
            <w:vAlign w:val="bottom"/>
            <w:gridSpan w:val="4"/>
            <w:shd w:val="clear" w:color="auto" w:fill="9ADAF6"/>
          </w:tcPr>
          <w:p>
            <w:pPr>
              <w:jc w:val="center"/>
              <w:ind w:right="76"/>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100" w:type="dxa"/>
            <w:vAlign w:val="bottom"/>
            <w:tcBorders>
              <w:left w:val="single" w:sz="8" w:color="9ADAF6"/>
            </w:tcBorders>
            <w:shd w:val="clear" w:color="auto" w:fill="9ADAF6"/>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680" w:type="dxa"/>
            <w:vAlign w:val="bottom"/>
            <w:gridSpan w:val="3"/>
            <w:vMerge w:val="restart"/>
            <w:shd w:val="clear" w:color="auto" w:fill="9ADAF6"/>
          </w:tcPr>
          <w:p>
            <w:pPr>
              <w:jc w:val="center"/>
              <w:ind w:right="200"/>
              <w:spacing w:after="0"/>
              <w:rPr>
                <w:sz w:val="20"/>
                <w:szCs w:val="20"/>
                <w:color w:val="auto"/>
              </w:rPr>
            </w:pPr>
            <w:r>
              <w:rPr>
                <w:rFonts w:ascii="Arial" w:cs="Arial" w:eastAsia="Arial" w:hAnsi="Arial"/>
                <w:sz w:val="17"/>
                <w:szCs w:val="17"/>
                <w:b w:val="1"/>
                <w:bCs w:val="1"/>
                <w:color w:val="auto"/>
                <w:w w:val="98"/>
              </w:rPr>
              <w:t>Initial</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right w:val="single" w:sz="8" w:color="9ADAF6"/>
            </w:tcBorders>
            <w:shd w:val="clear" w:color="auto" w:fill="9ADAF6"/>
          </w:tcPr>
          <w:p>
            <w:pPr>
              <w:spacing w:after="0"/>
              <w:rPr>
                <w:sz w:val="8"/>
                <w:szCs w:val="8"/>
                <w:color w:val="auto"/>
              </w:rPr>
            </w:pPr>
          </w:p>
        </w:tc>
        <w:tc>
          <w:tcPr>
            <w:tcW w:w="840" w:type="dxa"/>
            <w:vAlign w:val="bottom"/>
            <w:gridSpan w:val="4"/>
            <w:vMerge w:val="restart"/>
            <w:shd w:val="clear" w:color="auto" w:fill="9ADAF6"/>
          </w:tcPr>
          <w:p>
            <w:pPr>
              <w:spacing w:after="0" w:line="194" w:lineRule="exact"/>
              <w:rPr>
                <w:sz w:val="20"/>
                <w:szCs w:val="20"/>
                <w:color w:val="auto"/>
              </w:rPr>
            </w:pPr>
            <w:r>
              <w:rPr>
                <w:rFonts w:ascii="Arial" w:cs="Arial" w:eastAsia="Arial" w:hAnsi="Arial"/>
                <w:sz w:val="17"/>
                <w:szCs w:val="17"/>
                <w:b w:val="1"/>
                <w:bCs w:val="1"/>
                <w:color w:val="auto"/>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20" w:type="dxa"/>
            <w:vAlign w:val="bottom"/>
            <w:gridSpan w:val="3"/>
            <w:vMerge w:val="restart"/>
            <w:shd w:val="clear" w:color="auto" w:fill="9ADAF6"/>
          </w:tcPr>
          <w:p>
            <w:pPr>
              <w:jc w:val="center"/>
              <w:ind w:right="96"/>
              <w:spacing w:after="0" w:line="194" w:lineRule="exact"/>
              <w:rPr>
                <w:sz w:val="20"/>
                <w:szCs w:val="20"/>
                <w:color w:val="auto"/>
              </w:rPr>
            </w:pPr>
            <w:r>
              <w:rPr>
                <w:rFonts w:ascii="Arial" w:cs="Arial" w:eastAsia="Arial" w:hAnsi="Arial"/>
                <w:sz w:val="17"/>
                <w:szCs w:val="17"/>
                <w:b w:val="1"/>
                <w:bCs w:val="1"/>
                <w:color w:val="auto"/>
              </w:rPr>
              <w:t>Offering Price of</w:t>
            </w:r>
          </w:p>
        </w:tc>
        <w:tc>
          <w:tcPr>
            <w:tcW w:w="20" w:type="dxa"/>
            <w:vAlign w:val="bottom"/>
          </w:tcPr>
          <w:p>
            <w:pPr>
              <w:spacing w:after="0"/>
              <w:rPr>
                <w:sz w:val="8"/>
                <w:szCs w:val="8"/>
                <w:color w:val="auto"/>
              </w:rPr>
            </w:pPr>
          </w:p>
        </w:tc>
        <w:tc>
          <w:tcPr>
            <w:tcW w:w="100" w:type="dxa"/>
            <w:vAlign w:val="bottom"/>
            <w:tcBorders>
              <w:left w:val="single" w:sz="8" w:color="9ADAF6"/>
            </w:tcBorders>
            <w:shd w:val="clear" w:color="auto" w:fill="9ADAF6"/>
          </w:tcPr>
          <w:p>
            <w:pPr>
              <w:spacing w:after="0"/>
              <w:rPr>
                <w:sz w:val="8"/>
                <w:szCs w:val="8"/>
                <w:color w:val="auto"/>
              </w:rPr>
            </w:pPr>
          </w:p>
        </w:tc>
        <w:tc>
          <w:tcPr>
            <w:tcW w:w="580" w:type="dxa"/>
            <w:vAlign w:val="bottom"/>
            <w:vMerge w:val="restart"/>
            <w:shd w:val="clear" w:color="auto" w:fill="9ADAF6"/>
          </w:tcPr>
          <w:p>
            <w:pPr>
              <w:jc w:val="center"/>
              <w:ind w:right="16"/>
              <w:spacing w:after="0" w:line="194"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680" w:type="dxa"/>
            <w:vAlign w:val="bottom"/>
            <w:gridSpan w:val="3"/>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4"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00" w:type="dxa"/>
            <w:vAlign w:val="bottom"/>
            <w:gridSpan w:val="5"/>
            <w:vMerge w:val="restart"/>
            <w:shd w:val="clear" w:color="auto" w:fill="9ADAF6"/>
          </w:tcPr>
          <w:p>
            <w:pPr>
              <w:ind w:left="620"/>
              <w:spacing w:after="0" w:line="194"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right w:val="single" w:sz="8" w:color="9ADAF6"/>
            </w:tcBorders>
            <w:shd w:val="clear" w:color="auto" w:fill="9ADAF6"/>
          </w:tcPr>
          <w:p>
            <w:pPr>
              <w:spacing w:after="0"/>
              <w:rPr>
                <w:sz w:val="8"/>
                <w:szCs w:val="8"/>
                <w:color w:val="auto"/>
              </w:rPr>
            </w:pPr>
          </w:p>
        </w:tc>
        <w:tc>
          <w:tcPr>
            <w:tcW w:w="840" w:type="dxa"/>
            <w:vAlign w:val="bottom"/>
            <w:gridSpan w:val="4"/>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left w:val="single" w:sz="8" w:color="9ADAF6"/>
            </w:tcBorders>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94"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00" w:type="dxa"/>
            <w:vAlign w:val="bottom"/>
            <w:gridSpan w:val="4"/>
            <w:vMerge w:val="restart"/>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Effective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right w:val="single" w:sz="8" w:color="9ADAF6"/>
            </w:tcBorders>
            <w:shd w:val="clear" w:color="auto" w:fill="9ADAF6"/>
          </w:tcPr>
          <w:p>
            <w:pPr>
              <w:spacing w:after="0"/>
              <w:rPr>
                <w:sz w:val="8"/>
                <w:szCs w:val="8"/>
                <w:color w:val="auto"/>
              </w:rPr>
            </w:pPr>
          </w:p>
        </w:tc>
        <w:tc>
          <w:tcPr>
            <w:tcW w:w="840" w:type="dxa"/>
            <w:vAlign w:val="bottom"/>
            <w:gridSpan w:val="4"/>
            <w:vMerge w:val="restart"/>
            <w:shd w:val="clear" w:color="auto" w:fill="9ADAF6"/>
          </w:tcPr>
          <w:p>
            <w:pPr>
              <w:spacing w:after="0" w:line="194" w:lineRule="exact"/>
              <w:rPr>
                <w:sz w:val="20"/>
                <w:szCs w:val="20"/>
                <w:color w:val="auto"/>
              </w:rPr>
            </w:pPr>
            <w:r>
              <w:rPr>
                <w:rFonts w:ascii="Arial" w:cs="Arial" w:eastAsia="Arial" w:hAnsi="Arial"/>
                <w:sz w:val="17"/>
                <w:szCs w:val="17"/>
                <w:b w:val="1"/>
                <w:bCs w:val="1"/>
                <w:color w:val="auto"/>
                <w:w w:val="95"/>
              </w:rPr>
              <w:t>Previously</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Securities Previously</w:t>
            </w:r>
          </w:p>
        </w:tc>
        <w:tc>
          <w:tcPr>
            <w:tcW w:w="20" w:type="dxa"/>
            <w:vAlign w:val="bottom"/>
          </w:tcPr>
          <w:p>
            <w:pPr>
              <w:spacing w:after="0"/>
              <w:rPr>
                <w:sz w:val="8"/>
                <w:szCs w:val="8"/>
                <w:color w:val="auto"/>
              </w:rPr>
            </w:pPr>
          </w:p>
        </w:tc>
        <w:tc>
          <w:tcPr>
            <w:tcW w:w="100" w:type="dxa"/>
            <w:vAlign w:val="bottom"/>
            <w:tcBorders>
              <w:left w:val="single" w:sz="8" w:color="9ADAF6"/>
            </w:tcBorders>
            <w:shd w:val="clear" w:color="auto" w:fill="9ADAF6"/>
          </w:tcPr>
          <w:p>
            <w:pPr>
              <w:spacing w:after="0"/>
              <w:rPr>
                <w:sz w:val="8"/>
                <w:szCs w:val="8"/>
                <w:color w:val="auto"/>
              </w:rPr>
            </w:pPr>
          </w:p>
        </w:tc>
        <w:tc>
          <w:tcPr>
            <w:tcW w:w="580" w:type="dxa"/>
            <w:vAlign w:val="bottom"/>
            <w:vMerge w:val="restart"/>
            <w:shd w:val="clear" w:color="auto" w:fill="9ADAF6"/>
          </w:tcPr>
          <w:p>
            <w:pPr>
              <w:jc w:val="center"/>
              <w:ind w:right="16"/>
              <w:spacing w:after="0" w:line="194"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gridSpan w:val="4"/>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right w:val="single" w:sz="8" w:color="9ADAF6"/>
            </w:tcBorders>
            <w:shd w:val="clear" w:color="auto" w:fill="9ADAF6"/>
          </w:tcPr>
          <w:p>
            <w:pPr>
              <w:spacing w:after="0"/>
              <w:rPr>
                <w:sz w:val="8"/>
                <w:szCs w:val="8"/>
                <w:color w:val="auto"/>
              </w:rPr>
            </w:pPr>
          </w:p>
        </w:tc>
        <w:tc>
          <w:tcPr>
            <w:tcW w:w="840" w:type="dxa"/>
            <w:vAlign w:val="bottom"/>
            <w:gridSpan w:val="4"/>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left w:val="single" w:sz="8" w:color="9ADAF6"/>
            </w:tcBorders>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gridSpan w:val="2"/>
            <w:vMerge w:val="restart"/>
            <w:shd w:val="clear" w:color="auto" w:fill="9ADAF6"/>
          </w:tcPr>
          <w:p>
            <w:pPr>
              <w:jc w:val="center"/>
              <w:ind w:right="220"/>
              <w:spacing w:after="0"/>
              <w:rPr>
                <w:sz w:val="20"/>
                <w:szCs w:val="20"/>
                <w:color w:val="auto"/>
              </w:rPr>
            </w:pPr>
            <w:r>
              <w:rPr>
                <w:rFonts w:ascii="Arial" w:cs="Arial" w:eastAsia="Arial" w:hAnsi="Arial"/>
                <w:sz w:val="17"/>
                <w:szCs w:val="17"/>
                <w:b w:val="1"/>
                <w:bCs w:val="1"/>
                <w:color w:val="auto"/>
                <w:w w:val="97"/>
              </w:rPr>
              <w:t>Date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0" w:type="dxa"/>
            <w:vAlign w:val="bottom"/>
            <w:tcBorders>
              <w:left w:val="single" w:sz="8" w:color="auto"/>
            </w:tcBorders>
          </w:tcPr>
          <w:p>
            <w:pPr>
              <w:spacing w:after="0"/>
              <w:rPr>
                <w:sz w:val="12"/>
                <w:szCs w:val="12"/>
                <w:color w:val="auto"/>
              </w:rPr>
            </w:pPr>
          </w:p>
        </w:tc>
        <w:tc>
          <w:tcPr>
            <w:tcW w:w="4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2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0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1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right w:val="single" w:sz="8" w:color="9ADAF6"/>
            </w:tcBorders>
            <w:shd w:val="clear" w:color="auto" w:fill="9ADAF6"/>
          </w:tcPr>
          <w:p>
            <w:pPr>
              <w:spacing w:after="0"/>
              <w:rPr>
                <w:sz w:val="12"/>
                <w:szCs w:val="12"/>
                <w:color w:val="auto"/>
              </w:rPr>
            </w:pPr>
          </w:p>
        </w:tc>
        <w:tc>
          <w:tcPr>
            <w:tcW w:w="840" w:type="dxa"/>
            <w:vAlign w:val="bottom"/>
            <w:gridSpan w:val="4"/>
            <w:vMerge w:val="restart"/>
            <w:shd w:val="clear" w:color="auto" w:fill="9ADAF6"/>
          </w:tcPr>
          <w:p>
            <w:pPr>
              <w:spacing w:after="0"/>
              <w:rPr>
                <w:sz w:val="20"/>
                <w:szCs w:val="20"/>
                <w:color w:val="auto"/>
              </w:rPr>
            </w:pPr>
            <w:r>
              <w:rPr>
                <w:rFonts w:ascii="Arial" w:cs="Arial" w:eastAsia="Arial" w:hAnsi="Arial"/>
                <w:sz w:val="17"/>
                <w:szCs w:val="17"/>
                <w:b w:val="1"/>
                <w:bCs w:val="1"/>
                <w:color w:val="auto"/>
                <w:w w:val="93"/>
              </w:rPr>
              <w:t>Registered</w:t>
            </w:r>
          </w:p>
        </w:tc>
        <w:tc>
          <w:tcPr>
            <w:tcW w:w="3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right w:val="single" w:sz="8" w:color="9ADAF6"/>
            </w:tcBorders>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1820" w:type="dxa"/>
            <w:vAlign w:val="bottom"/>
            <w:gridSpan w:val="3"/>
            <w:vMerge w:val="restart"/>
            <w:shd w:val="clear" w:color="auto" w:fill="9ADAF6"/>
          </w:tcPr>
          <w:p>
            <w:pPr>
              <w:jc w:val="right"/>
              <w:ind w:right="476"/>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2"/>
                <w:szCs w:val="12"/>
                <w:color w:val="auto"/>
              </w:rPr>
            </w:pPr>
          </w:p>
        </w:tc>
        <w:tc>
          <w:tcPr>
            <w:tcW w:w="100" w:type="dxa"/>
            <w:vAlign w:val="bottom"/>
            <w:tcBorders>
              <w:left w:val="single" w:sz="8" w:color="9ADAF6"/>
            </w:tcBorders>
            <w:shd w:val="clear" w:color="auto" w:fill="9ADAF6"/>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60" w:type="dxa"/>
            <w:vAlign w:val="bottom"/>
            <w:gridSpan w:val="2"/>
            <w:vMerge w:val="continue"/>
            <w:shd w:val="clear" w:color="auto" w:fill="9ADAF6"/>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Borders>
              <w:right w:val="single" w:sz="8" w:color="9ADAF6"/>
            </w:tcBorders>
            <w:shd w:val="clear" w:color="auto" w:fill="9ADAF6"/>
          </w:tcPr>
          <w:p>
            <w:pPr>
              <w:spacing w:after="0"/>
              <w:rPr>
                <w:sz w:val="7"/>
                <w:szCs w:val="7"/>
                <w:color w:val="auto"/>
              </w:rPr>
            </w:pPr>
          </w:p>
        </w:tc>
        <w:tc>
          <w:tcPr>
            <w:tcW w:w="840" w:type="dxa"/>
            <w:vAlign w:val="bottom"/>
            <w:gridSpan w:val="4"/>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right w:val="single" w:sz="8" w:color="9ADAF6"/>
            </w:tcBorders>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8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left w:val="single" w:sz="8" w:color="9ADAF6"/>
            </w:tcBorders>
            <w:shd w:val="clear" w:color="auto" w:fill="9ADAF6"/>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50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righ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40" w:type="dxa"/>
            <w:vAlign w:val="bottom"/>
            <w:shd w:val="clear" w:color="auto" w:fill="E7E7E2"/>
          </w:tcPr>
          <w:p>
            <w:pPr>
              <w:spacing w:after="0"/>
              <w:rPr>
                <w:sz w:val="18"/>
                <w:szCs w:val="18"/>
                <w:color w:val="auto"/>
              </w:rPr>
            </w:pPr>
          </w:p>
        </w:tc>
        <w:tc>
          <w:tcPr>
            <w:tcW w:w="180" w:type="dxa"/>
            <w:vAlign w:val="bottom"/>
            <w:shd w:val="clear" w:color="auto" w:fill="E7E7E2"/>
          </w:tcPr>
          <w:p>
            <w:pPr>
              <w:spacing w:after="0"/>
              <w:rPr>
                <w:sz w:val="18"/>
                <w:szCs w:val="18"/>
                <w:color w:val="auto"/>
              </w:rPr>
            </w:pPr>
          </w:p>
        </w:tc>
        <w:tc>
          <w:tcPr>
            <w:tcW w:w="320" w:type="dxa"/>
            <w:vAlign w:val="bottom"/>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180" w:type="dxa"/>
            <w:vAlign w:val="bottom"/>
            <w:tcBorders>
              <w:righ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60" w:type="dxa"/>
            <w:vAlign w:val="bottom"/>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100" w:type="dxa"/>
            <w:vAlign w:val="bottom"/>
            <w:tcBorders>
              <w:left w:val="single" w:sz="8" w:color="E7E7E2"/>
            </w:tcBorders>
            <w:shd w:val="clear" w:color="auto" w:fill="E7E7E2"/>
          </w:tcPr>
          <w:p>
            <w:pPr>
              <w:spacing w:after="0"/>
              <w:rPr>
                <w:sz w:val="18"/>
                <w:szCs w:val="18"/>
                <w:color w:val="auto"/>
              </w:rPr>
            </w:pPr>
          </w:p>
        </w:tc>
        <w:tc>
          <w:tcPr>
            <w:tcW w:w="580" w:type="dxa"/>
            <w:vAlign w:val="bottom"/>
            <w:shd w:val="clear" w:color="auto" w:fill="E7E7E2"/>
          </w:tcPr>
          <w:p>
            <w:pPr>
              <w:jc w:val="center"/>
              <w:ind w:right="1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ind w:left="4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60" w:type="dxa"/>
            <w:vAlign w:val="bottom"/>
            <w:gridSpan w:val="2"/>
            <w:shd w:val="clear" w:color="auto" w:fill="E7E7E2"/>
          </w:tcPr>
          <w:p>
            <w:pPr>
              <w:jc w:val="center"/>
              <w:ind w:right="22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
      <w:numFmt w:val="bullet"/>
      <w:start w:val="1"/>
    </w:lvl>
  </w:abstractNum>
  <w:abstractNum w:abstractNumId="5">
    <w:nsid w:val="180115BE"/>
    <w:multiLevelType w:val="hybridMultilevel"/>
    <w:lvl w:ilvl="0">
      <w:lvlJc w:val="left"/>
      <w:lvlText w:val="●"/>
      <w:numFmt w:val="bullet"/>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1)"/>
      <w:numFmt w:val="lowerLetter"/>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1)"/>
      <w:numFmt w:val="lowerLetter"/>
      <w:start w:val="1"/>
    </w:lvl>
  </w:abstractNum>
  <w:abstractNum w:abstractNumId="14">
    <w:nsid w:val="6157409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5">
    <w:nsid w:val="7E0C57B1"/>
    <w:multiLevelType w:val="hybridMultilevel"/>
    <w:lvl w:ilvl="0">
      <w:lvlJc w:val="left"/>
      <w:lvlText w:val="%1"/>
      <w:numFmt w:val="decimal"/>
      <w:start w:val="1"/>
    </w:lvl>
    <w:lvl w:ilvl="1">
      <w:lvlJc w:val="left"/>
      <w:lvlText w:val="(%2)"/>
      <w:numFmt w:val="lowerRoman"/>
      <w:start w:val="2"/>
    </w:lvl>
  </w:abstractNum>
  <w:abstractNum w:abstractNumId="16">
    <w:nsid w:val="77AE35EB"/>
    <w:multiLevelType w:val="hybridMultilevel"/>
    <w:lvl w:ilvl="0">
      <w:lvlJc w:val="left"/>
      <w:lvlText w:val="(%1)"/>
      <w:numFmt w:val="decimal"/>
      <w:start w:val="5"/>
    </w:lvl>
    <w:lvl w:ilvl="1">
      <w:lvlJc w:val="left"/>
      <w:lvlText w:val="%2"/>
      <w:numFmt w:val="lowerRoman"/>
      <w:start w:val="1"/>
    </w:lvl>
  </w:abstractNum>
  <w:abstractNum w:abstractNumId="17">
    <w:nsid w:val="579BE4F1"/>
    <w:multiLevelType w:val="hybridMultilevel"/>
    <w:lvl w:ilvl="0">
      <w:lvlJc w:val="left"/>
      <w:lvlText w:val="%1"/>
      <w:numFmt w:val="lowerLetter"/>
      <w:start w:val="1"/>
    </w:lvl>
    <w:lvl w:ilvl="1">
      <w:lvlJc w:val="left"/>
      <w:lvlText w:val="(%2)"/>
      <w:numFmt w:val="lowerRoman"/>
      <w:start w:val="1"/>
    </w:lvl>
  </w:abstractNum>
  <w:abstractNum w:abstractNumId="18">
    <w:nsid w:val="310C50B3"/>
    <w:multiLevelType w:val="hybridMultilevel"/>
    <w:lvl w:ilvl="0">
      <w:lvlJc w:val="left"/>
      <w:lvlText w:val="(%1)"/>
      <w:numFmt w:val="lowerLetter"/>
      <w:start w:val="2"/>
    </w:lvl>
    <w:lvl w:ilvl="1">
      <w:lvlJc w:val="left"/>
      <w:lvlText w:val="%2"/>
      <w:numFmt w:val="lowerRoman"/>
      <w:start w:val="1"/>
    </w:lvl>
  </w:abstractNum>
  <w:abstractNum w:abstractNumId="19">
    <w:nsid w:val="5FF87E05"/>
    <w:multiLevelType w:val="hybridMultilevel"/>
    <w:lvl w:ilvl="0">
      <w:lvlJc w:val="left"/>
      <w:lvlText w:val="%1"/>
      <w:numFmt w:val="decimal"/>
      <w:start w:val="107"/>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
      <w:numFmt w:val="bullet"/>
      <w:start w:val="1"/>
    </w:lvl>
  </w:abstractNum>
  <w:abstractNum w:abstractNumId="23">
    <w:nsid w:val="4AD084E9"/>
    <w:multiLevelType w:val="hybridMultilevel"/>
    <w:lvl w:ilvl="0">
      <w:lvlJc w:val="left"/>
      <w:lvlText w:val="*"/>
      <w:numFmt w:val="bullet"/>
      <w:start w:val="1"/>
    </w:lvl>
  </w:abstractNum>
  <w:abstractNum w:abstractNumId="24">
    <w:nsid w:val="1F48EAA1"/>
    <w:multiLevelType w:val="hybridMultilevel"/>
    <w:lvl w:ilvl="0">
      <w:lvlJc w:val="left"/>
      <w:lvlText w:val="(%1)"/>
      <w:numFmt w:val="decimal"/>
      <w:start w:val="1"/>
    </w:lvl>
  </w:abstractNum>
  <w:abstractNum w:abstractNumId="25">
    <w:nsid w:val="1381823A"/>
    <w:multiLevelType w:val="hybridMultilevel"/>
    <w:lvl w:ilvl="0">
      <w:lvlJc w:val="left"/>
      <w:lvlText w:val="(%1)"/>
      <w:numFmt w:val="decimal"/>
      <w:start w:val="1"/>
    </w:lvl>
  </w:abstractNum>
  <w:abstractNum w:abstractNumId="26">
    <w:nsid w:val="5DB70AE5"/>
    <w:multiLevelType w:val="hybridMultilevel"/>
    <w:lvl w:ilvl="0">
      <w:lvlJc w:val="left"/>
      <w:lvlText w:val="(%1)"/>
      <w:numFmt w:val="decimal"/>
      <w:start w:val="1"/>
    </w:lvl>
  </w:abstractNum>
  <w:abstractNum w:abstractNumId="27">
    <w:nsid w:val="100F8FCA"/>
    <w:multiLevelType w:val="hybridMultilevel"/>
    <w:lvl w:ilvl="0">
      <w:lvlJc w:val="left"/>
      <w:lvlText w:val="(%1)"/>
      <w:numFmt w:val="decimal"/>
      <w:start w:val="1"/>
    </w:lvl>
  </w:abstractNum>
  <w:abstractNum w:abstractNumId="28">
    <w:nsid w:val="6590700B"/>
    <w:multiLevelType w:val="hybridMultilevel"/>
    <w:lvl w:ilvl="0">
      <w:lvlJc w:val="left"/>
      <w:lvlText w:val="(%1)"/>
      <w:numFmt w:val="lowerLetter"/>
      <w:start w:val="1"/>
    </w:lvl>
  </w:abstractNum>
  <w:abstractNum w:abstractNumId="29">
    <w:nsid w:val="15014ACB"/>
    <w:multiLevelType w:val="hybridMultilevel"/>
    <w:lvl w:ilvl="0">
      <w:lvlJc w:val="left"/>
      <w:lvlText w:val="(%1)"/>
      <w:numFmt w:val="lowerLetter"/>
      <w:start w:val="2"/>
    </w:lvl>
  </w:abstractNum>
  <w:abstractNum w:abstractNumId="30">
    <w:nsid w:val="5F5E7FD0"/>
    <w:multiLevelType w:val="hybridMultilevel"/>
    <w:lvl w:ilvl="0">
      <w:lvlJc w:val="left"/>
      <w:lvlText w:val="(%1)"/>
      <w:numFmt w:val="lowerLetter"/>
      <w:start w:val="1"/>
    </w:lvl>
  </w:abstractNum>
  <w:abstractNum w:abstractNumId="31">
    <w:nsid w:val="98A3148"/>
    <w:multiLevelType w:val="hybridMultilevel"/>
    <w:lvl w:ilvl="0">
      <w:lvlJc w:val="left"/>
      <w:lvlText w:val="(%1)"/>
      <w:numFmt w:val="lowerLetter"/>
      <w:start w:val="1"/>
    </w:lvl>
  </w:abstractNum>
  <w:abstractNum w:abstractNumId="32">
    <w:nsid w:val="799D0247"/>
    <w:multiLevelType w:val="hybridMultilevel"/>
    <w:lvl w:ilvl="0">
      <w:lvlJc w:val="left"/>
      <w:lvlText w:val="(%1)"/>
      <w:numFmt w:val="lowerLetter"/>
      <w:start w:val="5"/>
    </w:lvl>
  </w:abstractNum>
  <w:abstractNum w:abstractNumId="33">
    <w:nsid w:val="6B94764"/>
    <w:multiLevelType w:val="hybridMultilevel"/>
    <w:lvl w:ilvl="0">
      <w:lvlJc w:val="left"/>
      <w:lvlText w:val="(%1)"/>
      <w:numFmt w:val="lowerLetter"/>
      <w:start w:val="12"/>
    </w:lvl>
  </w:abstractNum>
  <w:abstractNum w:abstractNumId="34">
    <w:nsid w:val="42C296BD"/>
    <w:multiLevelType w:val="hybridMultilevel"/>
    <w:lvl w:ilvl="0">
      <w:lvlJc w:val="left"/>
      <w:lvlText w:val="(%1)"/>
      <w:numFmt w:val="lowerLetter"/>
      <w:start w:val="25"/>
    </w:lvl>
  </w:abstractNum>
  <w:abstractNum w:abstractNumId="35">
    <w:nsid w:val="168E121F"/>
    <w:multiLevelType w:val="hybridMultilevel"/>
    <w:lvl w:ilvl="0">
      <w:lvlJc w:val="left"/>
      <w:lvlText w:val="(%1)"/>
      <w:numFmt w:val="lowerLetter"/>
      <w:start w:val="27"/>
    </w:lvl>
  </w:abstractNum>
  <w:abstractNum w:abstractNumId="36">
    <w:nsid w:val="1EBA5D23"/>
    <w:multiLevelType w:val="hybridMultilevel"/>
    <w:lvl w:ilvl="0">
      <w:lvlJc w:val="left"/>
      <w:lvlText w:val="(%1)"/>
      <w:numFmt w:val="lowerLetter"/>
      <w:start w:val="1"/>
    </w:lvl>
  </w:abstractNum>
  <w:abstractNum w:abstractNumId="37">
    <w:nsid w:val="661E3F1E"/>
    <w:multiLevelType w:val="hybridMultilevel"/>
    <w:lvl w:ilvl="0">
      <w:lvlJc w:val="left"/>
      <w:lvlText w:val="(%1)"/>
      <w:numFmt w:val="lowerLetter"/>
      <w:start w:val="4"/>
    </w:lvl>
  </w:abstractNum>
  <w:abstractNum w:abstractNumId="38">
    <w:nsid w:val="5DC79EA8"/>
    <w:multiLevelType w:val="hybridMultilevel"/>
    <w:lvl w:ilvl="0">
      <w:lvlJc w:val="left"/>
      <w:lvlText w:val="(%1)"/>
      <w:numFmt w:val="lowerLetter"/>
      <w:start w:val="8"/>
    </w:lvl>
  </w:abstractNum>
  <w:abstractNum w:abstractNumId="39">
    <w:nsid w:val="540A471C"/>
    <w:multiLevelType w:val="hybridMultilevel"/>
    <w:lvl w:ilvl="0">
      <w:lvlJc w:val="left"/>
      <w:lvlText w:val="(%1)"/>
      <w:numFmt w:val="lowerLetter"/>
      <w:start w:val="1"/>
    </w:lvl>
  </w:abstractNum>
  <w:abstractNum w:abstractNumId="40">
    <w:nsid w:val="7BD3EE7B"/>
    <w:multiLevelType w:val="hybridMultilevel"/>
    <w:lvl w:ilvl="0">
      <w:lvlJc w:val="left"/>
      <w:lvlText w:val="(%1)"/>
      <w:numFmt w:val="lowerLetter"/>
      <w:start w:val="2"/>
    </w:lvl>
  </w:abstractNum>
  <w:abstractNum w:abstractNumId="41">
    <w:nsid w:val="51D9C564"/>
    <w:multiLevelType w:val="hybridMultilevel"/>
    <w:lvl w:ilvl="0">
      <w:lvlJc w:val="left"/>
      <w:lvlText w:val="(%1)"/>
      <w:numFmt w:val="lowerLetter"/>
      <w:start w:val="1"/>
    </w:lvl>
  </w:abstractNum>
  <w:abstractNum w:abstractNumId="42">
    <w:nsid w:val="613EFDC5"/>
    <w:multiLevelType w:val="hybridMultilevel"/>
    <w:lvl w:ilvl="0">
      <w:lvlJc w:val="left"/>
      <w:lvlText w:val="(%1)"/>
      <w:numFmt w:val="lowerLetter"/>
      <w:start w:val="3"/>
    </w:lvl>
  </w:abstractNum>
  <w:abstractNum w:abstractNumId="43">
    <w:nsid w:val="BF72B14"/>
    <w:multiLevelType w:val="hybridMultilevel"/>
    <w:lvl w:ilvl="0">
      <w:lvlJc w:val="left"/>
      <w:lvlText w:val="(%1)"/>
      <w:numFmt w:val="lowerLetter"/>
      <w:start w:val="1"/>
    </w:lvl>
    <w:lvl w:ilvl="1">
      <w:lvlJc w:val="left"/>
      <w:lvlText w:val="(%2)"/>
      <w:numFmt w:val="lowerRoman"/>
      <w:start w:val="1"/>
    </w:lvl>
  </w:abstractNum>
  <w:abstractNum w:abstractNumId="44">
    <w:nsid w:val="11447B73"/>
    <w:multiLevelType w:val="hybridMultilevel"/>
    <w:lvl w:ilvl="0">
      <w:lvlJc w:val="left"/>
      <w:lvlText w:val="(%1)"/>
      <w:numFmt w:val="lowerRoman"/>
      <w:start w:val="2"/>
    </w:lvl>
    <w:lvl w:ilvl="1">
      <w:lvlJc w:val="left"/>
      <w:lvlText w:val="(%2)"/>
      <w:numFmt w:val="upperLetter"/>
      <w:start w:val="1"/>
    </w:lvl>
  </w:abstractNum>
  <w:abstractNum w:abstractNumId="45">
    <w:nsid w:val="42963E5A"/>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46">
    <w:nsid w:val="A0382C5"/>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47">
    <w:nsid w:val="8F2B15E"/>
    <w:multiLevelType w:val="hybridMultilevel"/>
    <w:lvl w:ilvl="0">
      <w:lvlJc w:val="left"/>
      <w:lvlText w:val="(%1)"/>
      <w:numFmt w:val="lowerLetter"/>
      <w:start w:val="10"/>
    </w:lvl>
  </w:abstractNum>
  <w:abstractNum w:abstractNumId="48">
    <w:nsid w:val="1A32234B"/>
    <w:multiLevelType w:val="hybridMultilevel"/>
    <w:lvl w:ilvl="0">
      <w:lvlJc w:val="left"/>
      <w:lvlText w:val="(%1)"/>
      <w:numFmt w:val="lowerLetter"/>
      <w:start w:val="1"/>
    </w:lvl>
  </w:abstractNum>
  <w:abstractNum w:abstractNumId="49">
    <w:nsid w:val="3B0FD379"/>
    <w:multiLevelType w:val="hybridMultilevel"/>
    <w:lvl w:ilvl="0">
      <w:lvlJc w:val="left"/>
      <w:lvlText w:val="(%1)"/>
      <w:numFmt w:val="lowerLetter"/>
      <w:start w:val="1"/>
    </w:lvl>
  </w:abstractNum>
  <w:abstractNum w:abstractNumId="50">
    <w:nsid w:val="68EB2F63"/>
    <w:multiLevelType w:val="hybridMultilevel"/>
    <w:lvl w:ilvl="0">
      <w:lvlJc w:val="left"/>
      <w:lvlText w:val="(%1)"/>
      <w:numFmt w:val="lowerLetter"/>
      <w:start w:val="2"/>
    </w:lvl>
    <w:lvl w:ilvl="1">
      <w:lvlJc w:val="left"/>
      <w:lvlText w:val="(%2)"/>
      <w:numFmt w:val="lowerRoman"/>
      <w:start w:val="1"/>
    </w:lvl>
  </w:abstractNum>
  <w:abstractNum w:abstractNumId="51">
    <w:nsid w:val="4962813B"/>
    <w:multiLevelType w:val="hybridMultilevel"/>
    <w:lvl w:ilvl="0">
      <w:lvlJc w:val="left"/>
      <w:lvlText w:val="(%1)"/>
      <w:numFmt w:val="lowerLetter"/>
      <w:start w:val="1"/>
    </w:lvl>
  </w:abstractNum>
  <w:abstractNum w:abstractNumId="52">
    <w:nsid w:val="60B6DF70"/>
    <w:multiLevelType w:val="hybridMultilevel"/>
    <w:lvl w:ilvl="0">
      <w:lvlJc w:val="left"/>
      <w:lvlText w:val="(%1)"/>
      <w:numFmt w:val="lowerLetter"/>
      <w:start w:val="1"/>
    </w:lvl>
  </w:abstractNum>
  <w:abstractNum w:abstractNumId="53">
    <w:nsid w:val="6A5EE64"/>
    <w:multiLevelType w:val="hybridMultilevel"/>
    <w:lvl w:ilvl="0">
      <w:lvlJc w:val="left"/>
      <w:lvlText w:val="(%1)"/>
      <w:numFmt w:val="lowerLetter"/>
      <w:start w:val="2"/>
    </w:lvl>
  </w:abstractNum>
  <w:abstractNum w:abstractNumId="54">
    <w:nsid w:val="14330624"/>
    <w:multiLevelType w:val="hybridMultilevel"/>
    <w:lvl w:ilvl="0">
      <w:lvlJc w:val="left"/>
      <w:lvlText w:val="(%1)"/>
      <w:numFmt w:val="lowerLetter"/>
      <w:start w:val="1"/>
    </w:lvl>
    <w:lvl w:ilvl="1">
      <w:lvlJc w:val="left"/>
      <w:lvlText w:val="(%2)"/>
      <w:numFmt w:val="lowerRoman"/>
      <w:start w:val="1"/>
    </w:lvl>
  </w:abstractNum>
  <w:abstractNum w:abstractNumId="55">
    <w:nsid w:val="7FFFCA11"/>
    <w:multiLevelType w:val="hybridMultilevel"/>
    <w:lvl w:ilvl="0">
      <w:lvlJc w:val="left"/>
      <w:lvlText w:val="(%1)"/>
      <w:numFmt w:val="lowerLetter"/>
      <w:start w:val="1"/>
    </w:lvl>
  </w:abstractNum>
  <w:abstractNum w:abstractNumId="56">
    <w:nsid w:val="1A27709E"/>
    <w:multiLevelType w:val="hybridMultilevel"/>
    <w:lvl w:ilvl="0">
      <w:lvlJc w:val="left"/>
      <w:lvlText w:val="(%1)"/>
      <w:numFmt w:val="lowerLetter"/>
      <w:start w:val="1"/>
    </w:lvl>
  </w:abstractNum>
  <w:abstractNum w:abstractNumId="57">
    <w:nsid w:val="71EA1109"/>
    <w:multiLevelType w:val="hybridMultilevel"/>
    <w:lvl w:ilvl="0">
      <w:lvlJc w:val="left"/>
      <w:lvlText w:val="(%1)"/>
      <w:numFmt w:val="lowerLetter"/>
      <w:start w:val="1"/>
    </w:lvl>
  </w:abstractNum>
  <w:abstractNum w:abstractNumId="58">
    <w:nsid w:val="100F59DC"/>
    <w:multiLevelType w:val="hybridMultilevel"/>
    <w:lvl w:ilvl="0">
      <w:lvlJc w:val="left"/>
      <w:lvlText w:val="(%1)"/>
      <w:numFmt w:val="lowerLetter"/>
      <w:start w:val="1"/>
    </w:lvl>
  </w:abstractNum>
  <w:abstractNum w:abstractNumId="59">
    <w:nsid w:val="7FB7E0AA"/>
    <w:multiLevelType w:val="hybridMultilevel"/>
    <w:lvl w:ilvl="0">
      <w:lvlJc w:val="left"/>
      <w:lvlText w:val="(%1)"/>
      <w:numFmt w:val="lowerLetter"/>
      <w:start w:val="2"/>
    </w:lvl>
    <w:lvl w:ilvl="1">
      <w:lvlJc w:val="left"/>
      <w:lvlText w:val="(%2)"/>
      <w:numFmt w:val="lowerRoman"/>
      <w:start w:val="1"/>
    </w:lvl>
  </w:abstractNum>
  <w:abstractNum w:abstractNumId="60">
    <w:nsid w:val="6EB5BD4"/>
    <w:multiLevelType w:val="hybridMultilevel"/>
    <w:lvl w:ilvl="0">
      <w:lvlJc w:val="left"/>
      <w:lvlText w:val="(%1)"/>
      <w:numFmt w:val="lowerLetter"/>
      <w:start w:val="1"/>
    </w:lvl>
  </w:abstractNum>
  <w:abstractNum w:abstractNumId="61">
    <w:nsid w:val="6F6DD9AC"/>
    <w:multiLevelType w:val="hybridMultilevel"/>
    <w:lvl w:ilvl="0">
      <w:lvlJc w:val="left"/>
      <w:lvlText w:val="(%1)"/>
      <w:numFmt w:val="lowerLetter"/>
      <w:start w:val="1"/>
    </w:lvl>
  </w:abstractNum>
  <w:abstractNum w:abstractNumId="62">
    <w:nsid w:val="94211F2"/>
    <w:multiLevelType w:val="hybridMultilevel"/>
    <w:lvl w:ilvl="0">
      <w:lvlJc w:val="left"/>
      <w:lvlText w:val="(%1)"/>
      <w:numFmt w:val="lowerLetter"/>
      <w:start w:val="6"/>
    </w:lvl>
  </w:abstractNum>
  <w:abstractNum w:abstractNumId="63">
    <w:nsid w:val="885E1B"/>
    <w:multiLevelType w:val="hybridMultilevel"/>
    <w:lvl w:ilvl="0">
      <w:lvlJc w:val="left"/>
      <w:lvlText w:val="(%1)"/>
      <w:numFmt w:val="lowerLetter"/>
      <w:start w:val="1"/>
    </w:lvl>
  </w:abstractNum>
  <w:abstractNum w:abstractNumId="64">
    <w:nsid w:val="7627211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5">
    <w:nsid w:val="4C04A8AF"/>
    <w:multiLevelType w:val="hybridMultilevel"/>
    <w:lvl w:ilvl="0">
      <w:lvlJc w:val="left"/>
      <w:lvlText w:val="(%1)"/>
      <w:numFmt w:val="lowerLetter"/>
      <w:start w:val="1"/>
    </w:lvl>
  </w:abstractNum>
  <w:abstractNum w:abstractNumId="66">
    <w:nsid w:val="1716703B"/>
    <w:multiLevelType w:val="hybridMultilevel"/>
    <w:lvl w:ilvl="0">
      <w:lvlJc w:val="left"/>
      <w:lvlText w:val="(%1)"/>
      <w:numFmt w:val="lowerLetter"/>
      <w:start w:val="1"/>
    </w:lvl>
  </w:abstractNum>
  <w:abstractNum w:abstractNumId="67">
    <w:nsid w:val="14E17E33"/>
    <w:multiLevelType w:val="hybridMultilevel"/>
    <w:lvl w:ilvl="0">
      <w:lvlJc w:val="left"/>
      <w:lvlText w:val="(%1)"/>
      <w:numFmt w:val="lowerLetter"/>
      <w:start w:val="1"/>
    </w:lvl>
  </w:abstractNum>
  <w:abstractNum w:abstractNumId="68">
    <w:nsid w:val="3222E7CD"/>
    <w:multiLevelType w:val="hybridMultilevel"/>
    <w:lvl w:ilvl="0">
      <w:lvlJc w:val="left"/>
      <w:lvlText w:val="(%1)"/>
      <w:numFmt w:val="lowerLetter"/>
      <w:start w:val="3"/>
    </w:lvl>
  </w:abstractNum>
  <w:abstractNum w:abstractNumId="69">
    <w:nsid w:val="74DE0EE3"/>
    <w:multiLevelType w:val="hybridMultilevel"/>
    <w:lvl w:ilvl="0">
      <w:lvlJc w:val="left"/>
      <w:lvlText w:val="(%1)"/>
      <w:numFmt w:val="lowerLetter"/>
      <w:start w:val="1"/>
    </w:lvl>
  </w:abstractNum>
  <w:abstractNum w:abstractNumId="70">
    <w:nsid w:val="68EBC550"/>
    <w:multiLevelType w:val="hybridMultilevel"/>
    <w:lvl w:ilvl="0">
      <w:lvlJc w:val="left"/>
      <w:lvlText w:val="(%1)"/>
      <w:numFmt w:val="lowerLetter"/>
      <w:start w:val="2"/>
    </w:lvl>
  </w:abstractNum>
  <w:abstractNum w:abstractNumId="71">
    <w:nsid w:val="2DF6D648"/>
    <w:multiLevelType w:val="hybridMultilevel"/>
    <w:lvl w:ilvl="0">
      <w:lvlJc w:val="left"/>
      <w:lvlText w:val="(%1)"/>
      <w:numFmt w:val="lowerLetter"/>
      <w:start w:val="1"/>
    </w:lvl>
  </w:abstractNum>
  <w:abstractNum w:abstractNumId="72">
    <w:nsid w:val="46B7D447"/>
    <w:multiLevelType w:val="hybridMultilevel"/>
    <w:lvl w:ilvl="0">
      <w:lvlJc w:val="left"/>
      <w:lvlText w:val="(%1)"/>
      <w:numFmt w:val="lowerLetter"/>
      <w:start w:val="1"/>
    </w:lvl>
  </w:abstractNum>
  <w:abstractNum w:abstractNumId="73">
    <w:nsid w:val="4A2AC315"/>
    <w:multiLevelType w:val="hybridMultilevel"/>
    <w:lvl w:ilvl="0">
      <w:lvlJc w:val="left"/>
      <w:lvlText w:val="(%1)"/>
      <w:numFmt w:val="lowerLetter"/>
      <w:start w:val="1"/>
    </w:lvl>
  </w:abstractNum>
  <w:abstractNum w:abstractNumId="74">
    <w:nsid w:val="39EE015C"/>
    <w:multiLevelType w:val="hybridMultilevel"/>
    <w:lvl w:ilvl="0">
      <w:lvlJc w:val="left"/>
      <w:lvlText w:val="(%1)"/>
      <w:numFmt w:val="lowerLetter"/>
      <w:start w:val="2"/>
    </w:lvl>
  </w:abstractNum>
  <w:abstractNum w:abstractNumId="75">
    <w:nsid w:val="57FC4FBB"/>
    <w:multiLevelType w:val="hybridMultilevel"/>
    <w:lvl w:ilvl="0">
      <w:lvlJc w:val="left"/>
      <w:lvlText w:val="(%1)"/>
      <w:numFmt w:val="lowerLetter"/>
      <w:start w:val="6"/>
    </w:lvl>
  </w:abstractNum>
  <w:abstractNum w:abstractNumId="76">
    <w:nsid w:val="CC1016F"/>
    <w:multiLevelType w:val="hybridMultilevel"/>
    <w:lvl w:ilvl="0">
      <w:lvlJc w:val="left"/>
      <w:lvlText w:val="(%1)"/>
      <w:numFmt w:val="lowerLetter"/>
      <w:start w:val="14"/>
    </w:lvl>
  </w:abstractNum>
  <w:abstractNum w:abstractNumId="77">
    <w:nsid w:val="43F1842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8">
    <w:nsid w:val="60EF0119"/>
    <w:multiLevelType w:val="hybridMultilevel"/>
    <w:lvl w:ilvl="0">
      <w:lvlJc w:val="left"/>
      <w:lvlText w:val="%1"/>
      <w:numFmt w:val="lowerLetter"/>
      <w:start w:val="1"/>
    </w:lvl>
    <w:lvl w:ilvl="1">
      <w:lvlJc w:val="left"/>
      <w:lvlText w:val="(%2)"/>
      <w:numFmt w:val="lowerLetter"/>
      <w:start w:val="61"/>
    </w:lvl>
  </w:abstractNum>
  <w:abstractNum w:abstractNumId="79">
    <w:nsid w:val="26F324BA"/>
    <w:multiLevelType w:val="hybridMultilevel"/>
    <w:lvl w:ilvl="0">
      <w:lvlJc w:val="left"/>
      <w:lvlText w:val="(%1)"/>
      <w:numFmt w:val="lowerLetter"/>
      <w:start w:val="3"/>
    </w:lvl>
    <w:lvl w:ilvl="1">
      <w:lvlJc w:val="left"/>
      <w:lvlText w:val="%2"/>
      <w:numFmt w:val="lowerLetter"/>
      <w:start w:val="1"/>
    </w:lvl>
  </w:abstractNum>
  <w:abstractNum w:abstractNumId="80">
    <w:nsid w:val="7F01579B"/>
    <w:multiLevelType w:val="hybridMultilevel"/>
    <w:lvl w:ilvl="0">
      <w:lvlJc w:val="left"/>
      <w:lvlText w:val="(%1)"/>
      <w:numFmt w:val="lowerLetter"/>
      <w:start w:val="1"/>
    </w:lvl>
  </w:abstractNum>
  <w:abstractNum w:abstractNumId="81">
    <w:nsid w:val="49DA307D"/>
    <w:multiLevelType w:val="hybridMultilevel"/>
    <w:lvl w:ilvl="0">
      <w:lvlJc w:val="left"/>
      <w:lvlText w:val="(%1)"/>
      <w:numFmt w:val="lowerLetter"/>
      <w:start w:val="2"/>
    </w:lvl>
  </w:abstractNum>
  <w:abstractNum w:abstractNumId="82">
    <w:nsid w:val="7055A5F5"/>
    <w:multiLevelType w:val="hybridMultilevel"/>
    <w:lvl w:ilvl="0">
      <w:lvlJc w:val="left"/>
      <w:lvlText w:val="(%1)"/>
      <w:numFmt w:val="decimal"/>
      <w:start w:val="1"/>
    </w:lvl>
  </w:abstractNum>
  <w:abstractNum w:abstractNumId="83">
    <w:nsid w:val="5FB8370B"/>
    <w:multiLevelType w:val="hybridMultilevel"/>
    <w:lvl w:ilvl="0">
      <w:lvlJc w:val="left"/>
      <w:lvlText w:val="(%1)"/>
      <w:numFmt w:val="lowerLetter"/>
      <w:start w:val="1"/>
    </w:lvl>
  </w:abstractNum>
  <w:abstractNum w:abstractNumId="84">
    <w:nsid w:val="50801EE1"/>
    <w:multiLevelType w:val="hybridMultilevel"/>
    <w:lvl w:ilvl="0">
      <w:lvlJc w:val="left"/>
      <w:lvlText w:val="(%1)"/>
      <w:numFmt w:val="lowerLetter"/>
      <w:start w:val="3"/>
    </w:lvl>
  </w:abstractNum>
  <w:abstractNum w:abstractNumId="85">
    <w:nsid w:val="488AC1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6">
    <w:nsid w:val="5FB8011C"/>
    <w:multiLevelType w:val="hybridMultilevel"/>
    <w:lvl w:ilvl="0">
      <w:lvlJc w:val="left"/>
      <w:lvlText w:val="(%1)"/>
      <w:numFmt w:val="lowerLetter"/>
      <w:start w:val="2"/>
    </w:lvl>
  </w:abstractNum>
  <w:abstractNum w:abstractNumId="87">
    <w:nsid w:val="6AA78F7F"/>
    <w:multiLevelType w:val="hybridMultilevel"/>
    <w:lvl w:ilvl="0">
      <w:lvlJc w:val="left"/>
      <w:lvlText w:val="(%1)"/>
      <w:numFmt w:val="lowerLetter"/>
      <w:start w:val="1"/>
    </w:lvl>
  </w:abstractNum>
  <w:abstractNum w:abstractNumId="88">
    <w:nsid w:val="7672BD23"/>
    <w:multiLevelType w:val="hybridMultilevel"/>
    <w:lvl w:ilvl="0">
      <w:lvlJc w:val="left"/>
      <w:lvlText w:val="(%1)"/>
      <w:numFmt w:val="lowerLetter"/>
      <w:start w:val="1"/>
    </w:lvl>
  </w:abstractNum>
  <w:abstractNum w:abstractNumId="89">
    <w:nsid w:val="6FC75AF8"/>
    <w:multiLevelType w:val="hybridMultilevel"/>
    <w:lvl w:ilvl="0">
      <w:lvlJc w:val="left"/>
      <w:lvlText w:val="(%1)"/>
      <w:numFmt w:val="lowerLetter"/>
      <w:start w:val="1"/>
    </w:lvl>
  </w:abstractNum>
  <w:abstractNum w:abstractNumId="90">
    <w:nsid w:val="6A5F7029"/>
    <w:multiLevelType w:val="hybridMultilevel"/>
    <w:lvl w:ilvl="0">
      <w:lvlJc w:val="left"/>
      <w:lvlText w:val="(%1)"/>
      <w:numFmt w:val="lowerLetter"/>
      <w:start w:val="3"/>
    </w:lvl>
  </w:abstractNum>
  <w:abstractNum w:abstractNumId="91">
    <w:nsid w:val="7D5E18F8"/>
    <w:multiLevelType w:val="hybridMultilevel"/>
    <w:lvl w:ilvl="0">
      <w:lvlJc w:val="left"/>
      <w:lvlText w:val="(%1)"/>
      <w:numFmt w:val="lowerLetter"/>
      <w:start w:val="12"/>
    </w:lvl>
  </w:abstractNum>
  <w:abstractNum w:abstractNumId="92">
    <w:nsid w:val="5F3534A4"/>
    <w:multiLevelType w:val="hybridMultilevel"/>
    <w:lvl w:ilvl="0">
      <w:lvlJc w:val="left"/>
      <w:lvlText w:val="(%1)"/>
      <w:numFmt w:val="lowerLetter"/>
      <w:start w:val="1"/>
    </w:lvl>
    <w:lvl w:ilvl="1">
      <w:lvlJc w:val="left"/>
      <w:lvlText w:val="(%2)"/>
      <w:numFmt w:val="lowerLetter"/>
      <w:start w:val="9"/>
    </w:lvl>
  </w:abstractNum>
  <w:abstractNum w:abstractNumId="93">
    <w:nsid w:val="73A1821B"/>
    <w:multiLevelType w:val="hybridMultilevel"/>
    <w:lvl w:ilvl="0">
      <w:lvlJc w:val="left"/>
      <w:lvlText w:val="%1"/>
      <w:numFmt w:val="lowerLetter"/>
      <w:start w:val="1"/>
    </w:lvl>
    <w:lvl w:ilvl="1">
      <w:lvlJc w:val="left"/>
      <w:lvlText w:val="(%2)"/>
      <w:numFmt w:val="lowerRoman"/>
      <w:start w:val="2"/>
    </w:lvl>
  </w:abstractNum>
  <w:abstractNum w:abstractNumId="94">
    <w:nsid w:val="7DE67713"/>
    <w:multiLevelType w:val="hybridMultilevel"/>
    <w:lvl w:ilvl="0">
      <w:lvlJc w:val="left"/>
      <w:lvlText w:val="(%1)"/>
      <w:numFmt w:val="lowerLetter"/>
      <w:start w:val="2"/>
    </w:lvl>
    <w:lvl w:ilvl="1">
      <w:lvlJc w:val="left"/>
      <w:lvlText w:val="%2"/>
      <w:numFmt w:val="lowerRoman"/>
      <w:start w:val="1"/>
    </w:lvl>
  </w:abstractNum>
  <w:abstractNum w:abstractNumId="95">
    <w:nsid w:val="555C55B5"/>
    <w:multiLevelType w:val="hybridMultilevel"/>
    <w:lvl w:ilvl="0">
      <w:lvlJc w:val="left"/>
      <w:lvlText w:val="(%1)"/>
      <w:numFmt w:val="lowerLetter"/>
      <w:start w:val="1"/>
    </w:lvl>
  </w:abstractNum>
  <w:abstractNum w:abstractNumId="96">
    <w:nsid w:val="3FA62ACA"/>
    <w:multiLevelType w:val="hybridMultilevel"/>
    <w:lvl w:ilvl="0">
      <w:lvlJc w:val="left"/>
      <w:lvlText w:val="(%1)"/>
      <w:numFmt w:val="lowerLetter"/>
      <w:start w:val="4"/>
    </w:lvl>
  </w:abstractNum>
  <w:abstractNum w:abstractNumId="97">
    <w:nsid w:val="14FCE74E"/>
    <w:multiLevelType w:val="hybridMultilevel"/>
    <w:lvl w:ilvl="0">
      <w:lvlJc w:val="left"/>
      <w:lvlText w:val="(%1)"/>
      <w:numFmt w:val="lowerLetter"/>
      <w:start w:val="1"/>
    </w:lvl>
  </w:abstractNum>
  <w:abstractNum w:abstractNumId="98">
    <w:nsid w:val="6A3DD3E8"/>
    <w:multiLevelType w:val="hybridMultilevel"/>
    <w:lvl w:ilvl="0">
      <w:lvlJc w:val="left"/>
      <w:lvlText w:val="(%1)"/>
      <w:numFmt w:val="lowerLetter"/>
      <w:start w:val="3"/>
    </w:lvl>
  </w:abstractNum>
  <w:abstractNum w:abstractNumId="99">
    <w:nsid w:val="71C91298"/>
    <w:multiLevelType w:val="hybridMultilevel"/>
    <w:lvl w:ilvl="0">
      <w:lvlJc w:val="left"/>
      <w:lvlText w:val="(%1)"/>
      <w:numFmt w:val="lowerLetter"/>
      <w:start w:val="1"/>
    </w:lvl>
  </w:abstractNum>
  <w:abstractNum w:abstractNumId="100">
    <w:nsid w:val="9DAF632"/>
    <w:multiLevelType w:val="hybridMultilevel"/>
    <w:lvl w:ilvl="0">
      <w:lvlJc w:val="left"/>
      <w:lvlText w:val="(%1)"/>
      <w:numFmt w:val="lowerLetter"/>
      <w:start w:val="2"/>
    </w:lvl>
  </w:abstractNum>
  <w:abstractNum w:abstractNumId="101">
    <w:nsid w:val="53299938"/>
    <w:multiLevelType w:val="hybridMultilevel"/>
    <w:lvl w:ilvl="0">
      <w:lvlJc w:val="left"/>
      <w:lvlText w:val="(%1)"/>
      <w:numFmt w:val="lowerLetter"/>
      <w:start w:val="1"/>
    </w:lvl>
  </w:abstractNum>
  <w:abstractNum w:abstractNumId="102">
    <w:nsid w:val="1FBFE8E0"/>
    <w:multiLevelType w:val="hybridMultilevel"/>
    <w:lvl w:ilvl="0">
      <w:lvlJc w:val="left"/>
      <w:lvlText w:val="%1."/>
      <w:numFmt w:val="decimal"/>
      <w:start w:val="1"/>
    </w:lvl>
  </w:abstractNum>
  <w:abstractNum w:abstractNumId="103">
    <w:nsid w:val="5092CA79"/>
    <w:multiLevelType w:val="hybridMultilevel"/>
    <w:lvl w:ilvl="0">
      <w:lvlJc w:val="left"/>
      <w:lvlText w:val="%1."/>
      <w:numFmt w:val="decimal"/>
      <w:start w:val="3"/>
    </w:lvl>
  </w:abstractNum>
  <w:abstractNum w:abstractNumId="104">
    <w:nsid w:val="1D545C4D"/>
    <w:multiLevelType w:val="hybridMultilevel"/>
    <w:lvl w:ilvl="0">
      <w:lvlJc w:val="left"/>
      <w:lvlText w:val="(%1)"/>
      <w:numFmt w:val="decimal"/>
      <w:start w:val="1"/>
    </w:lvl>
  </w:abstractNum>
  <w:abstractNum w:abstractNumId="105">
    <w:nsid w:val="59ADEA3D"/>
    <w:multiLevelType w:val="hybridMultilevel"/>
    <w:lvl w:ilvl="0">
      <w:lvlJc w:val="left"/>
      <w:lvlText w:val="(%1)"/>
      <w:numFmt w:val="decimal"/>
      <w:start w:val="1"/>
    </w:lvl>
  </w:abstractNum>
  <w:abstractNum w:abstractNumId="106">
    <w:nsid w:val="288F1A34"/>
    <w:multiLevelType w:val="hybridMultilevel"/>
    <w:lvl w:ilvl="0">
      <w:lvlJc w:val="left"/>
      <w:lvlText w:val="(%1)"/>
      <w:numFmt w:val="decimal"/>
      <w:start w:val="1"/>
    </w:lvl>
  </w:abstractNum>
  <w:abstractNum w:abstractNumId="107">
    <w:nsid w:val="2A155DBC"/>
    <w:multiLevelType w:val="hybridMultilevel"/>
    <w:lvl w:ilvl="0">
      <w:lvlJc w:val="left"/>
      <w:lvlText w:val="(%1)"/>
      <w:numFmt w:val="decimal"/>
      <w:start w:val="1"/>
    </w:lvl>
  </w:abstractNum>
  <w:abstractNum w:abstractNumId="108">
    <w:nsid w:val="1D9F6E5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jpe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jpe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jpeg"/><Relationship Id="rId142" Type="http://schemas.openxmlformats.org/officeDocument/2006/relationships/image" Target="media/image128.jpe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33" Type="http://schemas.openxmlformats.org/officeDocument/2006/relationships/hyperlink" Target="http://www.sec.gov/Archives/edgar/data/1001316/000143774925005908/tgtx20241231_10k.htm" TargetMode="External"/><Relationship Id="rId34" Type="http://schemas.openxmlformats.org/officeDocument/2006/relationships/hyperlink" Target="http://www.sec.gov/Archives/edgar/data/1001316/000143774925015804/tgtx20250331_10q.htm" TargetMode="External"/><Relationship Id="rId35" Type="http://schemas.openxmlformats.org/officeDocument/2006/relationships/hyperlink" Target="http://www.sec.gov/Archives/edgar/data/1001316/000143774925025745/tgtx20250630_10q.htm" TargetMode="External"/><Relationship Id="rId36" Type="http://schemas.openxmlformats.org/officeDocument/2006/relationships/hyperlink" Target="http://www.sec.gov/Archives/edgar/data/1001316/000143774925020335/tgtx20250613_8k.htm" TargetMode="External"/><Relationship Id="rId37" Type="http://schemas.openxmlformats.org/officeDocument/2006/relationships/hyperlink" Target="http://www.sec.gov/Archives/edgar/data/1001316/000143774925013860/tgtx20250423_def14a.htm" TargetMode="External"/><Relationship Id="rId38" Type="http://schemas.openxmlformats.org/officeDocument/2006/relationships/hyperlink" Target="http://www.sec.gov/Archives/edgar/data/1001316/000155837021002149/tgtx-20201231xex4d5.htm" TargetMode="External"/><Relationship Id="rId49" Type="http://schemas.openxmlformats.org/officeDocument/2006/relationships/hyperlink" Target="http://www.sec.gov/Archives/edgar/data/1001316/000114420412014947/v305275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2025-08-08T16:35:02Z</dcterms:created>
  <dcterms:modified xsi:type="dcterms:W3CDTF">2025-08-08T16:35:02Z</dcterms:modified>
</cp:coreProperties>
</file>