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As filed with the Securities and Exchange Commission on May __,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780" w:space="720"/>
            <w:col w:w="3920"/>
          </w:cols>
          <w:pgMar w:left="240" w:top="233"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787 Seventh Ave, 48th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TG Therapeutics, Inc. Amended and Restated 2012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520" w:type="dxa"/>
            <w:vAlign w:val="bottom"/>
          </w:tcPr>
          <w:p>
            <w:pPr>
              <w:jc w:val="center"/>
              <w:ind w:left="2410"/>
              <w:spacing w:after="0"/>
              <w:rPr>
                <w:sz w:val="20"/>
                <w:szCs w:val="20"/>
                <w:color w:val="auto"/>
              </w:rPr>
            </w:pPr>
            <w:r>
              <w:rPr>
                <w:rFonts w:ascii="Arial" w:cs="Arial" w:eastAsia="Arial" w:hAnsi="Arial"/>
                <w:sz w:val="18"/>
                <w:szCs w:val="18"/>
                <w:b w:val="1"/>
                <w:bCs w:val="1"/>
                <w:color w:val="auto"/>
                <w:w w:val="90"/>
              </w:rPr>
              <w:t>Copy to:</w:t>
            </w:r>
          </w:p>
        </w:tc>
      </w:tr>
      <w:tr>
        <w:trPr>
          <w:trHeight w:val="216"/>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88"/>
              </w:rPr>
              <w:t>Sean Power</w:t>
            </w:r>
          </w:p>
        </w:tc>
        <w:tc>
          <w:tcPr>
            <w:tcW w:w="4520" w:type="dxa"/>
            <w:vAlign w:val="bottom"/>
          </w:tcPr>
          <w:p>
            <w:pPr>
              <w:jc w:val="center"/>
              <w:ind w:left="2410"/>
              <w:spacing w:after="0"/>
              <w:rPr>
                <w:sz w:val="20"/>
                <w:szCs w:val="20"/>
                <w:color w:val="auto"/>
              </w:rPr>
            </w:pPr>
            <w:r>
              <w:rPr>
                <w:rFonts w:ascii="Arial" w:cs="Arial" w:eastAsia="Arial" w:hAnsi="Arial"/>
                <w:sz w:val="18"/>
                <w:szCs w:val="18"/>
                <w:b w:val="1"/>
                <w:bCs w:val="1"/>
                <w:color w:val="auto"/>
                <w:w w:val="97"/>
              </w:rPr>
              <w:t>Mark McElreath</w:t>
            </w:r>
          </w:p>
        </w:tc>
      </w:tr>
      <w:tr>
        <w:trPr>
          <w:trHeight w:val="216"/>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91"/>
              </w:rPr>
              <w:t>Chief Financial Officer, Treasurer and Secretary</w:t>
            </w:r>
          </w:p>
        </w:tc>
        <w:tc>
          <w:tcPr>
            <w:tcW w:w="4520" w:type="dxa"/>
            <w:vAlign w:val="bottom"/>
          </w:tcPr>
          <w:p>
            <w:pPr>
              <w:jc w:val="center"/>
              <w:ind w:left="2410"/>
              <w:spacing w:after="0"/>
              <w:rPr>
                <w:sz w:val="20"/>
                <w:szCs w:val="20"/>
                <w:color w:val="auto"/>
              </w:rPr>
            </w:pPr>
            <w:r>
              <w:rPr>
                <w:rFonts w:ascii="Arial" w:cs="Arial" w:eastAsia="Arial" w:hAnsi="Arial"/>
                <w:sz w:val="18"/>
                <w:szCs w:val="18"/>
                <w:b w:val="1"/>
                <w:bCs w:val="1"/>
                <w:color w:val="auto"/>
                <w:w w:val="97"/>
              </w:rPr>
              <w:t>Alston &amp; Bird LLP</w:t>
            </w:r>
          </w:p>
        </w:tc>
      </w:tr>
      <w:tr>
        <w:trPr>
          <w:trHeight w:val="216"/>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92"/>
              </w:rPr>
              <w:t>TG Therapeutics, Inc.</w:t>
            </w:r>
          </w:p>
        </w:tc>
        <w:tc>
          <w:tcPr>
            <w:tcW w:w="4520" w:type="dxa"/>
            <w:vAlign w:val="bottom"/>
          </w:tcPr>
          <w:p>
            <w:pPr>
              <w:jc w:val="center"/>
              <w:ind w:left="2410"/>
              <w:spacing w:after="0"/>
              <w:rPr>
                <w:sz w:val="20"/>
                <w:szCs w:val="20"/>
                <w:color w:val="auto"/>
              </w:rPr>
            </w:pPr>
            <w:r>
              <w:rPr>
                <w:rFonts w:ascii="Arial" w:cs="Arial" w:eastAsia="Arial" w:hAnsi="Arial"/>
                <w:sz w:val="18"/>
                <w:szCs w:val="18"/>
                <w:b w:val="1"/>
                <w:bCs w:val="1"/>
                <w:color w:val="auto"/>
                <w:w w:val="90"/>
              </w:rPr>
              <w:t>90 Park Avenue</w:t>
            </w:r>
          </w:p>
        </w:tc>
      </w:tr>
      <w:tr>
        <w:trPr>
          <w:trHeight w:val="221"/>
        </w:trPr>
        <w:tc>
          <w:tcPr>
            <w:tcW w:w="4320" w:type="dxa"/>
            <w:vAlign w:val="bottom"/>
          </w:tcPr>
          <w:p>
            <w:pPr>
              <w:jc w:val="center"/>
              <w:spacing w:after="0" w:line="221" w:lineRule="exact"/>
              <w:rPr>
                <w:sz w:val="20"/>
                <w:szCs w:val="20"/>
                <w:color w:val="auto"/>
              </w:rPr>
            </w:pPr>
            <w:r>
              <w:rPr>
                <w:rFonts w:ascii="Arial" w:cs="Arial" w:eastAsia="Arial" w:hAnsi="Arial"/>
                <w:sz w:val="16"/>
                <w:szCs w:val="16"/>
                <w:b w:val="1"/>
                <w:bCs w:val="1"/>
                <w:color w:val="auto"/>
                <w:w w:val="99"/>
              </w:rPr>
              <w:t>787 Seventh Ave, 48</w:t>
            </w:r>
            <w:r>
              <w:rPr>
                <w:rFonts w:ascii="Arial" w:cs="Arial" w:eastAsia="Arial" w:hAnsi="Arial"/>
                <w:sz w:val="25"/>
                <w:szCs w:val="25"/>
                <w:b w:val="1"/>
                <w:bCs w:val="1"/>
                <w:color w:val="auto"/>
                <w:w w:val="99"/>
                <w:vertAlign w:val="superscript"/>
              </w:rPr>
              <w:t>th</w:t>
            </w:r>
            <w:r>
              <w:rPr>
                <w:rFonts w:ascii="Arial" w:cs="Arial" w:eastAsia="Arial" w:hAnsi="Arial"/>
                <w:sz w:val="16"/>
                <w:szCs w:val="16"/>
                <w:b w:val="1"/>
                <w:bCs w:val="1"/>
                <w:color w:val="auto"/>
                <w:w w:val="99"/>
              </w:rPr>
              <w:t xml:space="preserve"> Floor</w:t>
            </w:r>
          </w:p>
        </w:tc>
        <w:tc>
          <w:tcPr>
            <w:tcW w:w="4520" w:type="dxa"/>
            <w:vAlign w:val="bottom"/>
          </w:tcPr>
          <w:p>
            <w:pPr>
              <w:jc w:val="center"/>
              <w:ind w:left="2410"/>
              <w:spacing w:after="0"/>
              <w:rPr>
                <w:sz w:val="20"/>
                <w:szCs w:val="20"/>
                <w:color w:val="auto"/>
              </w:rPr>
            </w:pPr>
            <w:r>
              <w:rPr>
                <w:rFonts w:ascii="Arial" w:cs="Arial" w:eastAsia="Arial" w:hAnsi="Arial"/>
                <w:sz w:val="18"/>
                <w:szCs w:val="18"/>
                <w:b w:val="1"/>
                <w:bCs w:val="1"/>
                <w:color w:val="auto"/>
                <w:w w:val="94"/>
              </w:rPr>
              <w:t>12th Floor</w:t>
            </w:r>
          </w:p>
        </w:tc>
      </w:tr>
      <w:tr>
        <w:trPr>
          <w:trHeight w:val="216"/>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New York 10019</w:t>
            </w:r>
          </w:p>
        </w:tc>
        <w:tc>
          <w:tcPr>
            <w:tcW w:w="4520" w:type="dxa"/>
            <w:vAlign w:val="bottom"/>
          </w:tcPr>
          <w:p>
            <w:pPr>
              <w:jc w:val="center"/>
              <w:ind w:left="2410"/>
              <w:spacing w:after="0"/>
              <w:rPr>
                <w:sz w:val="20"/>
                <w:szCs w:val="20"/>
                <w:color w:val="auto"/>
              </w:rPr>
            </w:pPr>
            <w:r>
              <w:rPr>
                <w:rFonts w:ascii="Arial" w:cs="Arial" w:eastAsia="Arial" w:hAnsi="Arial"/>
                <w:sz w:val="18"/>
                <w:szCs w:val="18"/>
                <w:b w:val="1"/>
                <w:bCs w:val="1"/>
                <w:color w:val="auto"/>
                <w:w w:val="92"/>
              </w:rPr>
              <w:t>New York, NY 10016-1387</w:t>
            </w:r>
          </w:p>
        </w:tc>
      </w:tr>
      <w:tr>
        <w:trPr>
          <w:trHeight w:val="256"/>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90"/>
              </w:rPr>
              <w:t>(212) 554-4305</w:t>
            </w:r>
          </w:p>
        </w:tc>
        <w:tc>
          <w:tcPr>
            <w:tcW w:w="4520" w:type="dxa"/>
            <w:vAlign w:val="bottom"/>
          </w:tcPr>
          <w:p>
            <w:pPr>
              <w:jc w:val="center"/>
              <w:ind w:left="2410"/>
              <w:spacing w:after="0"/>
              <w:rPr>
                <w:sz w:val="20"/>
                <w:szCs w:val="20"/>
                <w:color w:val="auto"/>
              </w:rPr>
            </w:pPr>
            <w:r>
              <w:rPr>
                <w:rFonts w:ascii="Arial" w:cs="Arial" w:eastAsia="Arial" w:hAnsi="Arial"/>
                <w:sz w:val="18"/>
                <w:szCs w:val="18"/>
                <w:b w:val="1"/>
                <w:bCs w:val="1"/>
                <w:color w:val="auto"/>
                <w:w w:val="92"/>
              </w:rPr>
              <w:t>(212) 210-9595</w:t>
            </w:r>
          </w:p>
        </w:tc>
      </w:tr>
      <w:tr>
        <w:trPr>
          <w:trHeight w:val="230"/>
        </w:trPr>
        <w:tc>
          <w:tcPr>
            <w:tcW w:w="4320" w:type="dxa"/>
            <w:vAlign w:val="bottom"/>
          </w:tcPr>
          <w:p>
            <w:pPr>
              <w:jc w:val="center"/>
              <w:spacing w:after="0"/>
              <w:rPr>
                <w:sz w:val="20"/>
                <w:szCs w:val="20"/>
                <w:color w:val="auto"/>
              </w:rPr>
            </w:pPr>
            <w:r>
              <w:rPr>
                <w:rFonts w:ascii="Arial" w:cs="Arial" w:eastAsia="Arial" w:hAnsi="Arial"/>
                <w:sz w:val="18"/>
                <w:szCs w:val="18"/>
                <w:color w:val="auto"/>
                <w:w w:val="89"/>
              </w:rPr>
              <w:t>(Name, address and telephone number of agent for service)</w:t>
            </w:r>
          </w:p>
        </w:tc>
        <w:tc>
          <w:tcPr>
            <w:tcW w:w="452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4520" w:type="dxa"/>
            <w:vAlign w:val="bottom"/>
          </w:tcPr>
          <w:p>
            <w:pPr>
              <w:jc w:val="right"/>
              <w:ind w:right="3190"/>
              <w:spacing w:after="0"/>
              <w:rPr>
                <w:sz w:val="20"/>
                <w:szCs w:val="20"/>
                <w:color w:val="auto"/>
              </w:rPr>
            </w:pPr>
            <w:r>
              <w:rPr>
                <w:rFonts w:ascii="Arial" w:cs="Arial" w:eastAsia="Arial" w:hAnsi="Arial"/>
                <w:sz w:val="18"/>
                <w:szCs w:val="18"/>
                <w:color w:val="auto"/>
                <w:w w:val="93"/>
              </w:rPr>
              <w:t>_____________</w:t>
            </w:r>
          </w:p>
        </w:tc>
      </w:tr>
    </w:tbl>
    <w:p>
      <w:pPr>
        <w:spacing w:after="0" w:line="200" w:lineRule="exact"/>
        <w:rPr>
          <w:sz w:val="24"/>
          <w:szCs w:val="24"/>
          <w:color w:val="auto"/>
        </w:rPr>
      </w:pPr>
    </w:p>
    <w:p>
      <w:pPr>
        <w:spacing w:after="0" w:line="2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440" w:type="dxa"/>
            <w:vAlign w:val="bottom"/>
          </w:tcPr>
          <w:p>
            <w:pPr>
              <w:ind w:left="11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6980" w:type="dxa"/>
            <w:vAlign w:val="bottom"/>
          </w:tcPr>
          <w:p>
            <w:pPr>
              <w:ind w:left="14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432"/>
        </w:trPr>
        <w:tc>
          <w:tcPr>
            <w:tcW w:w="4440" w:type="dxa"/>
            <w:vAlign w:val="bottom"/>
          </w:tcPr>
          <w:p>
            <w:pPr>
              <w:ind w:left="11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6980" w:type="dxa"/>
            <w:vAlign w:val="bottom"/>
          </w:tcPr>
          <w:p>
            <w:pPr>
              <w:ind w:left="146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844"/>
        </w:trPr>
        <w:tc>
          <w:tcPr>
            <w:tcW w:w="444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140" w:type="dxa"/>
            <w:vAlign w:val="bottom"/>
            <w:tcBorders>
              <w:top w:val="single" w:sz="8" w:color="auto"/>
              <w:left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Proposed</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Proposed</w:t>
            </w:r>
          </w:p>
        </w:tc>
        <w:tc>
          <w:tcPr>
            <w:tcW w:w="1580" w:type="dxa"/>
            <w:vAlign w:val="bottom"/>
            <w:tcBorders>
              <w:top w:val="single" w:sz="8" w:color="auto"/>
              <w:right w:val="single" w:sz="8" w:color="auto"/>
            </w:tcBorders>
          </w:tcPr>
          <w:p>
            <w:pPr>
              <w:spacing w:after="0"/>
              <w:rPr>
                <w:sz w:val="18"/>
                <w:szCs w:val="18"/>
                <w:color w:val="auto"/>
              </w:rPr>
            </w:pPr>
          </w:p>
        </w:tc>
      </w:tr>
      <w:tr>
        <w:trPr>
          <w:trHeight w:val="216"/>
        </w:trPr>
        <w:tc>
          <w:tcPr>
            <w:tcW w:w="41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8"/>
                <w:szCs w:val="18"/>
                <w:color w:val="auto"/>
              </w:rPr>
              <w:t>Title of securities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Amount to</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maximum</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maximum</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Amount of</w:t>
            </w:r>
          </w:p>
        </w:tc>
      </w:tr>
      <w:tr>
        <w:trPr>
          <w:trHeight w:val="216"/>
        </w:trPr>
        <w:tc>
          <w:tcPr>
            <w:tcW w:w="4140" w:type="dxa"/>
            <w:vAlign w:val="bottom"/>
            <w:tcBorders>
              <w:left w:val="single" w:sz="8" w:color="auto"/>
              <w:right w:val="single" w:sz="8" w:color="auto"/>
            </w:tcBorders>
          </w:tcPr>
          <w:p>
            <w:pPr>
              <w:ind w:left="1840"/>
              <w:spacing w:after="0"/>
              <w:rPr>
                <w:sz w:val="20"/>
                <w:szCs w:val="20"/>
                <w:color w:val="auto"/>
              </w:rPr>
            </w:pPr>
            <w:r>
              <w:rPr>
                <w:rFonts w:ascii="Arial" w:cs="Arial" w:eastAsia="Arial" w:hAnsi="Arial"/>
                <w:sz w:val="18"/>
                <w:szCs w:val="18"/>
                <w:color w:val="auto"/>
              </w:rPr>
              <w:t>to be registered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be registered</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offering price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aggregate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registration fee</w:t>
            </w:r>
          </w:p>
        </w:tc>
      </w:tr>
      <w:tr>
        <w:trPr>
          <w:trHeight w:val="230"/>
        </w:trPr>
        <w:tc>
          <w:tcPr>
            <w:tcW w:w="414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offering price</w:t>
            </w:r>
          </w:p>
        </w:tc>
        <w:tc>
          <w:tcPr>
            <w:tcW w:w="1580" w:type="dxa"/>
            <w:vAlign w:val="bottom"/>
            <w:tcBorders>
              <w:right w:val="single" w:sz="8" w:color="auto"/>
            </w:tcBorders>
          </w:tcPr>
          <w:p>
            <w:pPr>
              <w:spacing w:after="0"/>
              <w:rPr>
                <w:sz w:val="20"/>
                <w:szCs w:val="20"/>
                <w:color w:val="auto"/>
              </w:rPr>
            </w:pPr>
          </w:p>
        </w:tc>
      </w:tr>
      <w:tr>
        <w:trPr>
          <w:trHeight w:val="216"/>
        </w:trPr>
        <w:tc>
          <w:tcPr>
            <w:tcW w:w="4140" w:type="dxa"/>
            <w:vAlign w:val="bottom"/>
            <w:tcBorders>
              <w:left w:val="single" w:sz="8" w:color="auto"/>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r>
      <w:tr>
        <w:trPr>
          <w:trHeight w:val="224"/>
        </w:trPr>
        <w:tc>
          <w:tcPr>
            <w:tcW w:w="4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$0.001 par value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6,000,000 (1)</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$1.42(2)</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$8,520,000(2)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$976.39</w:t>
            </w:r>
          </w:p>
        </w:tc>
      </w:tr>
      <w:tr>
        <w:trPr>
          <w:trHeight w:val="202"/>
        </w:trPr>
        <w:tc>
          <w:tcPr>
            <w:tcW w:w="4140" w:type="dxa"/>
            <w:vAlign w:val="bottom"/>
            <w:tcBorders>
              <w:left w:val="single" w:sz="8" w:color="auto"/>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jc w:val="both"/>
        <w:ind w:left="340" w:right="52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Amount to be registered consists of an aggregate of 6,000,000 shares of TG Therapeutics, Inc. Common Stock, par value $0.001 per share (the “Common Stock”), including any additional shares that may become issuable in accordance with the adjustment and anti-dilution provisions of the TG Therapeutics, Inc. 2012 Incentive Plan.</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Determined in accordance with Rule 457(h) under the Securities Act of 1933, as amended, the registration fee calculation for these shares is based on the shareholders equity of the Company at March 31, 2012, and the shares of Common Stock outstanding on May 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jc w:val="both"/>
        <w:ind w:firstLine="656"/>
        <w:spacing w:after="0" w:line="279" w:lineRule="auto"/>
        <w:tabs>
          <w:tab w:leader="none" w:pos="1237"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documents constituting Part I of this registration statement on Form S-8 (this “Registration Statement”) will be delivered to participants in the TG Therapeutics, Inc. Amended and Restated 2012 Incentive Plan (the “Plan”) as specified by Rule 428(b)(1) under the Securities Act of 1933, as amended (the “Securities Act”). These documents and the documents incorporated by reference in this Registration Statement pursuant to Item 3 of Part II of this form, taken together, constitute a prospectus that meets the requirements of Section 10(a) of the Securities Act.</w:t>
      </w:r>
    </w:p>
    <w:p>
      <w:pPr>
        <w:spacing w:after="0" w:line="171" w:lineRule="exact"/>
        <w:rPr>
          <w:rFonts w:ascii="Arial" w:cs="Arial" w:eastAsia="Arial" w:hAnsi="Arial"/>
          <w:sz w:val="17"/>
          <w:szCs w:val="17"/>
          <w:color w:val="auto"/>
        </w:rPr>
      </w:pPr>
    </w:p>
    <w:p>
      <w:pPr>
        <w:jc w:val="both"/>
        <w:ind w:firstLine="656"/>
        <w:spacing w:after="0" w:line="257" w:lineRule="auto"/>
        <w:tabs>
          <w:tab w:leader="none" w:pos="1207"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written or oral request, TG Therapeutics, Inc. (the “Company”) will provide, without charge, the documents incorporated by reference in Item 3 of Part II of this Registration Statement. The documents are incorporated by reference in the Section 10(a) prospectus. The Company will also provide, without charge, upon written or oral request, other documents required to be delivered to employees pursuant to Rule 428(b). Requests for the above mentioned information should be directed to Sean Power, Chief Financial Officer, Treasurer and Secretary, TG Therapeutics, Inc., 787 Seventh Ave, 48th Floor, New York, New York 10019; (212) 554-4305.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documents, filed with the Securities and Exchange Commission (the “Commission”) by the Company are incorporated herein by reference:</w:t>
      </w:r>
    </w:p>
    <w:p>
      <w:pPr>
        <w:spacing w:after="0" w:line="170" w:lineRule="exact"/>
        <w:rPr>
          <w:sz w:val="20"/>
          <w:szCs w:val="20"/>
          <w:color w:val="auto"/>
        </w:rPr>
      </w:pPr>
    </w:p>
    <w:p>
      <w:pPr>
        <w:ind w:left="1060" w:hanging="40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2011;</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quarterly period ended March 31, 2012;</w:t>
      </w:r>
    </w:p>
    <w:p>
      <w:pPr>
        <w:spacing w:after="0" w:line="225" w:lineRule="exact"/>
        <w:rPr>
          <w:rFonts w:ascii="Arial" w:cs="Arial" w:eastAsia="Arial" w:hAnsi="Arial"/>
          <w:sz w:val="18"/>
          <w:szCs w:val="18"/>
          <w:color w:val="auto"/>
        </w:rPr>
      </w:pPr>
    </w:p>
    <w:p>
      <w:pPr>
        <w:ind w:left="1060" w:hanging="40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reports filed by the Company pursuant to Section 13(a) or 15(d) of the Securities Exchange Act of 1934, as amended (the “Exchange Act”) since December 31, 2011; and</w:t>
      </w:r>
    </w:p>
    <w:p>
      <w:pPr>
        <w:spacing w:after="0" w:line="170" w:lineRule="exact"/>
        <w:rPr>
          <w:rFonts w:ascii="Arial" w:cs="Arial" w:eastAsia="Arial" w:hAnsi="Arial"/>
          <w:sz w:val="18"/>
          <w:szCs w:val="18"/>
          <w:color w:val="auto"/>
        </w:rPr>
      </w:pPr>
    </w:p>
    <w:p>
      <w:pPr>
        <w:ind w:left="1060" w:hanging="40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Common Stock contained in the Form 8-A filed with the Commission on October 6, 2005, pursuant to the Exchange Act, and any amendment or report filed for the purpose of further updating such description.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All reports and other documents subsequently filed by the Company pursuant to Sections 13(a), 13(c), 14 and 15(d) of the Exchange Act, prior to the filing of a post-effective amendment which indicates that all securities offered have been sold or which deregisters all securities that remain unsold, shall be deemed to be incorporated by reference in this Registration Statement and to be a part hereof from the date of filing of such documents.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provisions of the amended and restated certificate of incorporation and bylaws of the Company, directors and officers will be indemnified for any and all judgments, fines, amounts paid in settlement and reasonable expenses, including attorneys fees, in connection with threatened, pending or completed actions, suits or proceedings, whether civil, or criminal, administrative or investigative (other than an action arising by or in the right of the Company), if such director or officer has been wholly successful on the merits or otherwise, or is found to have acted in good faith and in a manner he or she reasonably believes to be in or not opposed to the best interests of the Company, and, with respect to any criminal action or proceeding, had no reasonable cause to believe his or her conduct was unlawful. In addition, directors and officers will be indemnified for reasonable expenses in connection with threatened, pending or completed actions or suits by or in the right of Registrant if such director or officer has been wholly successful on the merits or otherwise, or is found to have acted in good faith and in a manner he or she reasonably believed to be in or not opposed to the best interests of the Company, except in the case of certain findings by a court that such person is liable for negligence or misconduct in his or her duty to the Company unless such court or the Delaware Court of Chancery also finds that such person is nevertheless fairly and reasonably entitled to indemnity. The Registrant’s certificate of incorporation also eliminates the liability of directors of the Company for monetary damages to the fullest extent permissible under Delaware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145 of the Delaware General Corporation Law states:</w:t>
      </w:r>
    </w:p>
    <w:p>
      <w:pPr>
        <w:spacing w:after="0" w:line="225" w:lineRule="exact"/>
        <w:rPr>
          <w:sz w:val="20"/>
          <w:szCs w:val="20"/>
          <w:color w:val="auto"/>
        </w:rPr>
      </w:pPr>
    </w:p>
    <w:p>
      <w:pPr>
        <w:jc w:val="both"/>
        <w:ind w:firstLine="656"/>
        <w:spacing w:after="0" w:line="270" w:lineRule="auto"/>
        <w:tabs>
          <w:tab w:leader="none" w:pos="934" w:val="left"/>
        </w:tabs>
        <w:numPr>
          <w:ilvl w:val="0"/>
          <w:numId w:val="4"/>
        </w:numPr>
        <w:rPr>
          <w:rFonts w:ascii="Arial" w:cs="Arial" w:eastAsia="Arial" w:hAnsi="Arial"/>
          <w:sz w:val="17"/>
          <w:szCs w:val="17"/>
          <w:color w:val="auto"/>
        </w:rPr>
      </w:pPr>
      <w:r>
        <w:rPr>
          <w:rFonts w:ascii="Arial" w:cs="Arial" w:eastAsia="Arial" w:hAnsi="Arial"/>
          <w:sz w:val="17"/>
          <w:szCs w:val="17"/>
          <w:color w:val="auto"/>
        </w:rPr>
        <w:t>A corporation shall have the power to indemnify any person who was or is a party or is threatened to be made a party to any threatened, pending or completed action, suit or proceeding, whether civil, criminal, administrative or investigative (other than an action arising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77" w:lineRule="exact"/>
        <w:rPr>
          <w:rFonts w:ascii="Arial" w:cs="Arial" w:eastAsia="Arial" w:hAnsi="Arial"/>
          <w:sz w:val="17"/>
          <w:szCs w:val="17"/>
          <w:color w:val="auto"/>
        </w:rPr>
      </w:pPr>
    </w:p>
    <w:p>
      <w:pPr>
        <w:jc w:val="both"/>
        <w:ind w:firstLine="656"/>
        <w:spacing w:after="0" w:line="270" w:lineRule="auto"/>
        <w:tabs>
          <w:tab w:leader="none" w:pos="948" w:val="left"/>
        </w:tabs>
        <w:numPr>
          <w:ilvl w:val="0"/>
          <w:numId w:val="4"/>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 which the Court of Chancery or such other court shall deem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1160" w:hanging="50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hereby undertakes:</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7" w:lineRule="exact"/>
        <w:rPr>
          <w:sz w:val="20"/>
          <w:szCs w:val="20"/>
          <w:color w:val="auto"/>
        </w:rPr>
      </w:pPr>
    </w:p>
    <w:p>
      <w:pPr>
        <w:ind w:left="1780" w:hanging="475"/>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firstLine="1305"/>
        <w:spacing w:after="0" w:line="293" w:lineRule="auto"/>
        <w:tabs>
          <w:tab w:leader="none" w:pos="1871"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firstLine="1305"/>
        <w:spacing w:after="0" w:line="277" w:lineRule="auto"/>
        <w:tabs>
          <w:tab w:leader="none" w:pos="19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of this section do not apply if the registration statement is on Form S-8,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required to be included in a post-effective amendment by those paragraphs is contained in reports filed with or furnished to the Commission by the Company pursuant to section 13 or section 15(d) of the Securities Exchange Act of 1934 that are incorporated by reference in the registration statement.</w:t>
      </w:r>
    </w:p>
    <w:p>
      <w:pPr>
        <w:spacing w:after="0" w:line="147" w:lineRule="exact"/>
        <w:rPr>
          <w:sz w:val="20"/>
          <w:szCs w:val="20"/>
          <w:color w:val="auto"/>
        </w:rPr>
      </w:pPr>
    </w:p>
    <w:p>
      <w:pPr>
        <w:jc w:val="both"/>
        <w:ind w:firstLine="1305"/>
        <w:spacing w:after="0" w:line="264" w:lineRule="auto"/>
        <w:tabs>
          <w:tab w:leader="none" w:pos="1916"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firstLine="1305"/>
        <w:spacing w:after="0" w:line="277" w:lineRule="auto"/>
        <w:tabs>
          <w:tab w:leader="none" w:pos="1865"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undersigned Company hereby undertakes that, for purposes of determining any liability under the Securities Act of 1933, each filing of the Company’s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 w:name="page6"/>
    <w:bookmarkEnd w:id="5"/>
    <w:p>
      <w:pPr>
        <w:jc w:val="both"/>
        <w:ind w:firstLine="656"/>
        <w:spacing w:after="0" w:line="254" w:lineRule="auto"/>
        <w:tabs>
          <w:tab w:leader="none" w:pos="130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The Registrant</w:t>
      </w:r>
      <w:r>
        <w:rPr>
          <w:rFonts w:ascii="Arial" w:cs="Arial" w:eastAsia="Arial" w:hAnsi="Arial"/>
          <w:sz w:val="18"/>
          <w:szCs w:val="18"/>
          <w:color w:val="auto"/>
        </w:rPr>
        <w:t>. Pursuant to the requirements of the Securities Act of 1933, the Company certifies that it has reasonable grounds to believe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meets all of the requirements for filing on Form S-8 and has duly caused this Registration Statement to be signed on its behalf by the undersigned, thereunto duly authorized, in the city of New York, state of New York, on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2012.</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TG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S. Weiss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Chairman of the Board, 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 Chief Executive Officer</w:t>
      </w:r>
    </w:p>
    <w:p>
      <w:pPr>
        <w:spacing w:after="0" w:line="200" w:lineRule="exact"/>
        <w:rPr>
          <w:sz w:val="20"/>
          <w:szCs w:val="20"/>
          <w:color w:val="auto"/>
        </w:rPr>
      </w:pPr>
    </w:p>
    <w:p>
      <w:pPr>
        <w:spacing w:after="0" w:line="22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KNOW BY ALL MEN BY THESE PRESENT, </w:t>
      </w:r>
      <w:r>
        <w:rPr>
          <w:rFonts w:ascii="Arial" w:cs="Arial" w:eastAsia="Arial" w:hAnsi="Arial"/>
          <w:sz w:val="17"/>
          <w:szCs w:val="17"/>
          <w:color w:val="auto"/>
        </w:rPr>
        <w:t>that each person whose signature appears below constitutes and appoints Michael S. Weiss and</w:t>
      </w:r>
      <w:r>
        <w:rPr>
          <w:rFonts w:ascii="Arial" w:cs="Arial" w:eastAsia="Arial" w:hAnsi="Arial"/>
          <w:sz w:val="17"/>
          <w:szCs w:val="17"/>
          <w:b w:val="1"/>
          <w:bCs w:val="1"/>
          <w:color w:val="auto"/>
        </w:rPr>
        <w:t xml:space="preserve"> </w:t>
      </w:r>
      <w:r>
        <w:rPr>
          <w:rFonts w:ascii="Arial" w:cs="Arial" w:eastAsia="Arial" w:hAnsi="Arial"/>
          <w:sz w:val="17"/>
          <w:szCs w:val="17"/>
          <w:color w:val="auto"/>
        </w:rPr>
        <w:t>Sean A. Power, and each or any one of them, as true and lawful attorneys-in-fact and agents, with full power of substitution, for him and in his name, place and stead, in any and all capacities, to sign any amendments (including post-effective amendments) to this registration statement and to file the same, with all exhibits thereto and other documents in connection therewith, with the Securities and Exchange Commission, hereby ratifying and confirming all that said attorney-in-fact, or their substitute or substitutes, may lawfully do or cause to be done by virtue thereof.</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93"/>
              </w:rPr>
              <w:t>Title</w:t>
            </w:r>
          </w:p>
        </w:tc>
        <w:tc>
          <w:tcPr>
            <w:tcW w:w="468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7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53"/>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S. Weiss</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Executive Chairman of the Board, President</w:t>
            </w:r>
          </w:p>
        </w:tc>
        <w:tc>
          <w:tcPr>
            <w:tcW w:w="2960" w:type="dxa"/>
            <w:vAlign w:val="bottom"/>
            <w:gridSpan w:val="2"/>
          </w:tcPr>
          <w:p>
            <w:pPr>
              <w:spacing w:after="0"/>
              <w:rPr>
                <w:sz w:val="20"/>
                <w:szCs w:val="20"/>
                <w:color w:val="auto"/>
              </w:rPr>
            </w:pPr>
            <w:r>
              <w:rPr>
                <w:rFonts w:ascii="Arial" w:cs="Arial" w:eastAsia="Arial" w:hAnsi="Arial"/>
                <w:sz w:val="18"/>
                <w:szCs w:val="18"/>
                <w:color w:val="auto"/>
              </w:rPr>
              <w:t>May 14, 2012</w:t>
            </w:r>
          </w:p>
        </w:tc>
      </w:tr>
      <w:tr>
        <w:trPr>
          <w:trHeight w:val="182"/>
        </w:trPr>
        <w:tc>
          <w:tcPr>
            <w:tcW w:w="3200" w:type="dxa"/>
            <w:vAlign w:val="bottom"/>
            <w:gridSpan w:val="2"/>
          </w:tcPr>
          <w:p>
            <w:pPr>
              <w:spacing w:after="0" w:line="182" w:lineRule="exact"/>
              <w:rPr>
                <w:sz w:val="20"/>
                <w:szCs w:val="20"/>
                <w:color w:val="auto"/>
              </w:rPr>
            </w:pPr>
            <w:r>
              <w:rPr>
                <w:rFonts w:ascii="Arial" w:cs="Arial" w:eastAsia="Arial" w:hAnsi="Arial"/>
                <w:sz w:val="18"/>
                <w:szCs w:val="18"/>
                <w:color w:val="auto"/>
              </w:rPr>
              <w:t>Michael S. Weiss</w:t>
            </w:r>
          </w:p>
        </w:tc>
        <w:tc>
          <w:tcPr>
            <w:tcW w:w="240" w:type="dxa"/>
            <w:vAlign w:val="bottom"/>
          </w:tcPr>
          <w:p>
            <w:pPr>
              <w:spacing w:after="0"/>
              <w:rPr>
                <w:sz w:val="15"/>
                <w:szCs w:val="15"/>
                <w:color w:val="auto"/>
              </w:rPr>
            </w:pPr>
          </w:p>
        </w:tc>
        <w:tc>
          <w:tcPr>
            <w:tcW w:w="5020" w:type="dxa"/>
            <w:vAlign w:val="bottom"/>
            <w:gridSpan w:val="2"/>
          </w:tcPr>
          <w:p>
            <w:pPr>
              <w:spacing w:after="0" w:line="182" w:lineRule="exact"/>
              <w:rPr>
                <w:sz w:val="20"/>
                <w:szCs w:val="20"/>
                <w:color w:val="auto"/>
              </w:rPr>
            </w:pPr>
            <w:r>
              <w:rPr>
                <w:rFonts w:ascii="Arial" w:cs="Arial" w:eastAsia="Arial" w:hAnsi="Arial"/>
                <w:sz w:val="18"/>
                <w:szCs w:val="18"/>
                <w:color w:val="auto"/>
              </w:rPr>
              <w:t>and Chief Executive Officer</w:t>
            </w:r>
          </w:p>
        </w:tc>
        <w:tc>
          <w:tcPr>
            <w:tcW w:w="34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30"/>
        </w:trPr>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648"/>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Sean A. Power</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Chief Financial Officer, Treasurer</w:t>
            </w:r>
          </w:p>
        </w:tc>
        <w:tc>
          <w:tcPr>
            <w:tcW w:w="2960" w:type="dxa"/>
            <w:vAlign w:val="bottom"/>
            <w:gridSpan w:val="2"/>
          </w:tcPr>
          <w:p>
            <w:pPr>
              <w:spacing w:after="0"/>
              <w:rPr>
                <w:sz w:val="20"/>
                <w:szCs w:val="20"/>
                <w:color w:val="auto"/>
              </w:rPr>
            </w:pPr>
            <w:r>
              <w:rPr>
                <w:rFonts w:ascii="Arial" w:cs="Arial" w:eastAsia="Arial" w:hAnsi="Arial"/>
                <w:sz w:val="18"/>
                <w:szCs w:val="18"/>
                <w:color w:val="auto"/>
              </w:rPr>
              <w:t>May 14, 2012</w:t>
            </w:r>
          </w:p>
        </w:tc>
      </w:tr>
      <w:tr>
        <w:trPr>
          <w:trHeight w:val="182"/>
        </w:trPr>
        <w:tc>
          <w:tcPr>
            <w:tcW w:w="3200" w:type="dxa"/>
            <w:vAlign w:val="bottom"/>
            <w:gridSpan w:val="2"/>
          </w:tcPr>
          <w:p>
            <w:pPr>
              <w:spacing w:after="0" w:line="182" w:lineRule="exact"/>
              <w:rPr>
                <w:sz w:val="20"/>
                <w:szCs w:val="20"/>
                <w:color w:val="auto"/>
              </w:rPr>
            </w:pPr>
            <w:r>
              <w:rPr>
                <w:rFonts w:ascii="Arial" w:cs="Arial" w:eastAsia="Arial" w:hAnsi="Arial"/>
                <w:sz w:val="18"/>
                <w:szCs w:val="18"/>
                <w:color w:val="auto"/>
              </w:rPr>
              <w:t>Sean A. Power</w:t>
            </w:r>
          </w:p>
        </w:tc>
        <w:tc>
          <w:tcPr>
            <w:tcW w:w="240" w:type="dxa"/>
            <w:vAlign w:val="bottom"/>
          </w:tcPr>
          <w:p>
            <w:pPr>
              <w:spacing w:after="0"/>
              <w:rPr>
                <w:sz w:val="15"/>
                <w:szCs w:val="15"/>
                <w:color w:val="auto"/>
              </w:rPr>
            </w:pPr>
          </w:p>
        </w:tc>
        <w:tc>
          <w:tcPr>
            <w:tcW w:w="5020" w:type="dxa"/>
            <w:vAlign w:val="bottom"/>
            <w:gridSpan w:val="2"/>
          </w:tcPr>
          <w:p>
            <w:pPr>
              <w:spacing w:after="0" w:line="182" w:lineRule="exact"/>
              <w:rPr>
                <w:sz w:val="20"/>
                <w:szCs w:val="20"/>
                <w:color w:val="auto"/>
              </w:rPr>
            </w:pPr>
            <w:r>
              <w:rPr>
                <w:rFonts w:ascii="Arial" w:cs="Arial" w:eastAsia="Arial" w:hAnsi="Arial"/>
                <w:sz w:val="18"/>
                <w:szCs w:val="18"/>
                <w:color w:val="auto"/>
              </w:rPr>
              <w:t>and Corporate Secretary</w:t>
            </w:r>
          </w:p>
        </w:tc>
        <w:tc>
          <w:tcPr>
            <w:tcW w:w="34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30"/>
        </w:trPr>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3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648"/>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Neil Herskowitz</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60" w:type="dxa"/>
            <w:vAlign w:val="bottom"/>
            <w:gridSpan w:val="2"/>
          </w:tcPr>
          <w:p>
            <w:pPr>
              <w:spacing w:after="0"/>
              <w:rPr>
                <w:sz w:val="20"/>
                <w:szCs w:val="20"/>
                <w:color w:val="auto"/>
              </w:rPr>
            </w:pPr>
            <w:r>
              <w:rPr>
                <w:rFonts w:ascii="Arial" w:cs="Arial" w:eastAsia="Arial" w:hAnsi="Arial"/>
                <w:sz w:val="18"/>
                <w:szCs w:val="18"/>
                <w:color w:val="auto"/>
              </w:rPr>
              <w:t>May 13, 2012</w:t>
            </w:r>
          </w:p>
        </w:tc>
      </w:tr>
      <w:tr>
        <w:trPr>
          <w:trHeight w:val="224"/>
        </w:trPr>
        <w:tc>
          <w:tcPr>
            <w:tcW w:w="3200" w:type="dxa"/>
            <w:vAlign w:val="bottom"/>
            <w:gridSpan w:val="2"/>
          </w:tcPr>
          <w:p>
            <w:pPr>
              <w:spacing w:after="0"/>
              <w:rPr>
                <w:sz w:val="20"/>
                <w:szCs w:val="20"/>
                <w:color w:val="auto"/>
              </w:rPr>
            </w:pPr>
            <w:r>
              <w:rPr>
                <w:rFonts w:ascii="Arial" w:cs="Arial" w:eastAsia="Arial" w:hAnsi="Arial"/>
                <w:sz w:val="18"/>
                <w:szCs w:val="18"/>
                <w:color w:val="auto"/>
              </w:rPr>
              <w:t>Neil Herskowitz</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634"/>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Laurence N. Charney</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60" w:type="dxa"/>
            <w:vAlign w:val="bottom"/>
            <w:gridSpan w:val="2"/>
          </w:tcPr>
          <w:p>
            <w:pPr>
              <w:spacing w:after="0"/>
              <w:rPr>
                <w:sz w:val="20"/>
                <w:szCs w:val="20"/>
                <w:color w:val="auto"/>
              </w:rPr>
            </w:pPr>
            <w:r>
              <w:rPr>
                <w:rFonts w:ascii="Arial" w:cs="Arial" w:eastAsia="Arial" w:hAnsi="Arial"/>
                <w:sz w:val="18"/>
                <w:szCs w:val="18"/>
                <w:color w:val="auto"/>
              </w:rPr>
              <w:t>May 14, 2012</w:t>
            </w:r>
          </w:p>
        </w:tc>
      </w:tr>
      <w:tr>
        <w:trPr>
          <w:trHeight w:val="224"/>
        </w:trPr>
        <w:tc>
          <w:tcPr>
            <w:tcW w:w="3200" w:type="dxa"/>
            <w:vAlign w:val="bottom"/>
            <w:gridSpan w:val="2"/>
          </w:tcPr>
          <w:p>
            <w:pPr>
              <w:spacing w:after="0"/>
              <w:rPr>
                <w:sz w:val="20"/>
                <w:szCs w:val="20"/>
                <w:color w:val="auto"/>
              </w:rPr>
            </w:pPr>
            <w:r>
              <w:rPr>
                <w:rFonts w:ascii="Arial" w:cs="Arial" w:eastAsia="Arial" w:hAnsi="Arial"/>
                <w:sz w:val="18"/>
                <w:szCs w:val="18"/>
                <w:color w:val="auto"/>
              </w:rPr>
              <w:t>Laurence N. Charney</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634"/>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J. Kennedy</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60" w:type="dxa"/>
            <w:vAlign w:val="bottom"/>
            <w:gridSpan w:val="2"/>
          </w:tcPr>
          <w:p>
            <w:pPr>
              <w:spacing w:after="0"/>
              <w:rPr>
                <w:sz w:val="20"/>
                <w:szCs w:val="20"/>
                <w:color w:val="auto"/>
              </w:rPr>
            </w:pPr>
            <w:r>
              <w:rPr>
                <w:rFonts w:ascii="Arial" w:cs="Arial" w:eastAsia="Arial" w:hAnsi="Arial"/>
                <w:sz w:val="18"/>
                <w:szCs w:val="18"/>
                <w:color w:val="auto"/>
              </w:rPr>
              <w:t>May 14, 2012</w:t>
            </w:r>
          </w:p>
        </w:tc>
      </w:tr>
      <w:tr>
        <w:trPr>
          <w:trHeight w:val="224"/>
        </w:trPr>
        <w:tc>
          <w:tcPr>
            <w:tcW w:w="3200" w:type="dxa"/>
            <w:vAlign w:val="bottom"/>
            <w:gridSpan w:val="2"/>
          </w:tcPr>
          <w:p>
            <w:pPr>
              <w:spacing w:after="0"/>
              <w:rPr>
                <w:sz w:val="20"/>
                <w:szCs w:val="20"/>
                <w:color w:val="auto"/>
              </w:rPr>
            </w:pPr>
            <w:r>
              <w:rPr>
                <w:rFonts w:ascii="Arial" w:cs="Arial" w:eastAsia="Arial" w:hAnsi="Arial"/>
                <w:sz w:val="18"/>
                <w:szCs w:val="18"/>
                <w:color w:val="auto"/>
              </w:rPr>
              <w:t>William J. Kennedy</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634"/>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Schoenebaum, M.D.</w:t>
            </w:r>
          </w:p>
        </w:tc>
        <w:tc>
          <w:tcPr>
            <w:tcW w:w="24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960" w:type="dxa"/>
            <w:vAlign w:val="bottom"/>
            <w:gridSpan w:val="2"/>
          </w:tcPr>
          <w:p>
            <w:pPr>
              <w:spacing w:after="0"/>
              <w:rPr>
                <w:sz w:val="20"/>
                <w:szCs w:val="20"/>
                <w:color w:val="auto"/>
              </w:rPr>
            </w:pPr>
            <w:r>
              <w:rPr>
                <w:rFonts w:ascii="Arial" w:cs="Arial" w:eastAsia="Arial" w:hAnsi="Arial"/>
                <w:sz w:val="18"/>
                <w:szCs w:val="18"/>
                <w:color w:val="auto"/>
              </w:rPr>
              <w:t>May 14, 2012</w:t>
            </w:r>
          </w:p>
        </w:tc>
      </w:tr>
      <w:tr>
        <w:trPr>
          <w:trHeight w:val="224"/>
        </w:trPr>
        <w:tc>
          <w:tcPr>
            <w:tcW w:w="3200" w:type="dxa"/>
            <w:vAlign w:val="bottom"/>
            <w:gridSpan w:val="2"/>
          </w:tcPr>
          <w:p>
            <w:pPr>
              <w:spacing w:after="0"/>
              <w:rPr>
                <w:sz w:val="20"/>
                <w:szCs w:val="20"/>
                <w:color w:val="auto"/>
              </w:rPr>
            </w:pPr>
            <w:r>
              <w:rPr>
                <w:rFonts w:ascii="Arial" w:cs="Arial" w:eastAsia="Arial" w:hAnsi="Arial"/>
                <w:sz w:val="18"/>
                <w:szCs w:val="18"/>
                <w:color w:val="auto"/>
              </w:rPr>
              <w:t>Mark Schoenebaum, M.D.</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850"/>
        </w:trPr>
        <w:tc>
          <w:tcPr>
            <w:tcW w:w="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jc w:val="center"/>
              <w:ind w:right="2340"/>
              <w:spacing w:after="0"/>
              <w:rPr>
                <w:sz w:val="20"/>
                <w:szCs w:val="20"/>
                <w:color w:val="auto"/>
              </w:rPr>
            </w:pPr>
            <w:r>
              <w:rPr>
                <w:rFonts w:ascii="Arial" w:cs="Arial" w:eastAsia="Arial" w:hAnsi="Arial"/>
                <w:sz w:val="18"/>
                <w:szCs w:val="18"/>
                <w:b w:val="1"/>
                <w:bCs w:val="1"/>
                <w:color w:val="auto"/>
              </w:rPr>
              <w:t>EXHIBIT INDEX</w:t>
            </w:r>
          </w:p>
        </w:tc>
      </w:tr>
      <w:tr>
        <w:trPr>
          <w:trHeight w:val="216"/>
        </w:trPr>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rPr>
              <w:t>TO</w:t>
            </w:r>
          </w:p>
        </w:tc>
      </w:tr>
      <w:tr>
        <w:trPr>
          <w:trHeight w:val="234"/>
        </w:trPr>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6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w w:val="99"/>
              </w:rPr>
              <w:t>REGISTRATION STATEMENT ON FORM S-8</w:t>
            </w:r>
          </w:p>
        </w:tc>
      </w:tr>
      <w:tr>
        <w:trPr>
          <w:trHeight w:val="608"/>
        </w:trPr>
        <w:tc>
          <w:tcPr>
            <w:tcW w:w="2360" w:type="dxa"/>
            <w:vAlign w:val="bottom"/>
            <w:gridSpan w:val="3"/>
          </w:tcPr>
          <w:p>
            <w:pPr>
              <w:ind w:left="800"/>
              <w:spacing w:after="0"/>
              <w:rPr>
                <w:sz w:val="20"/>
                <w:szCs w:val="20"/>
                <w:color w:val="auto"/>
              </w:rPr>
            </w:pPr>
            <w:r>
              <w:rPr>
                <w:rFonts w:ascii="Arial" w:cs="Arial" w:eastAsia="Arial" w:hAnsi="Arial"/>
                <w:sz w:val="18"/>
                <w:szCs w:val="18"/>
                <w:color w:val="auto"/>
              </w:rPr>
              <w:t>Exhibit Number</w:t>
            </w:r>
          </w:p>
        </w:tc>
        <w:tc>
          <w:tcPr>
            <w:tcW w:w="9060" w:type="dxa"/>
            <w:vAlign w:val="bottom"/>
            <w:gridSpan w:val="3"/>
          </w:tcPr>
          <w:p>
            <w:pPr>
              <w:ind w:left="4300"/>
              <w:spacing w:after="0"/>
              <w:rPr>
                <w:sz w:val="20"/>
                <w:szCs w:val="20"/>
                <w:color w:val="auto"/>
              </w:rPr>
            </w:pPr>
            <w:r>
              <w:rPr>
                <w:rFonts w:ascii="Arial" w:cs="Arial" w:eastAsia="Arial" w:hAnsi="Arial"/>
                <w:sz w:val="18"/>
                <w:szCs w:val="18"/>
                <w:color w:val="auto"/>
              </w:rPr>
              <w:t>Description</w:t>
            </w:r>
          </w:p>
        </w:tc>
      </w:tr>
      <w:tr>
        <w:trPr>
          <w:trHeight w:val="20"/>
        </w:trPr>
        <w:tc>
          <w:tcPr>
            <w:tcW w:w="8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654"/>
        </w:trPr>
        <w:tc>
          <w:tcPr>
            <w:tcW w:w="8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4"/>
                <w:szCs w:val="24"/>
                <w:color w:val="auto"/>
              </w:rPr>
            </w:pPr>
          </w:p>
        </w:tc>
        <w:tc>
          <w:tcPr>
            <w:tcW w:w="9060" w:type="dxa"/>
            <w:vAlign w:val="bottom"/>
            <w:gridSpan w:val="3"/>
          </w:tcPr>
          <w:p>
            <w:pPr>
              <w:ind w:left="380"/>
              <w:spacing w:after="0"/>
              <w:rPr>
                <w:sz w:val="20"/>
                <w:szCs w:val="20"/>
                <w:color w:val="auto"/>
              </w:rPr>
            </w:pPr>
            <w:r>
              <w:rPr>
                <w:rFonts w:ascii="Arial" w:cs="Arial" w:eastAsia="Arial" w:hAnsi="Arial"/>
                <w:sz w:val="18"/>
                <w:szCs w:val="18"/>
                <w:color w:val="auto"/>
                <w:w w:val="94"/>
              </w:rPr>
              <w:t>Amended and Restated Certificate of Incorporation of the Company (incorporated by reference to Exhibit 3.1 to the</w:t>
            </w:r>
          </w:p>
        </w:tc>
      </w:tr>
      <w:tr>
        <w:trPr>
          <w:trHeight w:val="230"/>
        </w:trPr>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60" w:type="dxa"/>
            <w:vAlign w:val="bottom"/>
            <w:gridSpan w:val="3"/>
          </w:tcPr>
          <w:p>
            <w:pPr>
              <w:ind w:left="380"/>
              <w:spacing w:after="0"/>
              <w:rPr>
                <w:sz w:val="20"/>
                <w:szCs w:val="20"/>
                <w:color w:val="auto"/>
              </w:rPr>
            </w:pPr>
            <w:r>
              <w:rPr>
                <w:rFonts w:ascii="Arial" w:cs="Arial" w:eastAsia="Arial" w:hAnsi="Arial"/>
                <w:sz w:val="18"/>
                <w:szCs w:val="18"/>
                <w:color w:val="auto"/>
              </w:rPr>
              <w:t>Company’s Quarterly Report on Form 10-Q for the quarter ended March 31, 2012).</w:t>
            </w:r>
          </w:p>
        </w:tc>
      </w:tr>
      <w:tr>
        <w:trPr>
          <w:trHeight w:val="418"/>
        </w:trPr>
        <w:tc>
          <w:tcPr>
            <w:tcW w:w="1960" w:type="dxa"/>
            <w:vAlign w:val="bottom"/>
            <w:gridSpan w:val="2"/>
          </w:tcPr>
          <w:p>
            <w:pPr>
              <w:jc w:val="center"/>
              <w:ind w:left="710"/>
              <w:spacing w:after="0"/>
              <w:rPr>
                <w:sz w:val="20"/>
                <w:szCs w:val="20"/>
                <w:color w:val="auto"/>
              </w:rPr>
            </w:pPr>
            <w:r>
              <w:rPr>
                <w:rFonts w:ascii="Arial" w:cs="Arial" w:eastAsia="Arial" w:hAnsi="Arial"/>
                <w:sz w:val="18"/>
                <w:szCs w:val="18"/>
                <w:color w:val="auto"/>
                <w:w w:val="95"/>
              </w:rPr>
              <w:t>3.2</w:t>
            </w:r>
          </w:p>
        </w:tc>
        <w:tc>
          <w:tcPr>
            <w:tcW w:w="400" w:type="dxa"/>
            <w:vAlign w:val="bottom"/>
          </w:tcPr>
          <w:p>
            <w:pPr>
              <w:spacing w:after="0"/>
              <w:rPr>
                <w:sz w:val="24"/>
                <w:szCs w:val="24"/>
                <w:color w:val="auto"/>
              </w:rPr>
            </w:pPr>
          </w:p>
        </w:tc>
        <w:tc>
          <w:tcPr>
            <w:tcW w:w="9060" w:type="dxa"/>
            <w:vAlign w:val="bottom"/>
            <w:gridSpan w:val="3"/>
          </w:tcPr>
          <w:p>
            <w:pPr>
              <w:ind w:left="380"/>
              <w:spacing w:after="0"/>
              <w:rPr>
                <w:sz w:val="20"/>
                <w:szCs w:val="20"/>
                <w:color w:val="auto"/>
              </w:rPr>
            </w:pPr>
            <w:r>
              <w:rPr>
                <w:rFonts w:ascii="Arial" w:cs="Arial" w:eastAsia="Arial" w:hAnsi="Arial"/>
                <w:sz w:val="18"/>
                <w:szCs w:val="18"/>
                <w:color w:val="auto"/>
                <w:w w:val="91"/>
              </w:rPr>
              <w:t>Restated Bylaws of the Company (incorporated by reference to Exhibit 3.2 of the Company’s Quarterly Report on Form</w:t>
            </w:r>
          </w:p>
        </w:tc>
      </w:tr>
      <w:tr>
        <w:trPr>
          <w:trHeight w:val="230"/>
        </w:trPr>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60" w:type="dxa"/>
            <w:vAlign w:val="bottom"/>
            <w:gridSpan w:val="3"/>
          </w:tcPr>
          <w:p>
            <w:pPr>
              <w:ind w:left="380"/>
              <w:spacing w:after="0"/>
              <w:rPr>
                <w:sz w:val="20"/>
                <w:szCs w:val="20"/>
                <w:color w:val="auto"/>
              </w:rPr>
            </w:pPr>
            <w:r>
              <w:rPr>
                <w:rFonts w:ascii="Arial" w:cs="Arial" w:eastAsia="Arial" w:hAnsi="Arial"/>
                <w:sz w:val="18"/>
                <w:szCs w:val="18"/>
                <w:color w:val="auto"/>
              </w:rPr>
              <w:t>10-Q for the quarter ended March 31, 2012).</w:t>
            </w:r>
          </w:p>
        </w:tc>
      </w:tr>
      <w:tr>
        <w:trPr>
          <w:trHeight w:val="324"/>
        </w:trPr>
        <w:tc>
          <w:tcPr>
            <w:tcW w:w="1960" w:type="dxa"/>
            <w:vAlign w:val="bottom"/>
            <w:gridSpan w:val="2"/>
          </w:tcPr>
          <w:p>
            <w:pPr>
              <w:jc w:val="center"/>
              <w:ind w:left="710"/>
              <w:spacing w:after="0"/>
              <w:rPr>
                <w:sz w:val="20"/>
                <w:szCs w:val="20"/>
                <w:color w:val="auto"/>
              </w:rPr>
            </w:pPr>
            <w:r>
              <w:rPr>
                <w:rFonts w:ascii="Arial" w:cs="Arial" w:eastAsia="Arial" w:hAnsi="Arial"/>
                <w:sz w:val="18"/>
                <w:szCs w:val="18"/>
                <w:color w:val="auto"/>
                <w:w w:val="95"/>
              </w:rPr>
              <w:t>5.1</w:t>
            </w:r>
          </w:p>
        </w:tc>
        <w:tc>
          <w:tcPr>
            <w:tcW w:w="400" w:type="dxa"/>
            <w:vAlign w:val="bottom"/>
          </w:tcPr>
          <w:p>
            <w:pPr>
              <w:spacing w:after="0"/>
              <w:rPr>
                <w:sz w:val="24"/>
                <w:szCs w:val="24"/>
                <w:color w:val="auto"/>
              </w:rPr>
            </w:pPr>
          </w:p>
        </w:tc>
        <w:tc>
          <w:tcPr>
            <w:tcW w:w="9060" w:type="dxa"/>
            <w:vAlign w:val="bottom"/>
            <w:gridSpan w:val="3"/>
          </w:tcPr>
          <w:p>
            <w:pPr>
              <w:ind w:left="380"/>
              <w:spacing w:after="0"/>
              <w:rPr>
                <w:sz w:val="20"/>
                <w:szCs w:val="20"/>
                <w:color w:val="auto"/>
              </w:rPr>
            </w:pPr>
            <w:r>
              <w:rPr>
                <w:rFonts w:ascii="Arial" w:cs="Arial" w:eastAsia="Arial" w:hAnsi="Arial"/>
                <w:sz w:val="18"/>
                <w:szCs w:val="18"/>
                <w:color w:val="auto"/>
              </w:rPr>
              <w:t>Opinion of Alston &amp; Bird LLP (filed herewith).</w:t>
            </w:r>
          </w:p>
        </w:tc>
      </w:tr>
      <w:tr>
        <w:trPr>
          <w:trHeight w:val="310"/>
        </w:trPr>
        <w:tc>
          <w:tcPr>
            <w:tcW w:w="1960" w:type="dxa"/>
            <w:vAlign w:val="bottom"/>
            <w:gridSpan w:val="2"/>
          </w:tcPr>
          <w:p>
            <w:pPr>
              <w:jc w:val="center"/>
              <w:ind w:left="71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9060" w:type="dxa"/>
            <w:vAlign w:val="bottom"/>
            <w:gridSpan w:val="3"/>
          </w:tcPr>
          <w:p>
            <w:pPr>
              <w:ind w:left="380"/>
              <w:spacing w:after="0"/>
              <w:rPr>
                <w:sz w:val="20"/>
                <w:szCs w:val="20"/>
                <w:color w:val="auto"/>
              </w:rPr>
            </w:pPr>
            <w:r>
              <w:rPr>
                <w:rFonts w:ascii="Arial" w:cs="Arial" w:eastAsia="Arial" w:hAnsi="Arial"/>
                <w:sz w:val="18"/>
                <w:szCs w:val="18"/>
                <w:color w:val="auto"/>
                <w:w w:val="92"/>
              </w:rPr>
              <w:t>TG Therapeutics, Inc. Amended and Restated 2012 Incentive Plan (incorporated by reference from Exhibit 10.1 of the</w:t>
            </w:r>
          </w:p>
        </w:tc>
      </w:tr>
      <w:tr>
        <w:trPr>
          <w:trHeight w:val="230"/>
        </w:trPr>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60" w:type="dxa"/>
            <w:vAlign w:val="bottom"/>
            <w:gridSpan w:val="3"/>
          </w:tcPr>
          <w:p>
            <w:pPr>
              <w:ind w:left="380"/>
              <w:spacing w:after="0"/>
              <w:rPr>
                <w:sz w:val="20"/>
                <w:szCs w:val="20"/>
                <w:color w:val="auto"/>
              </w:rPr>
            </w:pPr>
            <w:r>
              <w:rPr>
                <w:rFonts w:ascii="Arial" w:cs="Arial" w:eastAsia="Arial" w:hAnsi="Arial"/>
                <w:sz w:val="18"/>
                <w:szCs w:val="18"/>
                <w:color w:val="auto"/>
              </w:rPr>
              <w:t>Company’s Quarterly Report on Form 10-Q for the quarter ended March 31, 2011).</w:t>
            </w:r>
          </w:p>
        </w:tc>
      </w:tr>
      <w:tr>
        <w:trPr>
          <w:trHeight w:val="324"/>
        </w:trPr>
        <w:tc>
          <w:tcPr>
            <w:tcW w:w="1960" w:type="dxa"/>
            <w:vAlign w:val="bottom"/>
            <w:gridSpan w:val="2"/>
          </w:tcPr>
          <w:p>
            <w:pPr>
              <w:jc w:val="center"/>
              <w:ind w:left="710"/>
              <w:spacing w:after="0"/>
              <w:rPr>
                <w:sz w:val="20"/>
                <w:szCs w:val="20"/>
                <w:color w:val="auto"/>
              </w:rPr>
            </w:pPr>
            <w:r>
              <w:rPr>
                <w:rFonts w:ascii="Arial" w:cs="Arial" w:eastAsia="Arial" w:hAnsi="Arial"/>
                <w:sz w:val="18"/>
                <w:szCs w:val="18"/>
                <w:color w:val="auto"/>
                <w:w w:val="91"/>
              </w:rPr>
              <w:t>23.1</w:t>
            </w:r>
          </w:p>
        </w:tc>
        <w:tc>
          <w:tcPr>
            <w:tcW w:w="400" w:type="dxa"/>
            <w:vAlign w:val="bottom"/>
          </w:tcPr>
          <w:p>
            <w:pPr>
              <w:spacing w:after="0"/>
              <w:rPr>
                <w:sz w:val="24"/>
                <w:szCs w:val="24"/>
                <w:color w:val="auto"/>
              </w:rPr>
            </w:pPr>
          </w:p>
        </w:tc>
        <w:tc>
          <w:tcPr>
            <w:tcW w:w="9060" w:type="dxa"/>
            <w:vAlign w:val="bottom"/>
            <w:gridSpan w:val="3"/>
          </w:tcPr>
          <w:p>
            <w:pPr>
              <w:ind w:left="380"/>
              <w:spacing w:after="0"/>
              <w:rPr>
                <w:sz w:val="20"/>
                <w:szCs w:val="20"/>
                <w:color w:val="auto"/>
              </w:rPr>
            </w:pPr>
            <w:r>
              <w:rPr>
                <w:rFonts w:ascii="Arial" w:cs="Arial" w:eastAsia="Arial" w:hAnsi="Arial"/>
                <w:sz w:val="18"/>
                <w:szCs w:val="18"/>
                <w:color w:val="auto"/>
              </w:rPr>
              <w:t>Consent of Alston &amp; Bird LLP (included in Exhibit 5.1).</w:t>
            </w:r>
          </w:p>
        </w:tc>
      </w:tr>
      <w:tr>
        <w:trPr>
          <w:trHeight w:val="324"/>
        </w:trPr>
        <w:tc>
          <w:tcPr>
            <w:tcW w:w="1960" w:type="dxa"/>
            <w:vAlign w:val="bottom"/>
            <w:gridSpan w:val="2"/>
          </w:tcPr>
          <w:p>
            <w:pPr>
              <w:jc w:val="center"/>
              <w:ind w:left="710"/>
              <w:spacing w:after="0"/>
              <w:rPr>
                <w:sz w:val="20"/>
                <w:szCs w:val="20"/>
                <w:color w:val="auto"/>
              </w:rPr>
            </w:pPr>
            <w:r>
              <w:rPr>
                <w:rFonts w:ascii="Arial" w:cs="Arial" w:eastAsia="Arial" w:hAnsi="Arial"/>
                <w:sz w:val="18"/>
                <w:szCs w:val="18"/>
                <w:color w:val="auto"/>
                <w:w w:val="91"/>
              </w:rPr>
              <w:t>23.2</w:t>
            </w:r>
          </w:p>
        </w:tc>
        <w:tc>
          <w:tcPr>
            <w:tcW w:w="400" w:type="dxa"/>
            <w:vAlign w:val="bottom"/>
          </w:tcPr>
          <w:p>
            <w:pPr>
              <w:spacing w:after="0"/>
              <w:rPr>
                <w:sz w:val="24"/>
                <w:szCs w:val="24"/>
                <w:color w:val="auto"/>
              </w:rPr>
            </w:pPr>
          </w:p>
        </w:tc>
        <w:tc>
          <w:tcPr>
            <w:tcW w:w="9060" w:type="dxa"/>
            <w:vAlign w:val="bottom"/>
            <w:gridSpan w:val="3"/>
          </w:tcPr>
          <w:p>
            <w:pPr>
              <w:ind w:left="38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324"/>
        </w:trPr>
        <w:tc>
          <w:tcPr>
            <w:tcW w:w="1960" w:type="dxa"/>
            <w:vAlign w:val="bottom"/>
            <w:gridSpan w:val="2"/>
          </w:tcPr>
          <w:p>
            <w:pPr>
              <w:jc w:val="center"/>
              <w:ind w:left="710"/>
              <w:spacing w:after="0"/>
              <w:rPr>
                <w:sz w:val="20"/>
                <w:szCs w:val="20"/>
                <w:color w:val="auto"/>
              </w:rPr>
            </w:pPr>
            <w:r>
              <w:rPr>
                <w:rFonts w:ascii="Arial" w:cs="Arial" w:eastAsia="Arial" w:hAnsi="Arial"/>
                <w:sz w:val="18"/>
                <w:szCs w:val="18"/>
                <w:color w:val="auto"/>
                <w:w w:val="91"/>
              </w:rPr>
              <w:t>24.1</w:t>
            </w:r>
          </w:p>
        </w:tc>
        <w:tc>
          <w:tcPr>
            <w:tcW w:w="400" w:type="dxa"/>
            <w:vAlign w:val="bottom"/>
          </w:tcPr>
          <w:p>
            <w:pPr>
              <w:spacing w:after="0"/>
              <w:rPr>
                <w:sz w:val="24"/>
                <w:szCs w:val="24"/>
                <w:color w:val="auto"/>
              </w:rPr>
            </w:pPr>
          </w:p>
        </w:tc>
        <w:tc>
          <w:tcPr>
            <w:tcW w:w="9060" w:type="dxa"/>
            <w:vAlign w:val="bottom"/>
            <w:gridSpan w:val="3"/>
          </w:tcPr>
          <w:p>
            <w:pPr>
              <w:ind w:left="380"/>
              <w:spacing w:after="0"/>
              <w:rPr>
                <w:sz w:val="20"/>
                <w:szCs w:val="20"/>
                <w:color w:val="auto"/>
              </w:rPr>
            </w:pPr>
            <w:r>
              <w:rPr>
                <w:rFonts w:ascii="Arial" w:cs="Arial" w:eastAsia="Arial" w:hAnsi="Arial"/>
                <w:sz w:val="18"/>
                <w:szCs w:val="18"/>
                <w:color w:val="auto"/>
              </w:rPr>
              <w:t>Power of Attorney (included on signature page of this registration statement).</w:t>
            </w:r>
          </w:p>
        </w:tc>
      </w:tr>
      <w:tr>
        <w:trPr>
          <w:trHeight w:val="972"/>
        </w:trPr>
        <w:tc>
          <w:tcPr>
            <w:tcW w:w="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43"/>
          <w:szCs w:val="43"/>
          <w:color w:val="auto"/>
        </w:rPr>
        <w:t>A</w:t>
      </w:r>
      <w:r>
        <w:rPr>
          <w:rFonts w:ascii="Arial" w:cs="Arial" w:eastAsia="Arial" w:hAnsi="Arial"/>
          <w:sz w:val="29"/>
          <w:szCs w:val="29"/>
          <w:color w:val="auto"/>
        </w:rPr>
        <w:t>LSTON</w:t>
      </w:r>
      <w:r>
        <w:rPr>
          <w:rFonts w:ascii="Arial" w:cs="Arial" w:eastAsia="Arial" w:hAnsi="Arial"/>
          <w:sz w:val="21"/>
          <w:szCs w:val="21"/>
          <w:color w:val="auto"/>
        </w:rPr>
        <w:t>&amp;</w:t>
      </w:r>
      <w:r>
        <w:rPr>
          <w:rFonts w:ascii="Arial" w:cs="Arial" w:eastAsia="Arial" w:hAnsi="Arial"/>
          <w:sz w:val="43"/>
          <w:szCs w:val="43"/>
          <w:color w:val="auto"/>
        </w:rPr>
        <w:t>B</w:t>
      </w:r>
      <w:r>
        <w:rPr>
          <w:rFonts w:ascii="Arial" w:cs="Arial" w:eastAsia="Arial" w:hAnsi="Arial"/>
          <w:sz w:val="29"/>
          <w:szCs w:val="29"/>
          <w:color w:val="auto"/>
        </w:rPr>
        <w:t>IRD</w:t>
      </w:r>
      <w:r>
        <w:rPr>
          <w:rFonts w:ascii="Arial" w:cs="Arial" w:eastAsia="Arial" w:hAnsi="Arial"/>
          <w:sz w:val="43"/>
          <w:szCs w:val="43"/>
          <w:color w:val="auto"/>
        </w:rPr>
        <w:t xml:space="preserve"> </w:t>
      </w:r>
      <w:r>
        <w:rPr>
          <w:rFonts w:ascii="Arial" w:cs="Arial" w:eastAsia="Arial" w:hAnsi="Arial"/>
          <w:sz w:val="32"/>
          <w:szCs w:val="32"/>
          <w:color w:val="auto"/>
        </w:rPr>
        <w:t>llp</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 Park Avenue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212-210-9400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212-922-3995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www.alston.com</w:t>
      </w:r>
    </w:p>
    <w:p>
      <w:pPr>
        <w:spacing w:after="0" w:line="200" w:lineRule="exact"/>
        <w:rPr>
          <w:sz w:val="20"/>
          <w:szCs w:val="20"/>
          <w:color w:val="auto"/>
        </w:rPr>
      </w:pPr>
    </w:p>
    <w:p>
      <w:pPr>
        <w:spacing w:after="0" w:line="331" w:lineRule="exact"/>
        <w:rPr>
          <w:sz w:val="20"/>
          <w:szCs w:val="20"/>
          <w:color w:val="auto"/>
        </w:rPr>
      </w:pPr>
    </w:p>
    <w:p>
      <w:pPr>
        <w:ind w:left="100"/>
        <w:spacing w:after="0"/>
        <w:tabs>
          <w:tab w:leader="none" w:pos="4940" w:val="left"/>
          <w:tab w:leader="none" w:pos="9220" w:val="left"/>
        </w:tabs>
        <w:rPr>
          <w:sz w:val="20"/>
          <w:szCs w:val="20"/>
          <w:color w:val="auto"/>
        </w:rPr>
      </w:pPr>
      <w:r>
        <w:rPr>
          <w:rFonts w:ascii="Arial" w:cs="Arial" w:eastAsia="Arial" w:hAnsi="Arial"/>
          <w:sz w:val="14"/>
          <w:szCs w:val="14"/>
          <w:color w:val="auto"/>
        </w:rPr>
        <w:t>Mark F. McElreath</w:t>
      </w:r>
      <w:r>
        <w:rPr>
          <w:sz w:val="20"/>
          <w:szCs w:val="20"/>
          <w:color w:val="auto"/>
        </w:rPr>
        <w:tab/>
      </w:r>
      <w:r>
        <w:rPr>
          <w:rFonts w:ascii="Arial" w:cs="Arial" w:eastAsia="Arial" w:hAnsi="Arial"/>
          <w:sz w:val="14"/>
          <w:szCs w:val="14"/>
          <w:color w:val="auto"/>
        </w:rPr>
        <w:t>Direct Dial: 212-210-9595</w:t>
      </w:r>
      <w:r>
        <w:rPr>
          <w:sz w:val="20"/>
          <w:szCs w:val="20"/>
          <w:color w:val="auto"/>
        </w:rPr>
        <w:tab/>
      </w:r>
      <w:r>
        <w:rPr>
          <w:rFonts w:ascii="Arial" w:cs="Arial" w:eastAsia="Arial" w:hAnsi="Arial"/>
          <w:sz w:val="13"/>
          <w:szCs w:val="13"/>
          <w:color w:val="auto"/>
        </w:rPr>
        <w:t>Email: mark.mcelreath@alston.com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 48th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2012 Incentive Plan</w:t>
      </w:r>
    </w:p>
    <w:p>
      <w:pPr>
        <w:spacing w:after="0" w:line="200" w:lineRule="exact"/>
        <w:rPr>
          <w:sz w:val="20"/>
          <w:szCs w:val="20"/>
          <w:color w:val="auto"/>
        </w:rPr>
      </w:pPr>
    </w:p>
    <w:p>
      <w:pPr>
        <w:sectPr>
          <w:pgSz w:w="11900" w:h="16838" w:orient="portrait"/>
          <w:cols w:equalWidth="0" w:num="2">
            <w:col w:w="660" w:space="600"/>
            <w:col w:w="10160"/>
          </w:cols>
          <w:pgMar w:left="240" w:top="121" w:right="2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acted as counsel to TG Therapeutics, Inc., a Delaware corporation (the “Corporation”), in connection with the above-referenced Registration Statement on Form S-8 (the “Registration Statement”) to be filed on the date hereof by the Corporation with the Securities and Exchange Commission (the “Commission”) to register under the Securities Act of 1933, as amended (the “Securities Act”), 6,000,000 shares of the Corporation’s common stock, $0.001 par value per share (the “Shares”), which may be issued by the Company upon the grant or exercise of awards pursuant to the TG Therapeutics, Inc. Amended and Restated 2012 Incentive Plan (the “Plan”). We are furnishing this opinion letter pursuant to Item 8 of Form S-8 and Item 601(b)(5) of the Commission’s Regulation S-K.</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our opinion below, we have examined the Amended and Restated Certificate of Incorporation of the Corporation, the Restated Bylaws of the Corporation, records of proceedings of the Board of Directors of the Corporation deemed by us to be relevant to this opinion letter, the Plan and the Registration Statement. We also have made such further legal and factual examinations and investigations as we deemed necessary for purposes of expressing the opinion set forth herein. In our examination, we have assumed the genuineness of all signatures, the legal capacity of all natural persons, the authenticity of all documents submitted to us as original documents and the conformity to original documents of all documents submitted to us as certified, conformed, facsimile, electronic or photostatic copies.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to certain factual matters relevant to this opinion letter, we have relied conclusively upon originals or copies, certified or otherwise identified to our satisfaction, of such other records, agreements, documents and instruments, including certificates or comparable documents of officers of the Corporation and of public officials, as we have deemed appropriate as a basis for the opinion hereinafter set forth. Except to the extent expressly set forth herein, we have made no independent investigations with regard to matters of fact, and, accordingly, we do not express any opinion as to matters that might have been disclosed by independent verification.</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opinion set forth below is limited to the General Corporation Law of the State of Delaware, applicable provisions of the Constitution of the State of Delaware and reported judicial decisions interpreting such General Corporation Law and Constitution that, in our professional judgment, are normally applicable to transactions of the type contemplated by the Plan, and we do not express any opinion herein concerning any other laws.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Atlanta • Brussels • Charlotte • Dallas • Los Angeles • New York • Research Triangle • Silicon Valley • Ventura County •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May 15,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opinion letter is provided for use in connection with the transactions contemplated by the Registration Statement and may not be used, circulated, quoted or otherwise relied upon for any other purpose without our express written consent. The only opinion rendered by us consists of those matters set forth in the sixth paragraph hereof, and no opinion may be implied or inferred beyond the opinion expressly stated.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the foregoing, it is our opinion that the Shares to be issued under the Plan are duly authorized, and, when issued by the Corporation in accordance with the terms of the Plan, will be validly issued, fully paid and non-assessable.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consent to the filing of this opinion letter as an exhibit to the Registration Statement. In giving such consent, we do not thereby admit that we are within the category of persons whose consent is required under Section 7 of the Securities Act or the rules and regulations of the Commission thereunder.</w:t>
      </w:r>
    </w:p>
    <w:p>
      <w:pPr>
        <w:spacing w:after="0" w:line="1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ALSTON &amp; BIRD LLP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618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F. McElreath</w:t>
            </w:r>
          </w:p>
        </w:tc>
        <w:tc>
          <w:tcPr>
            <w:tcW w:w="1140" w:type="dxa"/>
            <w:vAlign w:val="bottom"/>
          </w:tcPr>
          <w:p>
            <w:pPr>
              <w:spacing w:after="0"/>
              <w:rPr>
                <w:sz w:val="20"/>
                <w:szCs w:val="20"/>
                <w:color w:val="auto"/>
              </w:rPr>
            </w:pPr>
          </w:p>
        </w:tc>
      </w:tr>
      <w:tr>
        <w:trPr>
          <w:trHeight w:val="224"/>
        </w:trPr>
        <w:tc>
          <w:tcPr>
            <w:tcW w:w="654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Mark F. McElreath, Partner</w:t>
            </w:r>
          </w:p>
        </w:tc>
        <w:tc>
          <w:tcPr>
            <w:tcW w:w="1140" w:type="dxa"/>
            <w:vAlign w:val="bottom"/>
          </w:tcPr>
          <w:p>
            <w:pPr>
              <w:spacing w:after="0"/>
              <w:rPr>
                <w:sz w:val="19"/>
                <w:szCs w:val="19"/>
                <w:color w:val="auto"/>
              </w:rPr>
            </w:pPr>
          </w:p>
        </w:tc>
      </w:tr>
      <w:tr>
        <w:trPr>
          <w:trHeight w:val="634"/>
        </w:trPr>
        <w:tc>
          <w:tcPr>
            <w:tcW w:w="65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on Form S-8 of TG Therapeutics, Inc. of our report, dated March 14, 2012, on our audit of the consolidated balance sheet of TG Therapeutics, Inc. (formerly known as Manhattan Pharmaceuticals, Inc.) as of December 31, 2011, and the related consolidated statement of operations, equity and cash flows for the year and cumulative period then 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J.H. Cohn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lvl w:ilvl="1">
      <w:lvlJc w:val="left"/>
      <w:lvlText w:val="(%2)"/>
      <w:numFmt w:val="decimal"/>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2"/>
    </w:lvl>
    <w:lvl w:ilvl="1">
      <w:lvlJc w:val="left"/>
      <w:lvlText w:val="%2"/>
      <w:numFmt w:val="decimal"/>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2019-12-09T12:02:42Z</dcterms:created>
  <dcterms:modified xsi:type="dcterms:W3CDTF">2019-12-09T12:02:42Z</dcterms:modified>
</cp:coreProperties>
</file>