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6" w:lineRule="exact"/>
        <w:rPr>
          <w:sz w:val="24"/>
          <w:szCs w:val="24"/>
          <w:color w:val="auto"/>
        </w:rPr>
      </w:pPr>
    </w:p>
    <w:p>
      <w:pPr>
        <w:ind w:left="4060" w:right="2700" w:hanging="1351"/>
        <w:spacing w:after="0" w:line="286" w:lineRule="auto"/>
        <w:tabs>
          <w:tab w:leader="none" w:pos="291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060" w:right="2700" w:hanging="1358"/>
        <w:spacing w:after="0" w:line="286" w:lineRule="auto"/>
        <w:tabs>
          <w:tab w:leader="none" w:pos="290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000-30929</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TG THERAPEUTICS,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200" w:right="239" w:bottom="1440" w:gutter="0" w:footer="0" w:header="0"/>
        </w:sectPr>
      </w:pPr>
    </w:p>
    <w:p>
      <w:pPr>
        <w:spacing w:after="0" w:line="20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20" w:space="720"/>
            <w:col w:w="4280"/>
          </w:cols>
          <w:pgMar w:left="240" w:top="200" w:right="239" w:bottom="1440" w:gutter="0" w:footer="0" w:header="0"/>
          <w:type w:val="continuous"/>
        </w:sectPr>
      </w:pPr>
    </w:p>
    <w:p>
      <w:pPr>
        <w:spacing w:after="0" w:line="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 Gansevoort Street, 9th Floor</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 York, New York 10014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554-4484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filed pursuant to Section 12(b) of the Act:</w:t>
      </w:r>
    </w:p>
    <w:p>
      <w:pPr>
        <w:spacing w:after="0" w:line="202"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bottom w:val="single" w:sz="8" w:color="auto"/>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82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4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Exchange Name</w:t>
            </w:r>
          </w:p>
        </w:tc>
      </w:tr>
      <w:tr>
        <w:trPr>
          <w:trHeight w:val="237"/>
        </w:trPr>
        <w:tc>
          <w:tcPr>
            <w:tcW w:w="3760" w:type="dxa"/>
            <w:vAlign w:val="bottom"/>
            <w:tcBorders>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382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TGTX</w:t>
            </w:r>
          </w:p>
        </w:tc>
        <w:tc>
          <w:tcPr>
            <w:tcW w:w="38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200" w:right="2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9280" w:space="720"/>
            <w:col w:w="1420"/>
          </w:cols>
          <w:pgMar w:left="240" w:top="200" w:right="239" w:bottom="1440" w:gutter="0" w:footer="0" w:header="0"/>
          <w:type w:val="continuous"/>
        </w:sectPr>
      </w:pPr>
    </w:p>
    <w:p>
      <w:pPr>
        <w:spacing w:after="0" w:line="6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520" w:space="720"/>
            <w:col w:w="2180"/>
          </w:cols>
          <w:pgMar w:left="240" w:top="200" w:right="239" w:bottom="1440" w:gutter="0" w:footer="0" w:header="0"/>
          <w:type w:val="continuous"/>
        </w:sectPr>
      </w:pPr>
    </w:p>
    <w:p>
      <w:pPr>
        <w:spacing w:after="0" w:line="64"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20"/>
          </w:cols>
          <w:pgMar w:left="240" w:top="200" w:right="239" w:bottom="1440" w:gutter="0" w:footer="0" w:header="0"/>
          <w:type w:val="continuous"/>
        </w:sectPr>
      </w:pPr>
    </w:p>
    <w:p>
      <w:pPr>
        <w:spacing w:after="0" w:line="292"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19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94,755,151 shares of the registrant’s common stock, $0.001 par value, outstanding as of August 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2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SPECIAL CAUTIONARY NOTICE REGARDING FORWARD-LOOKING STATEMENTS</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INFORMATION</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(unaudited)</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(unaudited)</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(unaudited)</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 (unaudited)</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2</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Quantitative and Qualitative Disclosures About Market Risk</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4</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PART II</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OTHER INFORMATION</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1A</w:t>
              </w:r>
            </w:hyperlink>
          </w:p>
        </w:tc>
        <w:tc>
          <w:tcPr>
            <w:tcW w:w="82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Risk Factors</w:t>
              </w:r>
            </w:hyperlink>
          </w:p>
        </w:tc>
        <w:tc>
          <w:tcPr>
            <w:tcW w:w="2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7">
              <w:r>
                <w:rPr>
                  <w:rFonts w:ascii="Times New Roman" w:cs="Times New Roman" w:eastAsia="Times New Roman" w:hAnsi="Times New Roman"/>
                  <w:sz w:val="18"/>
                  <w:szCs w:val="18"/>
                  <w:color w:val="0000EE"/>
                  <w:w w:val="94"/>
                </w:rPr>
                <w:t>Item 6</w:t>
              </w:r>
            </w:hyperlink>
          </w:p>
        </w:tc>
        <w:tc>
          <w:tcPr>
            <w:tcW w:w="68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6"/>
              </w:rPr>
            </w:pPr>
            <w:hyperlink w:anchor="page67">
              <w:r>
                <w:rPr>
                  <w:rFonts w:ascii="Times New Roman" w:cs="Times New Roman" w:eastAsia="Times New Roman" w:hAnsi="Times New Roman"/>
                  <w:sz w:val="18"/>
                  <w:szCs w:val="18"/>
                  <w:color w:val="0000EE"/>
                  <w:w w:val="96"/>
                </w:rPr>
                <w:t>Exhibits</w:t>
              </w:r>
            </w:hyperlink>
          </w:p>
        </w:tc>
        <w:tc>
          <w:tcPr>
            <w:tcW w:w="7660" w:type="dxa"/>
            <w:vAlign w:val="bottom"/>
            <w:tcBorders>
              <w:bottom w:val="single" w:sz="8" w:color="CCEEFF"/>
            </w:tcBorders>
            <w:gridSpan w:val="15"/>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12"/>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spacing w:after="0" w:line="18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increases or decreases in expenses;</w:t>
      </w:r>
    </w:p>
    <w:p>
      <w:pPr>
        <w:spacing w:after="0" w:line="27" w:lineRule="exact"/>
        <w:rPr>
          <w:rFonts w:ascii="Times New Roman" w:cs="Times New Roman" w:eastAsia="Times New Roman" w:hAnsi="Times New Roman"/>
          <w:sz w:val="18"/>
          <w:szCs w:val="18"/>
          <w:color w:val="auto"/>
        </w:rPr>
      </w:pPr>
    </w:p>
    <w:p>
      <w:pPr>
        <w:ind w:left="980" w:right="30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the clinical and pre-clinical development, manufacturing, regulatory approval, and commercialization of our pharmaceutical product candidates or any other products we may acquire or in-license;</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clinical research centers and other contractors;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as to the timing of commencing or completing pre-clinical and clinical trials and the expected outcomes of those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incurring capital expenditures to expand our research and development and manufacturing capabilities;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generating revenue or becoming profitable on a sustained basis;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enter into marketing and other partnership agreements;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enter into product acquisition and in-licensing transactions;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or ability to build our own commercial infrastructure to manufacture, market and sell our drug candidates;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being accepted by doctors, patients or payors;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against other companies and research institutions;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secure adequate protection for our intellectual property;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key personnel;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w:t>
      </w:r>
    </w:p>
    <w:p>
      <w:pPr>
        <w:spacing w:after="0" w:line="9" w:lineRule="exact"/>
        <w:rPr>
          <w:rFonts w:ascii="Times New Roman" w:cs="Times New Roman" w:eastAsia="Times New Roman" w:hAnsi="Times New Roman"/>
          <w:sz w:val="18"/>
          <w:szCs w:val="18"/>
          <w:color w:val="auto"/>
        </w:rPr>
      </w:pPr>
    </w:p>
    <w:p>
      <w:pPr>
        <w:ind w:left="980" w:right="74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sufficiency of our existing cash and cash equivalents and investments to finance our operating requirements, including expectations regarding the value and liquidity of our investments;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its volatility;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future capital requirements.</w:t>
      </w:r>
    </w:p>
    <w:p>
      <w:pPr>
        <w:spacing w:after="0" w:line="20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report and the documents that we have filed as exhibits to this report completely and with the understanding that our actual future results, performance or achievements may be materially different from what we expect. Any forward-looking statements contained in this report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 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gridSpan w:val="2"/>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180" w:type="dxa"/>
            <w:vAlign w:val="bottom"/>
          </w:tcPr>
          <w:p>
            <w:pPr>
              <w:jc w:val="center"/>
              <w:ind w:left="411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jc w:val="center"/>
              <w:ind w:left="411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0" w:type="dxa"/>
            <w:vAlign w:val="bottom"/>
            <w:gridSpan w:val="5"/>
          </w:tcPr>
          <w:p>
            <w:pPr>
              <w:ind w:left="394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57,228</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27,748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94,441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interest,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80" w:type="dxa"/>
            <w:vAlign w:val="bottom"/>
            <w:shd w:val="clear" w:color="auto" w:fill="CCEEFF"/>
          </w:tcPr>
          <w:p>
            <w:pPr>
              <w:ind w:left="48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106,585</w:t>
            </w:r>
          </w:p>
        </w:tc>
        <w:tc>
          <w:tcPr>
            <w:tcW w:w="2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83,616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31,498</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21,478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55,967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28,513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 current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93,380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(10,000,000 shares authorized, none issued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June 30, 2019 and December 31, 2018)</w:t>
            </w:r>
          </w:p>
        </w:tc>
        <w:tc>
          <w:tcPr>
            <w:tcW w:w="180" w:type="dxa"/>
            <w:vAlign w:val="bottom"/>
          </w:tcPr>
          <w:p>
            <w:pPr>
              <w:spacing w:after="0"/>
              <w:rPr>
                <w:sz w:val="20"/>
                <w:szCs w:val="20"/>
                <w:color w:val="auto"/>
              </w:rPr>
            </w:pPr>
          </w:p>
        </w:tc>
        <w:tc>
          <w:tcPr>
            <w:tcW w:w="16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(150,000,000 shares authorized, 93,405,248 and</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83,911,855 shares issued, 93,363,939 and 83,870,546 shares outstanding at June 30, 2019 and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 respectively)</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41,309 shares at June 30, 2019 and December 31, 2018</w:t>
            </w: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(599,713)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106,585</w:t>
            </w:r>
          </w:p>
        </w:tc>
        <w:tc>
          <w:tcPr>
            <w:tcW w:w="220" w:type="dxa"/>
            <w:vAlign w:val="bottom"/>
          </w:tcPr>
          <w:p>
            <w:pPr>
              <w:spacing w:after="0"/>
              <w:rPr>
                <w:sz w:val="18"/>
                <w:szCs w:val="18"/>
                <w:color w:val="auto"/>
              </w:rPr>
            </w:pPr>
          </w:p>
        </w:tc>
        <w:tc>
          <w:tcPr>
            <w:tcW w:w="4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83,616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stock expense associated with in–licensing agreements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compensation</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compensation</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(35,544)</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(36,213)</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(44,142)</w:t>
            </w:r>
          </w:p>
        </w:tc>
        <w:tc>
          <w:tcPr>
            <w:tcW w:w="3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(71,368)</w:t>
            </w:r>
          </w:p>
        </w:tc>
        <w:tc>
          <w:tcPr>
            <w:tcW w:w="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(85,671)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3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basic and diluted net</w:t>
            </w: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86,800,017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74,256,348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84,002,700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72,456,657</w:t>
            </w:r>
          </w:p>
        </w:tc>
        <w:tc>
          <w:tcPr>
            <w:tcW w:w="0" w:type="dxa"/>
            <w:vAlign w:val="bottom"/>
          </w:tcPr>
          <w:p>
            <w:pPr>
              <w:spacing w:after="0"/>
              <w:rPr>
                <w:sz w:val="1"/>
                <w:szCs w:val="1"/>
                <w:color w:val="auto"/>
              </w:rPr>
            </w:pPr>
          </w:p>
        </w:tc>
      </w:tr>
      <w:tr>
        <w:trPr>
          <w:trHeight w:val="180"/>
        </w:trPr>
        <w:tc>
          <w:tcPr>
            <w:tcW w:w="5260" w:type="dxa"/>
            <w:vAlign w:val="bottom"/>
            <w:gridSpan w:val="2"/>
          </w:tcPr>
          <w:p>
            <w:pPr>
              <w:spacing w:after="0" w:line="160" w:lineRule="exact"/>
              <w:rPr>
                <w:sz w:val="20"/>
                <w:szCs w:val="20"/>
                <w:color w:val="auto"/>
              </w:rPr>
            </w:pPr>
            <w:r>
              <w:rPr>
                <w:rFonts w:ascii="Times New Roman" w:cs="Times New Roman" w:eastAsia="Times New Roman" w:hAnsi="Times New Roman"/>
                <w:sz w:val="18"/>
                <w:szCs w:val="18"/>
                <w:color w:val="auto"/>
              </w:rPr>
              <w:t>loss per common share</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9"/>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73,181,750</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lef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422,017</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( 354,863)</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(123,911)</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offerings (net of offering costs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$0.9 million)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52,426</w:t>
            </w: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in respect of restricted</w:t>
            </w: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granted to employees, directors</w:t>
            </w: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consultants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7,337</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8"/>
        </w:trPr>
        <w:tc>
          <w:tcPr>
            <w:tcW w:w="2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77,134,683</w:t>
            </w:r>
          </w:p>
        </w:tc>
        <w:tc>
          <w:tcPr>
            <w:tcW w:w="80" w:type="dxa"/>
            <w:vAlign w:val="bottom"/>
            <w:tcBorders>
              <w:left w:val="single" w:sz="8" w:color="CCEEFF"/>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left w:val="single" w:sz="8" w:color="CCEEFF"/>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481,781</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line="378" w:lineRule="exact"/>
              <w:rPr>
                <w:sz w:val="20"/>
                <w:szCs w:val="20"/>
                <w:color w:val="auto"/>
              </w:rPr>
            </w:pPr>
            <w:r>
              <w:rPr>
                <w:rFonts w:ascii="Times New Roman" w:cs="Times New Roman" w:eastAsia="Times New Roman" w:hAnsi="Times New Roman"/>
                <w:sz w:val="18"/>
                <w:szCs w:val="18"/>
                <w:color w:val="auto"/>
              </w:rPr>
              <w:t>(234</w:t>
            </w:r>
            <w:r>
              <w:rPr>
                <w:rFonts w:ascii="Times New Roman" w:cs="Times New Roman" w:eastAsia="Times New Roman" w:hAnsi="Times New Roman"/>
                <w:sz w:val="36"/>
                <w:szCs w:val="36"/>
                <w:color w:val="auto"/>
                <w:vertAlign w:val="superscript"/>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40"/>
              <w:spacing w:after="0" w:line="378" w:lineRule="exact"/>
              <w:rPr>
                <w:sz w:val="20"/>
                <w:szCs w:val="20"/>
                <w:color w:val="auto"/>
              </w:rPr>
            </w:pPr>
            <w:r>
              <w:rPr>
                <w:rFonts w:ascii="Times New Roman" w:cs="Times New Roman" w:eastAsia="Times New Roman" w:hAnsi="Times New Roman"/>
                <w:sz w:val="18"/>
                <w:szCs w:val="18"/>
                <w:color w:val="auto"/>
              </w:rPr>
              <w:t>(396,392</w:t>
            </w:r>
            <w:r>
              <w:rPr>
                <w:rFonts w:ascii="Times New Roman" w:cs="Times New Roman" w:eastAsia="Times New Roman" w:hAnsi="Times New Roman"/>
                <w:sz w:val="36"/>
                <w:szCs w:val="36"/>
                <w:color w:val="auto"/>
                <w:vertAlign w:val="superscript"/>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1,333,011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offerings (net of offering costs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$1.9 million)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3,744,605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52,018</w:t>
            </w: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in respect of restricted</w:t>
            </w: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granted to employees, directors</w:t>
            </w: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consultants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4,264</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 with in-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(44,142)</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Balance at June 30, 2018</w:t>
            </w:r>
          </w:p>
        </w:tc>
        <w:tc>
          <w:tcPr>
            <w:tcW w:w="80" w:type="dxa"/>
            <w:vAlign w:val="bottom"/>
          </w:tcPr>
          <w:p>
            <w:pPr>
              <w:spacing w:after="0"/>
              <w:rPr>
                <w:sz w:val="18"/>
                <w:szCs w:val="18"/>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82,539,417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542,062</w:t>
            </w:r>
          </w:p>
        </w:tc>
        <w:tc>
          <w:tcPr>
            <w:tcW w:w="140" w:type="dxa"/>
            <w:vAlign w:val="bottom"/>
          </w:tcPr>
          <w:p>
            <w:pPr>
              <w:spacing w:after="0"/>
              <w:rPr>
                <w:sz w:val="18"/>
                <w:szCs w:val="18"/>
                <w:color w:val="auto"/>
              </w:rPr>
            </w:pPr>
          </w:p>
        </w:tc>
        <w:tc>
          <w:tcPr>
            <w:tcW w:w="100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41,309</w:t>
            </w:r>
          </w:p>
        </w:tc>
        <w:tc>
          <w:tcPr>
            <w:tcW w:w="100" w:type="dxa"/>
            <w:vAlign w:val="bottom"/>
          </w:tcPr>
          <w:p>
            <w:pPr>
              <w:spacing w:after="0"/>
              <w:rPr>
                <w:sz w:val="18"/>
                <w:szCs w:val="18"/>
                <w:color w:val="auto"/>
              </w:rPr>
            </w:pP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(440,534)</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101,376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83,911,855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552,531</w:t>
            </w:r>
          </w:p>
        </w:tc>
        <w:tc>
          <w:tcPr>
            <w:tcW w:w="1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(528,345)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with debt financing</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993</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432"/>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(67,628</w:t>
            </w:r>
            <w:r>
              <w:rPr>
                <w:rFonts w:ascii="Times New Roman" w:cs="Times New Roman" w:eastAsia="Times New Roman" w:hAnsi="Times New Roman"/>
                <w:sz w:val="36"/>
                <w:szCs w:val="36"/>
                <w:color w:val="auto"/>
                <w:vertAlign w:val="superscript"/>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(net of offering costs of $0.2</w:t>
            </w: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4,715,000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Compensation in respect of restricted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granted to employees, directors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consultants</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3"/>
            <w:shd w:val="clear" w:color="auto" w:fill="CCEEFF"/>
          </w:tcPr>
          <w:p>
            <w:pPr>
              <w:jc w:val="right"/>
              <w:ind w:right="60"/>
              <w:spacing w:after="0" w:line="404" w:lineRule="exact"/>
              <w:rPr>
                <w:sz w:val="20"/>
                <w:szCs w:val="20"/>
                <w:color w:val="auto"/>
              </w:rPr>
            </w:pPr>
            <w:r>
              <w:rPr>
                <w:rFonts w:ascii="Times New Roman" w:cs="Times New Roman" w:eastAsia="Times New Roman" w:hAnsi="Times New Roman"/>
                <w:sz w:val="18"/>
                <w:szCs w:val="18"/>
                <w:color w:val="auto"/>
              </w:rPr>
              <w:t>(35,156</w:t>
            </w:r>
            <w:r>
              <w:rPr>
                <w:rFonts w:ascii="Times New Roman" w:cs="Times New Roman" w:eastAsia="Times New Roman" w:hAnsi="Times New Roman"/>
                <w:sz w:val="36"/>
                <w:szCs w:val="36"/>
                <w:color w:val="auto"/>
                <w:vertAlign w:val="superscript"/>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60"/>
              <w:spacing w:after="0" w:line="404" w:lineRule="exact"/>
              <w:rPr>
                <w:sz w:val="20"/>
                <w:szCs w:val="20"/>
                <w:color w:val="auto"/>
              </w:rPr>
            </w:pPr>
            <w:r>
              <w:rPr>
                <w:rFonts w:ascii="Times New Roman" w:cs="Times New Roman" w:eastAsia="Times New Roman" w:hAnsi="Times New Roman"/>
                <w:sz w:val="18"/>
                <w:szCs w:val="18"/>
                <w:color w:val="auto"/>
              </w:rPr>
              <w:t>(35,156</w:t>
            </w:r>
            <w:r>
              <w:rPr>
                <w:rFonts w:ascii="Times New Roman" w:cs="Times New Roman" w:eastAsia="Times New Roman" w:hAnsi="Times New Roman"/>
                <w:sz w:val="36"/>
                <w:szCs w:val="36"/>
                <w:color w:val="auto"/>
                <w:vertAlign w:val="superscript"/>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88,582,227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582,900</w:t>
            </w:r>
          </w:p>
        </w:tc>
        <w:tc>
          <w:tcPr>
            <w:tcW w:w="14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41,309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(563,501)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19,254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1,245,080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(38,418)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offerings (net of offering costs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$0.5 million)</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3,616,359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28,392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28,395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in respect of restricted</w:t>
            </w:r>
          </w:p>
        </w:tc>
        <w:tc>
          <w:tcPr>
            <w:tcW w:w="8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granted to employees, directors</w:t>
            </w:r>
          </w:p>
        </w:tc>
        <w:tc>
          <w:tcPr>
            <w:tcW w:w="8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consultants</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June 30, 2019</w:t>
            </w:r>
          </w:p>
        </w:tc>
        <w:tc>
          <w:tcPr>
            <w:tcW w:w="1160" w:type="dxa"/>
            <w:vAlign w:val="bottom"/>
            <w:gridSpan w:val="3"/>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93,405,248</w:t>
            </w: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320" w:type="dxa"/>
            <w:vAlign w:val="bottom"/>
            <w:tcBorders>
              <w:lef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613,059</w:t>
            </w:r>
          </w:p>
        </w:tc>
        <w:tc>
          <w:tcPr>
            <w:tcW w:w="14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41,309</w:t>
            </w:r>
          </w:p>
        </w:tc>
        <w:tc>
          <w:tcPr>
            <w:tcW w:w="3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(599,713)</w:t>
            </w:r>
          </w:p>
        </w:tc>
        <w:tc>
          <w:tcPr>
            <w:tcW w:w="24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w w:val="99"/>
              </w:rPr>
              <w:t>* Amount less than one thousand dollars.</w:t>
            </w:r>
          </w:p>
        </w:tc>
        <w:tc>
          <w:tcPr>
            <w:tcW w:w="8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17"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(71,368)</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460" w:type="dxa"/>
            <w:vAlign w:val="bottom"/>
          </w:tcPr>
          <w:p>
            <w:pPr>
              <w:spacing w:after="0"/>
              <w:rPr>
                <w:sz w:val="18"/>
                <w:szCs w:val="18"/>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3,639</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licensing expense</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Pr>
          <w:p>
            <w:pPr>
              <w:spacing w:after="0"/>
              <w:rPr>
                <w:sz w:val="18"/>
                <w:szCs w:val="18"/>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(149)</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60" w:type="dxa"/>
            <w:vAlign w:val="bottom"/>
          </w:tcPr>
          <w:p>
            <w:pPr>
              <w:spacing w:after="0"/>
              <w:rPr>
                <w:sz w:val="18"/>
                <w:szCs w:val="18"/>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308</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change in lease liability and right-of-use asset</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902</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notes payable and accrued interest</w:t>
            </w:r>
          </w:p>
        </w:tc>
        <w:tc>
          <w:tcPr>
            <w:tcW w:w="460" w:type="dxa"/>
            <w:vAlign w:val="bottom"/>
          </w:tcPr>
          <w:p>
            <w:pPr>
              <w:spacing w:after="0"/>
              <w:rPr>
                <w:sz w:val="18"/>
                <w:szCs w:val="18"/>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(increase) in prepaid research and development and other current assets</w:t>
            </w:r>
          </w:p>
        </w:tc>
        <w:tc>
          <w:tcPr>
            <w:tcW w:w="460" w:type="dxa"/>
            <w:vAlign w:val="bottom"/>
          </w:tcPr>
          <w:p>
            <w:pPr>
              <w:spacing w:after="0"/>
              <w:rPr>
                <w:sz w:val="18"/>
                <w:szCs w:val="18"/>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663</w:t>
            </w:r>
          </w:p>
        </w:tc>
        <w:tc>
          <w:tcPr>
            <w:tcW w:w="7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in leasehold interest</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91</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decrease in accrued interest receivable</w:t>
            </w:r>
          </w:p>
        </w:tc>
        <w:tc>
          <w:tcPr>
            <w:tcW w:w="4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increase in accounts payable and accrued expenses</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(5,588)</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lease liability</w:t>
            </w:r>
          </w:p>
        </w:tc>
        <w:tc>
          <w:tcPr>
            <w:tcW w:w="4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(678)</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interest payable</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443</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other current liabilities</w:t>
            </w:r>
          </w:p>
        </w:tc>
        <w:tc>
          <w:tcPr>
            <w:tcW w:w="460" w:type="dxa"/>
            <w:vAlign w:val="bottom"/>
          </w:tcPr>
          <w:p>
            <w:pPr>
              <w:spacing w:after="0"/>
              <w:rPr>
                <w:sz w:val="18"/>
                <w:szCs w:val="18"/>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2,388</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deferred rent</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4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7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(69,211)</w:t>
            </w:r>
          </w:p>
        </w:tc>
        <w:tc>
          <w:tcPr>
            <w:tcW w:w="7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equipment</w:t>
            </w:r>
          </w:p>
        </w:tc>
        <w:tc>
          <w:tcPr>
            <w:tcW w:w="46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held-to-maturity securities</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(14,146)</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maturity of short-term securities</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4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(678)</w:t>
            </w:r>
          </w:p>
        </w:tc>
        <w:tc>
          <w:tcPr>
            <w:tcW w:w="7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common stock, net</w:t>
            </w:r>
          </w:p>
        </w:tc>
        <w:tc>
          <w:tcPr>
            <w:tcW w:w="460" w:type="dxa"/>
            <w:vAlign w:val="bottom"/>
          </w:tcPr>
          <w:p>
            <w:pPr>
              <w:spacing w:after="0"/>
              <w:rPr>
                <w:sz w:val="18"/>
                <w:szCs w:val="18"/>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55,965</w:t>
            </w:r>
          </w:p>
        </w:tc>
        <w:tc>
          <w:tcPr>
            <w:tcW w:w="7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 financings</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29,679</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 paid</w:t>
            </w:r>
          </w:p>
        </w:tc>
        <w:tc>
          <w:tcPr>
            <w:tcW w:w="46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(480)</w:t>
            </w:r>
          </w:p>
        </w:tc>
        <w:tc>
          <w:tcPr>
            <w:tcW w:w="7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85,164</w:t>
            </w: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15,275</w:t>
            </w:r>
          </w:p>
        </w:tc>
        <w:tc>
          <w:tcPr>
            <w:tcW w:w="7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49,604</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43,199</w:t>
            </w: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58,474</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106,909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consolidated balance sheets:</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57,228</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58,474</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offering costs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988</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with debt financing</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993</w:t>
            </w:r>
          </w:p>
        </w:tc>
        <w:tc>
          <w:tcPr>
            <w:tcW w:w="76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Shares to be issued in connection with in-licensing</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5"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“TG,” the “Company,” “we,” “us” and “our” refer to TG Therapeutics, Inc. and our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and NHL, with ublituximab also in pivotal trials for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Additionally, we have recently brought into Phase 1 clinical development TG-1501, an anti-PD-L1 monoclonal antibody, TG-1701, a covalently-bound Bruton’s Tyrosine Kinase (BTK) inhibitor, and TG-1801, an anti-CD47/CD19 bispecific antibody.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2018. The accompanying condensed December 31, 2018 balance sheet has been derived from these statements. The results of operations for the six months ended June 30, 2019 are not necessarily indicative of the results that may be expected for the entire fiscal year or any other interim period.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2018, the Company created an Australian corporation</w:t>
      </w:r>
      <w:r>
        <w:rPr>
          <w:rFonts w:ascii="Times New Roman" w:cs="Times New Roman" w:eastAsia="Times New Roman" w:hAnsi="Times New Roman"/>
          <w:sz w:val="17"/>
          <w:szCs w:val="17"/>
          <w:color w:val="auto"/>
        </w:rPr>
        <w:t>, TG Therapeutics AUS Pty Ltd,</w:t>
      </w:r>
      <w:r>
        <w:rPr>
          <w:rFonts w:ascii="Times New Roman" w:cs="Times New Roman" w:eastAsia="Times New Roman" w:hAnsi="Times New Roman"/>
          <w:sz w:val="18"/>
          <w:szCs w:val="18"/>
          <w:color w:val="auto"/>
        </w:rPr>
        <w:t xml:space="preserve"> as a wholly-owned subsidiary. This corporation’s functional currency, the Australian dollar, is also its reporting currency, and its financial statements are translated to U.S. dollars, the Company’s reporting currency, prior to consolidation. The accompanying consolidated financial statements include the accounts of the Company and its subsidiaries, and all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since our inception, expect to continue to incur operating losses for the foreseeable future, and may never become profitable. As of June 30, 2019, we have an accumulated deficit of approximately $599.7 million.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major sources of cash have been proceeds from the private placement and public offering of equity securities, as well as debt financings.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2019, we had $85.0 million in cash and cash equivalents, and investment securities. The Company believes its cash, cash equivalents, and investment securities on hand as of June 30, 2019 along with the additional capital raised in the third quarter of 2019 (see Note 5) will be sufficient to fund the Company’s planned operations into the fourth quarter of 2020.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and trades under the symbol “TGTX.”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ASU 2018-07 is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treat liquid investments with original maturities of less than three months when purchased as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 cash pledged or held in trust as restricted cash. As of June 30, 2019 and December 31, 2018, we have approximately $ 1.2 million of restricted cash pledged to secure a line of credit as a security deposit for an Office Agreement (see Note 8)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Investment securities at June 30, 2019 and December 31, 2018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Effective January 1, 2018, the Company began recognizing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82" w:lineRule="exact"/>
        <w:rPr>
          <w:sz w:val="20"/>
          <w:szCs w:val="20"/>
          <w:color w:val="auto"/>
        </w:rPr>
      </w:pPr>
    </w:p>
    <w:p>
      <w:pPr>
        <w:ind w:left="1160" w:hanging="34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9"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76" w:lineRule="exact"/>
        <w:rPr>
          <w:sz w:val="20"/>
          <w:szCs w:val="20"/>
          <w:color w:val="auto"/>
        </w:rPr>
      </w:pPr>
    </w:p>
    <w:p>
      <w:pPr>
        <w:ind w:left="1160" w:right="60" w:hanging="342"/>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(i.e., the good or service is capable of being distinct).</w:t>
      </w:r>
    </w:p>
    <w:p>
      <w:pPr>
        <w:ind w:left="1160" w:hanging="342"/>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Prepaid research and development in our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June 30, 2019 and December 31, 2018, we recorded approximately $8.5 million and $9.7 million, respectively, in prepaid research and development related to such advance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estimated at the time of grant and revised, if necessary, in subsequent periods if actual forfeitures differ from those estimates.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share of our common stock is calculated by dividing net loss applicable to the common stock by the weighted 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periods presented or because such potentially dilutive securities were out of the money and the Company realized net income during the periods presented. The amounts of potentially dilutive securities excluded from the calculation were 7,844,712 and 5,165,890 for the three and six months ended June 30, 2019 and 2018, respectively.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Three and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5,137,196</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4,589,940</w:t>
            </w: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7"/>
              </w:rPr>
              <w:t>2,543,710</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560,000</w:t>
            </w: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147,058</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issuable upon note conversion</w:t>
            </w:r>
          </w:p>
        </w:tc>
        <w:tc>
          <w:tcPr>
            <w:tcW w:w="10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16,748</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15,950</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w w:val="97"/>
              </w:rPr>
              <w:t>7,844,712</w:t>
            </w:r>
          </w:p>
        </w:tc>
        <w:tc>
          <w:tcPr>
            <w:tcW w:w="1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5,165,890</w:t>
            </w:r>
          </w:p>
        </w:tc>
      </w:tr>
      <w:tr>
        <w:trPr>
          <w:trHeight w:val="642"/>
        </w:trPr>
        <w:tc>
          <w:tcPr>
            <w:tcW w:w="20" w:type="dxa"/>
            <w:vAlign w:val="bottom"/>
          </w:tcPr>
          <w:p>
            <w:pPr>
              <w:spacing w:after="0"/>
              <w:rPr>
                <w:sz w:val="24"/>
                <w:szCs w:val="24"/>
                <w:color w:val="auto"/>
              </w:rPr>
            </w:pPr>
          </w:p>
        </w:tc>
        <w:tc>
          <w:tcPr>
            <w:tcW w:w="7180" w:type="dxa"/>
            <w:vAlign w:val="bottom"/>
            <w:tcBorders>
              <w:top w:val="single" w:sz="8" w:color="CCEEFF"/>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724"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and Goodwill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CASH EQUIVALENTS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cash and cash equivalents at June 30, 2019 and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Checking and bank deposits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4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57,228</w:t>
            </w:r>
          </w:p>
        </w:tc>
        <w:tc>
          <w:tcPr>
            <w:tcW w:w="6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41,958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investments as of June 30, 2019 and December 31, 2018 are classified as held-to-maturity. Held-to-maturity investments are recorded at amortized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our investment securities at June 30, 2019 and December 31, 2018:</w:t>
      </w:r>
    </w:p>
    <w:p>
      <w:pPr>
        <w:sectPr>
          <w:pgSz w:w="11900" w:h="16838" w:orient="portrait"/>
          <w:cols w:equalWidth="0" w:num="1">
            <w:col w:w="11420"/>
          </w:cols>
          <w:pgMar w:left="240" w:top="468" w:right="2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Obligations of domestic governmental agencies (maturing between July 2019 and June 2020) (held-to-maturity)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short-term investment securities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34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22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45"/>
        </w:trPr>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4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4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 w:type="dxa"/>
            <w:vAlign w:val="bottom"/>
          </w:tcPr>
          <w:p>
            <w:pPr>
              <w:spacing w:after="0"/>
              <w:rPr>
                <w:sz w:val="21"/>
                <w:szCs w:val="21"/>
                <w:color w:val="auto"/>
              </w:rPr>
            </w:pPr>
          </w:p>
        </w:tc>
      </w:tr>
      <w:tr>
        <w:trPr>
          <w:trHeight w:val="62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27,793</w:t>
            </w:r>
          </w:p>
        </w:tc>
      </w:tr>
      <w:tr>
        <w:trPr>
          <w:trHeight w:val="216"/>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27,748</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27,793</w:t>
            </w:r>
          </w:p>
        </w:tc>
        <w:tc>
          <w:tcPr>
            <w:tcW w:w="20" w:type="dxa"/>
            <w:vAlign w:val="bottom"/>
          </w:tcPr>
          <w:p>
            <w:pPr>
              <w:spacing w:after="0"/>
              <w:rPr>
                <w:sz w:val="18"/>
                <w:szCs w:val="18"/>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-582295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-170815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220" w:space="720"/>
            <w:col w:w="6480"/>
          </w:cols>
          <w:pgMar w:left="240" w:top="468" w:right="2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4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220" w:type="dxa"/>
            <w:vAlign w:val="bottom"/>
          </w:tcPr>
          <w:p>
            <w:pPr>
              <w:spacing w:after="0"/>
              <w:rPr>
                <w:sz w:val="18"/>
                <w:szCs w:val="18"/>
                <w:color w:val="auto"/>
              </w:rPr>
            </w:pP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Estimated fair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240" w:type="dxa"/>
            <w:vAlign w:val="bottom"/>
          </w:tcPr>
          <w:p>
            <w:pPr>
              <w:spacing w:after="0"/>
              <w:rPr>
                <w:sz w:val="21"/>
                <w:szCs w:val="21"/>
                <w:color w:val="auto"/>
              </w:rPr>
            </w:pPr>
          </w:p>
        </w:tc>
        <w:tc>
          <w:tcPr>
            <w:tcW w:w="11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26,943</w:t>
            </w:r>
          </w:p>
        </w:tc>
        <w:tc>
          <w:tcPr>
            <w:tcW w:w="1400" w:type="dxa"/>
            <w:vAlign w:val="bottom"/>
            <w:gridSpan w:val="2"/>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26,935</w:t>
            </w:r>
          </w:p>
        </w:tc>
        <w:tc>
          <w:tcPr>
            <w:tcW w:w="0" w:type="dxa"/>
            <w:vAlign w:val="bottom"/>
          </w:tcPr>
          <w:p>
            <w:pPr>
              <w:spacing w:after="0"/>
              <w:rPr>
                <w:sz w:val="1"/>
                <w:szCs w:val="1"/>
                <w:color w:val="auto"/>
              </w:rPr>
            </w:pPr>
          </w:p>
        </w:tc>
      </w:tr>
      <w:tr>
        <w:trPr>
          <w:trHeight w:val="207"/>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January 2019 and November 2019) (held-to-maturity)</w:t>
            </w:r>
          </w:p>
        </w:tc>
        <w:tc>
          <w:tcPr>
            <w:tcW w:w="3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short-term investment securities</w:t>
            </w:r>
          </w:p>
        </w:tc>
        <w:tc>
          <w:tcPr>
            <w:tcW w:w="3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26,943</w:t>
            </w:r>
          </w:p>
        </w:tc>
        <w:tc>
          <w:tcPr>
            <w:tcW w:w="1400" w:type="dxa"/>
            <w:vAlign w:val="bottom"/>
            <w:gridSpan w:val="2"/>
            <w:shd w:val="clear" w:color="auto" w:fill="CCEEFF"/>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48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26,935</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quoted prices that are directly or indirectly observable;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3" w:name="page14"/>
    <w:bookmarkEnd w:id="13"/>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of June 30, 2019 and December 31, 2018, the fair values of cash and cash equivalents, restricted cash, and notes and interest payable, approximate their carrying value.</w:t>
      </w:r>
    </w:p>
    <w:p>
      <w:pPr>
        <w:spacing w:after="0" w:line="16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88"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cumulative liability to the Ariston subsidiary including accrued and unpaid interest of the 5% Notes was approximately $18.8 million at June 30, 2019 and $18.4 million at December 31, 2018. No payments have been made on the 5% Notes since the merger and through June 30, 2019.</w:t>
      </w:r>
    </w:p>
    <w:p>
      <w:pPr>
        <w:spacing w:after="0" w:line="16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6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June 30, 2019 and December 31, 2018.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liabilities as of June 30, 2019 and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as of June 30, 2019</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2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r>
      <w:tr>
        <w:trPr>
          <w:trHeight w:val="216"/>
        </w:trPr>
        <w:tc>
          <w:tcPr>
            <w:tcW w:w="29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29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920" w:type="dxa"/>
            <w:vAlign w:val="bottom"/>
            <w:gridSpan w:val="2"/>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2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10"/>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as of December 31, 2018</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r>
      <w:tr>
        <w:trPr>
          <w:trHeight w:val="216"/>
        </w:trPr>
        <w:tc>
          <w:tcPr>
            <w:tcW w:w="29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5% Notes</w:t>
            </w:r>
          </w:p>
        </w:tc>
        <w:tc>
          <w:tcPr>
            <w:tcW w:w="29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920" w:type="dxa"/>
            <w:vAlign w:val="bottom"/>
            <w:gridSpan w:val="2"/>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Level 3 amounts above represent the fair value of the 5% Notes and related accrued interest.</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payable and debt. Cash, cash</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equivalents, accounts payable and debt are stated at their respective historical carrying amounts, which approximate fair value due to their short-term nature.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changes in Level 3 instruments during the six months ended June 30, 2019:</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December 31, 2018</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accrued on face value of 5% Notes</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Level 3 liabilities</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Fair value at June 30, 2019</w:t>
            </w: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3 liabilities is reported in other (income) expense in the accompanying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150,000,000 shares of $ 0.001 par value common stock.</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March 2019, we completed an underwritten public offering of 4,100,000 shares of our common stock (plus a 30-day underwriter overallotment option to purchase up to an additional 615,000 shares of common stock, which was exercised), at a price of $5.87 per share. Proceeds from this offering, including the overallotment, after underwriting discounts and offering expenses were approximately $27.5 million.</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we sold a total of 3,616,359 shares of common stock under the 2017 ATM for aggregate total gross proceeds of approximately $28.9 million at an average selling price of $7.99 per share, resulting in net proceeds of approximately $28.4 million after deducting commissions and other transactions costs.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Subsequent to the second quarter, from July 1, 2019 through August 6, 2019, we sold an aggregate of 1,473,692 shares of common stock pursuant to the 2017 ATM for aggregate total gross proceeds of approximately $11.9 million at an average selling price of $8.05 per share, resulting in net proceeds of approximately $11.6 million after deducting commissions and other transactions costs.</w:t>
      </w:r>
    </w:p>
    <w:p>
      <w:pPr>
        <w:spacing w:after="0" w:line="176" w:lineRule="exact"/>
        <w:rPr>
          <w:sz w:val="20"/>
          <w:szCs w:val="20"/>
          <w:color w:val="auto"/>
        </w:rPr>
      </w:pPr>
    </w:p>
    <w:p>
      <w:pPr>
        <w:jc w:val="both"/>
        <w:ind w:firstLine="547"/>
        <w:spacing w:after="0" w:line="261" w:lineRule="auto"/>
        <w:rPr>
          <w:sz w:val="20"/>
          <w:szCs w:val="20"/>
          <w:color w:val="auto"/>
        </w:rPr>
      </w:pPr>
      <w:r>
        <w:rPr>
          <w:rFonts w:ascii="Times New Roman" w:cs="Times New Roman" w:eastAsia="Times New Roman" w:hAnsi="Times New Roman"/>
          <w:sz w:val="18"/>
          <w:szCs w:val="18"/>
          <w:color w:val="auto"/>
        </w:rPr>
        <w:t>The 2017 S-3 is currently our only active shelf registration statement. After deducting shares already sold there is approximately $68.1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(“2012 Incentive Plan”) was approved by stockholders in June 2018. As of June 30, 2019, 6,637,199 shares of restricted stock and 2,543,710 options were outstanding and up to an additional 1,427,369 shares may be issued under the 2012 Incentive Plan.</w:t>
      </w:r>
    </w:p>
    <w:p>
      <w:pPr>
        <w:spacing w:after="0" w:line="17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Effective as of January 1, 2017, we entered into an amendment (the “Amendment”) to the employment agreement entered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5"/>
        </w:trPr>
        <w:tc>
          <w:tcPr>
            <w:tcW w:w="4940" w:type="dxa"/>
            <w:vAlign w:val="bottom"/>
          </w:tcPr>
          <w:p>
            <w:pPr>
              <w:spacing w:after="0"/>
              <w:rPr>
                <w:sz w:val="21"/>
                <w:szCs w:val="21"/>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20" w:type="dxa"/>
            <w:vAlign w:val="bottom"/>
          </w:tcPr>
          <w:p>
            <w:pPr>
              <w:spacing w:after="0"/>
              <w:rPr>
                <w:sz w:val="21"/>
                <w:szCs w:val="21"/>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6"/>
        </w:trPr>
        <w:tc>
          <w:tcPr>
            <w:tcW w:w="49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1,916,900</w:t>
            </w:r>
          </w:p>
        </w:tc>
        <w:tc>
          <w:tcPr>
            <w:tcW w:w="2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6.90</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(113,190)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6.33</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9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Outstanding at June 30, 2019</w:t>
            </w:r>
          </w:p>
        </w:tc>
        <w:tc>
          <w:tcPr>
            <w:tcW w:w="12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2,543,710</w:t>
            </w: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gridSpan w:val="2"/>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6.63</w:t>
            </w:r>
          </w:p>
        </w:tc>
        <w:tc>
          <w:tcPr>
            <w:tcW w:w="1460" w:type="dxa"/>
            <w:vAlign w:val="bottom"/>
            <w:tcBorders>
              <w:top w:val="single" w:sz="8" w:color="CCEEFF"/>
            </w:tcBorders>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9.39</w:t>
            </w:r>
          </w:p>
        </w:tc>
        <w:tc>
          <w:tcPr>
            <w:tcW w:w="380" w:type="dxa"/>
            <w:vAlign w:val="bottom"/>
            <w:tcBorders>
              <w:top w:val="single" w:sz="8" w:color="CCEE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5,684,217</w:t>
            </w:r>
          </w:p>
        </w:tc>
      </w:tr>
      <w:tr>
        <w:trPr>
          <w:trHeight w:val="21"/>
        </w:trPr>
        <w:tc>
          <w:tcPr>
            <w:tcW w:w="4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at June 30, 2019</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2,543,710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6.63</w:t>
            </w:r>
          </w:p>
        </w:tc>
        <w:tc>
          <w:tcPr>
            <w:tcW w:w="14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9.39</w:t>
            </w:r>
          </w:p>
        </w:tc>
        <w:tc>
          <w:tcPr>
            <w:tcW w:w="3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5,684,217</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June 30, 2019</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expense associated with the stock options was approximately $0.8 million and zero during the three months ended June 30, 2019 and 2018, respectively, and $1.5 million and zero during the six months ended June 30, 2019 and 2018, respectively. As of June 30, 2019, the stock options outstanding include options granted to both employees and non-employees which are both time-based and milestone-based. Stock-based compensation for milestone-based options will be recorded if and when a milestone occurs.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Company’s option awards granted during the six months ended June 30, 2019 and 2018 were estimated on the grant date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using the assumptions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34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0" w:type="dxa"/>
            <w:vAlign w:val="bottom"/>
          </w:tcPr>
          <w:p>
            <w:pPr>
              <w:spacing w:after="0"/>
              <w:rPr>
                <w:sz w:val="21"/>
                <w:szCs w:val="21"/>
                <w:color w:val="auto"/>
              </w:rPr>
            </w:pPr>
          </w:p>
        </w:tc>
      </w:tr>
      <w:tr>
        <w:trPr>
          <w:trHeight w:val="426"/>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500" w:type="dxa"/>
            <w:vAlign w:val="bottom"/>
          </w:tcPr>
          <w:p>
            <w:pPr>
              <w:spacing w:after="0"/>
              <w:rPr>
                <w:sz w:val="24"/>
                <w:szCs w:val="24"/>
                <w:color w:val="auto"/>
              </w:rPr>
            </w:pP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172.99-291.61</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186.99-305.77</w:t>
            </w: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5.0-6.25</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5.0-6.25</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1.96-2.49%</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2.56-2.72%</w:t>
            </w: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Restricted Stock</w:t>
      </w:r>
    </w:p>
    <w:p>
      <w:pPr>
        <w:spacing w:after="0" w:line="22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Certain employees, directors and consultants have been awarded restricted stock. The restricted stock vesting consists of milestone and time-based vesting.</w:t>
      </w:r>
    </w:p>
    <w:p>
      <w:pPr>
        <w:sectPr>
          <w:pgSz w:w="11900" w:h="16838" w:orient="portrait"/>
          <w:cols w:equalWidth="0" w:num="1">
            <w:col w:w="11420"/>
          </w:cols>
          <w:pgMar w:left="240" w:top="472" w:right="239" w:bottom="1440" w:gutter="0" w:footer="0" w:header="0"/>
        </w:sectPr>
      </w:pP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summarizes restricted share activity for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June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5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45"/>
        </w:trPr>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198"/>
        </w:trPr>
        <w:tc>
          <w:tcPr>
            <w:tcW w:w="12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6,095,692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8.07</w:t>
            </w:r>
          </w:p>
        </w:tc>
        <w:tc>
          <w:tcPr>
            <w:tcW w:w="20" w:type="dxa"/>
            <w:vAlign w:val="bottom"/>
          </w:tcPr>
          <w:p>
            <w:pPr>
              <w:spacing w:after="0"/>
              <w:rPr>
                <w:sz w:val="17"/>
                <w:szCs w:val="17"/>
                <w:color w:val="auto"/>
              </w:rPr>
            </w:pPr>
          </w:p>
        </w:tc>
      </w:tr>
      <w:tr>
        <w:trPr>
          <w:trHeight w:val="216"/>
        </w:trPr>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1,268,080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w:t>
            </w:r>
          </w:p>
        </w:tc>
      </w:tr>
      <w:tr>
        <w:trPr>
          <w:trHeight w:val="216"/>
        </w:trPr>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(620,527)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r>
      <w:tr>
        <w:trPr>
          <w:trHeight w:val="241"/>
        </w:trPr>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(106,046)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6,637,199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Pr>
          <w:p>
            <w:pPr>
              <w:spacing w:after="0"/>
              <w:rPr>
                <w:sz w:val="18"/>
                <w:szCs w:val="18"/>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40" w:space="720"/>
            <w:col w:w="3060"/>
          </w:cols>
          <w:pgMar w:left="240" w:top="472" w:right="239" w:bottom="1440" w:gutter="0" w:footer="0" w:header="0"/>
          <w:type w:val="continuous"/>
        </w:sect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Total expense associated with restricted stock grants was approximately $1.0 million and $4.3 million during the three months ended June 30, 2019 and 2018, respectively, and $2.1 million, and $11.6 million during the six months ended June 30, 2019 and 2018, respectively. As of June 30, 2019, there was approximately $4.5 million of total unrecognized compensation cost related to unvested time-based restricted stock, which is expected to be recognized over a weighted-average period of 1.2 years. This amount does not include, as of June 30, 2019, 4,182,391 shares of restricted stock outstanding which are milestone-based and vest upon certain corporate milestones. Until the measurement date is reached for milestone awards, the total amount of compensation expense remains uncertain. We record compensation expense based on the fair value of the award at the grant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information about restricted stock and stock options for the three and six months ended June 30,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21"/>
                <w:szCs w:val="21"/>
                <w:color w:val="auto"/>
              </w:rPr>
            </w:pPr>
          </w:p>
        </w:tc>
        <w:tc>
          <w:tcPr>
            <w:tcW w:w="17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associated with restricted stock</w:t>
            </w:r>
          </w:p>
        </w:tc>
        <w:tc>
          <w:tcPr>
            <w:tcW w:w="12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 expense associated with option grants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1,757</w:t>
            </w:r>
          </w:p>
        </w:tc>
        <w:tc>
          <w:tcPr>
            <w:tcW w:w="4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3,639</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5"/>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12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six months ended June 30, 2019:</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5"/>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8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2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Issued</w:t>
            </w:r>
          </w:p>
        </w:tc>
        <w:tc>
          <w:tcPr>
            <w:tcW w:w="1500" w:type="dxa"/>
            <w:vAlign w:val="bottom"/>
            <w:tcBorders>
              <w:top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147,058</w:t>
            </w:r>
          </w:p>
        </w:tc>
        <w:tc>
          <w:tcPr>
            <w:tcW w:w="2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4.08</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Expired</w:t>
            </w:r>
          </w:p>
        </w:tc>
        <w:tc>
          <w:tcPr>
            <w:tcW w:w="8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June 30, 2019</w:t>
            </w:r>
          </w:p>
        </w:tc>
        <w:tc>
          <w:tcPr>
            <w:tcW w:w="1500" w:type="dxa"/>
            <w:vAlign w:val="bottom"/>
            <w:gridSpan w:val="3"/>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147,058</w:t>
            </w:r>
          </w:p>
        </w:tc>
        <w:tc>
          <w:tcPr>
            <w:tcW w:w="1020" w:type="dxa"/>
            <w:vAlign w:val="bottom"/>
            <w:gridSpan w:val="2"/>
            <w:shd w:val="clear" w:color="auto" w:fill="CCEEFF"/>
          </w:tcPr>
          <w:p>
            <w:pPr>
              <w:jc w:val="right"/>
              <w:ind w:right="5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w w:val="95"/>
              </w:rPr>
              <w:t>4.08</w:t>
            </w:r>
          </w:p>
        </w:tc>
        <w:tc>
          <w:tcPr>
            <w:tcW w:w="4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672,055</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stock compensation expense related to warrants during the six months ended June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OTHER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Notes Payable included in other current liabilities on the Company’s condensed consolidated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 xml:space="preserve">December 31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2018</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340" w:type="dxa"/>
            <w:vAlign w:val="bottom"/>
          </w:tcPr>
          <w:p>
            <w:pPr>
              <w:spacing w:after="0"/>
              <w:rPr>
                <w:sz w:val="16"/>
                <w:szCs w:val="16"/>
                <w:color w:val="auto"/>
              </w:rPr>
            </w:pPr>
          </w:p>
        </w:tc>
        <w:tc>
          <w:tcPr>
            <w:tcW w:w="1200" w:type="dxa"/>
            <w:vAlign w:val="bottom"/>
            <w:gridSpan w:val="3"/>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Non-current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80" w:type="dxa"/>
            <w:vAlign w:val="bottom"/>
          </w:tcPr>
          <w:p>
            <w:pPr>
              <w:spacing w:after="0"/>
              <w:rPr>
                <w:sz w:val="16"/>
                <w:szCs w:val="16"/>
                <w:color w:val="auto"/>
              </w:rPr>
            </w:pPr>
          </w:p>
        </w:tc>
        <w:tc>
          <w:tcPr>
            <w:tcW w:w="1360" w:type="dxa"/>
            <w:vAlign w:val="bottom"/>
            <w:gridSpan w:val="3"/>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Non-current</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portion, net</w:t>
            </w:r>
          </w:p>
        </w:tc>
        <w:tc>
          <w:tcPr>
            <w:tcW w:w="340" w:type="dxa"/>
            <w:vAlign w:val="bottom"/>
          </w:tcPr>
          <w:p>
            <w:pPr>
              <w:spacing w:after="0"/>
              <w:rPr>
                <w:sz w:val="21"/>
                <w:szCs w:val="21"/>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portion, net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1"/>
                <w:szCs w:val="21"/>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portion, net</w:t>
            </w:r>
          </w:p>
        </w:tc>
        <w:tc>
          <w:tcPr>
            <w:tcW w:w="280" w:type="dxa"/>
            <w:vAlign w:val="bottom"/>
          </w:tcPr>
          <w:p>
            <w:pPr>
              <w:spacing w:after="0"/>
              <w:rPr>
                <w:sz w:val="21"/>
                <w:szCs w:val="21"/>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portion, net</w:t>
            </w: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5% Notes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7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3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80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760" w:type="dxa"/>
            <w:vAlign w:val="bottom"/>
            <w:gridSpan w:val="2"/>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1"/>
        </w:trPr>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130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5% Notes Payable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8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cumulative liability including accrued and unpaid interest of these notes was approximately $18.8 million at June 30, 2019 and $18.4 million at December 31, 2018. No payments have been made on the 5% Notes as of June 30, 2019.</w:t>
      </w:r>
    </w:p>
    <w:p>
      <w:pPr>
        <w:spacing w:after="0" w:line="16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To date we have incurred expenses related to this agreement of approximately $20.7 million as of June 30, 2019, which includes both service fees and raw material costs. No payments have been made to the contract manufacturer as of June 30, 2019. Accordingly, as of June 30, 2019, $20.7 million is included in current liabilities in the Company’s unaudited condensed consolidated balance sheet, of which $16.7 million and $4.0 million are due in the first and second quarter of 2020, respectively. As of December 31, 2018, $18.4 million is included in long-term liabilities in the Company’s condensed consolidated balance sheet. We will incur an administrative fee of six percent (6%) per year starting from the date of invoice issuance. For the three and six months ended June 30, 2019, we have accrued $ million in administrative fees in connection with these costs, which has been included in interest expense in the Company’s unaudited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28, 2019 (the “Closing Date”), the Company (“Borrower”) entered into a term loan facility of up to $60.0 million (“Term Loan”) with Hercules Capital, Inc., (“Hercules”), the proceeds of which will be used for its ongoing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the Borrower’s option but subject to the clinical trial milestones, and the fourth advance of $10.0 million, available in minimum increments of $5.0 million, is available through December 15, 2020 subject to the approval of Hercules’ investment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8" w:name="page19"/>
    <w:bookmarkEnd w:id="18"/>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the Borrower, on or before September 30, 2020, achieves either the third milestone or the Company has raised at least an amount equal to $150.0 million in unrestricted net cash proceeds from one or more equity financings, subordinated indebtedness and/or upfront proceeds from business development transactions permitted under the Loan Agreement, in each case after February 7, 2019, and prior to September 30, 2020. Thereafter, amortization payments will be payable monthly in eighteen installments (or, if the period requiring interest-only payments has been extended to April 1, 2021, in twelve installments) of principal and interest (subject to recalculation upon a change in prime rates). At its option upon seven business days’ prior written notice to Hercules, the Company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an end of term charge equal to 3.25% of the aggregate principal amount of the loan extended by Hercules is due on the maturity date. Amounts outstanding during an event of default shall be payable on demand and shall accrue interest at an additional rate of 4.0% per annum of the past due amount outstanding.</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June 30, 2019, the Company has been in compliance with all covenants.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occurrence of a material adverse effect, (4) the Borrower making a false or misleading representation or warranty in any material respect, (5) the Borrower’s insolvency or bankruptcy, (6) certain attachments or judgments on the Borrower’s assets, or (7) the occurrence of any material default under certain agreements or obligations of the Borrower involving indebtedness in excess of $750,000. If an event of default occurs, Hercules is entitled to take enforcement action, including acceleration of amounts due under the Loan Agreement.</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Loan Agreement also contains warrant coverage of 2% of the total amount funded. A warrant (the “Warrant”) was issued by Borrower to Hercules to purchase 147,058 shares of common stock with an exercise price of $4.08. The Warrant shall be exercisable for seven years from the date of issuance. Hercules may exercise the Warrant either by (a) cash or check or (b) through a net issuance conversion. The shares will be registered and freely tradeable within six months of issuance. The Company accounted for the Warrant as an equity instrument since it was indexed to the Company’s common shares and met the criteria for classification in shareholders’ equity. The relative fair value of the Warrant on the date of issuance was approximately $1.0 million and was treated as an offset to the Term Loan. This amount will be amortized to interest expense using the straight line method, which approximates the effective interest method, over the life of the Term Loan.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 estimated the fair value of the Warrant using the Black-Scholes model based on the following key assumptions:</w:t>
            </w: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9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4.08</w:t>
            </w:r>
          </w:p>
        </w:tc>
      </w:tr>
      <w:tr>
        <w:trPr>
          <w:trHeight w:val="24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price on date of issuance</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6.80</w:t>
            </w:r>
          </w:p>
        </w:tc>
      </w:tr>
      <w:tr>
        <w:trPr>
          <w:trHeight w:val="243"/>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r>
              <w:rPr>
                <w:rFonts w:ascii="Times New Roman" w:cs="Times New Roman" w:eastAsia="Times New Roman" w:hAnsi="Times New Roman"/>
                <w:sz w:val="21"/>
                <w:szCs w:val="21"/>
                <w:color w:val="auto"/>
              </w:rPr>
              <w:t>%</w:t>
            </w:r>
          </w:p>
        </w:tc>
      </w:tr>
      <w:tr>
        <w:trPr>
          <w:trHeight w:val="24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r>
              <w:rPr>
                <w:rFonts w:ascii="Times New Roman" w:cs="Times New Roman" w:eastAsia="Times New Roman" w:hAnsi="Times New Roman"/>
                <w:sz w:val="21"/>
                <w:szCs w:val="21"/>
                <w:color w:val="auto"/>
              </w:rPr>
              <w:t>%</w:t>
            </w:r>
          </w:p>
        </w:tc>
      </w:tr>
      <w:tr>
        <w:trPr>
          <w:trHeight w:val="243"/>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w:t>
            </w:r>
          </w:p>
        </w:tc>
      </w:tr>
      <w:tr>
        <w:trPr>
          <w:trHeight w:val="24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(in years)</w:t>
            </w:r>
          </w:p>
        </w:tc>
        <w:tc>
          <w:tcPr>
            <w:tcW w:w="50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7.00 years</w:t>
            </w:r>
          </w:p>
        </w:tc>
      </w:tr>
    </w:tbl>
    <w:p>
      <w:pPr>
        <w:spacing w:after="0" w:line="200" w:lineRule="exact"/>
        <w:rPr>
          <w:sz w:val="20"/>
          <w:szCs w:val="20"/>
          <w:color w:val="auto"/>
        </w:rPr>
      </w:pPr>
    </w:p>
    <w:p>
      <w:pPr>
        <w:spacing w:after="0" w:line="24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 incurred financing expenses of $2.8 million related to the Hercules Loan Agreement which are recorded as an offset to long-term debt on the Company’s condensed consolidated balance sheet. The debt issuance costs are being amortized over the term of the debt using the straight line method, which approximates the effective interest method, and are included in interest expense in the Company’s unaudited condensed consolidated statements of operations. Amortization of debt issuance costs was $ 0.2 million and $ 0.3 million for the three and six months ended June 30, 2019, respectively. At June 30, 2019, the remaining unamortized balance of debt issuance costs were $2.5 million.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Long-term debt as of as of June 30, 2019, is as follows (in thousands):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June 30, 2019</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30,975</w:t>
            </w: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28,513</w:t>
            </w:r>
          </w:p>
        </w:tc>
        <w:tc>
          <w:tcPr>
            <w:tcW w:w="10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8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 non-current</w:t>
            </w:r>
          </w:p>
        </w:tc>
        <w:tc>
          <w:tcPr>
            <w:tcW w:w="2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28,513</w:t>
            </w:r>
          </w:p>
        </w:tc>
        <w:tc>
          <w:tcPr>
            <w:tcW w:w="100" w:type="dxa"/>
            <w:vAlign w:val="bottom"/>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and corresponding Right of Use (ROU) asset based on the present value of the remaining lease payments for all of our leased office spaces, the majority of which is comprised of our New York City office space. The present values of our lease liability and corresponding ROU asset are $9.3 million and $7.7 million, respectively, as of June 30, 2019. Our leases have remaining lease terms of 1 year to 12 years. One lease has a renewal option to extend the lease for an additional term of 2 years.</w:t>
      </w:r>
    </w:p>
    <w:p>
      <w:pPr>
        <w:spacing w:after="0" w:line="18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initial commitment period of the 45% rate is for a period of three (3) years. We and FBIO </w:t>
      </w:r>
      <w:r>
        <w:rPr>
          <w:rFonts w:ascii="Times New Roman" w:cs="Times New Roman" w:eastAsia="Times New Roman" w:hAnsi="Times New Roman"/>
          <w:sz w:val="17"/>
          <w:szCs w:val="17"/>
          <w:color w:val="auto"/>
        </w:rPr>
        <w:t>are currently determining</w:t>
      </w:r>
      <w:r>
        <w:rPr>
          <w:rFonts w:ascii="Times New Roman" w:cs="Times New Roman" w:eastAsia="Times New Roman" w:hAnsi="Times New Roman"/>
          <w:sz w:val="18"/>
          <w:szCs w:val="18"/>
          <w:color w:val="auto"/>
        </w:rPr>
        <w:t xml:space="preserv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84"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following components of lease expense are included in the Company’s condensed consolidated statements of operations for the three and six months ended June 30,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4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0" w:type="dxa"/>
            <w:vAlign w:val="bottom"/>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lease cost</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575</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993</w:t>
            </w:r>
          </w:p>
        </w:tc>
      </w:tr>
      <w:tr>
        <w:trPr>
          <w:trHeight w:val="21"/>
        </w:trPr>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June 30, 2019, the weighted-average remaining operating lease term was 9.6 years and the weighted-average discount rate for operating leases was 10.25%. Cash paid for amounts included in the measurement of operating lease liabilities during the six months ended June 30, 2019 was $0.7 million.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balance sheet classification of lease liabilities was as follows:</w:t>
            </w: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4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Total lease liability</w:t>
            </w:r>
          </w:p>
        </w:tc>
        <w:tc>
          <w:tcPr>
            <w:tcW w:w="47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9,345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20" w:type="dxa"/>
            <w:vAlign w:val="bottom"/>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 of June 30, 2019, the maturities of lease liabilities were as follows:</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r>
      <w:tr>
        <w:trPr>
          <w:trHeight w:val="223"/>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2023</w:t>
            </w:r>
          </w:p>
        </w:tc>
        <w:tc>
          <w:tcPr>
            <w:tcW w:w="2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16,409</w:t>
            </w: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(7,064)</w:t>
            </w: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22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9,345</w:t>
            </w: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7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TG-1101 (Ublituximab)</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$,000 for each of the three months ended June 30, 2019 and 2018, and $,000 for each of the six months ended June 30, 2019 and 2018 and, at June 30, 2019 and December 31, 2018, have deferred revenue of approximately $1.0 million and $1.1 million, respectively, associated with this $2 million payment (approximately $,000 of which has been classified in current liabilities at June 30, 2019 and December 31, 2018).</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TG-1701: BTK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Jiangsu an upfront fee of $1.0 million in our common stock recorded to non-cash stock expense associated with in-licensing agreements in our condensed consolidated statement of operations. In addition, in June 2019, we paid Jiangsu the first milestone of $0.1 million in our common stock recorded to non-cash stock expense associated with in-licensing agreements in our consolidated statement of operations.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TG-1801: anti-CD47/anti-CD19</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of $9.3 million, with a corresponding Right of Use (ROU) asset of $7.7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Office Agreement, we agreed to pay FBIO our portion of the build out costs, which have been allocated to us at the 45% rate mentioned above. The allocated build-out costs have been recorded in Leasehold Interest, net on the Company’s consolidated balance sheets and will be amortized over the 15-year term of the Office Agreement. The initial commitment period of the 45% rate is for a period of three (3) years. We and FBIO are currently determining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8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$0.4 million and $1.1 million for shared services for the six months ended June 30, 2019 and 2018, respectively, and expenses of approximately $0.2 million and $0.8 million for the three months ended June 30, 2019 and 2018, primarily related to shared personnel.</w:t>
      </w:r>
    </w:p>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$1.4 million and $0.5 million for the six months ended June 30, 2019 and 2018, respectively, and expenses of approximately $1.1 million and $0.2 million for the three months ended June 30, 2019 and 2018, the majority of which relates to the upfront fee of $1.0 million resulting from the amendment. The relevant expenses are recorded in other research and development in the accompanying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and NHL, with ublituximab also in pivotal trials for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Additionally, we have recently brought into Phase 1 clinical development TG-1501, an anti-PD-L1 monoclonal antibody, TG-1701, a covalently-bound Bruton’s Tyrosine Kinase (BTK) inhibitor, and TG-1801, an anti-CD47/CD19 bispecific antibody.</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UNDER DEVELOPMENT</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have leveraged our B-cell platform to develop a robust drug pipeline of both targeted orally available, potent and selective small molecule kinase inhibitors and intravenously delivered “off-the-shelf”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3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3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 of Development</w:t>
            </w:r>
          </w:p>
        </w:tc>
      </w:tr>
      <w:tr>
        <w:trPr>
          <w:trHeight w:val="269"/>
        </w:trPr>
        <w:tc>
          <w:tcPr>
            <w:tcW w:w="37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3840" w:type="dxa"/>
            <w:vAlign w:val="bottom"/>
            <w:tcBorders>
              <w:bottom w:val="single" w:sz="8" w:color="auto"/>
              <w:right w:val="single" w:sz="8" w:color="auto"/>
            </w:tcBorders>
          </w:tcPr>
          <w:p>
            <w:pPr>
              <w:spacing w:after="0"/>
              <w:rPr>
                <w:sz w:val="23"/>
                <w:szCs w:val="23"/>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(pivotal study)</w:t>
            </w:r>
          </w:p>
        </w:tc>
      </w:tr>
      <w:tr>
        <w:trPr>
          <w:trHeight w:val="233"/>
        </w:trPr>
        <w:tc>
          <w:tcPr>
            <w:tcW w:w="376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Ublituximab/TG-1101 (anti-CD20/mAb)</w:t>
            </w: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Chronic Lymphocytic Leukemia</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trial (UNITY-CLL)</w:t>
            </w: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Relapsing Multiple Sclerosis</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trials (ULTIMATE I and II)</w:t>
            </w:r>
          </w:p>
        </w:tc>
      </w:tr>
      <w:tr>
        <w:trPr>
          <w:trHeight w:val="237"/>
        </w:trPr>
        <w:tc>
          <w:tcPr>
            <w:tcW w:w="376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Umbralisib/TGR-1202 (PI3K delta inhibitor)</w:t>
            </w: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Chronic Lymphocytic Leukemia</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3 trial (UNITY-CLL)</w:t>
            </w:r>
          </w:p>
        </w:tc>
      </w:tr>
      <w:tr>
        <w:trPr>
          <w:trHeight w:val="237"/>
        </w:trPr>
        <w:tc>
          <w:tcPr>
            <w:tcW w:w="700" w:type="dxa"/>
            <w:vAlign w:val="bottom"/>
            <w:tcBorders>
              <w:left w:val="single" w:sz="8" w:color="auto"/>
            </w:tcBorders>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Marginal Zone Lymphoma</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2b trial (UNITY-NHL)</w:t>
            </w: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Follicular Lymphoma</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2b trial (UNITY-NHL)</w:t>
            </w:r>
          </w:p>
        </w:tc>
      </w:tr>
      <w:tr>
        <w:trPr>
          <w:trHeight w:val="237"/>
        </w:trPr>
        <w:tc>
          <w:tcPr>
            <w:tcW w:w="7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TG-1501</w:t>
            </w:r>
          </w:p>
        </w:tc>
        <w:tc>
          <w:tcPr>
            <w:tcW w:w="3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(anti-PDL1)</w:t>
            </w: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237"/>
        </w:trPr>
        <w:tc>
          <w:tcPr>
            <w:tcW w:w="7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TG-1701</w:t>
            </w:r>
          </w:p>
        </w:tc>
        <w:tc>
          <w:tcPr>
            <w:tcW w:w="3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(BTK inhibitor)</w:t>
            </w: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237"/>
        </w:trPr>
        <w:tc>
          <w:tcPr>
            <w:tcW w:w="7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TG-1801</w:t>
            </w:r>
          </w:p>
        </w:tc>
        <w:tc>
          <w:tcPr>
            <w:tcW w:w="30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(anti-CD47/CD19)</w:t>
            </w:r>
          </w:p>
        </w:tc>
        <w:tc>
          <w:tcPr>
            <w:tcW w:w="3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B-cell Cancers</w:t>
            </w:r>
          </w:p>
        </w:tc>
        <w:tc>
          <w:tcPr>
            <w:tcW w:w="3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 trial</w:t>
            </w:r>
          </w:p>
        </w:tc>
      </w:tr>
      <w:tr>
        <w:trPr>
          <w:trHeight w:val="628"/>
        </w:trPr>
        <w:tc>
          <w:tcPr>
            <w:tcW w:w="7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22</w:t>
            </w: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Phase 3 and Registration-Directed Clinical Trial Highlights</w:t>
      </w:r>
    </w:p>
    <w:p>
      <w:pPr>
        <w:spacing w:after="0" w:line="229"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The company has initiated and enrolled several Phase 3 and registration-directed Phase 2b clinical trials (i.e., clinical trials that may support a marketing application for approval). The following are the current Phase 3 trials and registration-directed Phase 2b clinical trials:</w:t>
      </w:r>
    </w:p>
    <w:p>
      <w:pPr>
        <w:spacing w:after="0" w:line="158" w:lineRule="exact"/>
        <w:rPr>
          <w:sz w:val="20"/>
          <w:szCs w:val="20"/>
          <w:color w:val="auto"/>
        </w:rPr>
      </w:pPr>
    </w:p>
    <w:p>
      <w:pPr>
        <w:jc w:val="both"/>
        <w:ind w:left="700" w:hanging="341"/>
        <w:spacing w:after="0" w:line="259"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UNITY-NHL Phase 2b Trial – Marginal Zone Lymphoma (MZL) and Follicular Lymphoma (FL)/ Small Lymphocytic Lymphoma (SLL) Cohorts (Umbralisib Monotherapy): </w:t>
      </w:r>
      <w:r>
        <w:rPr>
          <w:rFonts w:ascii="Times New Roman" w:cs="Times New Roman" w:eastAsia="Times New Roman" w:hAnsi="Times New Roman"/>
          <w:sz w:val="18"/>
          <w:szCs w:val="18"/>
          <w:color w:val="auto"/>
        </w:rPr>
        <w:t>UNITY-NHL is a broad Phase 2b registration-directed clinical trial designed to evaluate the efficacy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safety of umbralisib monotherapy and U2 combinations in patients with previously treated NHL. The MZL and the FL/SLL single agent umbralisib cohorts of this trial are fully enrolled. The primary objective of these cohorts is to assess the efficacy of single agent umbralisib as measured by Overall Response Rate (ORR).</w:t>
      </w:r>
    </w:p>
    <w:p>
      <w:pPr>
        <w:spacing w:after="0" w:line="179" w:lineRule="exact"/>
        <w:rPr>
          <w:rFonts w:ascii="Times New Roman" w:cs="Times New Roman" w:eastAsia="Times New Roman" w:hAnsi="Times New Roman"/>
          <w:sz w:val="18"/>
          <w:szCs w:val="18"/>
          <w:color w:val="auto"/>
        </w:rPr>
      </w:pPr>
    </w:p>
    <w:p>
      <w:pPr>
        <w:jc w:val="both"/>
        <w:ind w:left="1380" w:hanging="332"/>
        <w:spacing w:after="0" w:line="252" w:lineRule="auto"/>
        <w:tabs>
          <w:tab w:leader="none" w:pos="13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UNITY-NHL MZL Single Agent Umbralisib Cohort: </w:t>
      </w:r>
      <w:r>
        <w:rPr>
          <w:rFonts w:ascii="Times New Roman" w:cs="Times New Roman" w:eastAsia="Times New Roman" w:hAnsi="Times New Roman"/>
          <w:sz w:val="18"/>
          <w:szCs w:val="18"/>
          <w:color w:val="auto"/>
        </w:rPr>
        <w:t>The MZL cohort enrolled adult patients who had at least one prior line of 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included an anti-CD20 monoclonal antibody. In February 2019, we announced that the MZL cohort met the primary endpoint of ORR as determined by Independent Review Committee (IRC) for all treated patients (n=69). The results met the Company’s target guidance of 40-50% ORR. Interim safety and efficacy data from the MZL cohort were presented in an oral presentation at the American Association for Cancer Research (AACR) annual meeting on April 1, 2019. The data presented included safety and tolerability data on all 69 treated patients (safety population) and efficacy data on 42 patients who were enrolled at least 9 cycles (28 day cycles) prior to the data cut-off date (interim efficacy population). The safety population had a median duration of exposure of 6.9 months and no unexpected toxicities were observed. Analysis of the interim efficacy population showed an ORR by IRC of 52%, including 19% CR rate, an 88% clinical benefit rate by IRC (defined as patients obtaining Complete Response + Partial Response + Stable Disease) and a median duration of exposure of 10.1 months. These results were also presented in oral presentations during the 2019 American Society of Clinical Oncology (ASCO) annual meeting and the 2019 International Conference on Malignant Lymphoma (ICML) both held in June of 2019. Previously, in January 2019, the U.S. Food and Drug Administration ( FDA) granted Breakthrough Therapy Designation (BTD) to umbralisib for the treatment of adult patients with MZL who have received at least one prior anti-CD20 regimen. The BTD was based on interim data from the MZL cohort of the UNITY-NHL trial. In April 2019, the FDA granted orphan drug designation to umbralisib for the treatment of patients with any of the three types of marginal zone lymphoma (MZL): nodal, extranodal, and splenic MZL. In June of 2019, we had a BTD meeting with the FDA to discuss the MZL submission strategy. Based on this meeting, we anticipate initiating a New Drug Application (NDA) submission for patients with previously treated MZL by year-end 2019.</w:t>
      </w:r>
    </w:p>
    <w:p>
      <w:pPr>
        <w:spacing w:after="0" w:line="194" w:lineRule="exact"/>
        <w:rPr>
          <w:rFonts w:ascii="Times New Roman" w:cs="Times New Roman" w:eastAsia="Times New Roman" w:hAnsi="Times New Roman"/>
          <w:sz w:val="18"/>
          <w:szCs w:val="18"/>
          <w:color w:val="auto"/>
        </w:rPr>
      </w:pPr>
    </w:p>
    <w:p>
      <w:pPr>
        <w:jc w:val="both"/>
        <w:ind w:left="1380" w:hanging="332"/>
        <w:spacing w:after="0" w:line="268" w:lineRule="auto"/>
        <w:tabs>
          <w:tab w:leader="none" w:pos="13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UNITY-NHL FL/SLL Single Agent Umbralisib Cohort</w:t>
      </w:r>
      <w:r>
        <w:rPr>
          <w:rFonts w:ascii="Times New Roman" w:cs="Times New Roman" w:eastAsia="Times New Roman" w:hAnsi="Times New Roman"/>
          <w:sz w:val="18"/>
          <w:szCs w:val="18"/>
          <w:color w:val="auto"/>
        </w:rPr>
        <w:t>: The FL/SLL cohort enrolled adult patients who had two or more prior lines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that included an anti-CD20 monoclonal antibody and an alkylating agent. This cohort is fully enrolled with approximately 125 patients.</w:t>
      </w:r>
    </w:p>
    <w:p>
      <w:pPr>
        <w:spacing w:after="0" w:line="170" w:lineRule="exact"/>
        <w:rPr>
          <w:rFonts w:ascii="Times New Roman" w:cs="Times New Roman" w:eastAsia="Times New Roman" w:hAnsi="Times New Roman"/>
          <w:sz w:val="18"/>
          <w:szCs w:val="18"/>
          <w:color w:val="auto"/>
        </w:rPr>
      </w:pPr>
    </w:p>
    <w:p>
      <w:pPr>
        <w:jc w:val="both"/>
        <w:ind w:left="1380" w:hanging="332"/>
        <w:spacing w:after="0" w:line="268" w:lineRule="auto"/>
        <w:tabs>
          <w:tab w:leader="none" w:pos="138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UNITY-NHL Additional Cohorts</w:t>
      </w:r>
      <w:r>
        <w:rPr>
          <w:rFonts w:ascii="Times New Roman" w:cs="Times New Roman" w:eastAsia="Times New Roman" w:hAnsi="Times New Roman"/>
          <w:sz w:val="18"/>
          <w:szCs w:val="18"/>
          <w:color w:val="auto"/>
        </w:rPr>
        <w:t>: There are additional exploratory cohorts of the UNITY-NHL trial focused on Diffuse Large B-Cell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Lymphoma (DLBCL) and Mantle Cell Lymphoma (MCL). In total, there are currently four cohorts in the UNITY-NHL trial including, MZL, FL/SLL, DLBCL, and MCL. Each cohort is enrolled and evaluated separately from the others.</w:t>
      </w:r>
    </w:p>
    <w:p>
      <w:pPr>
        <w:spacing w:after="0" w:line="170" w:lineRule="exact"/>
        <w:rPr>
          <w:rFonts w:ascii="Times New Roman" w:cs="Times New Roman" w:eastAsia="Times New Roman" w:hAnsi="Times New Roman"/>
          <w:sz w:val="18"/>
          <w:szCs w:val="18"/>
          <w:b w:val="1"/>
          <w:bCs w:val="1"/>
          <w:color w:val="auto"/>
        </w:rPr>
      </w:pPr>
    </w:p>
    <w:p>
      <w:pPr>
        <w:jc w:val="both"/>
        <w:ind w:left="700" w:hanging="341"/>
        <w:spacing w:after="0" w:line="253"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UNITY-CLL Phase 3 Trial Evaluating Umbralisib plus Ublituximab (U2): </w:t>
      </w:r>
      <w:r>
        <w:rPr>
          <w:rFonts w:ascii="Times New Roman" w:cs="Times New Roman" w:eastAsia="Times New Roman" w:hAnsi="Times New Roman"/>
          <w:sz w:val="18"/>
          <w:szCs w:val="18"/>
          <w:color w:val="auto"/>
        </w:rPr>
        <w:t>UNITY-CLL is a global Phase 3 randomized controlled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comparing the U2 combination to an active control arm of obinutuzumab plus chlorambucil in patients with both treatment naïve and relapsed or refractory CLL. Two additional arms evaluating single agent ublituximab and single agent umbralisib were also enrolled for purposes of evaluating contribution in the U2 combination regimen. The primary endpoint for this study is Progression Free Survival (PFS) which we intend to use to support a submission for approval of the U2 combination in CLL. The study completed enrollment in October 2017 with over 600 patients across the four treatment arms, with approximately 420 patients in the U2 and the active control arm combined. This trial is conducted under Special Protocol Assessment (SPA) with FDA. In March 2019, the UNITY-CLL DSMB met to conduct a pre-planned futility analysis of PFS. The DSMB determined that the trial was not futile and recommended the UNITY-CLL trial continue as planned. The pre-specified futility analysis of the UNITY-CLL trial did not allow for early stopping due to positive efficacy but only for lack of efficacy. During this meeting the DSMB also reviewed safety information from all 600+ CLL patients on trial, including over 300 treatment naïve and previously treated patients on umbralisib alone or in combination with ublituximab. Based on its review, no safety concerns were identified and the DSMB recommended the UNITY-CLL trial continue without modification.</w:t>
      </w:r>
    </w:p>
    <w:p>
      <w:pPr>
        <w:spacing w:after="0" w:line="190" w:lineRule="exact"/>
        <w:rPr>
          <w:rFonts w:ascii="Times New Roman" w:cs="Times New Roman" w:eastAsia="Times New Roman" w:hAnsi="Times New Roman"/>
          <w:sz w:val="18"/>
          <w:szCs w:val="18"/>
          <w:color w:val="auto"/>
        </w:rPr>
      </w:pPr>
    </w:p>
    <w:p>
      <w:pPr>
        <w:jc w:val="both"/>
        <w:ind w:left="700" w:hanging="341"/>
        <w:spacing w:after="0" w:line="259"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ULTIMATE I &amp; II Trials Evaluating Single Agent Ublituximab in RMS: </w:t>
      </w:r>
      <w:r>
        <w:rPr>
          <w:rFonts w:ascii="Times New Roman" w:cs="Times New Roman" w:eastAsia="Times New Roman" w:hAnsi="Times New Roman"/>
          <w:sz w:val="18"/>
          <w:szCs w:val="18"/>
          <w:color w:val="auto"/>
        </w:rPr>
        <w:t>ULTIMATE I and ULTIMATE II are two independent Phase 3 trials.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conducted under a SPA with the FDA. Full enrollment was completed in October of 2018, with approximately 1,100 subjects enrolled in both studies combined.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GENERAL CORPORATE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not earned any revenues from the commercial sale of any of our drug candidates.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results of operations include non-cash compensation expenses as a result of the grants of restricted stock. Compensation expense for awards of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estimated at the time of grant and revised, if necessary, in subsequent periods if actual forfeitures differ from those estimates.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clinical trials will be lengthy and expensive. Even if these trials show that our drug candidates are effective in treating certain diseases,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medicines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2019 and 2018</w:t>
      </w:r>
    </w:p>
    <w:p>
      <w:pPr>
        <w:spacing w:after="0" w:line="22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License revenue was approximately $38,000 for each of the three months ended June 30, 2019 and 2018. License revenue is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Stock Expense Associated with In-Licensing Agreement (Research and Development). </w:t>
      </w:r>
      <w:r>
        <w:rPr>
          <w:rFonts w:ascii="Times New Roman" w:cs="Times New Roman" w:eastAsia="Times New Roman" w:hAnsi="Times New Roman"/>
          <w:sz w:val="18"/>
          <w:szCs w:val="18"/>
          <w:color w:val="auto"/>
        </w:rPr>
        <w:t>Noncash stock expense associated with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(research and development) amounted to $0.1 million for the three months ended June 30, 2019, as compared to $3.0 million during the comparable period in 2018. The expense during the three months ended June 30, 2018 was recorded in conjunction with the stock issued to Novimmune as an upfront payment for the license to the CD47/CD-19 program.</w:t>
      </w:r>
    </w:p>
    <w:p>
      <w:pPr>
        <w:spacing w:after="0" w:line="180"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 development)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totaled $1.4 million for the three months ended June 30, 2019, as compared to $0.9 million during the comparable period in 2018. The increase in noncash compensation expense was primarily due to noncash stock expense related to stock options during the period ended June 30, 2019.</w:t>
      </w:r>
    </w:p>
    <w:p>
      <w:pPr>
        <w:spacing w:after="0" w:line="17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Research and Development Expenses. </w:t>
      </w:r>
      <w:r>
        <w:rPr>
          <w:rFonts w:ascii="Times New Roman" w:cs="Times New Roman" w:eastAsia="Times New Roman" w:hAnsi="Times New Roman"/>
          <w:sz w:val="18"/>
          <w:szCs w:val="18"/>
          <w:color w:val="auto"/>
        </w:rPr>
        <w:t>Other research and development expenses decreased by $3.4 million to $31.4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2019, as compared to $34.8 million for the three months ended June 30, 2018. The decrease was mainly due to the primary clinical programs for ublituximab and umbralisib having completed enrollment during 2018. We expect our other research and development costs to decrease modestly for the remainder of 2019 as our primary clinical programs near completion.</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(General and Administrative). </w:t>
      </w:r>
      <w:r>
        <w:rPr>
          <w:rFonts w:ascii="Times New Roman" w:cs="Times New Roman" w:eastAsia="Times New Roman" w:hAnsi="Times New Roman"/>
          <w:sz w:val="18"/>
          <w:szCs w:val="18"/>
          <w:color w:val="auto"/>
        </w:rPr>
        <w:t>Noncash compensation expense (general and administrative)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decreased by $3.0 million to $0.4 million for the three months ended June 30, 2019, as compared to $3.4 million for the three months ended June 30, 2018. The decrease in noncash compensation expense was primarily related to greater compensation expense during the three months ended June 30, 2018 related to restricted stock granted to executive personnel.</w:t>
      </w:r>
    </w:p>
    <w:p>
      <w:pPr>
        <w:spacing w:after="0" w:line="180"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Other General and Administrative Expenses</w:t>
      </w:r>
      <w:r>
        <w:rPr>
          <w:rFonts w:ascii="Times New Roman" w:cs="Times New Roman" w:eastAsia="Times New Roman" w:hAnsi="Times New Roman"/>
          <w:sz w:val="18"/>
          <w:szCs w:val="18"/>
          <w:color w:val="auto"/>
        </w:rPr>
        <w:t>. Other general and administrative expenses was $2.3 million for the three months ended June 30,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We expect our other general and administrative expenses to remain at a comparable level for the remainder of 2019.</w:t>
      </w:r>
    </w:p>
    <w:p>
      <w:pPr>
        <w:spacing w:after="0" w:line="158" w:lineRule="exact"/>
        <w:rPr>
          <w:sz w:val="20"/>
          <w:szCs w:val="20"/>
          <w:color w:val="auto"/>
        </w:rPr>
      </w:pPr>
    </w:p>
    <w:p>
      <w:pPr>
        <w:ind w:right="1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by $0.9 million to $1.1 million for the three months ended June 30, 2019, as compared to expense of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2018. The increase is mainly due to the interest expense related to the Hercules financing agreement and the associated amortization of debt issuance costs for the three months ended June 30, 2019.</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Other income remained consistent between the two periods totaling $0.4 million for the three months ended June 30, 2019 and 2018.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other income to remain at a comparable level for the remainder of 2019.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2018</w:t>
      </w:r>
    </w:p>
    <w:p>
      <w:pPr>
        <w:spacing w:after="0" w:line="227" w:lineRule="exact"/>
        <w:rPr>
          <w:sz w:val="20"/>
          <w:szCs w:val="20"/>
          <w:color w:val="auto"/>
        </w:rPr>
      </w:pPr>
    </w:p>
    <w:p>
      <w:pPr>
        <w:jc w:val="both"/>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License revenue was approximately $0.1 million for each of the six months ended June 30, 2019 and 2018. License revenue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2019 and 2018 was related to the amortization of an upfront payment of $2.0 million received in 2012 associated with our license agreement with Ildong.</w:t>
      </w:r>
    </w:p>
    <w:p>
      <w:pPr>
        <w:spacing w:after="0" w:line="17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Stock Expense Associated with In-Licensing Agreement (Research and Development). </w:t>
      </w:r>
      <w:r>
        <w:rPr>
          <w:rFonts w:ascii="Times New Roman" w:cs="Times New Roman" w:eastAsia="Times New Roman" w:hAnsi="Times New Roman"/>
          <w:sz w:val="18"/>
          <w:szCs w:val="18"/>
          <w:color w:val="auto"/>
        </w:rPr>
        <w:t>Noncash stock expense associated with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(research and development) amounted to $0.1 million for the six months ended June 30, 2019, as compared to $4.0 million during the comparable period in 2018. The expense during the six months ended June 30, 2018 was recorded in conjunction with the stock issued to Novimmune and Jiangsu Hengrui as upfront payments for the licenses to the CD47/CD19 and BTK programs, respectively.</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(Research and Development). </w:t>
      </w:r>
      <w:r>
        <w:rPr>
          <w:rFonts w:ascii="Times New Roman" w:cs="Times New Roman" w:eastAsia="Times New Roman" w:hAnsi="Times New Roman"/>
          <w:sz w:val="18"/>
          <w:szCs w:val="18"/>
          <w:color w:val="auto"/>
        </w:rPr>
        <w:t>Noncash compensation expense (research and development)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totaled $2.8 million for the six months ended June 30, 2019, as compared to $3.7 million during the comparable period in 2018. The decrease in noncash compensation expense was primarily related to greater measurement date fair value of certain consultant restricted stock that was applicable during the period ended June 30, 2018.</w:t>
      </w:r>
    </w:p>
    <w:p>
      <w:pPr>
        <w:spacing w:after="0" w:line="1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Research and Development Expenses. </w:t>
      </w:r>
      <w:r>
        <w:rPr>
          <w:rFonts w:ascii="Times New Roman" w:cs="Times New Roman" w:eastAsia="Times New Roman" w:hAnsi="Times New Roman"/>
          <w:sz w:val="18"/>
          <w:szCs w:val="18"/>
          <w:color w:val="auto"/>
        </w:rPr>
        <w:t>Other research and development expenses decreased by $3.7 million to $62.3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2019, as compared to $66.0 million for the six months ended June 30, 2018. The decrease was mainly due to the primary clinical programs for ublituximab and umbralisib having completed enrollment during 2018. We expect our other research and development costs to decrease modestly for the remainder of 2019 as our primary clinical programs near completion.</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Compensation Expense (General and Administrative). </w:t>
      </w:r>
      <w:r>
        <w:rPr>
          <w:rFonts w:ascii="Times New Roman" w:cs="Times New Roman" w:eastAsia="Times New Roman" w:hAnsi="Times New Roman"/>
          <w:sz w:val="18"/>
          <w:szCs w:val="18"/>
          <w:color w:val="auto"/>
        </w:rPr>
        <w:t>Noncash compensation expense (general and administrative) related to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decreased by $7.1 million to $0.8 million for the six months ended June 30, 2019, as compared to $7.9 million for the six months ended June 30, 2018. The decrease in noncash compensation expense was primarily related to greater compensation expense during the six months ended June 30, 2018 related to restricted stock granted to executive personnel.</w:t>
      </w:r>
    </w:p>
    <w:p>
      <w:pPr>
        <w:spacing w:after="0" w:line="180"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Other General and Administrative Expenses</w:t>
      </w:r>
      <w:r>
        <w:rPr>
          <w:rFonts w:ascii="Times New Roman" w:cs="Times New Roman" w:eastAsia="Times New Roman" w:hAnsi="Times New Roman"/>
          <w:sz w:val="18"/>
          <w:szCs w:val="18"/>
          <w:color w:val="auto"/>
        </w:rPr>
        <w:t>. Other general and administrative expenses decreased by $0.1 million to $4.3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2019, as compared to $4.4 million for the six months ended June 30, 2018. We expect our other general and administrative expenses to remain at a comparable level for the remainder of 2019.</w:t>
      </w:r>
    </w:p>
    <w:p>
      <w:pPr>
        <w:spacing w:after="0" w:line="174" w:lineRule="exact"/>
        <w:rPr>
          <w:sz w:val="20"/>
          <w:szCs w:val="20"/>
          <w:color w:val="auto"/>
        </w:rPr>
      </w:pPr>
    </w:p>
    <w:p>
      <w:pPr>
        <w:ind w:right="2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by $1.5 million to $1.9 million for the six months ended June 30, 2019, as compared to expense of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2018. The increase is mainly due to the interest expense related to the Hercules financing agreement and the associated amortization of debt issuance costs for the six months ended June 30, 2019.</w:t>
      </w:r>
    </w:p>
    <w:p>
      <w:pPr>
        <w:spacing w:after="0" w:line="174" w:lineRule="exact"/>
        <w:rPr>
          <w:sz w:val="20"/>
          <w:szCs w:val="20"/>
          <w:color w:val="auto"/>
        </w:rPr>
      </w:pPr>
    </w:p>
    <w:p>
      <w:pPr>
        <w:ind w:right="1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Other income remained consistent between the two periods totaling $0.7 million for the six months ended June 30, 2019 and 2018.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our other income to remain at a comparable level for the remainder of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primary sources of cash have been from the sale of equity securities, debt financings,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June 30, 2019, we had approximately $85.0 million in cash and cash equivalents, and investment securities. We anticipate that our cash, cash equivalents, and investment securities on hand as of June 30, 2019, combined with the additional capital raised in the third quarter of 2019, will be sufficient to fund the Company’s planned operations into the fourth quarter of 2020.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six months ended June 30, 2019 was $69.2 million as compared to $62.2 million for the six months ended June 30, 2018. The increase in cash used in operating activities was due primarily to increased expenditures associated with our ongoing clinical development programs and paydown of accounts payable and accrued expenses.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net cash used in investing activities was $0.7 million as compared to cash provided by investing activities of $7.4 million for the six months ended June 30, 2018. The decrease in net cash provided by investing activities was primarily due to the greater investment in treasury securities during the six months ended June 30, 2019.</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2019, net cash provided by financing activities of $85.2 million related to the net proceeds from debt financings and net proceeds from the issuance of common stock as part of our 2017 ATM program and a public offering in March 2019.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2019, we have known contractual obligations, commitments and contingencies of $67.1 million related to our long-term debt, contract manufacturer and operating lease obligations.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Payment due by period (in thousands)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More than 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6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manufacturer</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20,738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67,148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22,101</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32,707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2,682</w:t>
            </w:r>
          </w:p>
        </w:tc>
        <w:tc>
          <w:tcPr>
            <w:tcW w:w="3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7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Effective January 1, 2018, the Company began recognizing revenue under Accounting Standards Codification (“ASC”)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606, Revenue from Contracts with Customers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85" w:lineRule="exact"/>
        <w:rPr>
          <w:sz w:val="20"/>
          <w:szCs w:val="20"/>
          <w:color w:val="auto"/>
        </w:rPr>
      </w:pPr>
    </w:p>
    <w:p>
      <w:pPr>
        <w:ind w:left="920" w:hanging="33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76" w:lineRule="exact"/>
        <w:rPr>
          <w:sz w:val="20"/>
          <w:szCs w:val="20"/>
          <w:color w:val="auto"/>
        </w:rPr>
      </w:pPr>
    </w:p>
    <w:p>
      <w:pPr>
        <w:ind w:left="920" w:hanging="331"/>
        <w:spacing w:after="0" w:line="261"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(i.e., the good or service is capable of being distinct).</w:t>
      </w:r>
    </w:p>
    <w:p>
      <w:pPr>
        <w:ind w:left="920" w:hanging="331"/>
        <w:spacing w:after="0" w:line="261"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8" w:name="page29"/>
    <w:bookmarkEnd w:id="28"/>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6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We have granted stock options and restricted stock to employees, directors and consultants, as well as warrants to other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restricted stock and warrants issued to employees, consultants and other third-parties vest upon the achievement of certain milestones, the total expense is uncertain. Compensation expense for such awards that vest upon the achievement of milestones is recognized when the achievement of such milestone becomes probable.</w:t>
      </w:r>
    </w:p>
    <w:p>
      <w:pPr>
        <w:spacing w:after="0" w:line="19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Accruals for Clinical Research Organization and Clinical Site Costs</w:t>
      </w:r>
      <w:r>
        <w:rPr>
          <w:rFonts w:ascii="Times New Roman" w:cs="Times New Roman" w:eastAsia="Times New Roman" w:hAnsi="Times New Roman"/>
          <w:sz w:val="18"/>
          <w:szCs w:val="18"/>
          <w:color w:val="auto"/>
        </w:rPr>
        <w:t>. We make estimates of costs incurred in relation to external clinical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In preparing our consolidated financial statements, we are required to estimate our income taxes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88"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8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18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89"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ASU 2018-07 is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2019, our portfolio of financial instruments consists of cash equivalents, including bank deposits, and investments. Due to the short-term basis as well as the nature of our investments, we believe there is no material exposure to interest rate risk, and/or credit risk, arising from our investments. </w:t>
      </w:r>
      <w:r>
        <w:rPr>
          <w:rFonts w:ascii="Times New Roman" w:cs="Times New Roman" w:eastAsia="Times New Roman" w:hAnsi="Times New Roman"/>
          <w:sz w:val="17"/>
          <w:szCs w:val="17"/>
          <w:color w:val="auto"/>
        </w:rPr>
        <w:t>Due to the short-term basis as well as the nature of our investments, we believe there is no material exposure to interest rate risk, and/or credit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arising from our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As of June 30, 2019,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2019, our disclosure controls and procedures were effective.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2019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0" w:name="page31"/>
    <w:bookmarkEnd w:id="3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20"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5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and undertaking pre-clinical studies and commencing clinical trials and conducting Phase 3 and registration directed clinical trials for our most advanced drug candidates, ublituximab and umbralisib. We have never generated any revenue from drug sales. We have not obtained regulatory approvals for any of our drug candidates.</w:t>
      </w:r>
    </w:p>
    <w:p>
      <w:pPr>
        <w:spacing w:after="0" w:line="18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not yet demonstrated our ability to successfully complete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47" w:lineRule="exact"/>
        <w:rPr>
          <w:sz w:val="20"/>
          <w:szCs w:val="20"/>
          <w:color w:val="auto"/>
        </w:rPr>
      </w:pPr>
    </w:p>
    <w:p>
      <w:pPr>
        <w:ind w:right="40" w:firstLine="531"/>
        <w:spacing w:after="0" w:line="256"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clinical trials and manufacturing of our drug candidates. To date, we have financed our operations primarily through public offerings of our common stock and a debt financing. Through August 6, 2019, we have received an aggregate of approximately $520 million from such transactions, including approximately $490 million in aggregate gross proceeds from the sale of common stock in one or more offerings and through the use of our ATM from January 2012 through August 2019 but excluding $30.0 million available under the term loan facility with Hercules that we secured in February 2019. As of June 30, 2019, there was $30.0 million available to borrow under that facility, subject to certain conditions of funding.</w:t>
      </w:r>
    </w:p>
    <w:p>
      <w:pPr>
        <w:spacing w:after="0" w:line="188" w:lineRule="exact"/>
        <w:rPr>
          <w:sz w:val="20"/>
          <w:szCs w:val="20"/>
          <w:color w:val="auto"/>
        </w:rPr>
      </w:pPr>
    </w:p>
    <w:p>
      <w:pPr>
        <w:ind w:right="40" w:firstLine="486"/>
        <w:spacing w:after="0" w:line="270" w:lineRule="auto"/>
        <w:rPr>
          <w:sz w:val="20"/>
          <w:szCs w:val="20"/>
          <w:color w:val="auto"/>
        </w:rPr>
      </w:pPr>
      <w:r>
        <w:rPr>
          <w:rFonts w:ascii="Times New Roman" w:cs="Times New Roman" w:eastAsia="Times New Roman" w:hAnsi="Times New Roman"/>
          <w:sz w:val="17"/>
          <w:szCs w:val="17"/>
          <w:color w:val="auto"/>
        </w:rPr>
        <w:t>Since inception, we have incurred significant operating losses. As of June 30, 2019, we had an accumulated deficit of $599.7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significant revenue from our drug candidates and we do not expect to generate any revenue from the sale of drugs in the near future. 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88" w:lineRule="exact"/>
        <w:rPr>
          <w:sz w:val="20"/>
          <w:szCs w:val="20"/>
          <w:color w:val="auto"/>
        </w:rPr>
      </w:pPr>
    </w:p>
    <w:p>
      <w:pPr>
        <w:ind w:left="920" w:hanging="331"/>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27" w:lineRule="exact"/>
        <w:rPr>
          <w:rFonts w:ascii="Times New Roman" w:cs="Times New Roman" w:eastAsia="Times New Roman" w:hAnsi="Times New Roman"/>
          <w:sz w:val="18"/>
          <w:szCs w:val="18"/>
          <w:color w:val="auto"/>
        </w:rPr>
      </w:pPr>
    </w:p>
    <w:p>
      <w:pPr>
        <w:ind w:left="920" w:right="120" w:hanging="331"/>
        <w:spacing w:after="0" w:line="250"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non-clinical studies required to obtain US and Foreign marketing approval for our drug candidates;</w:t>
      </w:r>
    </w:p>
    <w:p>
      <w:pPr>
        <w:ind w:left="920" w:hanging="331"/>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US FDA and Foreign equivalent to market and sell our drug candidates;</w:t>
      </w:r>
    </w:p>
    <w:p>
      <w:pPr>
        <w:spacing w:after="0" w:line="9" w:lineRule="exact"/>
        <w:rPr>
          <w:rFonts w:ascii="Times New Roman" w:cs="Times New Roman" w:eastAsia="Times New Roman" w:hAnsi="Times New Roman"/>
          <w:sz w:val="18"/>
          <w:szCs w:val="18"/>
          <w:color w:val="auto"/>
        </w:rPr>
      </w:pPr>
    </w:p>
    <w:p>
      <w:pPr>
        <w:ind w:left="920" w:right="160" w:hanging="331"/>
        <w:spacing w:after="0" w:line="250"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ind w:left="920" w:right="600" w:hanging="331"/>
        <w:spacing w:after="0" w:line="250"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 infrastructure to commercialize our drug candidates, if approved, by developing a sales force and/or entering into collaborations with third parties; and</w:t>
      </w:r>
    </w:p>
    <w:p>
      <w:pPr>
        <w:ind w:left="920" w:hanging="331"/>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drug candidates in the medical community and with third-party payors.</w:t>
      </w:r>
    </w:p>
    <w:p>
      <w:pPr>
        <w:spacing w:after="0" w:line="207"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continuing revenues, we will not become profitable and we may be unable to continue our operations without continued funding.</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293" w:gutter="0" w:footer="0" w:header="0"/>
        </w:sectPr>
      </w:pPr>
    </w:p>
    <w:bookmarkStart w:id="31" w:name="page32"/>
    <w:bookmarkEnd w:id="3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currently advancing our most advanced drug candidates, umbralisib, ublituximab, TG-1501,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filing for regulatory approvals for umbralisib and ublituximab we will need to expend substantial resources on manufacturing and NDA/ biologics license application (BLA) preparation over the next 12-24+ months, which could exceed any cost savings associated with lower clinical trial expenses during the same period.</w:t>
      </w:r>
    </w:p>
    <w:p>
      <w:pPr>
        <w:spacing w:after="0" w:line="149" w:lineRule="exact"/>
        <w:rPr>
          <w:sz w:val="20"/>
          <w:szCs w:val="20"/>
          <w:color w:val="auto"/>
        </w:rPr>
      </w:pPr>
    </w:p>
    <w:p>
      <w:pPr>
        <w:ind w:right="260" w:firstLine="528"/>
        <w:spacing w:after="0" w:line="282" w:lineRule="auto"/>
        <w:rPr>
          <w:sz w:val="20"/>
          <w:szCs w:val="20"/>
          <w:color w:val="auto"/>
        </w:rPr>
      </w:pPr>
      <w:r>
        <w:rPr>
          <w:rFonts w:ascii="Times New Roman" w:cs="Times New Roman" w:eastAsia="Times New Roman" w:hAnsi="Times New Roman"/>
          <w:sz w:val="18"/>
          <w:szCs w:val="18"/>
          <w:color w:val="auto"/>
        </w:rPr>
        <w:t>While this timing is our current estimate, the amount and timing of our future funding requirements will depend on many factors, including, but not limited to, the following:</w:t>
      </w:r>
    </w:p>
    <w:p>
      <w:pPr>
        <w:spacing w:after="0" w:line="162" w:lineRule="exact"/>
        <w:rPr>
          <w:sz w:val="20"/>
          <w:szCs w:val="20"/>
          <w:color w:val="auto"/>
        </w:rPr>
      </w:pPr>
    </w:p>
    <w:p>
      <w:pPr>
        <w:ind w:left="920" w:right="300" w:hanging="331"/>
        <w:spacing w:after="0" w:line="261"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920" w:hanging="33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candidate;</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sales or distribution capabilities;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our products;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0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 Any additional sources of financing will likely involve the issuance of our equity securities, which would have a dilutive effect to stockholders. 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w:t>
      </w:r>
      <w:r>
        <w:rPr>
          <w:rFonts w:ascii="Times New Roman" w:cs="Times New Roman" w:eastAsia="Times New Roman" w:hAnsi="Times New Roman"/>
          <w:sz w:val="17"/>
          <w:szCs w:val="17"/>
          <w:color w:val="auto"/>
        </w:rPr>
        <w:t>to our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consolidated financial statements </w:t>
      </w:r>
      <w:r>
        <w:rPr>
          <w:rFonts w:ascii="Times New Roman" w:cs="Times New Roman" w:eastAsia="Times New Roman" w:hAnsi="Times New Roman"/>
          <w:sz w:val="18"/>
          <w:szCs w:val="18"/>
          <w:color w:val="auto"/>
        </w:rPr>
        <w:t>for more information). To the extent that we raise additional capital through the sale of common stock or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restrictive covenants limiting or restricting our ability to take specific actions, such as incurring additional debt, making capital expenditures, declaring dividends, acquiring, selling or licensing intellectual property rights and other operating restrictions that could adversely impact our ability to conduct our business. We could also be required to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For example, see our risk factors under the heading “Risks Related to Our Indebtedness.”</w:t>
      </w:r>
    </w:p>
    <w:p>
      <w:pPr>
        <w:spacing w:after="0" w:line="19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product candidate development timelines and projections in this report are based on the assumption of further financing.</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ectPr>
          <w:pgSz w:w="11900" w:h="16838" w:orient="portrait"/>
          <w:cols w:equalWidth="0" w:num="1">
            <w:col w:w="11420"/>
          </w:cols>
          <w:pgMar w:left="240" w:top="225" w:right="239" w:bottom="752"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752" w:gutter="0" w:footer="0" w:header="0"/>
          <w:type w:val="continuous"/>
        </w:sectPr>
      </w:pPr>
    </w:p>
    <w:bookmarkStart w:id="32" w:name="page33"/>
    <w:bookmarkEnd w:id="32"/>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Due to limited resources w </w:t>
      </w:r>
      <w:r>
        <w:rPr>
          <w:rFonts w:ascii="Times New Roman" w:cs="Times New Roman" w:eastAsia="Times New Roman" w:hAnsi="Times New Roman"/>
          <w:sz w:val="18"/>
          <w:szCs w:val="18"/>
          <w:b w:val="1"/>
          <w:bCs w:val="1"/>
          <w:i w:val="1"/>
          <w:iCs w:val="1"/>
          <w:color w:val="181717"/>
        </w:rPr>
        <w:t>e may fail to capitalize on programs or product candidates that may present a greater commercial opportunity or for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181717"/>
        </w:rPr>
        <w:t>there is a greater likelihood of success.</w:t>
      </w:r>
    </w:p>
    <w:p>
      <w:pPr>
        <w:spacing w:after="0" w:line="15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181717"/>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181717"/>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In February 2019, we entered into a Loan and Security Agreement (the “Loan Agreement”), with Hercules Capital, Inc., a Maryland corporation (“Hercules”) (See Note 7 for more information). Under the Loan Agreement, Hercules will provide access to term loans with an aggregate principal amount of up to $60.0 million (the “Term Loan”). Concurrently with the closing of the Loan Agreement, we borrowed an initial tranche of $30.0 million. In addition, we have incurred short term liabilities of approximately $20.7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6" w:lineRule="exact"/>
        <w:rPr>
          <w:sz w:val="20"/>
          <w:szCs w:val="20"/>
          <w:color w:val="auto"/>
        </w:rPr>
      </w:pPr>
    </w:p>
    <w:p>
      <w:pPr>
        <w:ind w:left="920" w:right="500" w:hanging="331"/>
        <w:spacing w:after="0" w:line="261"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ind w:left="920" w:right="60" w:hanging="331"/>
        <w:spacing w:after="0" w:line="255"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it to make interest or principal payments on its indebtedness when due.</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Loan Agreement, or breaching any of its covenants under the Loan Agreement,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 self. Hercules could also exercise its rights as collateral agent to take possession and dispose of the collateral securing the term loans for its benefit, which collateral includes substantially all of our property other than intellectual property. Our business, financial condition and results of operations could be materially adversely affected as a result of any of these events. We are subject to certain restrictive covenants which, if breached, could have a material adverse effect on our business and prospects.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bookmarkStart w:id="33" w:name="page34"/>
    <w:bookmarkEnd w:id="33"/>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75" w:lineRule="exact"/>
        <w:rPr>
          <w:sz w:val="20"/>
          <w:szCs w:val="20"/>
          <w:color w:val="auto"/>
        </w:rPr>
      </w:pPr>
    </w:p>
    <w:p>
      <w:pPr>
        <w:ind w:left="920" w:hanging="33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5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 variety of reasons. We have substantially invested all of our efforts and financial resources in the identification and pre-clinical and clinical development of our drug candidates, including ublituximab, umbralisib, TG-1501, TG-1701 and TG-1801. Our ability to generate drug revenues, which we do not expect will occur for a number of years, if ever, will depend heavily on the successful completion of our current and future Phase 3 and registration-directed clinical trials and eventual commercialization of our drug candidates, which may never occur. We currently generate no revenues from sales of any drugs, and we may never be able to develop or commercialize a marketable drug. Each of our drug candidates will require additional non-clinical or clinical development, management of clinical, non-clinical and manufacturing activities, regulatory approval in multiple jurisdictions, obtaining manufacturing supply, building of a commercial organization, substantial investment and significant marketing efforts before we generate any revenues from drug sales. The success of our most advanced drug candidates and other drug candidates will depend on several factors, including the following:</w:t>
      </w:r>
    </w:p>
    <w:p>
      <w:pPr>
        <w:spacing w:after="0" w:line="193" w:lineRule="exact"/>
        <w:rPr>
          <w:sz w:val="20"/>
          <w:szCs w:val="20"/>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UNITY-NHL trial, UNITY-CLL trial and our ULTIMATE I and II trials;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drug candidates;</w:t>
      </w:r>
    </w:p>
    <w:p>
      <w:pPr>
        <w:spacing w:after="0" w:line="9" w:lineRule="exact"/>
        <w:rPr>
          <w:rFonts w:ascii="Times New Roman" w:cs="Times New Roman" w:eastAsia="Times New Roman" w:hAnsi="Times New Roman"/>
          <w:sz w:val="18"/>
          <w:szCs w:val="18"/>
          <w:color w:val="auto"/>
        </w:rPr>
      </w:pPr>
    </w:p>
    <w:p>
      <w:pPr>
        <w:ind w:left="920" w:right="140" w:hanging="331"/>
        <w:spacing w:after="0" w:line="250"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 for clinical supply and commercial manufacturing;</w:t>
      </w: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 candidates;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drug candidates, if and when approved, whether alone or in collaboration with others;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if and when approved, by patients, the medical community and third-party payors;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differentiating and competing with other therapies;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the drug candidates following approval.</w:t>
      </w:r>
    </w:p>
    <w:p>
      <w:pPr>
        <w:spacing w:after="0" w:line="207"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6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4" w:name="page35"/>
    <w:bookmarkEnd w:id="34"/>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For instance, early clinical results seen with ublituximab (TG-1101) and/or umbralisib (TGR-1202) in a small number of patients may not be reproduced in expanded or larger clinical trials such as in our UNITY-CLL, UNITY-NHL and ULTIMATE I and II programs. Additionally, individually reported outcomes of patients treated in clinical trials may not be representative of the entire population of treated patients in such studies. Further,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In addition, early clinical trial results from interim analysis or from the review of a Data Safety Monitoring Board (“DSMB”) or similar safety committee may not be reflective of the results of the entire study, when completed. Clinical trial results can change over time as additional patients are accrued to a study or as additional follow-up is conducted, which may result in a material negative impact on the preliminary results. For instance, we recently announced that the MZL cohort of the UNITY-NHL study met the primary endpoint of overall response rate (ORR), falling within our target range which was between 40%-50%, and while we believe that the ORR results have the potential to increase over time within this range, or beyond, as patients continue to be followed , no assurance can be given that that will be the case, and the results may ultimately fall at the lower end of the range. Further, time to event based endpoints such as duration of response (DOR) and PFS have the potential to change, sometimes drastically, with longer follow-up. No assurance can be provided that the ORR, DOR and PFS data from the MZL cohort of the UNITY-NHL study will be supportive of an FDA approval or will support broad market uptake based on the profile of competitor drugs which may be available. Additionally, while the MZL cohort of the UNITY-NHL study met its primary endpoint, each cohort of this study is operated and analyzed independently, and no assurance can be given that other cohorts from the UNITY-NHL study, including the FL/SLL cohort, MCL cohort and the DLBCL cohort, will meet their primary endpoint, have a positive outcome, or will be supportive of an FDA filing.</w:t>
      </w:r>
    </w:p>
    <w:p>
      <w:pPr>
        <w:spacing w:after="0" w:line="19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All of our Phase 3 and registration directed clinical trials such as UNITY-CLL, UNITY-NHL and ULTIMATE I and II utilize international clinical research sites, including sites in eastern European countries. The Company works with what we believe are reputable Clinical Research Organization’s (“CRO”) and clinical research sites in conducting our studies internationally. Nevertheless, the risk of fraud, incompetence, unexpected patient variability and other issues affecting the quality and the outcome of our Phase 3 and registration directed studies could arise from US or international sites. If that were to occur, the study could be negatively impacted, potentially even preventing it from being useful for regulatory approval. If such event were to occur, it would have a substantial negative impact on the Company.</w:t>
      </w:r>
    </w:p>
    <w:p>
      <w:pPr>
        <w:spacing w:after="0" w:line="18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All of our current Phase 3 and registration directed studies such as UNITY-CLL, UNITY-NHL and ULTIMATE I and II trials utilize blinded, independent, central review to assess the primary endpoint of such studies. If the results from interim analyses are not consistent with final results or results from our registration directed trials are different from the results found in the earlier studies of ublituximab and umbralisib, we may need to terminate or revise our clinical development plan, which could extend the time for conducting our development program and could have a material adverse effect on our business. For example, we recently presented to the FDA, interim results from the Marginal Zone Lymphoma (“MZL”) cohort of our UNITY-NHL trial that supported the granting of </w:t>
      </w:r>
      <w:r>
        <w:rPr>
          <w:rFonts w:ascii="Times New Roman" w:cs="Times New Roman" w:eastAsia="Times New Roman" w:hAnsi="Times New Roman"/>
          <w:sz w:val="17"/>
          <w:szCs w:val="17"/>
          <w:color w:val="auto"/>
        </w:rPr>
        <w:t>Breakthrough Therapy Designation (</w:t>
      </w:r>
      <w:r>
        <w:rPr>
          <w:rFonts w:ascii="Times New Roman" w:cs="Times New Roman" w:eastAsia="Times New Roman" w:hAnsi="Times New Roman"/>
          <w:sz w:val="18"/>
          <w:szCs w:val="18"/>
          <w:color w:val="auto"/>
        </w:rPr>
        <w:t>BTD). These interim results were also presented at the 2019 American Association of Cancer Research (AACR) annual meeting</w:t>
      </w:r>
      <w:r>
        <w:rPr>
          <w:rFonts w:ascii="Times New Roman" w:cs="Times New Roman" w:eastAsia="Times New Roman" w:hAnsi="Times New Roman"/>
          <w:sz w:val="17"/>
          <w:szCs w:val="17"/>
          <w:color w:val="auto"/>
        </w:rPr>
        <w:t>, 2019 American Society of Clinical Oncology (ASCO) annual meeting, and the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International Conference on Malignant Lymphoma (ICML)</w:t>
      </w:r>
      <w:r>
        <w:rPr>
          <w:rFonts w:ascii="Times New Roman" w:cs="Times New Roman" w:eastAsia="Times New Roman" w:hAnsi="Times New Roman"/>
          <w:sz w:val="18"/>
          <w:szCs w:val="18"/>
          <w:color w:val="auto"/>
        </w:rPr>
        <w:t>. No assurance can be given that the final results from that cohort will reflect the activity seen in these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interim results, or that the final results will be sufficient to file for accelerated approval for umbralisib for the treatment of MZL, and if filed that umbralisib will receive accelerated approval. Similarly, while early Phase 1 data for umbralisib and ublituximab alone and together looked promising there is no assurance that the UNITY-CLL trial will be positive. Moreover, while we believe one of the key differentiators for umbralisib is its tolerability and side effect profile compared to other drugs in the same class, no assurance can be given that a differentiated safety and tolerability profile will be realized in our Phase 3 or registration directed trials such as UNITY-CLL or UNITY-NHL. Specifically, we have not yet assessed the final safety data from the MZL cohort of the UNITY-NHL study as patients continue on therapy, therefore there can be no assurance given that the final safety data, once fully analyzed, will be consistent with prior safety data presented on umbralisib, will be differentiated from other similar agents in the same class, or that it will be favorable enough to support an FDA filing. In addition, no assurance can be given that new toxicities, or an increase in the severity or frequency of previously seen toxicities, will not be observed, which could have a material negative impact on the approvability or marketability of umbralisib or any of our product candidates. Finally, while the Phase 2 data for ublituximab in MS looked promising, no assurance can be given that the profile will carry into Phase 3 and that the ULTIMATE I and II clinical trials will be positive.</w:t>
      </w:r>
    </w:p>
    <w:p>
      <w:pPr>
        <w:spacing w:after="0" w:line="19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addition to umbralisib and ublituximab, we have a number of compounds in early clinical development, such as TG-1501, TG-1701 and TG-1801. Many drugs fail in the early stages of clinical development for safety and tolerability issues, despite promising pre-clinical results. Accordingly, no assurance can be made that a safe and efficacious dose can be found for these compounds or that they will ever enter into advanced clinical trials alone or in combination with umbralisib and/or ublituximab.</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5" w:name="page36"/>
    <w:bookmarkEnd w:id="35"/>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drug candidates umbralisib and ublituximab are in several Phase 3 and registration directed clinical trials such as UNITY-CLL, UNITY-NHL and ULTIMATE I and II. As with all clinical trials,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Accordingly, our current Phase 3 and registration directed trials, such as UNITY-CLL, UNITY-NHL and ULTIMATE I and II and future clinical trials may not be successful.</w:t>
      </w:r>
    </w:p>
    <w:p>
      <w:pPr>
        <w:spacing w:after="0" w:line="189"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an NDA, or a BLA to the U.S. FDA and a Marketing Authorization Application (“MAA”), in the European Union for each drug candidate and, consequently, the ultimate approval and commercial marketing of our drug candidates. We do not know whether any of our clinical trials for our drug candidates will be completed on schedule, if at all.</w:t>
      </w:r>
    </w:p>
    <w:p>
      <w:pPr>
        <w:spacing w:after="0" w:line="17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is dependent in part upon the rate at which we are able to engage clinical research/trial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89" w:lineRule="exact"/>
        <w:rPr>
          <w:sz w:val="20"/>
          <w:szCs w:val="20"/>
          <w:color w:val="auto"/>
        </w:rPr>
      </w:pPr>
    </w:p>
    <w:p>
      <w:pPr>
        <w:ind w:left="920" w:right="180" w:hanging="331"/>
        <w:spacing w:after="0" w:line="261"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ind w:left="920" w:right="100" w:hanging="331"/>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authorities or institutional review boards (“IRBs”), or ethics committees may not authorize us or our investigators to commence a clinical trial or conduct a clinical trial at a prospective trial site or country;</w:t>
      </w:r>
    </w:p>
    <w:p>
      <w:pPr>
        <w:ind w:left="920" w:right="220" w:hanging="331"/>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920" w:right="240" w:hanging="331"/>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health authorities may require us, to conduct additional pre-clinical studies or clinical trials or we may decide to abandon drug development programs;</w:t>
      </w:r>
    </w:p>
    <w:p>
      <w:pPr>
        <w:ind w:left="920" w:right="40" w:hanging="331"/>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ind w:left="920" w:hanging="331"/>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ind w:left="920" w:right="540" w:hanging="331"/>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health authorities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9" w:lineRule="exact"/>
        <w:rPr>
          <w:rFonts w:ascii="Times New Roman" w:cs="Times New Roman" w:eastAsia="Times New Roman" w:hAnsi="Times New Roman"/>
          <w:sz w:val="18"/>
          <w:szCs w:val="18"/>
          <w:color w:val="auto"/>
        </w:rPr>
      </w:pPr>
    </w:p>
    <w:p>
      <w:pPr>
        <w:ind w:left="920" w:right="200" w:hanging="331"/>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and</w:t>
      </w:r>
    </w:p>
    <w:p>
      <w:pPr>
        <w:ind w:left="920" w:right="280" w:hanging="331"/>
        <w:spacing w:after="0" w:line="255"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health authorities, IRBs or ethics committees to suspend or terminate the trials, or reports may arise from pre-clinical or clinical testing of other cancer therapies that raise safety or efficacy concerns about our drug candidates.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36" w:name="page37"/>
    <w:bookmarkEnd w:id="36"/>
    <w:p>
      <w:pPr>
        <w:spacing w:after="0" w:line="66"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DSMB for such trial or by the FDA or other regulatory authorities. Such health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DSMBs for the UNITY-CLL and UNITY-NHL studies meet regularly to review ongoing safety from these studies, in an unblinded manner if applicable, and may recommend modification to the study design or closure of the study entirely based on their interpretation of the benefit/risk of the study. While we develop charters that guide the nature of the DSMB’s meetings, their analysis and interpretation of study data occurs independently from us and is wholly within their control. Even if the DSMB finds no safety concerns and recommends no modifications to our ongoing studies, this does not mean the safety profile of these studies may support a marketing approval.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 This could happen even for a protocol that has received an SPA. In September 2015, we announced a Phase 3 clinical trial for the combination of ublituximab plus umbralisib for patients with CLL, which is being conducted pursuant to a SPA with the FDA and in August 2017 we announced an SPA for our registration program for ublituximab in RMS. Many companies which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while changes or amendments to protocols are common during conduct of a clinical trial, protocol changes or amendments to a study that is being conducted under SPA will have to be reviewed and approved by the FDA to verify that the SPA agreement is still valid. The FDA’s willingness to agree to changes or amendments to a protocol or statistical analysis plan under SPA agreement is wholly within their discretion. Such re-reviews also provide an opportunity for the FDA to scrutinize any aspect of the study design and conduct, even if previously agreed to under the existing SPA. Failure to reach agreement with the FDA for routine protocol changes or modifications for any study we conduct under SPA could have a material negative impact to our ability to execute these studies. Even if the primary endpoint in a Phase 3 clinical trial is achieved, a SPA does not guarantee approval. While UNITY-CLL is being operated in a blinded manner, it is an open label study; meaning that trial participants, investigators, site staff, some employees of our contract research organizations, and field level employees of TGTX (i.e. clinical research associates, monitors, etc.), among others, have knowledge of treatment arm assignments on a patient-level, which has the potential to introduce bias into study conduct. Further, while the ULTIMATE 1 and 2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prior to making its final decision.</w:t>
      </w:r>
    </w:p>
    <w:p>
      <w:pPr>
        <w:spacing w:after="0" w:line="20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920" w:hanging="331"/>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testing requirements; or</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0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regulatory approvals. We may also incur additional costs if enrollment is increased. All our current Phase 3 and registration-directed clinical trials, such as UNITY-CLL, UNITY-NHL and ULTIMATE I and II enrolled a larger number of patients than our initial projections, adding significant costs to those studies over and above what had been projected. We do not know whether any of our clinical trials will begin as planned, will need to be restructured or will be completed on schedule, or at all. Certain clinical trials are designed to continue until a pre-determined number of events have occurred in the patients enrolled. Trials such as this are subject to delays stemming from patient withdrawal and from lower than expected event rates. UNITY-CLL is an event-driven study, which means the study can only end when a certain pre-specified number of events have occurred. In the case of UNITY-CLL, an event is defined as disease progression or death. Given that these events cannot be predicted with certainty, predicting accurately when this study will reach a sufficient number of events to be complete is impossible. We have stated we believe the number of events can be reached by YE19 or in 2020 but there can be no assurance that that will occur and timelines for the completion of this study should not be relied on given the inherent uncertainty. Delays beyond early 2020 could have a material and adverse impact on the Company.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8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or FDA’s willingness to accept such data, may be jeopardized.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sufficiency of our clinical trial results for accelerated approval are subject to the FDA’s discretion.</w:t>
      </w:r>
    </w:p>
    <w:p>
      <w:pPr>
        <w:spacing w:after="0" w:line="22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have and will continue to explore strategies for ublituximab and/or umbralisib that involve use of the FDA’s accelerated approval pathway. Obtaining accelerated approval for an agent requires demonstration of meaningful benefit over all available therapies for a serious condition.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are currently awaiting final results from our UNITY-NHL trial, in particular the MZL cohort, which we are hoping will be useful for accelerated approval if positive. Even if the results are positive, no assurance can be given that umbralisib will obtain accelerated approval for a variety of reasons, including if a new treatment receives full approval prior to our potential receipt of accelerated approval. Previously, we were hopeful to utilize the results from our GENUINE study for accelerated approval but the intervening full approval of a drug called venetoclax for relapsed/refractory CLL has made that potential application more challenging. While no final decision has been made as to the filing of the GENUINE study for accelerated approval, the Company has no plans to pursue that filing at this time. No assurance can be given that a filing based on the GENUINE results will ever be made.</w:t>
      </w:r>
    </w:p>
    <w:p>
      <w:pPr>
        <w:sectPr>
          <w:pgSz w:w="11900" w:h="16904" w:orient="portrait"/>
          <w:cols w:equalWidth="0" w:num="1">
            <w:col w:w="11420"/>
          </w:cols>
          <w:pgMar w:left="240" w:top="472" w:right="239" w:bottom="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8" w:name="page39"/>
    <w:bookmarkEnd w:id="38"/>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Finally,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58"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with a significantly larger number of patients exposed to the drug candidate in Phase 3 or registration directed trials and on the market.</w:t>
      </w:r>
    </w:p>
    <w:p>
      <w:pPr>
        <w:spacing w:after="0" w:line="180"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We are currently running our Phase 3 and registration-directed trials, such as UNITY-CLL, UNITY-NHL and ULTIMATE I and II and have not completed testing of any of our product candidates for the treatment of the indications for which we intend to seek product approval in humans, and we currently do not know the extent that the adverse events, if any, will be observed in patients who receive any of our product candidates. To date, clinical trials using ublituximab and umbralisib have demonstrated a toxicity profile that was deemed acceptable by the investigators performing such studies. Such interpretation may not be shared by future investigators or by the health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found in our on-going Phase 3 and registration-directed trials. Particularly, with respect to umbralisib, although over 1,000 patients to date have been dosed amongst all ongoing umbralisib studies, the full adverse effect profile of umbralisib is not known. It is also unknown as additional patients are exposed for longer durations to umbralisib, whether greater frequency and/or severity of adverse events are likely to occur. Common toxicities of other drugs in the same class as umbralisib include high levels of liver toxicity, infections and colitis, the latter of which notably has presented with later onset, with 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9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Additionally, in drug-combination clinical development, there is an inherent risk of drug-drug interactions between combination agents which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TG-1501,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9" w:name="page40"/>
    <w:bookmarkEnd w:id="39"/>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162" w:lineRule="exact"/>
        <w:rPr>
          <w:sz w:val="20"/>
          <w:szCs w:val="20"/>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 candidates;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more significant clinical benefit for approval to offset the risk;</w:t>
      </w:r>
    </w:p>
    <w:p>
      <w:pPr>
        <w:spacing w:after="0" w:line="9" w:lineRule="exact"/>
        <w:rPr>
          <w:rFonts w:ascii="Times New Roman" w:cs="Times New Roman" w:eastAsia="Times New Roman" w:hAnsi="Times New Roman"/>
          <w:sz w:val="18"/>
          <w:szCs w:val="18"/>
          <w:color w:val="auto"/>
        </w:rPr>
      </w:pPr>
    </w:p>
    <w:p>
      <w:pPr>
        <w:ind w:left="920" w:right="40" w:hanging="331"/>
        <w:spacing w:after="0" w:line="250"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including warnings, contra-indications, or precautions, that could diminish the usage of the product or otherwise limit the commercial success of the affected product;</w:t>
      </w: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spacing w:after="0" w:line="9" w:lineRule="exact"/>
        <w:rPr>
          <w:rFonts w:ascii="Times New Roman" w:cs="Times New Roman" w:eastAsia="Times New Roman" w:hAnsi="Times New Roman"/>
          <w:sz w:val="18"/>
          <w:szCs w:val="18"/>
          <w:color w:val="auto"/>
        </w:rPr>
      </w:pPr>
    </w:p>
    <w:p>
      <w:pPr>
        <w:ind w:left="920" w:right="120" w:hanging="331"/>
        <w:spacing w:after="0" w:line="250" w:lineRule="auto"/>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 candidates;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a product candidate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REMS requiring prescriber training, post-market registries, or otherwise restricting the marketing and dissemination of these products. Despite the time and expense invested in the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these countries.</w:t>
      </w:r>
    </w:p>
    <w:p>
      <w:pPr>
        <w:spacing w:after="0" w:line="19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84" w:lineRule="exact"/>
        <w:rPr>
          <w:sz w:val="20"/>
          <w:szCs w:val="20"/>
          <w:color w:val="auto"/>
        </w:rPr>
      </w:pPr>
    </w:p>
    <w:p>
      <w:pPr>
        <w:ind w:left="920" w:hanging="331"/>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7" w:lineRule="exact"/>
        <w:rPr>
          <w:rFonts w:ascii="Times New Roman" w:cs="Times New Roman" w:eastAsia="Times New Roman" w:hAnsi="Times New Roman"/>
          <w:sz w:val="18"/>
          <w:szCs w:val="18"/>
          <w:color w:val="auto"/>
        </w:rPr>
      </w:pPr>
    </w:p>
    <w:p>
      <w:pPr>
        <w:ind w:left="920" w:right="80" w:hanging="331"/>
        <w:spacing w:after="0" w:line="250"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 indication;</w:t>
      </w:r>
    </w:p>
    <w:p>
      <w:pPr>
        <w:ind w:left="920" w:right="240" w:hanging="331"/>
        <w:spacing w:after="0" w:line="250"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the United States;</w:t>
      </w:r>
    </w:p>
    <w:p>
      <w:pPr>
        <w:ind w:left="920" w:right="20" w:hanging="331"/>
        <w:spacing w:after="0" w:line="250"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920" w:hanging="331"/>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9" w:lineRule="exact"/>
        <w:rPr>
          <w:rFonts w:ascii="Times New Roman" w:cs="Times New Roman" w:eastAsia="Times New Roman" w:hAnsi="Times New Roman"/>
          <w:sz w:val="18"/>
          <w:szCs w:val="18"/>
          <w:color w:val="auto"/>
        </w:rPr>
      </w:pPr>
    </w:p>
    <w:p>
      <w:pPr>
        <w:ind w:left="920" w:right="680" w:hanging="331"/>
        <w:spacing w:after="0" w:line="250"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20" w:right="320" w:hanging="331"/>
        <w:spacing w:after="0" w:line="250"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ind w:left="920" w:right="60" w:hanging="331"/>
        <w:spacing w:after="0" w:line="261"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80"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0" w:name="page41"/>
    <w:bookmarkEnd w:id="40"/>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drug candidates, including umbralisib for the treatment of adult patients with relapsed or refractory Marginal Zone Lymphoma (MZL) who have received at least one prior treatment including an ant i-CD20 monoclonal antibody, may not lead to a faster development or regulatory review or approval process, and it does not ensure that our drug candidates will receive marketing approval.</w:t>
      </w:r>
    </w:p>
    <w:p>
      <w:pPr>
        <w:spacing w:after="0" w:line="1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January 2019, the FDA granted breakthrough therapy designation (also referred to as BTD)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be positive and support a filing for accelerated approval.</w:t>
      </w:r>
    </w:p>
    <w:p>
      <w:pPr>
        <w:spacing w:after="0" w:line="18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Designation as a breakthrough therapy is wholly within the discretion of the FDA. Accordingly, even if we believe one of our drug candidates meets the criteria for designation as a breakthrough therapy, the FDA may disagree and instead determine not to grant such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22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orphan drug designation for umbralisib and ublituximab for specified indications, we may seek additional orphan drug designation for those and some of our other drug candidates. However, we may be unsuccessful in obtaining or may be unable to maintain the benefits associated with orphan drug designation, including the potential for market exclusivity.</w:t>
      </w:r>
    </w:p>
    <w:p>
      <w:pPr>
        <w:spacing w:after="0" w:line="175"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Ublituximab received orphan-drug designation from the FDA for the treatment of Marginal Zone Lymphoma (Nodal and Extranodal) in September 2013, for the treatment of CLL in August of 2010, and orphan-drug designation by the EMA for the treatment of CLL in November of 2009. We also obtained orphan drug designation for umbralisib as monotherapy for the treatment of CLL in August 2016 and all three types of MZL (nodal, extranodal and splenic) in April 2019, and in January 2017, we announced that the FDA granted Orphan Drug designation covering the combination of ublituximab and umbralisib for the treatment of patients with CLL and DLBCL. As part of our business strategy, we may seek orphan drug designation for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1" w:name="page42"/>
    <w:bookmarkEnd w:id="41"/>
    <w:p>
      <w:pPr>
        <w:ind w:firstLine="486"/>
        <w:spacing w:after="0" w:line="254" w:lineRule="auto"/>
        <w:rPr>
          <w:sz w:val="20"/>
          <w:szCs w:val="20"/>
          <w:color w:val="auto"/>
        </w:rPr>
      </w:pPr>
      <w:r>
        <w:rPr>
          <w:rFonts w:ascii="Times New Roman" w:cs="Times New Roman" w:eastAsia="Times New Roman" w:hAnsi="Times New Roman"/>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w:t>
      </w:r>
    </w:p>
    <w:p>
      <w:pPr>
        <w:spacing w:after="0" w:line="18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all of our product candidates are still under development, manufacturing site additions, scale-up and process improvements implemented in the production of those product candidates may affect their ultimate activity or function.</w:t>
      </w:r>
    </w:p>
    <w:p>
      <w:pPr>
        <w:spacing w:after="0" w:line="159"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Our product candidates are in the initial stages of development and are currently manufactured in relatively small batches for use in pre-clinical and clinical studies. Process improvements implemented to date have changed, and process improvements in the future may change, the activity/ and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then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and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U2 combination based on the results of the UNITY-CLL study. In such circumstances, that would have a material adverse effect on the Company.</w:t>
      </w:r>
    </w:p>
    <w:p>
      <w:pPr>
        <w:spacing w:after="0" w:line="19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8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addition, we have engaged a secondary manufacturer for ublituximab to meet our current clinical and future commercial needs and anticipate engaging additional manufacturing sources for umbralisib to meet expanded clinical trial and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early clinical trials presented publicly or reported in this or any previous filing, or that the relevant regulatory agencies will agree with our interpretation of comparability.</w:t>
      </w:r>
    </w:p>
    <w:p>
      <w:pPr>
        <w:spacing w:after="0" w:line="1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as we move closer to commercialization for ublituximab and umbralisib we will need to scale-up production to ensure adequate commercial supply. We are currently in the process of scaling up ublituximab.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precise incidence and/or prevalence of CLL, relapsed/refractory MZL, relapsed/refractory FL and MS are unknown. </w:t>
      </w:r>
      <w:r>
        <w:rPr>
          <w:rFonts w:ascii="Times New Roman" w:cs="Times New Roman" w:eastAsia="Times New Roman" w:hAnsi="Times New Roman"/>
          <w:sz w:val="18"/>
          <w:szCs w:val="18"/>
          <w:color w:val="181717"/>
        </w:rPr>
        <w:t>Our projections of both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 xml:space="preserve">number of people who are affected by disease within our target indications, as well as the subset of these people who have the potential to benefit from treatment with </w:t>
      </w:r>
      <w:r>
        <w:rPr>
          <w:rFonts w:ascii="Times New Roman" w:cs="Times New Roman" w:eastAsia="Times New Roman" w:hAnsi="Times New Roman"/>
          <w:sz w:val="18"/>
          <w:szCs w:val="18"/>
          <w:color w:val="000000"/>
        </w:rPr>
        <w:t>our</w:t>
      </w:r>
      <w:r>
        <w:rPr>
          <w:rFonts w:ascii="Times New Roman" w:cs="Times New Roman" w:eastAsia="Times New Roman" w:hAnsi="Times New Roman"/>
          <w:sz w:val="18"/>
          <w:szCs w:val="18"/>
          <w:color w:val="181717"/>
        </w:rPr>
        <w:t xml:space="preserve">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18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total addressable market opportunity for umbralisib and ublituximab for the treatment of patients with CLL, MZL, FL and MS will ultimately depend upon, among other things, the final label indication, approved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cancer indications for which we are developing our products there are a number of established therapies with which we will compete:</w:t>
      </w:r>
    </w:p>
    <w:p>
      <w:pPr>
        <w:spacing w:after="0" w:line="225" w:lineRule="exact"/>
        <w:rPr>
          <w:sz w:val="20"/>
          <w:szCs w:val="20"/>
          <w:color w:val="auto"/>
        </w:rPr>
      </w:pPr>
    </w:p>
    <w:p>
      <w:pPr>
        <w:ind w:left="920" w:right="300" w:hanging="331"/>
        <w:spacing w:after="0" w:line="254"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treatment of CLL, if U2 is approved, we expect U2 to compete with recently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3" w:lineRule="exact"/>
        <w:rPr>
          <w:rFonts w:ascii="Times New Roman" w:cs="Times New Roman" w:eastAsia="Times New Roman" w:hAnsi="Times New Roman"/>
          <w:sz w:val="18"/>
          <w:szCs w:val="18"/>
          <w:color w:val="auto"/>
        </w:rPr>
      </w:pPr>
    </w:p>
    <w:p>
      <w:pPr>
        <w:ind w:left="920" w:right="500" w:hanging="331"/>
        <w:spacing w:after="0" w:line="250"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treatment of Marginal Zone Lymphoma, if approved, we expect umbralisib to compete with ibrutinib (AbbVie and Janssen) and established treatments such as rituximab and several generically available chemotherapies. Additionally, the combination of rituximab and lenalidomide (Celgene) has </w:t>
      </w:r>
      <w:r>
        <w:rPr>
          <w:rFonts w:ascii="Times New Roman" w:cs="Times New Roman" w:eastAsia="Times New Roman" w:hAnsi="Times New Roman"/>
          <w:sz w:val="17"/>
          <w:szCs w:val="17"/>
          <w:color w:val="auto"/>
        </w:rPr>
        <w:t>recently</w:t>
      </w:r>
      <w:r>
        <w:rPr>
          <w:rFonts w:ascii="Times New Roman" w:cs="Times New Roman" w:eastAsia="Times New Roman" w:hAnsi="Times New Roman"/>
          <w:sz w:val="18"/>
          <w:szCs w:val="18"/>
          <w:color w:val="auto"/>
        </w:rPr>
        <w:t xml:space="preserve"> been </w:t>
      </w:r>
      <w:r>
        <w:rPr>
          <w:rFonts w:ascii="Times New Roman" w:cs="Times New Roman" w:eastAsia="Times New Roman" w:hAnsi="Times New Roman"/>
          <w:sz w:val="17"/>
          <w:szCs w:val="17"/>
          <w:color w:val="auto"/>
        </w:rPr>
        <w:t>approved by the FDA for the treatment of relapsed MZL.</w:t>
      </w:r>
    </w:p>
    <w:p>
      <w:pPr>
        <w:spacing w:after="0" w:line="1" w:lineRule="exact"/>
        <w:rPr>
          <w:rFonts w:ascii="Times New Roman" w:cs="Times New Roman" w:eastAsia="Times New Roman" w:hAnsi="Times New Roman"/>
          <w:sz w:val="18"/>
          <w:szCs w:val="18"/>
          <w:color w:val="auto"/>
        </w:rPr>
      </w:pPr>
    </w:p>
    <w:p>
      <w:pPr>
        <w:ind w:left="920" w:hanging="331"/>
        <w:spacing w:after="0" w:line="250"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treatment of Follicular Lymphoma, if approved, we expect umbralisib to compete with recently approved drugs such as obinutuzumab (Roche), idelalisib (Gilead), copanlisib (Bayer), and duvelisib (Verastem), and established treatments such as rituximab (Roche), and several generically available chemotherapies. Each of these agents can be used as monotherapy or in combination with one or more of the other agents. The combination of rituximab and lenalidomide (Celgene) has also been studied in FL and </w:t>
      </w:r>
      <w:r>
        <w:rPr>
          <w:rFonts w:ascii="Times New Roman" w:cs="Times New Roman" w:eastAsia="Times New Roman" w:hAnsi="Times New Roman"/>
          <w:sz w:val="17"/>
          <w:szCs w:val="17"/>
          <w:color w:val="auto"/>
        </w:rPr>
        <w:t>has recently been approved by the FDA for the treatment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of relapsed FL. </w:t>
      </w:r>
      <w:r>
        <w:rPr>
          <w:rFonts w:ascii="Times New Roman" w:cs="Times New Roman" w:eastAsia="Times New Roman" w:hAnsi="Times New Roman"/>
          <w:sz w:val="18"/>
          <w:szCs w:val="18"/>
          <w:color w:val="auto"/>
        </w:rPr>
        <w:t>There are also several PI3K delta inhibitors in earlier stages of development.</w:t>
      </w:r>
    </w:p>
    <w:p>
      <w:pPr>
        <w:spacing w:after="0" w:line="2" w:lineRule="exact"/>
        <w:rPr>
          <w:rFonts w:ascii="Times New Roman" w:cs="Times New Roman" w:eastAsia="Times New Roman" w:hAnsi="Times New Roman"/>
          <w:sz w:val="18"/>
          <w:szCs w:val="18"/>
          <w:color w:val="auto"/>
        </w:rPr>
      </w:pPr>
    </w:p>
    <w:p>
      <w:pPr>
        <w:ind w:left="920" w:right="120" w:hanging="331"/>
        <w:spacing w:after="0" w:line="255"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43" w:name="page44"/>
    <w:bookmarkEnd w:id="43"/>
    <w:p>
      <w:pPr>
        <w:ind w:left="500"/>
        <w:spacing w:after="0"/>
        <w:rPr>
          <w:sz w:val="20"/>
          <w:szCs w:val="20"/>
          <w:color w:val="auto"/>
        </w:rPr>
      </w:pPr>
      <w:r>
        <w:rPr>
          <w:rFonts w:ascii="Times New Roman" w:cs="Times New Roman" w:eastAsia="Times New Roman" w:hAnsi="Times New Roman"/>
          <w:sz w:val="18"/>
          <w:szCs w:val="18"/>
          <w:color w:val="auto"/>
        </w:rPr>
        <w:t>For Multiple Sclerosis for which we are developing ublituximab there are a number of established therapies with which we will compete:</w:t>
      </w:r>
    </w:p>
    <w:p>
      <w:pPr>
        <w:spacing w:after="0" w:line="225" w:lineRule="exact"/>
        <w:rPr>
          <w:sz w:val="20"/>
          <w:szCs w:val="20"/>
          <w:color w:val="auto"/>
        </w:rPr>
      </w:pPr>
    </w:p>
    <w:p>
      <w:pPr>
        <w:ind w:left="920" w:right="40" w:hanging="331"/>
        <w:spacing w:after="0" w:line="261"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12-24 months.</w:t>
      </w:r>
    </w:p>
    <w:p>
      <w:pPr>
        <w:spacing w:after="0" w:line="180"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TG-1501, TG-1701 and TG-1801 if approved will also face competition from drugs on the market and under development that have the same mechanism of action as each of those drugs.</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76" w:lineRule="exact"/>
        <w:rPr>
          <w:sz w:val="20"/>
          <w:szCs w:val="20"/>
          <w:color w:val="auto"/>
        </w:rPr>
      </w:pPr>
    </w:p>
    <w:p>
      <w:pPr>
        <w:ind w:left="920" w:hanging="33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0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80" w:lineRule="exact"/>
        <w:rPr>
          <w:sz w:val="20"/>
          <w:szCs w:val="20"/>
          <w:color w:val="auto"/>
        </w:rPr>
      </w:pPr>
    </w:p>
    <w:p>
      <w:pPr>
        <w:ind w:left="920" w:hanging="33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that we may develop;</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candidates that we may develop.</w:t>
      </w:r>
    </w:p>
    <w:p>
      <w:pPr>
        <w:spacing w:after="0" w:line="20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5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would also be necessary for commercial success. The degree of market acceptance of any approved product would depend on a number of factors, including:</w:t>
      </w:r>
    </w:p>
    <w:p>
      <w:pPr>
        <w:spacing w:after="0" w:line="176" w:lineRule="exact"/>
        <w:rPr>
          <w:sz w:val="20"/>
          <w:szCs w:val="20"/>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as demonstrated in clinical trials;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 as well as competitive products;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cancer clinics and patients of the product as a safe and effective treatment;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of the product candidate in a broader patient group;</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and pricing by third parties and government authorities;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the product candidate;</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44" w:name="page45"/>
    <w:bookmarkEnd w:id="44"/>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8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5" w:name="page46"/>
    <w:bookmarkEnd w:id="45"/>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the “ACA,” was enacted in 2010 and made significant changes to the United States’ healthcare system. The ACA and any revisions or replacements of that Act, any substitute legislation, and other changes in the law or regulatory framework could have a material adverse effect on our business.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Among the provisions of the ACA, those of importance to our potential product candidates are:</w:t>
      </w:r>
    </w:p>
    <w:p>
      <w:pPr>
        <w:spacing w:after="0" w:line="225" w:lineRule="exact"/>
        <w:rPr>
          <w:sz w:val="20"/>
          <w:szCs w:val="20"/>
          <w:color w:val="auto"/>
        </w:rPr>
      </w:pPr>
    </w:p>
    <w:p>
      <w:pPr>
        <w:ind w:left="920" w:right="240" w:hanging="331"/>
        <w:spacing w:after="0" w:line="261"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ind w:left="920" w:right="380" w:hanging="331"/>
        <w:spacing w:after="0" w:line="25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ind w:left="920" w:right="280" w:hanging="331"/>
        <w:spacing w:after="0" w:line="25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federal False Claims Act and the federal Anti-Kickback Statute, new government investigative powers and enhanced penalties for non-compliance;</w:t>
      </w:r>
    </w:p>
    <w:p>
      <w:pPr>
        <w:ind w:left="920" w:right="40" w:hanging="331"/>
        <w:spacing w:after="0" w:line="25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Times New Roman" w:cs="Times New Roman" w:eastAsia="Times New Roman" w:hAnsi="Times New Roman"/>
          <w:sz w:val="18"/>
          <w:szCs w:val="18"/>
          <w:color w:val="auto"/>
        </w:rPr>
      </w:pPr>
    </w:p>
    <w:p>
      <w:pPr>
        <w:ind w:left="920" w:right="280" w:hanging="331"/>
        <w:spacing w:after="0" w:line="25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ind w:left="920" w:hanging="331"/>
        <w:spacing w:after="0" w:line="25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spacing w:after="0" w:line="1"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340B Drug Pricing Program;</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requirements under the federal Open Payments program and its implementing regulations;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w:t>
      </w:r>
    </w:p>
    <w:p>
      <w:pPr>
        <w:spacing w:after="0" w:line="9" w:lineRule="exact"/>
        <w:rPr>
          <w:rFonts w:ascii="Times New Roman" w:cs="Times New Roman" w:eastAsia="Times New Roman" w:hAnsi="Times New Roman"/>
          <w:sz w:val="18"/>
          <w:szCs w:val="18"/>
          <w:color w:val="auto"/>
        </w:rPr>
      </w:pPr>
    </w:p>
    <w:p>
      <w:pPr>
        <w:ind w:left="920" w:right="180" w:hanging="331"/>
        <w:spacing w:after="0" w:line="25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regulatory pathway for the approval of biosimilar biological products, all of which will impact existing government healthcare programs and will result in the development of new programs; and</w:t>
      </w:r>
    </w:p>
    <w:p>
      <w:pPr>
        <w:ind w:left="920" w:right="220" w:hanging="331"/>
        <w:spacing w:after="0" w:line="261"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w:t>
      </w:r>
    </w:p>
    <w:p>
      <w:pPr>
        <w:spacing w:after="0" w:line="18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United States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 At the end of 2017, Congress passed the Tax Cuts and Jobs Act, which repealed the penalty for individuals who fail to maintain minimum essential health coverage as required by the ACA. Following this legislation, Texas and 19 other states filed a lawsuit alleging that the ACA is unconstitutional as the individual mandate was repealed, undermining the legal basis for the Supreme Court’s prior decision. On December 14, 2018, Texas federal district court judge Reed O’Connor issued a ruling declaring that the ACA in its entirety is unconstitutional. While this decision has no immediate legal effect on the ACA and its provisions, this lawsuit is ongoing and the outcome through the appeals process may have a significant impact on our business.</w:t>
      </w:r>
    </w:p>
    <w:p>
      <w:pPr>
        <w:spacing w:after="0" w:line="193" w:lineRule="exact"/>
        <w:rPr>
          <w:sz w:val="20"/>
          <w:szCs w:val="20"/>
          <w:color w:val="auto"/>
        </w:rPr>
      </w:pPr>
    </w:p>
    <w:p>
      <w:pPr>
        <w:ind w:right="220" w:firstLine="486"/>
        <w:spacing w:after="0" w:line="245" w:lineRule="auto"/>
        <w:rPr>
          <w:sz w:val="20"/>
          <w:szCs w:val="20"/>
          <w:color w:val="auto"/>
        </w:rPr>
      </w:pPr>
      <w:r>
        <w:rPr>
          <w:rFonts w:ascii="Times New Roman" w:cs="Times New Roman" w:eastAsia="Times New Roman" w:hAnsi="Times New Roman"/>
          <w:sz w:val="18"/>
          <w:szCs w:val="18"/>
          <w:color w:val="auto"/>
        </w:rPr>
        <w:t>The Bipartisan Budget Act of 2018, the “BBA,” which set government spending levels for Fiscal Years 2018 and 2019, revised certain provisions of the ACA. Specifically, beginning in 2019, the BBA increased manufacturer point-of-sale discounts off negotiated prices of applicable brand drugs in the Medicare Part D coverage gap from 50% to 70%, ultimately increasing the liability for brand drug manufacturers. Further, this mandatory manufacturer discount applied to biosimilars beginning in 2019.</w:t>
      </w:r>
    </w:p>
    <w:p>
      <w:pPr>
        <w:spacing w:after="0" w:line="181" w:lineRule="exact"/>
        <w:rPr>
          <w:sz w:val="20"/>
          <w:szCs w:val="20"/>
          <w:color w:val="auto"/>
        </w:rPr>
      </w:pPr>
    </w:p>
    <w:p>
      <w:pPr>
        <w:ind w:right="220" w:firstLine="486"/>
        <w:spacing w:after="0" w:line="239" w:lineRule="auto"/>
        <w:rPr>
          <w:sz w:val="20"/>
          <w:szCs w:val="20"/>
          <w:color w:val="auto"/>
        </w:rPr>
      </w:pPr>
      <w:r>
        <w:rPr>
          <w:rFonts w:ascii="Times New Roman" w:cs="Times New Roman" w:eastAsia="Times New Roman" w:hAnsi="Times New Roman"/>
          <w:sz w:val="18"/>
          <w:szCs w:val="18"/>
          <w:color w:val="auto"/>
        </w:rPr>
        <w:t>The 116th Congress has explored legislation intended to address the cost of prescription drugs. Notably, the major committees of jurisdiction in the Senate (Finance Committee, Health, Education, Labor and Pensions Committee, and Judiciary Committee), have marked up legislation intended to address various elements of the prescription drug supply chain. Proposals include a significant overhaul of the Medicare Part D benefit design, addressing patent “loopholes”, and efforts to cap the increase in drug prices. The House Energy and Commerce Committee approved drug-related legislation intended to increase transparency of drug prices and also curb anti-competitive behavior in the pharmaceutical supply chain. In addition, the House Ways &amp; Means Committee approved legislation intended to improve drug price transparency, including for drug manufacturers to justify certain price increases. While we cannot predict what proposals may ultimately become law, the elements under consideration could significantly change the landscape in which the pharmaceutical market operates.</w:t>
      </w:r>
    </w:p>
    <w:p>
      <w:pPr>
        <w:spacing w:after="0" w:line="18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Trump Administration has also taken several regulatory steps to redirect ACA implementation. The Department of Health and Human Services (“HHS”) finalized Medicare fee-for-service hospital payment reductions for Part B drugs acquired through the 340B Drug Pricing Program, which has been overturned by the courts. HHS also has signaled its intent to continue to pursue reimbursement policy changes for Medicare Part B drugs as a whole that likely would reduce hospital and physician reimbursement for these drugs.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46" w:name="page47"/>
    <w:bookmarkEnd w:id="46"/>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HHS has made numerous other proposals aimed at lowering drug prices for Medicare beneficiaries and increasing price transparency. These proposals include giving Medicare Advantage and Part D plans flexibility in the availability of drugs in “protected classes,” more transparency in the cost of drugs, including the beneficiary’s financial liability, and less costly alternatives and permitting the use of step therapy as a means of prior authorization. HHS has also proposed requiring pharmaceutical manufacturers disclose the prices of certain drugs in direct-to-consumer television advertisements. The proposal related to protected classes has been withdrawn and the disclosure requirements have been rejected by the courts. In addition, a proposed rule that would have passed drug rebates to consumers at the point of sale also has been withdrawn. However, it appears the Trump Administration will continue to explore its authority to make regulatory changes to the pharmaceutical industry. For example, the Trump Administration released an Advance Notice of Proposed Rulemaking related to an international price index model. It is unclear what eventually will be proposed, but the President has alluded to the concept of “most favored nation” pricing with regards to U.S. drug purchasing. In addition, HHS, in conjunction with the FDA, announced that it will be exploring a reimportation pathway in certain instances and for certain drugs.</w:t>
      </w:r>
    </w:p>
    <w:p>
      <w:pPr>
        <w:spacing w:after="0" w:line="186"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HHS also has taken steps to increase the availability of cheaper health insurance options, typically with fewer benefits and less generous. The Administration has also signaled its intention to address drug prices and to increase competition, including by increasing the availability of biosimilars and generic drugs. As these are regulatory actions, a new administration could undo or modify these efforts.</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80" w:lineRule="exact"/>
        <w:rPr>
          <w:sz w:val="20"/>
          <w:szCs w:val="20"/>
          <w:color w:val="auto"/>
        </w:rPr>
      </w:pPr>
    </w:p>
    <w:p>
      <w:pPr>
        <w:ind w:left="920" w:hanging="331"/>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59" w:lineRule="exact"/>
        <w:rPr>
          <w:sz w:val="20"/>
          <w:szCs w:val="20"/>
          <w:color w:val="auto"/>
        </w:rPr>
      </w:pPr>
    </w:p>
    <w:p>
      <w:pPr>
        <w:ind w:right="20" w:firstLine="486"/>
        <w:spacing w:after="0" w:line="236" w:lineRule="auto"/>
        <w:rPr>
          <w:sz w:val="20"/>
          <w:szCs w:val="20"/>
          <w:color w:val="auto"/>
        </w:rPr>
      </w:pPr>
      <w:r>
        <w:rPr>
          <w:rFonts w:ascii="Times New Roman" w:cs="Times New Roman" w:eastAsia="Times New Roman" w:hAnsi="Times New Roman"/>
          <w:sz w:val="18"/>
          <w:szCs w:val="18"/>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16"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18"/>
          <w:szCs w:val="18"/>
          <w:color w:val="auto"/>
        </w:rPr>
        <w:t>In addition, on October 12, 2017, the President released an Executive Order intended to promote health care choices and competition and on June 24, 2019, the President released an Executive Order intended to improve price transparency and quality transparency. These may push HHS, FDA, and other relevant agencies to engage in rulemaking that may impact the pharmaceutical industry.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47" w:name="page48"/>
    <w:bookmarkEnd w:id="47"/>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advance of FDA approval of our first product, we will need to make significant investments to build a commercial organization and infrastructure. We will need to hire a sales force and commercial support personnel, in order to build processes and systems to support a commercial launch prior to knowing whether our product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8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 candidates on our own include:</w:t>
      </w:r>
    </w:p>
    <w:p>
      <w:pPr>
        <w:spacing w:after="0" w:line="225" w:lineRule="exact"/>
        <w:rPr>
          <w:sz w:val="20"/>
          <w:szCs w:val="20"/>
          <w:color w:val="auto"/>
        </w:rPr>
      </w:pPr>
    </w:p>
    <w:p>
      <w:pPr>
        <w:ind w:left="920" w:hanging="331"/>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9" w:lineRule="exact"/>
        <w:rPr>
          <w:rFonts w:ascii="Times New Roman" w:cs="Times New Roman" w:eastAsia="Times New Roman" w:hAnsi="Times New Roman"/>
          <w:sz w:val="18"/>
          <w:szCs w:val="18"/>
          <w:color w:val="auto"/>
        </w:rPr>
      </w:pPr>
    </w:p>
    <w:p>
      <w:pPr>
        <w:ind w:left="920" w:right="280" w:hanging="331"/>
        <w:spacing w:after="0" w:line="250"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ind w:left="920" w:hanging="331"/>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48" w:name="page49"/>
    <w:bookmarkEnd w:id="48"/>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0" w:lineRule="exact"/>
        <w:rPr>
          <w:sz w:val="20"/>
          <w:szCs w:val="20"/>
          <w:color w:val="auto"/>
        </w:rPr>
      </w:pPr>
    </w:p>
    <w:p>
      <w:pPr>
        <w:spacing w:after="0" w:line="21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89" w:lineRule="exact"/>
        <w:rPr>
          <w:sz w:val="20"/>
          <w:szCs w:val="20"/>
          <w:color w:val="auto"/>
        </w:rPr>
      </w:pPr>
    </w:p>
    <w:p>
      <w:pPr>
        <w:ind w:left="920" w:hanging="331"/>
        <w:spacing w:after="0" w:line="254"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ind w:left="920" w:right="20" w:hanging="331"/>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Times New Roman" w:cs="Times New Roman" w:eastAsia="Times New Roman" w:hAnsi="Times New Roman"/>
          <w:sz w:val="18"/>
          <w:szCs w:val="18"/>
          <w:color w:val="auto"/>
        </w:rPr>
      </w:pPr>
    </w:p>
    <w:p>
      <w:pPr>
        <w:ind w:left="920" w:right="20" w:hanging="331"/>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Times New Roman" w:cs="Times New Roman" w:eastAsia="Times New Roman" w:hAnsi="Times New Roman"/>
          <w:sz w:val="18"/>
          <w:szCs w:val="18"/>
          <w:color w:val="auto"/>
        </w:rPr>
      </w:pPr>
    </w:p>
    <w:p>
      <w:pPr>
        <w:ind w:left="920" w:right="200" w:hanging="331"/>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 w:lineRule="exact"/>
        <w:rPr>
          <w:rFonts w:ascii="Times New Roman" w:cs="Times New Roman" w:eastAsia="Times New Roman" w:hAnsi="Times New Roman"/>
          <w:sz w:val="18"/>
          <w:szCs w:val="18"/>
          <w:color w:val="auto"/>
        </w:rPr>
      </w:pPr>
    </w:p>
    <w:p>
      <w:pPr>
        <w:ind w:left="920" w:right="140" w:hanging="331"/>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Times New Roman" w:cs="Times New Roman" w:eastAsia="Times New Roman" w:hAnsi="Times New Roman"/>
          <w:sz w:val="18"/>
          <w:szCs w:val="18"/>
          <w:color w:val="auto"/>
        </w:rPr>
      </w:pPr>
    </w:p>
    <w:p>
      <w:pPr>
        <w:ind w:left="920" w:right="500" w:hanging="331"/>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ind w:left="920" w:hanging="331"/>
        <w:spacing w:after="0" w:line="252"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9" w:name="page50"/>
    <w:bookmarkEnd w:id="49"/>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 ults of operations.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85" w:lineRule="exact"/>
        <w:rPr>
          <w:sz w:val="20"/>
          <w:szCs w:val="20"/>
          <w:color w:val="auto"/>
        </w:rPr>
      </w:pPr>
    </w:p>
    <w:p>
      <w:pPr>
        <w:ind w:right="4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requirements regarding the distribution of samples to physicians and recordkeeping, and requirements regarding company presentations and interactions with healthcare professionals. Even if we obtain regulatory approval of a product, the approval may be subject to limitations on the indicated uses for which the product may be marketed, be subject to conditions of approval, or contain requirements for costly post-marketing testing and surveillance to monitor the safety and/or efficacy of the product. We also may be subject to state laws and registration requirements covering the distribution of drug products. Later discovery of previously unknown problems with products, manufacturers or manufacturing processes, or failure to comply with regulatory requirements, may result in actions such as:</w:t>
      </w:r>
    </w:p>
    <w:p>
      <w:pPr>
        <w:spacing w:after="0" w:line="186" w:lineRule="exact"/>
        <w:rPr>
          <w:sz w:val="20"/>
          <w:szCs w:val="20"/>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or regulatory approvals;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07"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181717"/>
        </w:rPr>
        <w:t>We will need to obtain FDA approval of any proposed product brand names, and any failure or delay associated with such approval may adversely impact our business.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181717"/>
        </w:rPr>
        <w:t xml:space="preserve">A pharmaceutical product candidate cannot be marketed in the United States or other countries until we have completed a rigorous and extensive regulatory review processes, including approval of a brand name. Any brand names we intend to use for </w:t>
      </w:r>
      <w:r>
        <w:rPr>
          <w:rFonts w:ascii="Times New Roman" w:cs="Times New Roman" w:eastAsia="Times New Roman" w:hAnsi="Times New Roman"/>
          <w:sz w:val="18"/>
          <w:szCs w:val="18"/>
          <w:color w:val="000000"/>
        </w:rPr>
        <w:t>ublituximab, umbralisib</w:t>
      </w:r>
      <w:r>
        <w:rPr>
          <w:rFonts w:ascii="Times New Roman" w:cs="Times New Roman" w:eastAsia="Times New Roman" w:hAnsi="Times New Roman"/>
          <w:sz w:val="18"/>
          <w:szCs w:val="18"/>
          <w:color w:val="181717"/>
        </w:rPr>
        <w:t xml:space="preserve"> or any future product candidates will require approval from the FDA regardless of whether we have secured a formal trademark registration from the United States Patent and Trademark Office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w:t>
      </w:r>
      <w:r>
        <w:rPr>
          <w:rFonts w:ascii="Times New Roman" w:cs="Times New Roman" w:eastAsia="Times New Roman" w:hAnsi="Times New Roman"/>
          <w:sz w:val="18"/>
          <w:szCs w:val="18"/>
          <w:color w:val="000000"/>
        </w:rPr>
        <w:t>required</w:t>
      </w:r>
      <w:r>
        <w:rPr>
          <w:rFonts w:ascii="Times New Roman" w:cs="Times New Roman" w:eastAsia="Times New Roman" w:hAnsi="Times New Roman"/>
          <w:sz w:val="18"/>
          <w:szCs w:val="18"/>
          <w:color w:val="181717"/>
        </w:rPr>
        <w:t xml:space="preserve"> to adopt an alternative brand name for </w:t>
      </w:r>
      <w:r>
        <w:rPr>
          <w:rFonts w:ascii="Times New Roman" w:cs="Times New Roman" w:eastAsia="Times New Roman" w:hAnsi="Times New Roman"/>
          <w:sz w:val="18"/>
          <w:szCs w:val="18"/>
          <w:color w:val="000000"/>
        </w:rPr>
        <w:t>ublituximab, umbralisib</w:t>
      </w:r>
      <w:r>
        <w:rPr>
          <w:rFonts w:ascii="Times New Roman" w:cs="Times New Roman" w:eastAsia="Times New Roman" w:hAnsi="Times New Roman"/>
          <w:sz w:val="18"/>
          <w:szCs w:val="18"/>
          <w:color w:val="181717"/>
        </w:rPr>
        <w:t xml:space="preserve">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w:t>
      </w:r>
      <w:r>
        <w:rPr>
          <w:rFonts w:ascii="Times New Roman" w:cs="Times New Roman" w:eastAsia="Times New Roman" w:hAnsi="Times New Roman"/>
          <w:sz w:val="18"/>
          <w:szCs w:val="18"/>
          <w:color w:val="000000"/>
        </w:rPr>
        <w:t>ublituximab, umbralisib,</w:t>
      </w:r>
      <w:r>
        <w:rPr>
          <w:rFonts w:ascii="Times New Roman" w:cs="Times New Roman" w:eastAsia="Times New Roman" w:hAnsi="Times New Roman"/>
          <w:sz w:val="18"/>
          <w:szCs w:val="18"/>
          <w:color w:val="181717"/>
        </w:rPr>
        <w:t xml:space="preserve"> or any future product candidates. We do not currently have an agreed upon brand name for umbralisib, and no assurance can be given that we will obtain one in a timely fashion. Any delay in obtaining a brand name for umbralisib or any other of our drug candidates could delay approval and/or commercialization and have a negative impact on our launch and future prospects for umbralisib or any other such drug candidates.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quality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order to submit and maintain an Investigational New Drug application (“IND”), BLA, or NDA to the FDA, it is necessary to submit all information on the clinical, non-clinical, chemistry, manufacturing, controls and quality aspects of the product candidate. We rely on our third party contractors and our licensing partners to provide portions of this data. If we are unable to obtain this data, or the data is not sufficient to meet the regulatory requirements, we may experience significant delays in our development programs. While we maintain an active IND for ublituximab and umbralisib enabling the conduct of studies in the FDA’s Division of Hematology and Oncology, and an active IND for ublituximab under the FDA’s Division of Neurology, there can be no assurance that the FDA will allow us to continue the development of our product candidates in those divisions where we maintain an active IND.</w:t>
      </w:r>
    </w:p>
    <w:p>
      <w:pPr>
        <w:spacing w:after="0" w:line="18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qualified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190"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are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51" w:name="page52"/>
    <w:bookmarkEnd w:id="51"/>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4" w:lineRule="exact"/>
        <w:rPr>
          <w:sz w:val="20"/>
          <w:szCs w:val="20"/>
          <w:color w:val="auto"/>
        </w:rPr>
      </w:pPr>
    </w:p>
    <w:p>
      <w:pPr>
        <w:ind w:left="920" w:hanging="331"/>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0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8"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8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9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do not have any long-term supply agreements with all our contract manufacturers, and in those instances where we do not, we purchase our required drug supply, including the drug product and drug substance on a purchase order basis. In addition, we may be unable to establish or maintain any agreements with third-party manufacturers or to do so on acceptable terms.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2" w:name="page53"/>
    <w:bookmarkEnd w:id="52"/>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agreements with third-party manufacturers, reliance on third-party manufacturers entails additional risks, including:</w:t>
      </w:r>
    </w:p>
    <w:p>
      <w:pPr>
        <w:spacing w:after="0" w:line="162" w:lineRule="exact"/>
        <w:rPr>
          <w:sz w:val="20"/>
          <w:szCs w:val="20"/>
          <w:color w:val="auto"/>
        </w:rPr>
      </w:pPr>
    </w:p>
    <w:p>
      <w:pPr>
        <w:ind w:left="920" w:hanging="331"/>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Moreover, our current long-term supply agreements and, we would expect all future long-term supply agreements would contain certain minimum purchases in what are commonly referred to as “take or pay”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8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76"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76"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181717"/>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fill/finish suppliers, and we may be unable to enter into such an agreement or do so on commercially reasonable terms, which could have a material adverse impact upon our business.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 (“API”), drug product, regulatory starting materials and intermediates for drug substance and other materials used in our drug candidates are our sole source of supply, and the loss of any of these suppliers could significantly harm our business.</w:t>
      </w:r>
    </w:p>
    <w:p>
      <w:pPr>
        <w:spacing w:after="0" w:line="17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API, drug product and drug substance used in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If any of our suppliers ceases its operations for any reason or is unable or unwilling to supply API, drug product, drug substance and other materials in sufficient quantities or on the timelines necessary to meet our needs, it could significantly and adversely affect our business, the supply of our drug candidates and our financial condition.</w:t>
      </w:r>
    </w:p>
    <w:p>
      <w:pPr>
        <w:spacing w:after="0" w:line="18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most cases, our manufacturing partners are single source suppliers. It is expected that our manufacturing partners will be sole source suppliers from single site locations for the foreseeable future. Various raw materials, components, and testing services required for our products may also be single sourced.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of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For all of our drug candidates, we plan to identify and qualify additional manufacturers and other suppliers to provide such API, drug product and drug substance prior to or following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3" w:name="page54"/>
    <w:bookmarkEnd w:id="53"/>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product and drug substance used in our drug candidates, if required, may not be accomplished quickly or at all.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59"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181717"/>
        </w:rPr>
        <w:t xml:space="preserve">Because we license our intellectual property from third parties and we expect to continue to in-license additional intellectual property rights, if there is any dispute between us and our licensor regarding our rights under a </w:t>
      </w:r>
      <w:r>
        <w:rPr>
          <w:rFonts w:ascii="Times New Roman" w:cs="Times New Roman" w:eastAsia="Times New Roman" w:hAnsi="Times New Roman"/>
          <w:sz w:val="18"/>
          <w:szCs w:val="18"/>
          <w:color w:val="000000"/>
        </w:rPr>
        <w:t>license</w:t>
      </w:r>
      <w:r>
        <w:rPr>
          <w:rFonts w:ascii="Times New Roman" w:cs="Times New Roman" w:eastAsia="Times New Roman" w:hAnsi="Times New Roman"/>
          <w:sz w:val="18"/>
          <w:szCs w:val="18"/>
          <w:color w:val="181717"/>
        </w:rPr>
        <w:t xml:space="preserve"> agreement, our ability to develop and commercialize our product candidates may be adversely affected. Disputes may arise with the third parties from whom we license our intellectual property rights from for a variety of reasons, including:</w:t>
      </w:r>
    </w:p>
    <w:p>
      <w:pPr>
        <w:spacing w:after="0" w:line="176" w:lineRule="exact"/>
        <w:rPr>
          <w:sz w:val="20"/>
          <w:szCs w:val="20"/>
          <w:color w:val="auto"/>
        </w:rPr>
      </w:pPr>
    </w:p>
    <w:p>
      <w:pPr>
        <w:ind w:left="920" w:hanging="331"/>
        <w:spacing w:after="0"/>
        <w:tabs>
          <w:tab w:leader="none" w:pos="920" w:val="left"/>
        </w:tabs>
        <w:numPr>
          <w:ilvl w:val="0"/>
          <w:numId w:val="33"/>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scope of rights granted under the license agreement and other interpretation-related issues;</w:t>
      </w:r>
    </w:p>
    <w:p>
      <w:pPr>
        <w:spacing w:after="0" w:line="27" w:lineRule="exact"/>
        <w:rPr>
          <w:rFonts w:ascii="Times New Roman" w:cs="Times New Roman" w:eastAsia="Times New Roman" w:hAnsi="Times New Roman"/>
          <w:sz w:val="18"/>
          <w:szCs w:val="18"/>
          <w:color w:val="181717"/>
        </w:rPr>
      </w:pPr>
    </w:p>
    <w:p>
      <w:pPr>
        <w:ind w:left="920" w:hanging="331"/>
        <w:spacing w:after="0"/>
        <w:tabs>
          <w:tab w:leader="none" w:pos="920" w:val="left"/>
        </w:tabs>
        <w:numPr>
          <w:ilvl w:val="0"/>
          <w:numId w:val="33"/>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extent to which our technology and processes infringe on intellectual property of the licensor that is not subject to the license agreement;</w:t>
      </w:r>
    </w:p>
    <w:p>
      <w:pPr>
        <w:spacing w:after="0" w:line="9" w:lineRule="exact"/>
        <w:rPr>
          <w:rFonts w:ascii="Times New Roman" w:cs="Times New Roman" w:eastAsia="Times New Roman" w:hAnsi="Times New Roman"/>
          <w:sz w:val="18"/>
          <w:szCs w:val="18"/>
          <w:color w:val="181717"/>
        </w:rPr>
      </w:pPr>
    </w:p>
    <w:p>
      <w:pPr>
        <w:ind w:left="920" w:hanging="331"/>
        <w:spacing w:after="0"/>
        <w:tabs>
          <w:tab w:leader="none" w:pos="920" w:val="left"/>
        </w:tabs>
        <w:numPr>
          <w:ilvl w:val="0"/>
          <w:numId w:val="33"/>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sublicensing of patent and other rights under our collaborative development relationships and obligations associated with sublicensing;</w:t>
      </w:r>
    </w:p>
    <w:p>
      <w:pPr>
        <w:spacing w:after="0" w:line="9" w:lineRule="exact"/>
        <w:rPr>
          <w:rFonts w:ascii="Times New Roman" w:cs="Times New Roman" w:eastAsia="Times New Roman" w:hAnsi="Times New Roman"/>
          <w:sz w:val="18"/>
          <w:szCs w:val="18"/>
          <w:color w:val="181717"/>
        </w:rPr>
      </w:pPr>
    </w:p>
    <w:p>
      <w:pPr>
        <w:ind w:left="920" w:hanging="331"/>
        <w:spacing w:after="0"/>
        <w:tabs>
          <w:tab w:leader="none" w:pos="920" w:val="left"/>
        </w:tabs>
        <w:numPr>
          <w:ilvl w:val="0"/>
          <w:numId w:val="33"/>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our diligence obligations under the license agreement and what activities satisfy those diligence obligations;</w:t>
      </w:r>
    </w:p>
    <w:p>
      <w:pPr>
        <w:spacing w:after="0" w:line="9" w:lineRule="exact"/>
        <w:rPr>
          <w:rFonts w:ascii="Times New Roman" w:cs="Times New Roman" w:eastAsia="Times New Roman" w:hAnsi="Times New Roman"/>
          <w:sz w:val="18"/>
          <w:szCs w:val="18"/>
          <w:color w:val="181717"/>
        </w:rPr>
      </w:pPr>
    </w:p>
    <w:p>
      <w:pPr>
        <w:ind w:left="920" w:right="560" w:hanging="331"/>
        <w:spacing w:after="0" w:line="250" w:lineRule="auto"/>
        <w:tabs>
          <w:tab w:leader="none" w:pos="920" w:val="left"/>
        </w:tabs>
        <w:numPr>
          <w:ilvl w:val="0"/>
          <w:numId w:val="33"/>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ownership of inventions and know-how resulting from the joint creation or use of intellectual property by our licensors and us and our partners; and</w:t>
      </w:r>
    </w:p>
    <w:p>
      <w:pPr>
        <w:ind w:left="920" w:hanging="331"/>
        <w:spacing w:after="0"/>
        <w:tabs>
          <w:tab w:leader="none" w:pos="920" w:val="left"/>
        </w:tabs>
        <w:numPr>
          <w:ilvl w:val="0"/>
          <w:numId w:val="33"/>
        </w:numPr>
        <w:rPr>
          <w:rFonts w:ascii="Times New Roman" w:cs="Times New Roman" w:eastAsia="Times New Roman" w:hAnsi="Times New Roman"/>
          <w:sz w:val="18"/>
          <w:szCs w:val="18"/>
          <w:color w:val="181717"/>
        </w:rPr>
      </w:pPr>
      <w:r>
        <w:rPr>
          <w:rFonts w:ascii="Times New Roman" w:cs="Times New Roman" w:eastAsia="Times New Roman" w:hAnsi="Times New Roman"/>
          <w:sz w:val="18"/>
          <w:szCs w:val="18"/>
          <w:color w:val="181717"/>
        </w:rPr>
        <w:t>the priority of invention of patented technology.</w:t>
      </w:r>
    </w:p>
    <w:p>
      <w:pPr>
        <w:spacing w:after="0" w:line="20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181717"/>
        </w:rPr>
        <w:t xml:space="preserve">In addition, the agreements under which we currently license intellectual property or technology from third parties are </w:t>
      </w:r>
      <w:r>
        <w:rPr>
          <w:rFonts w:ascii="Times New Roman" w:cs="Times New Roman" w:eastAsia="Times New Roman" w:hAnsi="Times New Roman"/>
          <w:sz w:val="18"/>
          <w:szCs w:val="18"/>
          <w:color w:val="000000"/>
        </w:rPr>
        <w:t>complex</w:t>
      </w:r>
      <w:r>
        <w:rPr>
          <w:rFonts w:ascii="Times New Roman" w:cs="Times New Roman" w:eastAsia="Times New Roman" w:hAnsi="Times New Roman"/>
          <w:sz w:val="18"/>
          <w:szCs w:val="18"/>
          <w:color w:val="181717"/>
        </w:rPr>
        <w:t>,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181717"/>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181717"/>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4" w:name="page55"/>
    <w:bookmarkEnd w:id="54"/>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89" w:lineRule="exact"/>
        <w:rPr>
          <w:sz w:val="20"/>
          <w:szCs w:val="20"/>
          <w:color w:val="auto"/>
        </w:rPr>
      </w:pPr>
    </w:p>
    <w:p>
      <w:pPr>
        <w:ind w:right="840" w:firstLine="486"/>
        <w:spacing w:after="0" w:line="266"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88"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w:t>
      </w:r>
    </w:p>
    <w:p>
      <w:pPr>
        <w:spacing w:after="0" w:line="18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88"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5" w:name="page56"/>
    <w:bookmarkEnd w:id="55"/>
    <w:p>
      <w:pPr>
        <w:ind w:firstLine="486"/>
        <w:spacing w:after="0" w:line="254" w:lineRule="auto"/>
        <w:rPr>
          <w:sz w:val="20"/>
          <w:szCs w:val="20"/>
          <w:color w:val="auto"/>
        </w:rPr>
      </w:pPr>
      <w:r>
        <w:rPr>
          <w:rFonts w:ascii="Times New Roman" w:cs="Times New Roman" w:eastAsia="Times New Roman" w:hAnsi="Times New Roman"/>
          <w:sz w:val="18"/>
          <w:szCs w:val="18"/>
          <w:color w:val="auto"/>
        </w:rPr>
        <w:t>Currently, the composition of matter patent for ublituximab and umbralisib are granted in both the United States and EU, among other countries. A method of use patent covering the combination of ublituximab and umbralisib has also been granted in the US, EU,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No patents to date have been issued for TG-1501, TG-1701 and TG-1801 or for our pre-clinical product candidates.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920" w:hanging="331"/>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partners file may not result in any patents being issued;</w:t>
      </w:r>
    </w:p>
    <w:p>
      <w:pPr>
        <w:spacing w:after="0" w:line="27" w:lineRule="exact"/>
        <w:rPr>
          <w:rFonts w:ascii="Times New Roman" w:cs="Times New Roman" w:eastAsia="Times New Roman" w:hAnsi="Times New Roman"/>
          <w:sz w:val="18"/>
          <w:szCs w:val="18"/>
          <w:color w:val="auto"/>
        </w:rPr>
      </w:pPr>
    </w:p>
    <w:p>
      <w:pPr>
        <w:ind w:left="920" w:right="100" w:hanging="331"/>
        <w:spacing w:after="0" w:line="250"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920" w:right="100" w:hanging="331"/>
        <w:spacing w:after="0" w:line="250"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 to invent” to a “first to file” system. If we do not win the filing race, we will not be entitled to inventive priority;</w:t>
      </w:r>
    </w:p>
    <w:p>
      <w:pPr>
        <w:ind w:left="920" w:right="100" w:hanging="331"/>
        <w:spacing w:after="0" w:line="250"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ind w:left="920" w:right="20" w:hanging="331"/>
        <w:spacing w:after="0" w:line="250"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Times New Roman" w:cs="Times New Roman" w:eastAsia="Times New Roman" w:hAnsi="Times New Roman"/>
          <w:sz w:val="18"/>
          <w:szCs w:val="18"/>
          <w:color w:val="auto"/>
        </w:rPr>
      </w:pPr>
    </w:p>
    <w:p>
      <w:pPr>
        <w:ind w:left="920" w:right="760" w:hanging="331"/>
        <w:spacing w:after="0" w:line="261" w:lineRule="auto"/>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patents are not issued that protect our product candidates, it could have a material adverse effect on our financial condition and results of operations.</w:t>
      </w:r>
    </w:p>
    <w:p>
      <w:pPr>
        <w:spacing w:after="0" w:line="22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9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56" w:name="page57"/>
    <w:bookmarkEnd w:id="56"/>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or our subsidiaries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8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5"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8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8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7" w:name="page58"/>
    <w:bookmarkEnd w:id="57"/>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drug candidates. For example, Roche, Biogen Idec, and Genentech hold patents for the use of anti-CD20 antibodies utilized in the treatment of CLL in the United States which are expected to expire in November of 2019. While these patents have been challenged, to the best of our knowledge, those matters were settled in a way that permitted additional anti-CD20 antibodies to be marketed for CLL. If those patents are still valid and enforced at the time we are intending to launch ublituximab, then we will need to either prevail in a litigation to challenge those patents or negotiate a settlement agreement with the patent holders.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a third 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product candidates that we may in-license or acquire could be subject to similar risks and uncertainties.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8" w:name="page59"/>
    <w:bookmarkEnd w:id="58"/>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 ain intellectual property from third parties, and such licenses may not be available or may not be available on commercially reasonable terms.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 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7"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7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4" w:lineRule="exact"/>
        <w:rPr>
          <w:sz w:val="20"/>
          <w:szCs w:val="20"/>
          <w:color w:val="auto"/>
        </w:rPr>
      </w:pPr>
    </w:p>
    <w:p>
      <w:pPr>
        <w:ind w:right="60" w:firstLine="486"/>
        <w:spacing w:after="0" w:line="273" w:lineRule="auto"/>
        <w:rPr>
          <w:sz w:val="20"/>
          <w:szCs w:val="20"/>
          <w:color w:val="auto"/>
        </w:rPr>
      </w:pPr>
      <w:r>
        <w:rPr>
          <w:rFonts w:ascii="Times New Roman" w:cs="Times New Roman" w:eastAsia="Times New Roman" w:hAnsi="Times New Roman"/>
          <w:sz w:val="17"/>
          <w:szCs w:val="17"/>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3"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Employee Matters, Managing Growth and Other Risks Related to Our Business</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0" w:name="page61"/>
    <w:bookmarkEnd w:id="60"/>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As of August 2, 2019, we had 109 full-time employees, and we expect to continue to increase our number of employees and expand the scope of our operations. Our management and medical and scientific personnel, systems and facilities currently in place may not be adequate to support our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9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1" w:name="page62"/>
    <w:bookmarkEnd w:id="61"/>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8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5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which could have a material adverse effect on our business.</w:t>
      </w:r>
    </w:p>
    <w:p>
      <w:pPr>
        <w:spacing w:after="0" w:line="15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We are exposed to the risk that our employees, principal investigators, CROs and consultants may engage in fraudulent conduct or other illegal activity. Misconduct by these parties could include </w:t>
      </w:r>
      <w:r>
        <w:rPr>
          <w:rFonts w:ascii="Times New Roman" w:cs="Times New Roman" w:eastAsia="Times New Roman" w:hAnsi="Times New Roman"/>
          <w:sz w:val="18"/>
          <w:szCs w:val="18"/>
          <w:color w:val="181717"/>
        </w:rPr>
        <w:t>intentional failures to comply with FDA regulations, provide accurate information to the FDA, comply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81717"/>
        </w:rPr>
        <w:t xml:space="preserve">manufacturing standards we have established, comply with federal and state healthcare fraud and abuse laws and regulations, report financial information or data accurately or disclose unauthorized activities to us. </w:t>
      </w:r>
      <w:r>
        <w:rPr>
          <w:rFonts w:ascii="Times New Roman" w:cs="Times New Roman" w:eastAsia="Times New Roman" w:hAnsi="Times New Roman"/>
          <w:sz w:val="18"/>
          <w:szCs w:val="18"/>
          <w:color w:val="000000"/>
        </w:rPr>
        <w:t>In particular, sales, marketing and business arrangements in the healthcare industry are subject to</w:t>
      </w:r>
      <w:r>
        <w:rPr>
          <w:rFonts w:ascii="Times New Roman" w:cs="Times New Roman" w:eastAsia="Times New Roman" w:hAnsi="Times New Roman"/>
          <w:sz w:val="18"/>
          <w:szCs w:val="18"/>
          <w:color w:val="181717"/>
        </w:rPr>
        <w:t xml:space="preserve"> </w:t>
      </w:r>
      <w:r>
        <w:rPr>
          <w:rFonts w:ascii="Times New Roman" w:cs="Times New Roman" w:eastAsia="Times New Roman" w:hAnsi="Times New Roman"/>
          <w:sz w:val="18"/>
          <w:szCs w:val="18"/>
          <w:color w:val="000000"/>
        </w:rPr>
        <w:t>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81717"/>
        </w:rPr>
        <w:t>Our tax position could be affected by recent changes in United States federal income tax laws.</w:t>
      </w:r>
    </w:p>
    <w:p>
      <w:pPr>
        <w:spacing w:after="0" w:line="229"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color w:val="181717"/>
        </w:rPr>
        <w:t>On December 22, 2017, legislation commonly referred to as the “Tax Cuts and Jobs Act” was signed into law and is generally effective after December 31, 2017. The Tax Cuts and Jobs Act makes significant changes to the United States federal income tax rules for taxation of individuals and business entities. Most of the changes applicable to individuals are temporary and apply only to taxable years beginning after December 31, 2017 and before January 1, 2026.</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181717"/>
        </w:rPr>
        <w:t>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United States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Publicly-Traded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 ability to sell stock at a profit.</w:t>
      </w:r>
    </w:p>
    <w:p>
      <w:pPr>
        <w:spacing w:after="0" w:line="22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62" w:lineRule="exact"/>
        <w:rPr>
          <w:sz w:val="20"/>
          <w:szCs w:val="20"/>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products under development by our competitors or us;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our competitors or us;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other crises and other external factors;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and</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w:t>
      </w:r>
    </w:p>
    <w:p>
      <w:pPr>
        <w:spacing w:after="0" w:line="207"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8" w:lineRule="exact"/>
        <w:rPr>
          <w:sz w:val="20"/>
          <w:szCs w:val="20"/>
          <w:color w:val="auto"/>
        </w:rPr>
      </w:pPr>
    </w:p>
    <w:p>
      <w:pPr>
        <w:ind w:left="920" w:hanging="331"/>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7"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9" w:lineRule="exact"/>
        <w:rPr>
          <w:rFonts w:ascii="Times New Roman" w:cs="Times New Roman" w:eastAsia="Times New Roman" w:hAnsi="Times New Roman"/>
          <w:sz w:val="18"/>
          <w:szCs w:val="18"/>
          <w:color w:val="auto"/>
        </w:rPr>
      </w:pPr>
    </w:p>
    <w:p>
      <w:pPr>
        <w:ind w:left="920" w:hanging="331"/>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64" w:name="page65"/>
    <w:bookmarkEnd w:id="64"/>
    <w:p>
      <w:pPr>
        <w:ind w:firstLine="486"/>
        <w:spacing w:after="0" w:line="255" w:lineRule="auto"/>
        <w:rPr>
          <w:sz w:val="20"/>
          <w:szCs w:val="20"/>
          <w:color w:val="auto"/>
        </w:rPr>
      </w:pPr>
      <w:r>
        <w:rPr>
          <w:rFonts w:ascii="Times New Roman" w:cs="Times New Roman" w:eastAsia="Times New Roman" w:hAnsi="Times New Roman"/>
          <w:sz w:val="18"/>
          <w:szCs w:val="18"/>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not be sustained, and investors may not be able to resell their shares at or above the price they paid.</w:t>
      </w:r>
    </w:p>
    <w:p>
      <w:pPr>
        <w:spacing w:after="0" w:line="24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181717"/>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181717"/>
        </w:rPr>
        <w:t>As a public company, we incur significant legal, accounting and other expenses under the Sarbanes-Oxley Act of 2002, as well as rules subsequently implemented by the Securities and Exchange Commission (“SEC”), and the rules of any stock exchange on which we may become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65" w:name="page66"/>
    <w:bookmarkEnd w:id="65"/>
    <w:p>
      <w:pPr>
        <w:ind w:right="20" w:firstLine="486"/>
        <w:spacing w:after="0" w:line="254" w:lineRule="auto"/>
        <w:rPr>
          <w:sz w:val="20"/>
          <w:szCs w:val="20"/>
          <w:color w:val="auto"/>
        </w:rPr>
      </w:pPr>
      <w:r>
        <w:rPr>
          <w:rFonts w:ascii="Times New Roman" w:cs="Times New Roman" w:eastAsia="Times New Roman" w:hAnsi="Times New Roman"/>
          <w:sz w:val="18"/>
          <w:szCs w:val="18"/>
          <w:color w:val="181717"/>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8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5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181717"/>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 See Part II. Item I. Legal Proceedings above for additional information.</w:t>
      </w:r>
    </w:p>
    <w:p>
      <w:pPr>
        <w:spacing w:after="0" w:line="18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2018, we had federal net operating loss carryforwards of approximately $550.6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p>
      <w:pPr>
        <w:spacing w:after="0" w:line="225" w:lineRule="exact"/>
        <w:rPr>
          <w:sz w:val="20"/>
          <w:szCs w:val="20"/>
          <w:color w:val="auto"/>
        </w:rPr>
      </w:pPr>
    </w:p>
    <w:p>
      <w:pPr>
        <w:ind w:left="580"/>
        <w:spacing w:after="0"/>
        <w:tabs>
          <w:tab w:leader="none" w:pos="1140" w:val="left"/>
        </w:tabs>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Amended and Restated Collaboration Agreement by and between TG Therapeutics, Inc. and Checkpoint Therapeutics, Inc., dated June 19,</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2019.*</w:t>
      </w:r>
    </w:p>
    <w:p>
      <w:pPr>
        <w:spacing w:after="0" w:line="207" w:lineRule="exact"/>
        <w:rPr>
          <w:sz w:val="20"/>
          <w:szCs w:val="20"/>
          <w:color w:val="auto"/>
        </w:rPr>
      </w:pPr>
    </w:p>
    <w:p>
      <w:pPr>
        <w:ind w:left="580"/>
        <w:spacing w:after="0"/>
        <w:tabs>
          <w:tab w:leader="none" w:pos="1140" w:val="left"/>
        </w:tabs>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Master Services Agreement between Samsung Biologics Co., Ltd. and TG Therapeutics, Inc., effective February 21, 2018.</w:t>
      </w:r>
    </w:p>
    <w:p>
      <w:pPr>
        <w:spacing w:after="0" w:line="225" w:lineRule="exact"/>
        <w:rPr>
          <w:sz w:val="20"/>
          <w:szCs w:val="20"/>
          <w:color w:val="auto"/>
        </w:rPr>
      </w:pPr>
    </w:p>
    <w:p>
      <w:pPr>
        <w:ind w:left="1160" w:hanging="566"/>
        <w:spacing w:after="0" w:line="282" w:lineRule="auto"/>
        <w:tabs>
          <w:tab w:leader="none" w:pos="1140" w:val="left"/>
        </w:tabs>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color w:val="0000EE"/>
        </w:rPr>
        <w:tab/>
        <w:t>Certification of Chief Executive Officer pursuant to Rule 13a-14(a)/15d-14(a), as adopted pursuant to Section 302 of the Sarbanes-Oxley Act of 2002, dated August 9, 2019.</w:t>
      </w:r>
    </w:p>
    <w:p>
      <w:pPr>
        <w:spacing w:after="0" w:line="162" w:lineRule="exact"/>
        <w:rPr>
          <w:sz w:val="20"/>
          <w:szCs w:val="20"/>
          <w:color w:val="auto"/>
        </w:rPr>
      </w:pPr>
    </w:p>
    <w:p>
      <w:pPr>
        <w:ind w:left="1160" w:right="60" w:hanging="566"/>
        <w:spacing w:after="0" w:line="282" w:lineRule="auto"/>
        <w:tabs>
          <w:tab w:leader="none" w:pos="1140" w:val="left"/>
        </w:tabs>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color w:val="0000EE"/>
        </w:rPr>
        <w:tab/>
        <w:t>Certification of Chief Financial Officer pursuant to Rule 13a-14(a)/15d-14(a), as adopted pursuant to Section 302 of the Sarbanes-Oxley Act of 2002, dated August 9, 2019.</w:t>
      </w:r>
    </w:p>
    <w:p>
      <w:pPr>
        <w:spacing w:after="0" w:line="162" w:lineRule="exact"/>
        <w:rPr>
          <w:sz w:val="20"/>
          <w:szCs w:val="20"/>
          <w:color w:val="auto"/>
        </w:rPr>
      </w:pPr>
    </w:p>
    <w:p>
      <w:pPr>
        <w:ind w:left="1160" w:hanging="566"/>
        <w:spacing w:after="0" w:line="282" w:lineRule="auto"/>
        <w:tabs>
          <w:tab w:leader="none" w:pos="1140" w:val="left"/>
        </w:tabs>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color w:val="0000EE"/>
        </w:rPr>
        <w:tab/>
        <w:t>Certification of Chief Executive Officer pursuant to 18 U.S.C. §1350, as adopted pursuant to Section 906 of the Sarbanes-Oxley Act of 2002, dated August 9, 2019.</w:t>
      </w:r>
    </w:p>
    <w:p>
      <w:pPr>
        <w:spacing w:after="0" w:line="162" w:lineRule="exact"/>
        <w:rPr>
          <w:sz w:val="20"/>
          <w:szCs w:val="20"/>
          <w:color w:val="auto"/>
        </w:rPr>
      </w:pPr>
    </w:p>
    <w:p>
      <w:pPr>
        <w:ind w:left="1160" w:right="40" w:hanging="566"/>
        <w:spacing w:after="0" w:line="282" w:lineRule="auto"/>
        <w:tabs>
          <w:tab w:leader="none" w:pos="1140" w:val="left"/>
        </w:tabs>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color w:val="0000EE"/>
        </w:rPr>
        <w:tab/>
        <w:t>Certification of Chief Financial Officer pursuant to 18 U.S.C. §1350, as adopted pursuant to Section 906 of the Sarbanes-Oxley Act of 2002, dated August 9, 2019.</w:t>
      </w:r>
    </w:p>
    <w:p>
      <w:pPr>
        <w:spacing w:after="0" w:line="162" w:lineRule="exact"/>
        <w:rPr>
          <w:sz w:val="20"/>
          <w:szCs w:val="20"/>
          <w:color w:val="auto"/>
        </w:rPr>
      </w:pPr>
    </w:p>
    <w:p>
      <w:pPr>
        <w:ind w:left="1160" w:right="20" w:hanging="571"/>
        <w:spacing w:after="0" w:line="261" w:lineRule="auto"/>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June 30, 2019, formatted in Inline Extensible Business Reporting Language (iXBRL): (i) the Condensed Consolidated Balance Sheets, (ii) the Condensed Consolidated Statements of Operations, (iii) the Condensed Consolidated Statements of Stockholders’ Equity, (iv) the Condensed Consolidated Statements of Cash Flows, and (v) Notes to the Condensed Consolidated Financial Statements (filed herewith).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portions of this exhibit have been omitted pursuant to Item 601(b)(10) of Regulation S-K.</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68"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2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8"/>
          <w:szCs w:val="18"/>
          <w:color w:val="auto"/>
        </w:rPr>
        <w:t>By: /s/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Sean A. Power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468" w:right="4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identified information has been excluded from the document because it is both (i) not material and (ii) would be competitively harmful if publicly disclosed.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COLLABORATION AGREEMENT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COLLABORATION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June 19, 2019 by and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Checkpoint Therapeutics, Inc., a Delaware corporation organized having its place of business at 2 Gansevoort Street, New York, NY 10014 (“</w:t>
      </w:r>
      <w:r>
        <w:rPr>
          <w:rFonts w:ascii="Times New Roman" w:cs="Times New Roman" w:eastAsia="Times New Roman" w:hAnsi="Times New Roman"/>
          <w:sz w:val="18"/>
          <w:szCs w:val="18"/>
          <w:b w:val="1"/>
          <w:bCs w:val="1"/>
          <w:color w:val="auto"/>
        </w:rPr>
        <w:t>CTI</w:t>
      </w:r>
      <w:r>
        <w:rPr>
          <w:rFonts w:ascii="Times New Roman" w:cs="Times New Roman" w:eastAsia="Times New Roman" w:hAnsi="Times New Roman"/>
          <w:sz w:val="18"/>
          <w:szCs w:val="18"/>
          <w:color w:val="auto"/>
        </w:rPr>
        <w:t>”), and TG Therapeutics, Inc. located at 2 Gansevoort Street, New York, NY 10014 (“</w:t>
      </w:r>
      <w:r>
        <w:rPr>
          <w:rFonts w:ascii="Times New Roman" w:cs="Times New Roman" w:eastAsia="Times New Roman" w:hAnsi="Times New Roman"/>
          <w:sz w:val="18"/>
          <w:szCs w:val="18"/>
          <w:b w:val="1"/>
          <w:bCs w:val="1"/>
          <w:color w:val="auto"/>
        </w:rPr>
        <w:t>TGTX</w:t>
      </w:r>
      <w:r>
        <w:rPr>
          <w:rFonts w:ascii="Times New Roman" w:cs="Times New Roman" w:eastAsia="Times New Roman" w:hAnsi="Times New Roman"/>
          <w:sz w:val="18"/>
          <w:szCs w:val="18"/>
          <w:color w:val="auto"/>
        </w:rPr>
        <w:t>”). CTI, on the one hand, and TGTX, on the other hand, shall each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CTI is party to that certain license agreement (the “License Agreement”) dated March 3, 2015 with Dana Farber Cancer Institute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(“DFCI”);</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DFCI is the owner of certain rights in the DFCI Technology;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DFCI has licensed rights to the DFCI Technology to CTI;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CTI is permitted to extend the rights granted to it under the DFCI Technology to Affiliates (as defined in the License Agreement); and</w:t>
      </w:r>
    </w:p>
    <w:p>
      <w:pPr>
        <w:spacing w:after="0" w:line="15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CTI has developed and licensed the rights to Additional PD-L1 Intellectual Property, including rights under CTI Patents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and that certain collaboration agreement (“Collaboration Agreement”) dated January 22, 2019 with Adimab LLC (“Adimab”), a true and correct copy of which is attached hereto as Exhibit A; and</w:t>
      </w:r>
    </w:p>
    <w:p>
      <w:pPr>
        <w:spacing w:after="0" w:line="11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TGTX, an Affiliate of CTI, is engaged in the research, development, manufacturing and commercialization of pharmaceutical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TGTX is interested in developing and commercializing products based on the DFCI Patents and Additional PD-L1 Intellectual Property (together, the “Licensed Technology”); and</w:t>
      </w:r>
    </w:p>
    <w:p>
      <w:pPr>
        <w:spacing w:after="0" w:line="11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signed a Collaboration Agreement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on March 3, 2015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Parties wish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amend such Original Agreement as provided herein; and</w:t>
      </w:r>
    </w:p>
    <w:p>
      <w:pPr>
        <w:spacing w:after="0" w:line="10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CTI desires to continue to collaborate with TGTX and extend to TGTX the rights granted to it under the Licensed Technology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the public by disseminating the results of its research via the commercial development, manufacture, distribution and use of Licensed Products (as defined below); and</w:t>
      </w:r>
    </w:p>
    <w:p>
      <w:pPr>
        <w:spacing w:after="0" w:line="11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TGTX desires to continue to collaborate with CTI and to exercise the rights granted to CTI, on an exclusive basis, so that it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exclusively use, develop and commercialize the Licensed Technology in and for a defined field of use; and</w:t>
      </w:r>
    </w:p>
    <w:p>
      <w:pPr>
        <w:spacing w:after="0" w:line="10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the event TGTX is no longer an Affiliate of CTI, TGTX and CTI intend for the rights extended to TGTX hereunder to continue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 (as defined in the License Agreement) as permitted by Section 2.3 of the License Agreement and Section 3.2(b)(ii) of the Collaboration Agreement with Adimab.</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of the various promises and undertakings set forth herein,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specifically provided herein, the following terms shall have the following meanings:</w:t>
      </w:r>
    </w:p>
    <w:p>
      <w:pPr>
        <w:spacing w:after="0" w:line="18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 “Affiliate” </w:t>
      </w:r>
      <w:r>
        <w:rPr>
          <w:rFonts w:ascii="Times New Roman" w:cs="Times New Roman" w:eastAsia="Times New Roman" w:hAnsi="Times New Roman"/>
          <w:sz w:val="18"/>
          <w:szCs w:val="18"/>
          <w:color w:val="auto"/>
        </w:rPr>
        <w:t>means a Person or entity that controls, is controlled by or is under common control with a Party, but only for so long as such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exists. For the purposes of this Section 1.1, the word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 the terms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 common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w:t>
      </w:r>
      <w:r>
        <w:rPr>
          <w:rFonts w:ascii="Times New Roman" w:cs="Times New Roman" w:eastAsia="Times New Roman" w:hAnsi="Times New Roman"/>
          <w:sz w:val="18"/>
          <w:szCs w:val="18"/>
          <w:color w:val="auto"/>
        </w:rPr>
        <w:t>”) means the actual power, either directly or indirectly through one or more intermediaries, to direct the management and policies of such Person or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by the ownership of at least 50% of the voting stock of such entity, or by contract or otherwise. TGTX and CTI acknowledge and agree that TGTX is an Affiliate of CTI.</w:t>
      </w:r>
    </w:p>
    <w:p>
      <w:pPr>
        <w:spacing w:after="0" w:line="14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Antibody</w:t>
      </w:r>
      <w:r>
        <w:rPr>
          <w:rFonts w:ascii="Times New Roman" w:cs="Times New Roman" w:eastAsia="Times New Roman" w:hAnsi="Times New Roman"/>
          <w:sz w:val="18"/>
          <w:szCs w:val="18"/>
          <w:color w:val="auto"/>
        </w:rPr>
        <w:t>" means any antibody, any gene expressing such an antibody, any hybridoma producing such antibody, or any fragment, variant,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or construct thereof, or antibody fusion protein produced therefrom (including PEDgylated or multimeric versions thereof, whether polyclonal, monoclonal, multi-specific antibodies (e.g., bi-specific antibodies), human, humanized, chimeric, murine, synthetic, or from any other source), including without limitation (a) the full immunoglobin molecules (e.g., the IgG, IgM, IgE, IgA, and IgD molecules), and (b) the antigen binding portions including Fab, Fab', F(ab')2, Fv, dAb, and CDR fragments, chimeric antibodies, diabodies, polypeptides, linear antibodies and single-chain antibodies (scFv) that contain any portion of an immunoglobulin that is sufficient to confer specific binding to an antigen.</w:t>
      </w:r>
    </w:p>
    <w:p>
      <w:pPr>
        <w:spacing w:after="0" w:line="153"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1.3 “Autoimmune Diseases” </w:t>
      </w:r>
      <w:r>
        <w:rPr>
          <w:rFonts w:ascii="Times New Roman" w:cs="Times New Roman" w:eastAsia="Times New Roman" w:hAnsi="Times New Roman"/>
          <w:sz w:val="18"/>
          <w:szCs w:val="18"/>
          <w:color w:val="auto"/>
        </w:rPr>
        <w:t>means any disease which results from a loss of immune tolerance to self-antigens, including without limitation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sclerosis, rheumatoid arthritis, systemic lupus erythematosus, sjogren syndrome, celiac disease, Graves’ disease, myasthenia gravis, Type I diabetes, idiopathic thrombocytopenic purpura, pemphigus vulgaris, among others, including any presentation or manifestation thereof.</w:t>
      </w:r>
    </w:p>
    <w:p>
      <w:pPr>
        <w:spacing w:after="0" w:line="141" w:lineRule="exact"/>
        <w:rPr>
          <w:sz w:val="20"/>
          <w:szCs w:val="20"/>
          <w:color w:val="auto"/>
        </w:rPr>
      </w:pPr>
    </w:p>
    <w:p>
      <w:pPr>
        <w:ind w:right="14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1.4 “Calendar Quarter</w:t>
      </w:r>
      <w:r>
        <w:rPr>
          <w:rFonts w:ascii="Times New Roman" w:cs="Times New Roman" w:eastAsia="Times New Roman" w:hAnsi="Times New Roman"/>
          <w:sz w:val="18"/>
          <w:szCs w:val="18"/>
          <w:color w:val="auto"/>
        </w:rPr>
        <w:t>” means each three-month period commencing January 1, April 1, July 1 or October 1, provided however that (a)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Quarter of the Term shall extend from the Effective Date to the end of the first full Calendar Quarter thereafter, and (b) the last Calendar Quarter of the Term shall end upon the termination or expiration of this Agreement.</w:t>
      </w:r>
    </w:p>
    <w:p>
      <w:pPr>
        <w:spacing w:after="0" w:line="11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 xml:space="preserve">“Calendar Year” </w:t>
      </w:r>
      <w:r>
        <w:rPr>
          <w:rFonts w:ascii="Times New Roman" w:cs="Times New Roman" w:eastAsia="Times New Roman" w:hAnsi="Times New Roman"/>
          <w:sz w:val="17"/>
          <w:szCs w:val="17"/>
          <w:color w:val="auto"/>
        </w:rPr>
        <w:t>means the period beginning on the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January and ending on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December of the same year, provided however that</w:t>
      </w:r>
    </w:p>
    <w:p>
      <w:pPr>
        <w:ind w:right="20" w:firstLine="8"/>
        <w:spacing w:after="0" w:line="251" w:lineRule="auto"/>
        <w:tabs>
          <w:tab w:leader="none" w:pos="23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Calendar Year of the Term shall commence on the Effective Date and end on December 31 of the same calendar year as the Effective Date, and (b) the last Calendar Year of the Term shall commence on January 1 of the Calendar Year in which this Agreement terminates or expires and end on the date of termination or expiration of this Agreement.</w:t>
      </w:r>
    </w:p>
    <w:p>
      <w:pPr>
        <w:spacing w:after="0" w:line="15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1.6 “Combination Product” </w:t>
      </w:r>
      <w:r>
        <w:rPr>
          <w:rFonts w:ascii="Times New Roman" w:cs="Times New Roman" w:eastAsia="Times New Roman" w:hAnsi="Times New Roman"/>
          <w:sz w:val="18"/>
          <w:szCs w:val="18"/>
          <w:color w:val="auto"/>
        </w:rPr>
        <w:t>means a product (a) containing a Licensed Product together with one or more other active ingredients, or (b) with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products, devices, pieces of equipment or components, but sold for an integrated price (e.g., with the purchase of one product the customer gets a coupon for the other) or for a single price.</w:t>
      </w:r>
    </w:p>
    <w:p>
      <w:pPr>
        <w:spacing w:after="0" w:line="141"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1.7 “Commercialization”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“Commercialize” </w:t>
      </w:r>
      <w:r>
        <w:rPr>
          <w:rFonts w:ascii="Times New Roman" w:cs="Times New Roman" w:eastAsia="Times New Roman" w:hAnsi="Times New Roman"/>
          <w:sz w:val="18"/>
          <w:szCs w:val="18"/>
          <w:color w:val="auto"/>
        </w:rPr>
        <w:t>means any and all activities undertaken at any time for a particular Licensed Product and that relate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manufacturing, marketing, promoting, distributing, importing or exporting for sale, offering for sale, and selling of the Licensed Product, and interacting with Regulatory Authorities regarding the foregoing.</w:t>
      </w:r>
    </w:p>
    <w:p>
      <w:pPr>
        <w:spacing w:after="0" w:line="14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1.8 “Commercially Reasonable Efforts” </w:t>
      </w:r>
      <w:r>
        <w:rPr>
          <w:rFonts w:ascii="Times New Roman" w:cs="Times New Roman" w:eastAsia="Times New Roman" w:hAnsi="Times New Roman"/>
          <w:sz w:val="18"/>
          <w:szCs w:val="18"/>
          <w:color w:val="auto"/>
        </w:rPr>
        <w:t>means, with respect to the efforts to be expended by a Party or such Party’s applicable Affiliate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objective, such reasonable, diligent, and good faith efforts normally used to accomplish a similar objective under similar circumstances by a similarly-situated company. Commercially Reasonable Efforts will not mean that a Party commits that it or such Party’s applicable Affiliate will actually accomplish the applicable task.</w:t>
      </w:r>
    </w:p>
    <w:p>
      <w:pPr>
        <w:spacing w:after="0" w:line="14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1.9 “Controlled</w:t>
      </w:r>
      <w:r>
        <w:rPr>
          <w:rFonts w:ascii="Times New Roman" w:cs="Times New Roman" w:eastAsia="Times New Roman" w:hAnsi="Times New Roman"/>
          <w:sz w:val="18"/>
          <w:szCs w:val="18"/>
          <w:color w:val="auto"/>
        </w:rPr>
        <w:t>” means, with respect to (a) DFCI Patents, (b) Know-How, (c) Antibodies, (d) DFCI Materials, or (e) Additional PD-L1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that a Party or one of its Affiliates owns or has a license or sublicense to such DFCI Patents, Know-How, Antibodies, DFCI Material (or in the case of DFCI Material, has the right to physical possession of such material), or Additional PD-L1 Intellectual Property, and has the ability to grant a license or sublicense to, or assign its right, title and interest in and to, such DFCI Patents, Know-How, Antibodies, DFCI Material, or Additional PD-L1 Intellectual Property as provided for in this Agreement without violating the terms of any agreement or other arrangement with any Third Party.</w:t>
      </w:r>
    </w:p>
    <w:p>
      <w:pPr>
        <w:spacing w:after="0" w:line="14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 “Covered” </w:t>
      </w:r>
      <w:r>
        <w:rPr>
          <w:rFonts w:ascii="Times New Roman" w:cs="Times New Roman" w:eastAsia="Times New Roman" w:hAnsi="Times New Roman"/>
          <w:sz w:val="18"/>
          <w:szCs w:val="18"/>
          <w:color w:val="auto"/>
        </w:rPr>
        <w:t>means, with respect to a Licensed Product, that the practicing, manufacturing, importing, using, selling, or offering for sale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Licensed Product would, but for ownership of or a license granted hereunder under Additional PD-L1 Intellectual Property or DFCI’s relevant DFCI Patents, infringe a Valid Claim of Additional PD-L1 Intellectual Property or DFCI’s relevant DFCI Patents in the country in which the activity occurs (or, in the case of a Valid Claim that has not yet issued, would infringe such Valid Claim if it were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0" w:name="page71"/>
    <w:bookmarkEnd w:id="70"/>
    <w:p>
      <w:pPr>
        <w:ind w:right="60" w:firstLine="648"/>
        <w:spacing w:after="0" w:line="291" w:lineRule="auto"/>
        <w:rPr>
          <w:sz w:val="20"/>
          <w:szCs w:val="20"/>
          <w:color w:val="auto"/>
        </w:rPr>
      </w:pPr>
      <w:r>
        <w:rPr>
          <w:rFonts w:ascii="Times New Roman" w:cs="Times New Roman" w:eastAsia="Times New Roman" w:hAnsi="Times New Roman"/>
          <w:sz w:val="16"/>
          <w:szCs w:val="16"/>
          <w:b w:val="1"/>
          <w:bCs w:val="1"/>
          <w:color w:val="auto"/>
        </w:rPr>
        <w:t>1.11 “Derivative</w:t>
      </w:r>
      <w:r>
        <w:rPr>
          <w:rFonts w:ascii="Times New Roman" w:cs="Times New Roman" w:eastAsia="Times New Roman" w:hAnsi="Times New Roman"/>
          <w:sz w:val="16"/>
          <w:szCs w:val="16"/>
          <w:color w:val="auto"/>
        </w:rPr>
        <w:t>" means a DFCI Antibody that has (a) been modified via isotype switching; (b) undergone a modification of effector function; (c)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been adapted to enable the antibody to carry payloads; (d) been altered to change the expression characteristics, stability or biological half-life of the antibody; or</w:t>
      </w:r>
    </w:p>
    <w:p>
      <w:pPr>
        <w:ind w:right="40" w:firstLine="8"/>
        <w:spacing w:after="0" w:line="254" w:lineRule="auto"/>
        <w:tabs>
          <w:tab w:leader="none" w:pos="2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mutated using an affinity maturation strategy designed to modify the affinity of either the variable regions and/or the constant regions of the antibody for any ligands, antigens or receptors. Derivatives may be full length antibodies, monoclonal and polyclonal antibodies, multispecific antibodies (e.g., bi-specific antibodies) and antibody fragments (including Fab, Fab', F(ab')2, Fy fragments, diabodies, linear antibodies and single-chain antibodies), in each case, of any origin, whether human, humanized, chimeric or otherwise.</w:t>
      </w:r>
    </w:p>
    <w:p>
      <w:pPr>
        <w:spacing w:after="0" w:line="149"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 “Development” or “Develop” </w:t>
      </w:r>
      <w:r>
        <w:rPr>
          <w:rFonts w:ascii="Times New Roman" w:cs="Times New Roman" w:eastAsia="Times New Roman" w:hAnsi="Times New Roman"/>
          <w:sz w:val="18"/>
          <w:szCs w:val="18"/>
          <w:color w:val="auto"/>
        </w:rPr>
        <w:t>means, with respect to a Licensed Product, the performance of all preclinical and clinical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toxicology, pharmacology, test method development and stability testing, process development, formulation development, quality control development, statistical analysis), clinical trials, and manufacturing and regulatory activities that are required to obtain Regulatory Approval of such Licensed Product.</w:t>
      </w:r>
    </w:p>
    <w:p>
      <w:pPr>
        <w:spacing w:after="0" w:line="14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6"/>
          <w:szCs w:val="16"/>
          <w:b w:val="1"/>
          <w:bCs w:val="1"/>
          <w:color w:val="auto"/>
        </w:rPr>
        <w:t>DFCI Antibodies</w:t>
      </w:r>
      <w:r>
        <w:rPr>
          <w:rFonts w:ascii="Times New Roman" w:cs="Times New Roman" w:eastAsia="Times New Roman" w:hAnsi="Times New Roman"/>
          <w:sz w:val="16"/>
          <w:szCs w:val="16"/>
          <w:color w:val="auto"/>
        </w:rPr>
        <w:t>" means the Antibodies supplied by or on behalf of DFCI to CTI under this Agreement as identified in Schedule 4.</w:t>
      </w:r>
    </w:p>
    <w:p>
      <w:pPr>
        <w:spacing w:after="0" w:line="185"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1.14 “DFCI Know-How</w:t>
      </w:r>
      <w:r>
        <w:rPr>
          <w:rFonts w:ascii="Times New Roman" w:cs="Times New Roman" w:eastAsia="Times New Roman" w:hAnsi="Times New Roman"/>
          <w:sz w:val="18"/>
          <w:szCs w:val="18"/>
          <w:color w:val="auto"/>
        </w:rPr>
        <w:t>” means any and all Know-How that (a) is Controlled by DFCI or any of its Affiliates as of the Effective Date and (b)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developed in the laboratory of Dr. Wayne Marasco in the performance of research directly pertaining to the DFCI Patents and (c) is necessary for CTI to research, Develop, manufacture, use, or Commercialize Licensed Products. The DFCI Know-How is described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w:t>
      </w:r>
    </w:p>
    <w:p>
      <w:pPr>
        <w:spacing w:after="0" w:line="14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85" w:lineRule="exact"/>
        <w:rPr>
          <w:sz w:val="20"/>
          <w:szCs w:val="20"/>
          <w:color w:val="auto"/>
        </w:rPr>
      </w:pPr>
    </w:p>
    <w:p>
      <w:pPr>
        <w:ind w:right="320" w:firstLine="648"/>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1.16 “DFCI Patents” </w:t>
      </w:r>
      <w:r>
        <w:rPr>
          <w:rFonts w:ascii="Times New Roman" w:cs="Times New Roman" w:eastAsia="Times New Roman" w:hAnsi="Times New Roman"/>
          <w:sz w:val="16"/>
          <w:szCs w:val="16"/>
          <w:color w:val="auto"/>
        </w:rPr>
        <w:t>means (a) those patents and patent applications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hereto; (b) any additions, divisionals, continuations,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conversion, supplemental examinations, extensions, term restorations, registrations, reinstatements, amendments, reissuances, corrections, substitutions, re-examinations, registrations, revalidations, supplementary protection certificates, renewals, and foreign counterparts of the patents and patent applications mentioned in clause (a) above; (c) all patents issuing from any of the patents and patent applications mentioned in clause (a) or (b) above and any foreign counterparts of any such patents and patent applications, and which shall include, in any case, patents surviving post grant review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w:t>
      </w:r>
    </w:p>
    <w:p>
      <w:pPr>
        <w:spacing w:after="0" w:line="118"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6"/>
          <w:szCs w:val="16"/>
          <w:b w:val="1"/>
          <w:bCs w:val="1"/>
          <w:color w:val="auto"/>
        </w:rPr>
        <w:t xml:space="preserve">“DFCI Technology” </w:t>
      </w:r>
      <w:r>
        <w:rPr>
          <w:rFonts w:ascii="Times New Roman" w:cs="Times New Roman" w:eastAsia="Times New Roman" w:hAnsi="Times New Roman"/>
          <w:sz w:val="16"/>
          <w:szCs w:val="16"/>
          <w:color w:val="auto"/>
        </w:rPr>
        <w:t>means the DFCI Patents, DFCI Know-How, DFCI Antibodies, Derivatives, and DFCI Materials.</w:t>
      </w:r>
    </w:p>
    <w:p>
      <w:pPr>
        <w:spacing w:after="0" w:line="18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6"/>
          <w:szCs w:val="16"/>
          <w:b w:val="1"/>
          <w:bCs w:val="1"/>
          <w:color w:val="auto"/>
        </w:rPr>
        <w:t xml:space="preserve">“EMA” </w:t>
      </w:r>
      <w:r>
        <w:rPr>
          <w:rFonts w:ascii="Times New Roman" w:cs="Times New Roman" w:eastAsia="Times New Roman" w:hAnsi="Times New Roman"/>
          <w:sz w:val="16"/>
          <w:szCs w:val="16"/>
          <w:color w:val="auto"/>
        </w:rPr>
        <w:t>means the European Medicines Agency or any successor agency.</w:t>
      </w:r>
    </w:p>
    <w:p>
      <w:pPr>
        <w:spacing w:after="0" w:line="185" w:lineRule="exact"/>
        <w:rPr>
          <w:sz w:val="20"/>
          <w:szCs w:val="20"/>
          <w:color w:val="auto"/>
        </w:rPr>
      </w:pPr>
    </w:p>
    <w:p>
      <w:pPr>
        <w:ind w:right="42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1.19 “European Commission” </w:t>
      </w:r>
      <w:r>
        <w:rPr>
          <w:rFonts w:ascii="Times New Roman" w:cs="Times New Roman" w:eastAsia="Times New Roman" w:hAnsi="Times New Roman"/>
          <w:sz w:val="18"/>
          <w:szCs w:val="18"/>
          <w:color w:val="auto"/>
        </w:rPr>
        <w:t>means the authority within the European Union that has the legal authority to grant Regulatory Approvals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European Union based on input received from the EMA or other competent Regulatory Authorities.</w:t>
      </w:r>
    </w:p>
    <w:p>
      <w:pPr>
        <w:spacing w:after="0" w:line="130"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6"/>
          <w:szCs w:val="16"/>
          <w:b w:val="1"/>
          <w:bCs w:val="1"/>
          <w:color w:val="auto"/>
        </w:rPr>
        <w:t xml:space="preserve">“FDA” </w:t>
      </w:r>
      <w:r>
        <w:rPr>
          <w:rFonts w:ascii="Times New Roman" w:cs="Times New Roman" w:eastAsia="Times New Roman" w:hAnsi="Times New Roman"/>
          <w:sz w:val="16"/>
          <w:szCs w:val="16"/>
          <w:color w:val="auto"/>
        </w:rPr>
        <w:t>means the United States Food and Drug Administration, or a successor federal agency thereto.</w:t>
      </w:r>
    </w:p>
    <w:p>
      <w:pPr>
        <w:spacing w:after="0" w:line="18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 “Field” </w:t>
      </w:r>
      <w:r>
        <w:rPr>
          <w:rFonts w:ascii="Times New Roman" w:cs="Times New Roman" w:eastAsia="Times New Roman" w:hAnsi="Times New Roman"/>
          <w:sz w:val="18"/>
          <w:szCs w:val="18"/>
          <w:color w:val="auto"/>
        </w:rPr>
        <w:t>means all prophylactic, palliative, therapeutic or diagnostic uses in humans or animals for the prevention, diagnosis and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hematological malignancies, including, without limitation, all Leukemia’s, Lymphoma’s, Multiple Myeloma and Waldentroms Macroglobulemia, but specifically excluding use in chimeric antigen receptor technology. Additionally, upon exercise of the Autoimmune Option, the Field shall include the prevention, diagnosis and treatment of Autoimmune Diseases.</w:t>
      </w:r>
    </w:p>
    <w:p>
      <w:pPr>
        <w:spacing w:after="0" w:line="146"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1.22 “First Commercial Sale” </w:t>
      </w:r>
      <w:r>
        <w:rPr>
          <w:rFonts w:ascii="Times New Roman" w:cs="Times New Roman" w:eastAsia="Times New Roman" w:hAnsi="Times New Roman"/>
          <w:sz w:val="16"/>
          <w:szCs w:val="16"/>
          <w:color w:val="auto"/>
        </w:rPr>
        <w:t>means, with respect to a Licensed Product in any country, the first commercial transfer or disposition for value of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Licensed Product in the Field in such country to a Third Party, by TGTX, by an Affiliate of TGTX or by a Sublicensee after Regulatory Approval therefor has been obtained in such country, for cash or non-cash consideration to which a fair market value can be assigned for purposes of determining Net Sales.</w:t>
      </w:r>
    </w:p>
    <w:p>
      <w:pPr>
        <w:spacing w:after="0" w:line="10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United States generally accepted accounting principles.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1.24 “Governmental Body” </w:t>
      </w:r>
      <w:r>
        <w:rPr>
          <w:rFonts w:ascii="Times New Roman" w:cs="Times New Roman" w:eastAsia="Times New Roman" w:hAnsi="Times New Roman"/>
          <w:sz w:val="18"/>
          <w:szCs w:val="18"/>
          <w:color w:val="auto"/>
        </w:rPr>
        <w:t>means any: (a) nation, principality, state, commonwealth, province, territory, county, municipality, district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71" w:name="page72"/>
    <w:bookmarkEnd w:id="71"/>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1.25 “Know-How” </w:t>
      </w:r>
      <w:r>
        <w:rPr>
          <w:rFonts w:ascii="Times New Roman" w:cs="Times New Roman" w:eastAsia="Times New Roman" w:hAnsi="Times New Roman"/>
          <w:sz w:val="18"/>
          <w:szCs w:val="18"/>
          <w:color w:val="auto"/>
        </w:rPr>
        <w:t>means any scientific or technical information, results and data of any type whatsoever, in any intangible form whatsoever,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 the public domain or otherwise publicly known and is not claimed or disclosed in a patent or pending patent application, including practices, protocols, regulatory filings, scientific techniques, works of authorship, plans, data (including, but not limited to, pharmacological, biological, chemical, toxicological, clinical and analytical information, quality control, trial and stability data), data analyses, reports, studies and procedures, designs for experiments and tests and results of experimentation and testing (including results of research or development), summaries and information contained in submissions to and information from ethical committees, the FDA or other Regulatory Authorities, and manufacturing process and development information. The fact that an item is known to the public shall not be taken to exclude the possibility that a compilation including the item, and/or a development relating to the item, is (and remains) not known to the public. “Know-How” excludes Additional PD-L1 Intellectual Property, DFCI Patents, DFCI Antibodies, and DFCI Materials.</w:t>
      </w:r>
    </w:p>
    <w:p>
      <w:pPr>
        <w:spacing w:after="0" w:line="246"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1.26 “Law”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“Laws” </w:t>
      </w:r>
      <w:r>
        <w:rPr>
          <w:rFonts w:ascii="Times New Roman" w:cs="Times New Roman" w:eastAsia="Times New Roman" w:hAnsi="Times New Roman"/>
          <w:sz w:val="18"/>
          <w:szCs w:val="18"/>
          <w:color w:val="auto"/>
        </w:rPr>
        <w:t>means all applicable laws, statutes, rules, regulations, ordinances and other pronouncements having the binding effect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Governmental Body.</w:t>
      </w:r>
    </w:p>
    <w:p>
      <w:pPr>
        <w:spacing w:after="0" w:line="13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1.27 “Licensed Product” </w:t>
      </w:r>
      <w:r>
        <w:rPr>
          <w:rFonts w:ascii="Times New Roman" w:cs="Times New Roman" w:eastAsia="Times New Roman" w:hAnsi="Times New Roman"/>
          <w:sz w:val="18"/>
          <w:szCs w:val="18"/>
          <w:color w:val="auto"/>
        </w:rPr>
        <w:t>means any pharmaceutical product, in any dosage form, preparation, composition, formulation, presentation or package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configuration, (a) that is Covered in whole or in part by a Valid Claim in the DFCI Patents or Additional PD-L1 Intellectual Property, (b) that incorporates, constitutes, or contains DFCI Antibodies or Derivatives as an active ingredient, or (c) that shares at least [ * ]% of the amino acid sequence identity (combined or in the aggregate) to all the complementarity determining regions (CDRs) of any DFCI Antibodies or Derivatives and made using DFCI Technology or Additional PD-L1 Intellectual Property.</w:t>
      </w:r>
    </w:p>
    <w:p>
      <w:pPr>
        <w:spacing w:after="0" w:line="148" w:lineRule="exact"/>
        <w:rPr>
          <w:sz w:val="20"/>
          <w:szCs w:val="20"/>
          <w:color w:val="auto"/>
        </w:rPr>
      </w:pPr>
    </w:p>
    <w:p>
      <w:pPr>
        <w:ind w:right="72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1.28 “Licensed Process” </w:t>
      </w:r>
      <w:r>
        <w:rPr>
          <w:rFonts w:ascii="Times New Roman" w:cs="Times New Roman" w:eastAsia="Times New Roman" w:hAnsi="Times New Roman"/>
          <w:sz w:val="18"/>
          <w:szCs w:val="18"/>
          <w:color w:val="auto"/>
        </w:rPr>
        <w:t>means processes which, (a) in the course of being practiced, is Covered in whole or in part by a Valid Claim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PD-L1 Intellectual Property or DFCI Patents, or (b) which incorporates or uses DFCI Antibodies or Derivatives in whole or in part.</w:t>
      </w:r>
    </w:p>
    <w:p>
      <w:pPr>
        <w:spacing w:after="0" w:line="130"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1.29 “NDA” </w:t>
      </w:r>
      <w:r>
        <w:rPr>
          <w:rFonts w:ascii="Times New Roman" w:cs="Times New Roman" w:eastAsia="Times New Roman" w:hAnsi="Times New Roman"/>
          <w:sz w:val="18"/>
          <w:szCs w:val="18"/>
          <w:color w:val="auto"/>
        </w:rPr>
        <w:t>means a New Drug Application submitted pursuant to the requirements of the FDA, as more fully defined in 21 U.S. CFR § 314.3 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seq., a Biologics License Application submitted pursuant to the requirements of the FDA, as more fully defined in 21 U.S. CFR § 601, and any equivalent application submitted in any country, including a European Marketing Authorization Application, together, in each case, with all additions, deletions or supplements thereto.</w:t>
      </w:r>
    </w:p>
    <w:p>
      <w:pPr>
        <w:spacing w:after="0" w:line="146" w:lineRule="exact"/>
        <w:rPr>
          <w:sz w:val="20"/>
          <w:szCs w:val="20"/>
          <w:color w:val="auto"/>
        </w:rPr>
      </w:pPr>
    </w:p>
    <w:p>
      <w:pPr>
        <w:ind w:right="28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1.30 “NDA Approval” </w:t>
      </w:r>
      <w:r>
        <w:rPr>
          <w:rFonts w:ascii="Times New Roman" w:cs="Times New Roman" w:eastAsia="Times New Roman" w:hAnsi="Times New Roman"/>
          <w:sz w:val="18"/>
          <w:szCs w:val="18"/>
          <w:color w:val="auto"/>
        </w:rPr>
        <w:t>means the receipt of notice from the relevant US Regulatory Authority that an NDA for a Licensed Product has met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criteria for marketing approval.</w:t>
      </w:r>
    </w:p>
    <w:p>
      <w:pPr>
        <w:spacing w:after="0" w:line="130" w:lineRule="exact"/>
        <w:rPr>
          <w:sz w:val="20"/>
          <w:szCs w:val="20"/>
          <w:color w:val="auto"/>
        </w:rPr>
      </w:pPr>
    </w:p>
    <w:p>
      <w:pPr>
        <w:jc w:val="both"/>
        <w:ind w:right="14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1.31 “Net Sales” </w:t>
      </w:r>
      <w:r>
        <w:rPr>
          <w:rFonts w:ascii="Times New Roman" w:cs="Times New Roman" w:eastAsia="Times New Roman" w:hAnsi="Times New Roman"/>
          <w:sz w:val="18"/>
          <w:szCs w:val="18"/>
          <w:color w:val="auto"/>
        </w:rPr>
        <w:t>means the gross income derived by TGTX or its Affiliates or Sublicensees to unrelated Third Parties for a Licensed Product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Field in bona-fide arms-length transactions, less the following deductions, which may not exceed reasonable and customary amounts in the country in which the transaction occurs:</w:t>
      </w:r>
    </w:p>
    <w:p>
      <w:pPr>
        <w:spacing w:after="0" w:line="116"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and customary trade, quantity, cash and discounts and credits allowed and taken;</w:t>
      </w:r>
    </w:p>
    <w:p>
      <w:pPr>
        <w:spacing w:after="0" w:line="157"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refunds, rebates, chargebacks, retroactive price adjustments, and any other allowances given and taken which effectively reduce the net selling price, including, without limitation, Medicaid rebates, institutional rebates or volume discounts;</w:t>
      </w:r>
    </w:p>
    <w:p>
      <w:pPr>
        <w:spacing w:after="0" w:line="1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returns and allowances;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fees paid to group purchasing organizations (e.g., Medicare) and government-mandated rebates;</w:t>
      </w:r>
    </w:p>
    <w:p>
      <w:pPr>
        <w:spacing w:after="0" w:line="157" w:lineRule="exact"/>
        <w:rPr>
          <w:rFonts w:ascii="Times New Roman" w:cs="Times New Roman" w:eastAsia="Times New Roman" w:hAnsi="Times New Roman"/>
          <w:sz w:val="18"/>
          <w:szCs w:val="18"/>
          <w:color w:val="auto"/>
        </w:rPr>
      </w:pPr>
    </w:p>
    <w:p>
      <w:pPr>
        <w:ind w:left="1300" w:hanging="644"/>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handling, freight, postage, insurance and transportation charges, but all only to the extent included as a separate line item in the gross amount invoiced;</w:t>
      </w:r>
    </w:p>
    <w:p>
      <w:pPr>
        <w:spacing w:after="0" w:line="106" w:lineRule="exact"/>
        <w:rPr>
          <w:rFonts w:ascii="Times New Roman" w:cs="Times New Roman" w:eastAsia="Times New Roman" w:hAnsi="Times New Roman"/>
          <w:sz w:val="18"/>
          <w:szCs w:val="18"/>
          <w:color w:val="auto"/>
        </w:rPr>
      </w:pPr>
    </w:p>
    <w:p>
      <w:pPr>
        <w:ind w:left="1300" w:hanging="644"/>
        <w:spacing w:after="0" w:line="339" w:lineRule="auto"/>
        <w:tabs>
          <w:tab w:leader="none" w:pos="1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tariff or duties imposed on the sale, delivery or use of the Licensed Product, including, without limitation, sales, use, excise or value added taxes and customs and duties, but all only to the extent included as a separate line item (e.g., “taxes”) in the gross amount invoiced.</w:t>
      </w:r>
    </w:p>
    <w:p>
      <w:pPr>
        <w:spacing w:after="0" w:line="60" w:lineRule="exact"/>
        <w:rPr>
          <w:rFonts w:ascii="Times New Roman" w:cs="Times New Roman" w:eastAsia="Times New Roman" w:hAnsi="Times New Roman"/>
          <w:sz w:val="16"/>
          <w:szCs w:val="16"/>
          <w:color w:val="auto"/>
        </w:rPr>
      </w:pPr>
    </w:p>
    <w:p>
      <w:pPr>
        <w:ind w:left="1300" w:hanging="644"/>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actually written off during the accounting period (provided, that any bad debt write-off so taken which is later reversed shall be added back to Net Sales in the accounting period in which the reversal occurs).</w:t>
      </w:r>
    </w:p>
    <w:p>
      <w:pPr>
        <w:spacing w:after="0" w:line="1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No deduction shall be made for any item of cost incurred by TGTX, its Affiliates or Sublicensees in Developing or Commercializing Licensed Products except as permitted pursuant to clauses (a) through (g) of the foregoing.</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Net Sales includes the fair market value of any non-cash consideration from sale of Licensed Products received by TGTX, its Affiliates or Sublicenses.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Products are considered “sold” when billed, invoiced, or payment is received, whichever occurs first.</w:t>
      </w:r>
    </w:p>
    <w:p>
      <w:pPr>
        <w:spacing w:after="0" w:line="14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Notwithstanding the foregoing, amounts invoiced by TGTX and its Affiliates and Sublicensees for sales of Licensed Products among TGTX and its Sublicensees and their respective Affiliates for resale shall not be included in the computation of Net Sales except where such purchasing party is an end user or consumer of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72" w:name="page73"/>
    <w:bookmarkEnd w:id="7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 Sales of any Combination Product (as defined below) for the purpose of calculating royalties due under this Agreement shall be determined on a country-by-country basis as follows: the Net Sales of the Combination Product (prior to application of the following adjustment) shall be multiplied by the fraction A/(A+B), where A is the net selling price in such country of a Licensed Product without the additional active ingredient in the Combination Product, if sold separately for the same dosage as contained in the Combination Product, and B is the net selling price in such country of any other active ingredients (or delivery device) in the combination if sold separately for the same dosage (or form) as contained in the Combination Product. All net selling prices of the elements of such end-user product or service shall be calculated as the average net selling price of the said elements during the applicable accounting period for which the Net Sales are being calculated. In the event that, in any country, no separate sale of either such above-designated Licensed Product (containing only such Licensed Product and no other active ingredients) or any one or more of the active ingredients included in such Combination Product are made during the accounting period in which the sale was made or if the net selling price for an active ingredient cannot be determined for an accounting period, Net Sales for purposes of determining payments under this Agreement shall be calculated by multiplying the sales price of the Combination Product by the fraction C/(C+D) where C is the standard fully-absorbed manufacturing cost of the Licensed Product portion of the combination, and D is the standard fully-absorbed manufacturing cost of the other active ingredients or components included in the Combination Product, as determined by TGTX using its standard accounting procedures consistently applied. In the event that the standard fully-absorbed manufacturing cost of the Licensed Product and/or the other active ingredients or components included in such Combination Product cannot be determined, Net Sales allocable to the Licensed Product in each such country shall be determined by mutual agreement reached in good faith by the parties prior to the end of the accounting period in question based on an equitable method of determining same that takes into account, on a country-by-country basis, all relevant factors (including variations in potency, the relative contribution of each active ingredient in the combination, and relative value to the end user of each active ingredient).</w:t>
      </w:r>
    </w:p>
    <w:p>
      <w:pPr>
        <w:spacing w:after="0" w:line="152" w:lineRule="exact"/>
        <w:rPr>
          <w:sz w:val="20"/>
          <w:szCs w:val="20"/>
          <w:color w:val="auto"/>
        </w:rPr>
      </w:pPr>
    </w:p>
    <w:p>
      <w:pPr>
        <w:ind w:right="34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1.32 “Person” </w:t>
      </w:r>
      <w:r>
        <w:rPr>
          <w:rFonts w:ascii="Times New Roman" w:cs="Times New Roman" w:eastAsia="Times New Roman" w:hAnsi="Times New Roman"/>
          <w:sz w:val="18"/>
          <w:szCs w:val="18"/>
          <w:color w:val="auto"/>
        </w:rPr>
        <w:t>means any natural person, corporation, firm, business trust, joint venture, association, organization, company, partnership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entity, or any government or agency or political subdivision thereof.</w:t>
      </w:r>
    </w:p>
    <w:p>
      <w:pPr>
        <w:spacing w:after="0" w:line="130" w:lineRule="exact"/>
        <w:rPr>
          <w:sz w:val="20"/>
          <w:szCs w:val="20"/>
          <w:color w:val="auto"/>
        </w:rPr>
      </w:pPr>
    </w:p>
    <w:p>
      <w:pPr>
        <w:ind w:right="380" w:firstLine="648"/>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1.33 “Phase I Trial” </w:t>
      </w:r>
      <w:r>
        <w:rPr>
          <w:rFonts w:ascii="Times New Roman" w:cs="Times New Roman" w:eastAsia="Times New Roman" w:hAnsi="Times New Roman"/>
          <w:sz w:val="16"/>
          <w:szCs w:val="16"/>
          <w:color w:val="auto"/>
        </w:rPr>
        <w:t>means a clinical trial of a Licensed Product in human patients designated as a Phase I Trial and conducted primarily 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purpose of determining the safety of and/or the metabolism and pharmacologic actions of the Licensed Product in humans, as described under 21 CFR §</w:t>
      </w:r>
    </w:p>
    <w:p>
      <w:pPr>
        <w:ind w:right="240"/>
        <w:spacing w:after="0" w:line="261" w:lineRule="auto"/>
        <w:rPr>
          <w:sz w:val="20"/>
          <w:szCs w:val="20"/>
          <w:color w:val="auto"/>
        </w:rPr>
      </w:pPr>
      <w:r>
        <w:rPr>
          <w:rFonts w:ascii="Times New Roman" w:cs="Times New Roman" w:eastAsia="Times New Roman" w:hAnsi="Times New Roman"/>
          <w:sz w:val="18"/>
          <w:szCs w:val="18"/>
          <w:color w:val="auto"/>
        </w:rPr>
        <w:t>312.21(a) (as hereafter modified or amended) and any of its foreign equivalents. For purposes of this definition, Phase I Trial shall specifically exclude trials in healthy volunteers.</w:t>
      </w:r>
    </w:p>
    <w:p>
      <w:pPr>
        <w:spacing w:after="0" w:line="14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1.34 “Phase II Trial” </w:t>
      </w:r>
      <w:r>
        <w:rPr>
          <w:rFonts w:ascii="Times New Roman" w:cs="Times New Roman" w:eastAsia="Times New Roman" w:hAnsi="Times New Roman"/>
          <w:sz w:val="18"/>
          <w:szCs w:val="18"/>
          <w:color w:val="auto"/>
        </w:rPr>
        <w:t>means a clinical trial of a Licensed Product, designated as a Phase II Trial and the principal purpose of which is to make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determination that such Licensed Product is safe and active in a patient population for its intended use and is designed to obtain sufficient information about such Licensed Product’s efficacy to permit the design of a Phase III Trial(s), and generally consistent with 21 CFR § 312.21(b). For purposes of this definition, Phase II trial shall specifically exclude expansion cohorts from Phase I Trial(s).</w:t>
      </w:r>
    </w:p>
    <w:p>
      <w:pPr>
        <w:spacing w:after="0" w:line="14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1.35 “Phase III Trial” </w:t>
      </w:r>
      <w:r>
        <w:rPr>
          <w:rFonts w:ascii="Times New Roman" w:cs="Times New Roman" w:eastAsia="Times New Roman" w:hAnsi="Times New Roman"/>
          <w:sz w:val="18"/>
          <w:szCs w:val="18"/>
          <w:color w:val="auto"/>
        </w:rPr>
        <w:t>means a clinical trial of a Licensed Product in human patients, which is designated as a Phase III Trial or a pivotal trial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(a) to establish that the Licensed Product is safe and efficacious for its intended use; (b) to define warnings, precautions and adverse reactions that are associated with the Licensed Product in the dosage range to be prescribed; and (c) to be, either by itself or together with one or more other clinical trials having a comparable design and size, the final human clinical trial in support of Regulatory Approval of the Licensed Product, and (d) consistent with 21 CFR § 312.21(c) (as hereafter modified or amended) and any of its foreign equivalents.</w:t>
      </w:r>
    </w:p>
    <w:p>
      <w:pPr>
        <w:spacing w:after="0" w:line="148" w:lineRule="exact"/>
        <w:rPr>
          <w:sz w:val="20"/>
          <w:szCs w:val="20"/>
          <w:color w:val="auto"/>
        </w:rPr>
      </w:pPr>
    </w:p>
    <w:p>
      <w:pPr>
        <w:ind w:right="40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1.36 “Regulatory Authority” </w:t>
      </w:r>
      <w:r>
        <w:rPr>
          <w:rFonts w:ascii="Times New Roman" w:cs="Times New Roman" w:eastAsia="Times New Roman" w:hAnsi="Times New Roman"/>
          <w:sz w:val="18"/>
          <w:szCs w:val="18"/>
          <w:color w:val="auto"/>
        </w:rPr>
        <w:t>means (a) the FDA, (b) the EMA or the European Commission, or (c) any regulatory body with similar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over pharmaceutical or biotechnology products in any other jurisdiction anywhere in the world.</w:t>
      </w:r>
    </w:p>
    <w:p>
      <w:pPr>
        <w:spacing w:after="0" w:line="130" w:lineRule="exact"/>
        <w:rPr>
          <w:sz w:val="20"/>
          <w:szCs w:val="20"/>
          <w:color w:val="auto"/>
        </w:rPr>
      </w:pPr>
    </w:p>
    <w:p>
      <w:pPr>
        <w:jc w:val="both"/>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1.37 “Regulatory Approval” </w:t>
      </w:r>
      <w:r>
        <w:rPr>
          <w:rFonts w:ascii="Times New Roman" w:cs="Times New Roman" w:eastAsia="Times New Roman" w:hAnsi="Times New Roman"/>
          <w:sz w:val="18"/>
          <w:szCs w:val="18"/>
          <w:color w:val="auto"/>
        </w:rPr>
        <w:t>means any and all approvals, licenses, registrations, or authorizations of the relevant Regulatory Authority,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Development, manufacture, use, storage, import, transport and Commercialization of a given Licensed Product in a particular country or jurisdiction. For the avoidance of doubt, Regulatory Approval outside of the United States shall include any pricing or marketing approval needed prior to the sale of a Licensed Product in the Field.</w:t>
      </w:r>
    </w:p>
    <w:p>
      <w:pPr>
        <w:spacing w:after="0" w:line="14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1.38 “Royalty Term” </w:t>
      </w:r>
      <w:r>
        <w:rPr>
          <w:rFonts w:ascii="Times New Roman" w:cs="Times New Roman" w:eastAsia="Times New Roman" w:hAnsi="Times New Roman"/>
          <w:sz w:val="16"/>
          <w:szCs w:val="16"/>
          <w:color w:val="auto"/>
        </w:rPr>
        <w:t>means, on a Licensed Product-by-Licensed Product and country-by-country basis, the period from the First Commercial Sale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given Licensed Product in such country until the later of (i) twelve (12) years after First Commercial Sale of the applicable Licensed Product in such country, or (ii) the expiry of the last-to-expire DFCI Patent or Additional PDL-1 Intellectual Property containing a Valid Claim to the Licensed Product in such country.</w:t>
      </w:r>
    </w:p>
    <w:p>
      <w:pPr>
        <w:spacing w:after="0" w:line="106" w:lineRule="exact"/>
        <w:rPr>
          <w:sz w:val="20"/>
          <w:szCs w:val="20"/>
          <w:color w:val="auto"/>
        </w:rPr>
      </w:pPr>
    </w:p>
    <w:p>
      <w:pPr>
        <w:ind w:right="72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1.39 “Sublicensee” </w:t>
      </w:r>
      <w:r>
        <w:rPr>
          <w:rFonts w:ascii="Times New Roman" w:cs="Times New Roman" w:eastAsia="Times New Roman" w:hAnsi="Times New Roman"/>
          <w:sz w:val="18"/>
          <w:szCs w:val="18"/>
          <w:color w:val="auto"/>
        </w:rPr>
        <w:t>means a Person, other than an Affiliate of TGTX, to which TGTX (or its Affiliate) has, pursuant to Section 2.3,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sublicense rights under any of the license rights granted under Section 2.1. </w:t>
      </w:r>
      <w:r>
        <w:rPr>
          <w:rFonts w:ascii="Times New Roman" w:cs="Times New Roman" w:eastAsia="Times New Roman" w:hAnsi="Times New Roman"/>
          <w:sz w:val="18"/>
          <w:szCs w:val="18"/>
          <w:b w:val="1"/>
          <w:bCs w:val="1"/>
          <w:color w:val="auto"/>
        </w:rPr>
        <w:t>“Sublicense</w:t>
      </w:r>
      <w:r>
        <w:rPr>
          <w:rFonts w:ascii="Times New Roman" w:cs="Times New Roman" w:eastAsia="Times New Roman" w:hAnsi="Times New Roman"/>
          <w:sz w:val="18"/>
          <w:szCs w:val="18"/>
          <w:color w:val="auto"/>
        </w:rPr>
        <w:t>” shall be construed accordingly.</w:t>
      </w:r>
    </w:p>
    <w:p>
      <w:pPr>
        <w:spacing w:after="0" w:line="130"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Sublicense Revenue</w:t>
      </w:r>
      <w:r>
        <w:rPr>
          <w:rFonts w:ascii="Times New Roman" w:cs="Times New Roman" w:eastAsia="Times New Roman" w:hAnsi="Times New Roman"/>
          <w:sz w:val="18"/>
          <w:szCs w:val="18"/>
          <w:color w:val="auto"/>
        </w:rPr>
        <w:t>" means any payments or other consideration that TGTX actually receives from a Sublicensee as consideration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a Sublicense, including, without limitation, milestone payments, license fees, license maintenance fees and equity. Sublicense Revenue excludes (i) purchases of equity or debt of TGTX, (ii) payments made for TGTX’s performance of any research, Development, or Commercialization of any Licensed Product, (iii) (b) royalties on Net Sales (or, in the case of a profit sharing deal structure, shares of net profits) which are covered in Section 5.9, and (iv) any payment or reimbursement of any costs or expenses incurred by TGTX for filing, prosecution, maintenance, or defense of any DFCI Patents or CTI Patents. In the event such consideration received from a Sublicensee is not cash, Sublicense Revenue shall be calculated by TGTX based on the fair market value of such consideration, at the time of the transaction, assuming an arm’s length transaction made in the ordinary course of business.</w:t>
      </w:r>
    </w:p>
    <w:p>
      <w:pPr>
        <w:spacing w:after="0" w:line="149"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1.41 “Tax”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“Taxes” </w:t>
      </w:r>
      <w:r>
        <w:rPr>
          <w:rFonts w:ascii="Times New Roman" w:cs="Times New Roman" w:eastAsia="Times New Roman" w:hAnsi="Times New Roman"/>
          <w:sz w:val="18"/>
          <w:szCs w:val="18"/>
          <w:color w:val="auto"/>
        </w:rPr>
        <w:t>means any federal, state, local or foreign income, gross receipts, license, payroll, employment, excise, severance, stamp,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3" w:name="page74"/>
    <w:bookmarkEnd w:id="73"/>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6"/>
          <w:szCs w:val="16"/>
          <w:b w:val="1"/>
          <w:bCs w:val="1"/>
          <w:color w:val="auto"/>
        </w:rPr>
        <w:t xml:space="preserve">“Third Party” </w:t>
      </w:r>
      <w:r>
        <w:rPr>
          <w:rFonts w:ascii="Times New Roman" w:cs="Times New Roman" w:eastAsia="Times New Roman" w:hAnsi="Times New Roman"/>
          <w:sz w:val="16"/>
          <w:szCs w:val="16"/>
          <w:color w:val="auto"/>
        </w:rPr>
        <w:t>means any Person other than Adimab, DFCI, CTI, TGTX, or Affiliates of either of them, or any Sublicensees.</w:t>
      </w:r>
    </w:p>
    <w:p>
      <w:pPr>
        <w:spacing w:after="0" w:line="185" w:lineRule="exact"/>
        <w:rPr>
          <w:sz w:val="20"/>
          <w:szCs w:val="20"/>
          <w:color w:val="auto"/>
        </w:rPr>
      </w:pPr>
    </w:p>
    <w:p>
      <w:pPr>
        <w:ind w:right="76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1.43 “Third Party Action” </w:t>
      </w:r>
      <w:r>
        <w:rPr>
          <w:rFonts w:ascii="Times New Roman" w:cs="Times New Roman" w:eastAsia="Times New Roman" w:hAnsi="Times New Roman"/>
          <w:sz w:val="18"/>
          <w:szCs w:val="18"/>
          <w:color w:val="auto"/>
        </w:rPr>
        <w:t>means any claim or action made by a Third Party against a Party that claims that a Licensed Product, or its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manufacture or sale infringes such Third Party’s intellectual property rights.</w:t>
      </w:r>
    </w:p>
    <w:p>
      <w:pPr>
        <w:spacing w:after="0" w:line="13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6"/>
          <w:szCs w:val="16"/>
          <w:b w:val="1"/>
          <w:bCs w:val="1"/>
          <w:color w:val="auto"/>
        </w:rPr>
        <w:t xml:space="preserve">“United States”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“US” </w:t>
      </w:r>
      <w:r>
        <w:rPr>
          <w:rFonts w:ascii="Times New Roman" w:cs="Times New Roman" w:eastAsia="Times New Roman" w:hAnsi="Times New Roman"/>
          <w:sz w:val="16"/>
          <w:szCs w:val="16"/>
          <w:color w:val="auto"/>
        </w:rPr>
        <w:t>means the United States of America and its territories and possessions.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 a claim of an issued and unexpired patent that has not been held permanently revoked, invalid or unenforceable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office, court or other governmental agency of competent jurisdiction in a final and non-appealable judgment (or judgment from which no appeal was taken within the allowable time period) and that is not admitted to be invalid or unenforceable through reissue, disclaimer or otherwise (i.e. only to the extent the subject matter is disclaimed or is sought to be deleted or amended through reissue or (b) a claim of a pending patent application within DFCI Patents or Additional PD-L1 Intellectual Property that has not been abandoned, finally rejected or expired without the possibility of appeal or refiling, provided that (i) Valid Claim shall exclude any such pending claim in an application that has not been granted within the latter of five (5) years after the Effective Date or seven (7) years following the earliest priority filing date for such application (unless and until such claim is granted) and (ii) Valid Claim will exclude any such pending claim that does not have a reasonable bona fide basis for patentability, in either case of (i) or (ii), unless and until such claim is granted. Notwithstanding the foregoing, in the event that a claim in a pending patent application is involved in an interference action declared by the US Patent and Trademark Office or any analogous patentability determination by any other national patent office, and, at the time such proceeding is filed or initiated such claim is a Valid Claim, the time period set forth in subsection (i) above will be stayed for the pendency of such proceeding.</w:t>
      </w:r>
    </w:p>
    <w:p>
      <w:pPr>
        <w:spacing w:after="0" w:line="152" w:lineRule="exact"/>
        <w:rPr>
          <w:sz w:val="20"/>
          <w:szCs w:val="20"/>
          <w:color w:val="auto"/>
        </w:rPr>
      </w:pPr>
    </w:p>
    <w:p>
      <w:pPr>
        <w:ind w:right="100" w:firstLine="648"/>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1.46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CTI Patents</w:t>
      </w:r>
      <w:r>
        <w:rPr>
          <w:rFonts w:ascii="Times New Roman" w:cs="Times New Roman" w:eastAsia="Times New Roman" w:hAnsi="Times New Roman"/>
          <w:sz w:val="16"/>
          <w:szCs w:val="16"/>
          <w:color w:val="auto"/>
        </w:rPr>
        <w:t>” means (a) that patent applications set forth as CTI Patents in Schedule 1 hereto; (b) any additions divisionals, continuations,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conversion, supplemental examinations, extensions, term restorations, registrations, reinstatements, amendments, reissuances, corrections, substitutions, re-examinations, registrations, revalidations, supplementary protection certificates, renewals, and foreign counterparts of the patent application mentioned in clause</w:t>
      </w:r>
    </w:p>
    <w:p>
      <w:pPr>
        <w:ind w:right="320" w:firstLine="8"/>
        <w:spacing w:after="0" w:line="261" w:lineRule="auto"/>
        <w:tabs>
          <w:tab w:leader="none" w:pos="23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(c) all patents issuing from the patent applications mentioned in clause (a) or (b) above and any foreign counterparts of any such patents and patent applications, and which shall include, in any case, patents surviving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43" w:lineRule="exact"/>
        <w:rPr>
          <w:sz w:val="20"/>
          <w:szCs w:val="20"/>
          <w:color w:val="auto"/>
        </w:rPr>
      </w:pPr>
    </w:p>
    <w:p>
      <w:pPr>
        <w:ind w:right="60" w:firstLine="648"/>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1.47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Marketing Approval</w:t>
      </w:r>
      <w:r>
        <w:rPr>
          <w:rFonts w:ascii="Times New Roman" w:cs="Times New Roman" w:eastAsia="Times New Roman" w:hAnsi="Times New Roman"/>
          <w:sz w:val="16"/>
          <w:szCs w:val="16"/>
          <w:color w:val="auto"/>
        </w:rPr>
        <w:t>” each means, within any given country, approval to market a Licensed Product legally as a drug or biologic,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approval of a Biologic License Application (as defined in the U.S. Federal Food, Drug and Cosmetics Act and the regulations promulgated thereunder (21 C.F.R.</w:t>
      </w:r>
    </w:p>
    <w:p>
      <w:pPr>
        <w:ind w:right="100" w:firstLine="8"/>
        <w:spacing w:after="0" w:line="261" w:lineRule="auto"/>
        <w:tabs>
          <w:tab w:leader="none" w:pos="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600-680) in the United States, or approval of a comparable filing in the United States or any other jurisdiction. Pricing approval need not be obtained in order for Marketing Approval to be achieved.</w:t>
      </w:r>
    </w:p>
    <w:p>
      <w:pPr>
        <w:spacing w:after="0" w:line="143"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PD-L1 Intellectual Property</w:t>
      </w:r>
      <w:r>
        <w:rPr>
          <w:rFonts w:ascii="Times New Roman" w:cs="Times New Roman" w:eastAsia="Times New Roman" w:hAnsi="Times New Roman"/>
          <w:sz w:val="18"/>
          <w:szCs w:val="18"/>
          <w:color w:val="auto"/>
        </w:rPr>
        <w:t>” means CTI Patents and any patents licensed to CTI under the Collaboration Agreement with Adimab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(namely, Adimab Program Antibody Patents and Adimab Platform Patents).</w:t>
      </w:r>
    </w:p>
    <w:p>
      <w:pPr>
        <w:spacing w:after="0" w:line="130"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1.49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Patents</w:t>
      </w:r>
      <w:r>
        <w:rPr>
          <w:rFonts w:ascii="Times New Roman" w:cs="Times New Roman" w:eastAsia="Times New Roman" w:hAnsi="Times New Roman"/>
          <w:sz w:val="16"/>
          <w:szCs w:val="16"/>
          <w:color w:val="auto"/>
        </w:rPr>
        <w:t>” means DFCI Patents, CTI Patents, Adimab Program Antibody Patents and Adimab Platform Patents.</w:t>
      </w:r>
    </w:p>
    <w:p>
      <w:pPr>
        <w:spacing w:after="0" w:line="18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Adimab Program Antibody Patents</w:t>
      </w:r>
      <w:r>
        <w:rPr>
          <w:rFonts w:ascii="Times New Roman" w:cs="Times New Roman" w:eastAsia="Times New Roman" w:hAnsi="Times New Roman"/>
          <w:sz w:val="18"/>
          <w:szCs w:val="18"/>
          <w:color w:val="auto"/>
        </w:rPr>
        <w:t>” means (a) that patent applications set forth in Schedule 1 hereto; (b) any additions divisionals,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continuations, conversion, supplemental examinations, extensions, term restorations, registrations, reinstatements, amendments, reissuances, corrections, substitutions, re-examinations, registrations, revalidations, supplementary protection certificates, renewals, and foreign counterparts of the patent application mentioned in clause (a) above; (c) all patents issuing from the patent applications mentioned in clause (a) or (b) above and any foreign counterparts of any such patents and patent applications, and which shall include, in any case, patents surviving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48" w:lineRule="exact"/>
        <w:rPr>
          <w:sz w:val="20"/>
          <w:szCs w:val="20"/>
          <w:color w:val="auto"/>
        </w:rPr>
      </w:pPr>
    </w:p>
    <w:p>
      <w:pPr>
        <w:ind w:right="100" w:firstLine="648"/>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1.51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Adimab Platform Patents</w:t>
      </w:r>
      <w:r>
        <w:rPr>
          <w:rFonts w:ascii="Times New Roman" w:cs="Times New Roman" w:eastAsia="Times New Roman" w:hAnsi="Times New Roman"/>
          <w:sz w:val="16"/>
          <w:szCs w:val="16"/>
          <w:color w:val="auto"/>
        </w:rPr>
        <w:t>” means (a) that patent applications set forth in Schedule 1 hereto; (b) any additions divisionals, continuations,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conversion, supplemental examinations, extensions, term restorations, registrations, reinstatements, amendments, reissuances, corrections, substitutions, re-examinations, registrations, revalidations, supplementary protection certificates, renewals, and foreign counterparts of the patent application mentioned in clause</w:t>
      </w:r>
    </w:p>
    <w:p>
      <w:pPr>
        <w:ind w:right="320" w:firstLine="8"/>
        <w:spacing w:after="0" w:line="261" w:lineRule="auto"/>
        <w:tabs>
          <w:tab w:leader="none" w:pos="2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(c) all patents issuing from the patent applications mentioned in clause (a) or (b) above and any foreign counterparts of any such patents and patent applications, and which shall include, in any case, patents surviving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4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6"/>
          <w:szCs w:val="16"/>
          <w:b w:val="1"/>
          <w:bCs w:val="1"/>
          <w:color w:val="auto"/>
        </w:rPr>
        <w:t>CTI Antibodies</w:t>
      </w:r>
      <w:r>
        <w:rPr>
          <w:rFonts w:ascii="Times New Roman" w:cs="Times New Roman" w:eastAsia="Times New Roman" w:hAnsi="Times New Roman"/>
          <w:sz w:val="16"/>
          <w:szCs w:val="16"/>
          <w:color w:val="auto"/>
        </w:rPr>
        <w:t>" means the Antibodies supplied by or on behalf of CTI to TGTX under this Agreement as identified in 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74" w:name="page75"/>
    <w:bookmarkEnd w:id="7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LICENSES AND OTHER RIGHTS</w:t>
      </w:r>
    </w:p>
    <w:p>
      <w:pPr>
        <w:spacing w:after="0" w:line="17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Grant of License to TGTX</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980" w:right="20"/>
        <w:spacing w:after="0" w:line="285" w:lineRule="auto"/>
        <w:tabs>
          <w:tab w:leader="none" w:pos="139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this Agreement, the Collaboration Agreement with Adimab, the excluded rights under Section 3.2(b)(ii) of the Collaboration Agreement with Adimab, the License Agreement, and the reserved rights described in Section 2.4 and Section 2.5 of the License Agreement, effective immediately at the time TGTX is no longer deemed to be an Affiliate of CTI (following receipt by one Party of a written notice from the other Party), CTI hereby grants to TGTX, and TGTX hereby accepts, an exclusive, worldwide, royalty-bearing right and license (with the right to sublicense, subject to the provisions of Section 2.3) under the Additional PD-L1 Intellectual Property and DFCI Patents to</w:t>
      </w:r>
    </w:p>
    <w:p>
      <w:pPr>
        <w:ind w:left="980" w:right="20"/>
        <w:spacing w:after="0" w:line="254" w:lineRule="auto"/>
        <w:tabs>
          <w:tab w:leader="none" w:pos="11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 manufacture, have manufactured, use, import and Commercialize and have Commercialized the Licensed Products, in and for the Field and (ii) to practice and have practiced any Licensed Processes, in and for the Field. CTI and its Affiliates grant no licenses or rights by implication, estoppel or otherwise under any other patent applications or patents owned in whole or in part by CTI other than as expressly set forth herein.</w:t>
      </w:r>
    </w:p>
    <w:p>
      <w:pPr>
        <w:spacing w:after="0" w:line="218" w:lineRule="exact"/>
        <w:rPr>
          <w:rFonts w:ascii="Times New Roman" w:cs="Times New Roman" w:eastAsia="Times New Roman" w:hAnsi="Times New Roman"/>
          <w:sz w:val="18"/>
          <w:szCs w:val="18"/>
          <w:color w:val="auto"/>
        </w:rPr>
      </w:pPr>
    </w:p>
    <w:p>
      <w:pPr>
        <w:ind w:left="1480" w:hanging="500"/>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obligation imposed on a sublicensee under Section 3.2(b)(iii) of the Collaboration Agreement with Adimab, TGTX, by</w:t>
      </w:r>
    </w:p>
    <w:p>
      <w:pPr>
        <w:spacing w:after="0" w:line="21" w:lineRule="exact"/>
        <w:rPr>
          <w:rFonts w:ascii="Times New Roman" w:cs="Times New Roman" w:eastAsia="Times New Roman" w:hAnsi="Times New Roman"/>
          <w:sz w:val="18"/>
          <w:szCs w:val="18"/>
          <w:color w:val="auto"/>
        </w:rPr>
      </w:pPr>
    </w:p>
    <w:p>
      <w:pPr>
        <w:ind w:left="9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this Agreement, explicitly agrees to comply with all applicable terms of the Collaboration Agreement with Adimab, including Section 9.3 (Commitments Regarding Program-Benefited Antibodies) thereof.</w:t>
      </w:r>
    </w:p>
    <w:p>
      <w:pPr>
        <w:spacing w:after="0" w:line="143" w:lineRule="exact"/>
        <w:rPr>
          <w:sz w:val="20"/>
          <w:szCs w:val="20"/>
          <w:color w:val="auto"/>
        </w:rPr>
      </w:pPr>
    </w:p>
    <w:p>
      <w:pPr>
        <w:ind w:right="3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2.2 Affiliates</w:t>
      </w:r>
      <w:r>
        <w:rPr>
          <w:rFonts w:ascii="Times New Roman" w:cs="Times New Roman" w:eastAsia="Times New Roman" w:hAnsi="Times New Roman"/>
          <w:sz w:val="18"/>
          <w:szCs w:val="18"/>
          <w:color w:val="auto"/>
        </w:rPr>
        <w:t>. Effective immediately at the time TGTX is no longer deemed to be an Affiliate of CTI (following receipt by one Party of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from the other Party), TGTX is entitled to extend its licenses under this Article II to its Affiliates, consistent with all of the terms and conditions of this Agreement. If TGTX does extend its license and an Affiliate assumes obligations under the Agreement, TGTX shall be responsible and liable for the acts or omissions of the Affiliate in the exercise of rights under this Agreement. If CTI has a claim arising under this Agreement against an Affiliate, CTI may seek a remedy directly against TGTX and may, but is not required to, seek a remedy against the Affiliate. Any termination of the Agreement under Article X as to TGTX also constitutes termination as to any Affiliates.</w:t>
      </w:r>
    </w:p>
    <w:p>
      <w:pPr>
        <w:spacing w:after="0" w:line="153"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6"/>
          <w:szCs w:val="16"/>
          <w:b w:val="1"/>
          <w:bCs w:val="1"/>
          <w:color w:val="auto"/>
        </w:rPr>
        <w:t>2.3 Grant of Sublicenses by TGTX</w:t>
      </w:r>
      <w:r>
        <w:rPr>
          <w:rFonts w:ascii="Times New Roman" w:cs="Times New Roman" w:eastAsia="Times New Roman" w:hAnsi="Times New Roman"/>
          <w:sz w:val="16"/>
          <w:szCs w:val="16"/>
          <w:color w:val="auto"/>
        </w:rPr>
        <w:t>. Effective immediately at the time TGTX is no longer deemed to be an Affiliate of CTI (following receipt by one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of a written notice from the other Party), TGTX shall have the right, in its sole discretion, to grant Sublicenses, in whole or in part, under the license granted in Section 2.1; provided, however, that the granting by TGTX of a Sublicense shall not relieve TGTX of any of its obligations hereunder; and provided, further, that TGTX’s right to grant a Person a Sublicense shall be subject to TGTX including within such Sublicense express provisions binding the Sublicensee to terms and condition consistent with those contained herein. TGTX shall be and remain fully responsible and primarily liable for the compliance by Sublicensees with the terms and conditions of this Agreement (as applicable to them) as if such Sublicensees were TGTX hereunder. TGTX shall promptly provide a copy of each executed sublicense agreement and any modifications of the sublicense agreement (provided that such copy may be redacted to remove commercially sensitive terms that are not necessary to confirm compliance with the terms and conditions of this Agreement) following execution of such agreement.</w:t>
      </w:r>
    </w:p>
    <w:p>
      <w:pPr>
        <w:spacing w:after="0" w:line="139"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2.4 Delivery of DFCI Know-How, DFCI Antibodies, and CTI Antibodies</w:t>
      </w:r>
      <w:r>
        <w:rPr>
          <w:rFonts w:ascii="Times New Roman" w:cs="Times New Roman" w:eastAsia="Times New Roman" w:hAnsi="Times New Roman"/>
          <w:sz w:val="18"/>
          <w:szCs w:val="18"/>
          <w:color w:val="auto"/>
        </w:rPr>
        <w:t>. Effective immediately at the time TGTX is no longer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of CTI, CTI shall deliver to TGTX DFCI Know-How, DFCI Antibodies, and CTI Antibodies within sixty (60) days of the Effective Date of this Agreement.</w:t>
      </w:r>
    </w:p>
    <w:p>
      <w:pPr>
        <w:spacing w:after="0" w:line="14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2.5 Extension of Rights</w:t>
      </w:r>
      <w:r>
        <w:rPr>
          <w:rFonts w:ascii="Times New Roman" w:cs="Times New Roman" w:eastAsia="Times New Roman" w:hAnsi="Times New Roman"/>
          <w:sz w:val="18"/>
          <w:szCs w:val="18"/>
          <w:color w:val="auto"/>
        </w:rPr>
        <w:t>. During such time as TGTX is deemed an Affiliate of CTI, CTI extends to TGTX all of its rights under the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Adimab (except Adimab Materials, Optioned Program Antibody Know-How and Program Antibody Know-How), License Agreement (except CAIX) subject to the terms and conditions of this Agreement, the Collaboration Agreement with Adimab and the License Agreement, provided that such rights shall be limited to the Field and shall exclude the right to make and have made Licensed Products. TGTX hereby assumes the obligations of CTI under the Collaboration Agreement with Adimab and License Agreement with respect to its exercise of rights thereunder. Such extension of rights shall automatically terminate at the time TGTX is no longer deemed to be an Affiliate of CTI. It is the intention of TGTX and CTI for this Agreement to be consistent with the Collaboration Agreement with Adimab and the License Agreement. During the term of this Agreement, if CTI shall default on any obligations owed Adimab or DFCI then TGTX shall have the right to cure such defaults and set any amounts incurred by TGTX in curing such defaults against any future payments TGTX may owe to CTI.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RIGHTS, DUTIES AND DILIGENCE</w:t>
      </w:r>
    </w:p>
    <w:p>
      <w:pPr>
        <w:spacing w:after="0" w:line="17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Diligence by TGTX. </w:t>
      </w:r>
      <w:r>
        <w:rPr>
          <w:rFonts w:ascii="Times New Roman" w:cs="Times New Roman" w:eastAsia="Times New Roman" w:hAnsi="Times New Roman"/>
          <w:sz w:val="18"/>
          <w:szCs w:val="18"/>
          <w:color w:val="auto"/>
        </w:rPr>
        <w:t>TGTX shall use Commercially Reasonable Efforts to Develop and to Commercialize Licensed Products targeting PD-L1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GITR in the Field. The Parties acknowledge that TGTX may Develop and Commercialize Licensed Products that are a Combination Product containing one or more DFCI Antibodies, CTI Antibodies, or Derivatives thereof. Except as otherwise provided herein or agreed upon in writing, CTI agrees that it will not make, use or sell Licensed Products in the Field (“Exclusivity Covenant”). In addition, TGTX shall have the option (the “Autoimmune Option”) to include Autoimmune Diseases in the Field by providing notice to CTI and making a $1,000,000 payment. Such Autoimmune Option can be exercised up to 7 years from the date of the Original Agreement.</w:t>
      </w:r>
    </w:p>
    <w:p>
      <w:pPr>
        <w:spacing w:after="0" w:line="247" w:lineRule="exact"/>
        <w:rPr>
          <w:sz w:val="20"/>
          <w:szCs w:val="20"/>
          <w:color w:val="auto"/>
        </w:rPr>
      </w:pPr>
    </w:p>
    <w:p>
      <w:pPr>
        <w:ind w:right="34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 Projected Milestone Dates. </w:t>
      </w:r>
      <w:r>
        <w:rPr>
          <w:rFonts w:ascii="Times New Roman" w:cs="Times New Roman" w:eastAsia="Times New Roman" w:hAnsi="Times New Roman"/>
          <w:sz w:val="18"/>
          <w:szCs w:val="18"/>
          <w:color w:val="auto"/>
        </w:rPr>
        <w:t>TGTX shall use its commercially reasonable efforts to meet the following milestones (“Milestones”) by the 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this paragraph, subject to annual adjustment as described below.</w:t>
      </w:r>
    </w:p>
    <w:p>
      <w:pPr>
        <w:spacing w:after="0" w:line="1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this Section 3.2, CTI will consider efforts of an Affiliate or Sublicensee as efforts of TGTX.</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63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   Milestone Dates for a Licensed Product Targeting PD-L1</w:t>
            </w: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380" w:type="dxa"/>
            <w:vAlign w:val="bottom"/>
            <w:tcBorders>
              <w:bottom w:val="single" w:sz="8" w:color="auto"/>
            </w:tcBorders>
          </w:tcPr>
          <w:p>
            <w:pPr>
              <w:spacing w:after="0"/>
              <w:rPr>
                <w:sz w:val="13"/>
                <w:szCs w:val="13"/>
                <w:color w:val="auto"/>
              </w:rPr>
            </w:pPr>
          </w:p>
        </w:tc>
        <w:tc>
          <w:tcPr>
            <w:tcW w:w="1980" w:type="dxa"/>
            <w:vAlign w:val="bottom"/>
            <w:vMerge w:val="restart"/>
          </w:tcPr>
          <w:p>
            <w:pPr>
              <w:spacing w:after="0"/>
              <w:rPr>
                <w:sz w:val="13"/>
                <w:szCs w:val="13"/>
                <w:color w:val="auto"/>
              </w:rPr>
            </w:pPr>
          </w:p>
        </w:tc>
        <w:tc>
          <w:tcPr>
            <w:tcW w:w="5060" w:type="dxa"/>
            <w:vAlign w:val="bottom"/>
            <w:vMerge w:val="restart"/>
          </w:tcPr>
          <w:p>
            <w:pPr>
              <w:jc w:val="center"/>
              <w:ind w:right="1912"/>
              <w:spacing w:after="0"/>
              <w:rPr>
                <w:sz w:val="20"/>
                <w:szCs w:val="20"/>
                <w:color w:val="auto"/>
              </w:rPr>
            </w:pPr>
            <w:r>
              <w:rPr>
                <w:rFonts w:ascii="Times New Roman" w:cs="Times New Roman" w:eastAsia="Times New Roman" w:hAnsi="Times New Roman"/>
                <w:sz w:val="18"/>
                <w:szCs w:val="18"/>
                <w:b w:val="1"/>
                <w:bCs w:val="1"/>
                <w:color w:val="auto"/>
                <w:w w:val="98"/>
              </w:rPr>
              <w:t>Achievement Date</w:t>
            </w:r>
          </w:p>
        </w:tc>
        <w:tc>
          <w:tcPr>
            <w:tcW w:w="0" w:type="dxa"/>
            <w:vAlign w:val="bottom"/>
          </w:tcPr>
          <w:p>
            <w:pPr>
              <w:spacing w:after="0"/>
              <w:rPr>
                <w:sz w:val="1"/>
                <w:szCs w:val="1"/>
                <w:color w:val="auto"/>
              </w:rPr>
            </w:pPr>
          </w:p>
        </w:tc>
      </w:tr>
      <w:tr>
        <w:trPr>
          <w:trHeight w:val="217"/>
        </w:trPr>
        <w:tc>
          <w:tcPr>
            <w:tcW w:w="4380" w:type="dxa"/>
            <w:vAlign w:val="bottom"/>
            <w:tcBorders>
              <w:left w:val="single" w:sz="8" w:color="auto"/>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1980" w:type="dxa"/>
            <w:vAlign w:val="bottom"/>
            <w:vMerge w:val="continue"/>
          </w:tcPr>
          <w:p>
            <w:pPr>
              <w:spacing w:after="0"/>
              <w:rPr>
                <w:sz w:val="18"/>
                <w:szCs w:val="18"/>
                <w:color w:val="auto"/>
              </w:rPr>
            </w:pPr>
          </w:p>
        </w:tc>
        <w:tc>
          <w:tcPr>
            <w:tcW w:w="5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PD-L1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PD-L1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PD-L1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PD-L1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PD-L1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PD-L1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PD-L1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6"/>
              </w:rPr>
              <w:t>[ * ] Years from the Effective Date</w:t>
            </w:r>
          </w:p>
        </w:tc>
        <w:tc>
          <w:tcPr>
            <w:tcW w:w="0" w:type="dxa"/>
            <w:vAlign w:val="bottom"/>
          </w:tcPr>
          <w:p>
            <w:pPr>
              <w:spacing w:after="0"/>
              <w:rPr>
                <w:sz w:val="1"/>
                <w:szCs w:val="1"/>
                <w:color w:val="auto"/>
              </w:rPr>
            </w:pPr>
          </w:p>
        </w:tc>
      </w:tr>
      <w:tr>
        <w:trPr>
          <w:trHeight w:val="457"/>
        </w:trPr>
        <w:tc>
          <w:tcPr>
            <w:tcW w:w="63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   Milestone Dates for a Licensed Product Targeting GITR</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380" w:type="dxa"/>
            <w:vAlign w:val="bottom"/>
            <w:tcBorders>
              <w:bottom w:val="single" w:sz="8" w:color="auto"/>
            </w:tcBorders>
          </w:tcPr>
          <w:p>
            <w:pPr>
              <w:spacing w:after="0"/>
              <w:rPr>
                <w:sz w:val="13"/>
                <w:szCs w:val="13"/>
                <w:color w:val="auto"/>
              </w:rPr>
            </w:pPr>
          </w:p>
        </w:tc>
        <w:tc>
          <w:tcPr>
            <w:tcW w:w="1980" w:type="dxa"/>
            <w:vAlign w:val="bottom"/>
            <w:vMerge w:val="restart"/>
          </w:tcPr>
          <w:p>
            <w:pPr>
              <w:spacing w:after="0"/>
              <w:rPr>
                <w:sz w:val="13"/>
                <w:szCs w:val="13"/>
                <w:color w:val="auto"/>
              </w:rPr>
            </w:pPr>
          </w:p>
        </w:tc>
        <w:tc>
          <w:tcPr>
            <w:tcW w:w="5060" w:type="dxa"/>
            <w:vAlign w:val="bottom"/>
            <w:vMerge w:val="restart"/>
          </w:tcPr>
          <w:p>
            <w:pPr>
              <w:jc w:val="center"/>
              <w:ind w:right="1912"/>
              <w:spacing w:after="0"/>
              <w:rPr>
                <w:sz w:val="20"/>
                <w:szCs w:val="20"/>
                <w:color w:val="auto"/>
              </w:rPr>
            </w:pPr>
            <w:r>
              <w:rPr>
                <w:rFonts w:ascii="Times New Roman" w:cs="Times New Roman" w:eastAsia="Times New Roman" w:hAnsi="Times New Roman"/>
                <w:sz w:val="18"/>
                <w:szCs w:val="18"/>
                <w:b w:val="1"/>
                <w:bCs w:val="1"/>
                <w:color w:val="auto"/>
                <w:w w:val="98"/>
              </w:rPr>
              <w:t>Achievement Date</w:t>
            </w:r>
          </w:p>
        </w:tc>
        <w:tc>
          <w:tcPr>
            <w:tcW w:w="0" w:type="dxa"/>
            <w:vAlign w:val="bottom"/>
          </w:tcPr>
          <w:p>
            <w:pPr>
              <w:spacing w:after="0"/>
              <w:rPr>
                <w:sz w:val="1"/>
                <w:szCs w:val="1"/>
                <w:color w:val="auto"/>
              </w:rPr>
            </w:pPr>
          </w:p>
        </w:tc>
      </w:tr>
      <w:tr>
        <w:trPr>
          <w:trHeight w:val="217"/>
        </w:trPr>
        <w:tc>
          <w:tcPr>
            <w:tcW w:w="4380" w:type="dxa"/>
            <w:vAlign w:val="bottom"/>
            <w:tcBorders>
              <w:left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1980" w:type="dxa"/>
            <w:vAlign w:val="bottom"/>
            <w:vMerge w:val="continue"/>
          </w:tcPr>
          <w:p>
            <w:pPr>
              <w:spacing w:after="0"/>
              <w:rPr>
                <w:sz w:val="18"/>
                <w:szCs w:val="18"/>
                <w:color w:val="auto"/>
              </w:rPr>
            </w:pPr>
          </w:p>
        </w:tc>
        <w:tc>
          <w:tcPr>
            <w:tcW w:w="5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auto"/>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GITR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GITR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GITR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GITR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GITR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GITR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7"/>
              </w:rPr>
              <w:t>[ * ] years from the Effective Date</w:t>
            </w:r>
          </w:p>
        </w:tc>
        <w:tc>
          <w:tcPr>
            <w:tcW w:w="0" w:type="dxa"/>
            <w:vAlign w:val="bottom"/>
          </w:tcPr>
          <w:p>
            <w:pPr>
              <w:spacing w:after="0"/>
              <w:rPr>
                <w:sz w:val="1"/>
                <w:szCs w:val="1"/>
                <w:color w:val="auto"/>
              </w:rPr>
            </w:pPr>
          </w:p>
        </w:tc>
      </w:tr>
      <w:tr>
        <w:trPr>
          <w:trHeight w:val="223"/>
        </w:trPr>
        <w:tc>
          <w:tcPr>
            <w:tcW w:w="438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 * ] for first GITR Licensed Product</w:t>
            </w:r>
          </w:p>
        </w:tc>
        <w:tc>
          <w:tcPr>
            <w:tcW w:w="1980" w:type="dxa"/>
            <w:vAlign w:val="bottom"/>
            <w:tcBorders>
              <w:bottom w:val="single" w:sz="8" w:color="auto"/>
            </w:tcBorders>
          </w:tcPr>
          <w:p>
            <w:pPr>
              <w:spacing w:after="0"/>
              <w:rPr>
                <w:sz w:val="19"/>
                <w:szCs w:val="19"/>
                <w:color w:val="auto"/>
              </w:rPr>
            </w:pPr>
          </w:p>
        </w:tc>
        <w:tc>
          <w:tcPr>
            <w:tcW w:w="5060" w:type="dxa"/>
            <w:vAlign w:val="bottom"/>
            <w:tcBorders>
              <w:bottom w:val="single" w:sz="8" w:color="auto"/>
              <w:right w:val="single" w:sz="8" w:color="auto"/>
            </w:tcBorders>
          </w:tcPr>
          <w:p>
            <w:pPr>
              <w:jc w:val="center"/>
              <w:ind w:right="1912"/>
              <w:spacing w:after="0"/>
              <w:rPr>
                <w:sz w:val="20"/>
                <w:szCs w:val="20"/>
                <w:color w:val="auto"/>
              </w:rPr>
            </w:pPr>
            <w:r>
              <w:rPr>
                <w:rFonts w:ascii="Times New Roman" w:cs="Times New Roman" w:eastAsia="Times New Roman" w:hAnsi="Times New Roman"/>
                <w:sz w:val="18"/>
                <w:szCs w:val="18"/>
                <w:color w:val="auto"/>
                <w:w w:val="96"/>
              </w:rPr>
              <w:t>[ * ] Years from the Effective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-2884805</wp:posOffset>
            </wp:positionV>
            <wp:extent cx="451040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10405" cy="18859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-1255395</wp:posOffset>
            </wp:positionV>
            <wp:extent cx="451040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10405" cy="1885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 Adjustments. </w:t>
      </w:r>
      <w:r>
        <w:rPr>
          <w:rFonts w:ascii="Times New Roman" w:cs="Times New Roman" w:eastAsia="Times New Roman" w:hAnsi="Times New Roman"/>
          <w:sz w:val="18"/>
          <w:szCs w:val="18"/>
          <w:color w:val="auto"/>
        </w:rPr>
        <w:t>The parties acknowledge that since the program is in early pre-clinical development that the dates included in the Milestone 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are rough estimates to provide Adimab, DFCI and CTI a preliminary projection of what can be achieved by what dates, the accuracy of which the parties agree is impossible to predict and will be based on many factors completely outside the control of TGTX and its Diligence Efforts. On an annual basis, with its report contained below, TGTX will, in good faith, update the dates in the Milestones table above to provide CTI an updated assessment of the timing of the upcoming milestones. Upon providing such update, the table above shall be deemed amended notwithstanding Section 11.5 hereof.</w:t>
      </w:r>
    </w:p>
    <w:p>
      <w:pPr>
        <w:spacing w:after="0" w:line="242" w:lineRule="exact"/>
        <w:rPr>
          <w:sz w:val="20"/>
          <w:szCs w:val="20"/>
          <w:color w:val="auto"/>
        </w:rPr>
      </w:pPr>
    </w:p>
    <w:p>
      <w:pPr>
        <w:ind w:right="4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3.4 Development and Commercialization Reports. </w:t>
      </w:r>
      <w:r>
        <w:rPr>
          <w:rFonts w:ascii="Times New Roman" w:cs="Times New Roman" w:eastAsia="Times New Roman" w:hAnsi="Times New Roman"/>
          <w:sz w:val="18"/>
          <w:szCs w:val="18"/>
          <w:color w:val="auto"/>
        </w:rPr>
        <w:t>Within 50 days of the Effective Date and at least 10 days before each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TGTX shall provide to CTI a written report describing the efforts by TGTX, or any Affiliates or Sublicensees, to bring one or more Licensed Products to the marketplace. The report must be in sufficient detail to permit CTI to monitor TGTX’ compliance with the due diligence provisions of this Agreement.</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TGTX shall include at least the following in these reports: (a) a summary of TGTX’ progress toward meeting the goals and objectives that had been established for the previous year; (b) a summary of TGTX’ goals and objectives for the ensuing year for developing and commercializing Licensed Products, including an identification of Licensed Products that TGTX intends to develop, if any; and (c) to the extent not covered by the foregoing, a summary of TGTX’ progress in meeting the Milestone timelines above.</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multiple technologies are covered by this Agreement, the progress report must provide the information set forth above for each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76" w:name="page77"/>
    <w:bookmarkEnd w:id="76"/>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3.5 Failure to Perform. </w:t>
      </w:r>
      <w:r>
        <w:rPr>
          <w:rFonts w:ascii="Times New Roman" w:cs="Times New Roman" w:eastAsia="Times New Roman" w:hAnsi="Times New Roman"/>
          <w:sz w:val="18"/>
          <w:szCs w:val="18"/>
          <w:color w:val="auto"/>
        </w:rPr>
        <w:t>TGTX’s failure to use commercially reasonable efforts to perform any due diligence requirement provided in Section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3.4 is grounds for CTI to terminate this Agreement according to Section 10.2(d); provided that CTI shall only have the right to terminate this Agreement with respect to the specific Licensed Product for which such failure is claimed and the Agreement shall remain in full force and effect for the remaining Licensed Products. In the alternative, CTI may terminate the Exclusivity Covenant (if such failure occurs while TGTX is an Affiliate of CTI) or convert the exclusive licenses granted under this Agreement to a non-exclusive license (if such failure occurs after the time TGTX ceases to be an Affiliate of CTI), as further provided in Section 3.6, as to the specific Licensed Product for which such failure is claimed.</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3.6 Conversion to Non-exclusive License. </w:t>
      </w:r>
      <w:r>
        <w:rPr>
          <w:rFonts w:ascii="Times New Roman" w:cs="Times New Roman" w:eastAsia="Times New Roman" w:hAnsi="Times New Roman"/>
          <w:sz w:val="18"/>
          <w:szCs w:val="18"/>
          <w:color w:val="auto"/>
        </w:rPr>
        <w:t>If (i) the Exclusivity Covenant is terminated as provided in Section 3.5 or (ii) the exclusive license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is converted to a non-exclusive license for any Licensed Product as provided in Section 3.5, this Agreement is automatically amended as follows as it relates to such Licensed Product; (a) the exclusive license of Section 2.1 becomes a non-exclusive license, (b) TGTX loses the right to grant sublicenses under Section 2.3; provided that any sublicense granted prior to such conversion shall continue and not be affected by such conversion, (c) the obligations of Sections 3.1 through 3.4 continue to apply, (d) the obligation under Section 3.10 no longer applies, (e) TGTX has no further rights or obligations under Article VI; provided that CTI shall keep TGTX apprised of any new filings of patent applications and issuance of patents that fall within the DFCI Patents, and (f) CTI has the sole right to pursue apparent infringements and the terms of Article VI no longer apply.</w:t>
      </w:r>
    </w:p>
    <w:p>
      <w:pPr>
        <w:spacing w:after="0" w:line="14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3.7 Costs and Expenses</w:t>
      </w:r>
      <w:r>
        <w:rPr>
          <w:rFonts w:ascii="Times New Roman" w:cs="Times New Roman" w:eastAsia="Times New Roman" w:hAnsi="Times New Roman"/>
          <w:sz w:val="18"/>
          <w:szCs w:val="18"/>
          <w:color w:val="auto"/>
        </w:rPr>
        <w:t>. As between CTI and TGTX, (a) TGTX shall be solely responsible for all costs and expenses related to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the Licensed Products, including without limitation costs and expenses associated with all preclinical activities and clinical trials, and all regulatory filings and administrative proceedings relating to Licensed Products in the Field and (b) CTI shall be the sole and exclusive manufacturer of Licensed Products for TGTX and its Affiliates and Sublicensees, such that TGTX and its Affiliates and Sublicensees shall purchase all of its requirements of Licensed Products from CTI and will not make or have made Licensed Products directly or through its Affiliates or Sublicensees unless CTI is unable to provide sufficient supplies at competitive prices, the terms of which shall be negotiated in a manufacturing and supply agreement. In such case, TGTX may manufacture Licensed Products provided TGTX obtains all necessary licensing rights for such manufacture. TGTX shall be solely responsible for the costs of such additional licenses to manufacture Licensed Products. With the exception of the above, CTI shall be solely responsible for all costs and expenses related to CMC including without limitation, CMC development and scale-up, CMC validation, analytical method development and validation, stability testing, manufacturing, finishing and release. TGTX shall reimburse CTI for CTI’s out-of-pocket cost for Licensed Product used by TGTX for its Development activities and shall pay CTI a manufacturing transfer price for Commercial supplies equal to CTI’s out-of-pocket cost of Licensed Product plus the lesser of: (a) 30% of such cost and (b) 3% of Net Sales generated by the materials supplied The Parties agree to execute a manufacturing and supply agreement within a reasonable time after the execution of the Agreement on these terms and including such other customary and reasonable terms.</w:t>
      </w:r>
    </w:p>
    <w:p>
      <w:pPr>
        <w:spacing w:after="0" w:line="159"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3.8 Patent Marking</w:t>
      </w:r>
      <w:r>
        <w:rPr>
          <w:rFonts w:ascii="Times New Roman" w:cs="Times New Roman" w:eastAsia="Times New Roman" w:hAnsi="Times New Roman"/>
          <w:sz w:val="18"/>
          <w:szCs w:val="18"/>
          <w:color w:val="auto"/>
        </w:rPr>
        <w:t>. TGTX agrees that with respect to each unit or package of Licensed Products sold in a given country, TGTX shall comply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customary patent marking laws and practices of such country as to the applicable Additional PD-L1 Intellectual Property and DFCI Patents.</w:t>
      </w:r>
    </w:p>
    <w:p>
      <w:pPr>
        <w:spacing w:after="0" w:line="130"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3.9 Trademarks</w:t>
      </w:r>
      <w:r>
        <w:rPr>
          <w:rFonts w:ascii="Times New Roman" w:cs="Times New Roman" w:eastAsia="Times New Roman" w:hAnsi="Times New Roman"/>
          <w:sz w:val="18"/>
          <w:szCs w:val="18"/>
          <w:color w:val="auto"/>
        </w:rPr>
        <w:t>. As between TGTX and CTI, TGTX shall have the sole authority to select trademarks for Licensed Products and shall own all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trademarks. CTI does not grant TGTX the right to use any trademarks of CTI, Adimab, DFCI or its respective Affiliates.</w:t>
      </w:r>
    </w:p>
    <w:p>
      <w:pPr>
        <w:spacing w:after="0" w:line="13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3.10 U.S. Manufacture. </w:t>
      </w:r>
      <w:r>
        <w:rPr>
          <w:rFonts w:ascii="Times New Roman" w:cs="Times New Roman" w:eastAsia="Times New Roman" w:hAnsi="Times New Roman"/>
          <w:sz w:val="18"/>
          <w:szCs w:val="18"/>
          <w:color w:val="auto"/>
        </w:rPr>
        <w:t>To the extent TGTX manufactures Licensed Products (e.g. if TGTX and CTI agree that CTI will no longer be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 of Licensed Products), TGTX shall manufacture Licensed Products leased, used or sold in the United States substantially in the United States as required by 35 U.S.C. 204 and 37 C.F.R. 401 et. seq., as amended. TGTX shall also require any Affiliate(s) or Sublicensee(s) to comply with this U.S. manufacture requirement. Notwithstanding the foregoing, if TGTX or its Affiliate(s) or Sublicensee(s) determines that it is not commercially feasible or reasonable to manufacture such Licensed Products in the United States or determines that it is necessary to have additional manufacturers outside the United States for back-up supply or to supply Licensed Products outside the United States, then CTI agrees to make reasonable efforts to assist TGTX, or its Affiliate(s) or Sublicensee(s), as applicable, at TGTX’ expense, in obtaining any necessary permission from the appropriate government authorities to manufacture such Licensed Products outside the United States.</w:t>
      </w:r>
    </w:p>
    <w:p>
      <w:pPr>
        <w:spacing w:after="0" w:line="152" w:lineRule="exact"/>
        <w:rPr>
          <w:sz w:val="20"/>
          <w:szCs w:val="20"/>
          <w:color w:val="auto"/>
        </w:rPr>
      </w:pPr>
    </w:p>
    <w:p>
      <w:pPr>
        <w:ind w:right="26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3.11 Other Government Laws</w:t>
      </w:r>
      <w:r>
        <w:rPr>
          <w:rFonts w:ascii="Times New Roman" w:cs="Times New Roman" w:eastAsia="Times New Roman" w:hAnsi="Times New Roman"/>
          <w:sz w:val="18"/>
          <w:szCs w:val="18"/>
          <w:color w:val="auto"/>
        </w:rPr>
        <w:t>. TGTX shall comply with, and ensure that its Affiliates and Sublicensees comply with, all government statutes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that relate to Licensed Products. These include but are not limited to FDA statutes and regulations, the Export Administration Act of 1979, as amended, codified in 50 App. U.S.C. 2041 et seq. and the regulations promulgated thereunder or other applicable export statutes or regulations.</w:t>
      </w:r>
    </w:p>
    <w:p>
      <w:pPr>
        <w:spacing w:after="0" w:line="235" w:lineRule="exact"/>
        <w:rPr>
          <w:sz w:val="20"/>
          <w:szCs w:val="20"/>
          <w:color w:val="auto"/>
        </w:rPr>
      </w:pPr>
    </w:p>
    <w:p>
      <w:pPr>
        <w:ind w:right="80" w:firstLine="648"/>
        <w:spacing w:after="0" w:line="302" w:lineRule="auto"/>
        <w:rPr>
          <w:sz w:val="20"/>
          <w:szCs w:val="20"/>
          <w:color w:val="auto"/>
        </w:rPr>
      </w:pPr>
      <w:r>
        <w:rPr>
          <w:rFonts w:ascii="Times New Roman" w:cs="Times New Roman" w:eastAsia="Times New Roman" w:hAnsi="Times New Roman"/>
          <w:sz w:val="16"/>
          <w:szCs w:val="16"/>
          <w:b w:val="1"/>
          <w:bCs w:val="1"/>
          <w:color w:val="auto"/>
        </w:rPr>
        <w:t>3.12 Publicity</w:t>
      </w:r>
      <w:r>
        <w:rPr>
          <w:rFonts w:ascii="Times New Roman" w:cs="Times New Roman" w:eastAsia="Times New Roman" w:hAnsi="Times New Roman"/>
          <w:sz w:val="16"/>
          <w:szCs w:val="16"/>
          <w:color w:val="auto"/>
        </w:rPr>
        <w:t>. TGTX, its Affiliate and Sublicensees are not permitted to use the names of CTI, DFCI, its related entities or its employees,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adaptations thereof, in any advertising, promotional or sales literature, or in any securities report required by the Securities and Exchange Commission (except as required by law), without the prior written consent of CTI, Adimab and/or DFCI in each case. However, TGTX may (a) refer to publications in the scientific literature by employees of Adimab, DFCI, or CTI or (b) state that a license from Adimab, DFCI, or CTI has been granted as provided in this Agreement.</w:t>
      </w:r>
    </w:p>
    <w:p>
      <w:pPr>
        <w:spacing w:after="0" w:line="114"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3.13 Other Agreements</w:t>
      </w:r>
      <w:r>
        <w:rPr>
          <w:rFonts w:ascii="Times New Roman" w:cs="Times New Roman" w:eastAsia="Times New Roman" w:hAnsi="Times New Roman"/>
          <w:sz w:val="18"/>
          <w:szCs w:val="18"/>
          <w:color w:val="auto"/>
        </w:rPr>
        <w:t>. In the event that TGTX determines to conduct a clinical trial of a Licensed Product in the Field in the United States, TGTX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consider in good faith and discuss with DFCI the potential of engaging DFCI to serve as a clinical site for such clinical trial; provided that (a) DFCI has the appropriate expertise and patient population to conduct the clinical trial, and (b) DFCI is economically competitive with other sites having substantially similar expertise and patient populations to conduct such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77" w:name="page78"/>
    <w:bookmarkEnd w:id="77"/>
    <w:p>
      <w:pPr>
        <w:ind w:left="52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4"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4.1 Regulatory Filings. </w:t>
      </w:r>
      <w:r>
        <w:rPr>
          <w:rFonts w:ascii="Times New Roman" w:cs="Times New Roman" w:eastAsia="Times New Roman" w:hAnsi="Times New Roman"/>
          <w:sz w:val="16"/>
          <w:szCs w:val="16"/>
          <w:color w:val="auto"/>
        </w:rPr>
        <w:t>As between CTI and TGTX, TGTX (or its applicable Affiliate) shall own and maintain all regulatory filings made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Licensed Products and all Regulatory Approvals for Licensed Products. Once per year, representatives from CTI may visit TGTX and review all such regulatory filings, provided such representatives do not have a conflict of interest or involvement with any competitive companies or technologies and agree to TGTX’s confidentiality agreement.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PROVISIONS</w:t>
      </w:r>
    </w:p>
    <w:p>
      <w:pPr>
        <w:spacing w:after="0" w:line="197"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7"/>
          <w:szCs w:val="17"/>
          <w:b w:val="1"/>
          <w:bCs w:val="1"/>
          <w:color w:val="auto"/>
        </w:rPr>
        <w:t>Upfront Fee</w:t>
      </w:r>
      <w:r>
        <w:rPr>
          <w:rFonts w:ascii="Times New Roman" w:cs="Times New Roman" w:eastAsia="Times New Roman" w:hAnsi="Times New Roman"/>
          <w:sz w:val="17"/>
          <w:szCs w:val="17"/>
          <w:color w:val="auto"/>
        </w:rPr>
        <w:t>. Upon the signing of the Original Agreement, TGTX paid CTI an up-front, non-creditable, non-refundable fee in the amount of Five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Hundred Thousand Dollars ($500,000). Upon the signing of this Agreement, TGTX shall pay CTI a non-creditable, non-refundable fee in the amount of One Million Dollars ($1,000,000).</w:t>
      </w:r>
    </w:p>
    <w:p>
      <w:pPr>
        <w:spacing w:after="0" w:line="125"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5.2 Maintenance Fee</w:t>
      </w:r>
      <w:r>
        <w:rPr>
          <w:rFonts w:ascii="Times New Roman" w:cs="Times New Roman" w:eastAsia="Times New Roman" w:hAnsi="Times New Roman"/>
          <w:sz w:val="18"/>
          <w:szCs w:val="18"/>
          <w:color w:val="auto"/>
        </w:rPr>
        <w:t>. Within thirty (30) days following the second anniversary of the Effective Date and each anniversary thereafter, TGTX shall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CTI an annual license maintenance fee in the amount of [ * ] Dollars ($[ * ]). Such fees are creditable against milestone payments due pursuant to Section 5.6, royalties due pursuant to Section 5.7 or Sublicense Revenue Share Payments (as defined in Section 5.9).</w:t>
      </w:r>
    </w:p>
    <w:p>
      <w:pPr>
        <w:spacing w:after="0" w:line="14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Reserved</w:t>
      </w:r>
      <w:r>
        <w:rPr>
          <w:rFonts w:ascii="Times New Roman" w:cs="Times New Roman" w:eastAsia="Times New Roman" w:hAnsi="Times New Roman"/>
          <w:sz w:val="16"/>
          <w:szCs w:val="16"/>
          <w:color w:val="auto"/>
        </w:rPr>
        <w:t>.</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6"/>
          <w:szCs w:val="16"/>
          <w:b w:val="1"/>
          <w:bCs w:val="1"/>
          <w:color w:val="auto"/>
        </w:rPr>
        <w:t>Milestone Payments.</w:t>
      </w:r>
    </w:p>
    <w:p>
      <w:pPr>
        <w:spacing w:after="0" w:line="185" w:lineRule="exact"/>
        <w:rPr>
          <w:sz w:val="20"/>
          <w:szCs w:val="20"/>
          <w:color w:val="auto"/>
        </w:rPr>
      </w:pPr>
    </w:p>
    <w:p>
      <w:pPr>
        <w:ind w:left="980" w:right="180"/>
        <w:spacing w:after="0" w:line="264" w:lineRule="auto"/>
        <w:tabs>
          <w:tab w:leader="none" w:pos="13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PD-L1-based Milestones. </w:t>
      </w:r>
      <w:r>
        <w:rPr>
          <w:rFonts w:ascii="Times New Roman" w:cs="Times New Roman" w:eastAsia="Times New Roman" w:hAnsi="Times New Roman"/>
          <w:sz w:val="18"/>
          <w:szCs w:val="18"/>
          <w:color w:val="auto"/>
        </w:rPr>
        <w:t>As further partial consideration for CTI’s grant of the rights to TGTX hereunder, TGTX shall pay to CTI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one-time, PD-L1 targeting product-based milestone payments with regard to each Licensed Product targeting PD-L1 (as specifically set forth below). TGTX will pay the relevant milestone payment within thirty (30) days of such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69850</wp:posOffset>
            </wp:positionV>
            <wp:extent cx="364426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44265" cy="188595"/>
                    </a:xfrm>
                    <a:prstGeom prst="rect">
                      <a:avLst/>
                    </a:prstGeom>
                    <a:noFill/>
                  </pic:spPr>
                </pic:pic>
              </a:graphicData>
            </a:graphic>
          </wp:anchor>
        </w:drawing>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740" w:type="dxa"/>
            <w:vAlign w:val="bottom"/>
            <w:tcBorders>
              <w:top w:val="single" w:sz="8" w:color="auto"/>
              <w:left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PD-L1 Targeting Product-based Milestone Events</w:t>
            </w: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Milestone Payment</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4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5680" w:type="dxa"/>
            <w:vAlign w:val="bottom"/>
          </w:tcPr>
          <w:p>
            <w:pPr>
              <w:spacing w:after="0"/>
              <w:rPr>
                <w:sz w:val="24"/>
                <w:szCs w:val="24"/>
                <w:color w:val="auto"/>
              </w:rPr>
            </w:pPr>
          </w:p>
        </w:tc>
      </w:tr>
    </w:tbl>
    <w:p>
      <w:pPr>
        <w:spacing w:after="0" w:line="204" w:lineRule="exact"/>
        <w:rPr>
          <w:sz w:val="20"/>
          <w:szCs w:val="20"/>
          <w:color w:val="auto"/>
        </w:rPr>
      </w:pPr>
    </w:p>
    <w:p>
      <w:pPr>
        <w:ind w:left="980" w:right="40"/>
        <w:spacing w:after="0" w:line="256" w:lineRule="auto"/>
        <w:rPr>
          <w:sz w:val="20"/>
          <w:szCs w:val="20"/>
          <w:color w:val="auto"/>
        </w:rPr>
      </w:pPr>
      <w:r>
        <w:rPr>
          <w:rFonts w:ascii="Times New Roman" w:cs="Times New Roman" w:eastAsia="Times New Roman" w:hAnsi="Times New Roman"/>
          <w:sz w:val="18"/>
          <w:szCs w:val="18"/>
          <w:color w:val="auto"/>
        </w:rPr>
        <w:t>If a later-stage PD-L1 targeting product-based clinical milestone event is achieved for any Licensed Product targeting PD-L1 without one or more earlier-stage clinical milestone events having been achieved for that Licensed Product, then TGTX shall pay the PD-L1 Milestone Payment(s) for such previous clinical milestone event(s) along with the payment for the most recently achieved milestone event. If a milestone event related to [ * ] is achieved without one or more of the clinical milestone events being achieved, then TGTX shall pay the PD-L1 Milestone Payment(s) for such previous clinical milestone event(s) along with the payment for the first milestone event related to [ * ].</w:t>
      </w:r>
    </w:p>
    <w:p>
      <w:pPr>
        <w:spacing w:after="0" w:line="218" w:lineRule="exact"/>
        <w:rPr>
          <w:sz w:val="20"/>
          <w:szCs w:val="20"/>
          <w:color w:val="auto"/>
        </w:rPr>
      </w:pPr>
    </w:p>
    <w:p>
      <w:pPr>
        <w:ind w:left="980" w:right="320"/>
        <w:spacing w:after="0" w:line="264" w:lineRule="auto"/>
        <w:tabs>
          <w:tab w:leader="none" w:pos="14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GITR-based Milestones. </w:t>
      </w:r>
      <w:r>
        <w:rPr>
          <w:rFonts w:ascii="Times New Roman" w:cs="Times New Roman" w:eastAsia="Times New Roman" w:hAnsi="Times New Roman"/>
          <w:sz w:val="18"/>
          <w:szCs w:val="18"/>
          <w:color w:val="auto"/>
        </w:rPr>
        <w:t>As further partial consideration for CTI’s grant of the rights to TGTX hereunder, TGTX shall pay to CTI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one-time, GITR targeting product-based milestone payments with regard to each Licensed Product targeting GITR (as specifically set forth below). TGTX will pay the relevant milestone payment within thirty (30) days of such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69850</wp:posOffset>
            </wp:positionV>
            <wp:extent cx="364426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44265" cy="188595"/>
                    </a:xfrm>
                    <a:prstGeom prst="rect">
                      <a:avLst/>
                    </a:prstGeom>
                    <a:noFill/>
                  </pic:spPr>
                </pic:pic>
              </a:graphicData>
            </a:graphic>
          </wp:anchor>
        </w:drawing>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74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GITR Targeting Product-based Milestone Events</w:t>
            </w: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Milestone Payment</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 ]</w:t>
            </w:r>
          </w:p>
        </w:tc>
        <w:tc>
          <w:tcPr>
            <w:tcW w:w="5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378"/>
        </w:trPr>
        <w:tc>
          <w:tcPr>
            <w:tcW w:w="57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01" w:right="239" w:bottom="1440" w:gutter="0" w:footer="0" w:header="0"/>
        </w:sectPr>
      </w:pPr>
    </w:p>
    <w:bookmarkStart w:id="78" w:name="page79"/>
    <w:bookmarkEnd w:id="78"/>
    <w:p>
      <w:pPr>
        <w:ind w:left="980" w:right="20"/>
        <w:spacing w:after="0" w:line="264" w:lineRule="auto"/>
        <w:tabs>
          <w:tab w:leader="none" w:pos="139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Combination Approval Milestones. </w:t>
      </w:r>
      <w:r>
        <w:rPr>
          <w:rFonts w:ascii="Times New Roman" w:cs="Times New Roman" w:eastAsia="Times New Roman" w:hAnsi="Times New Roman"/>
          <w:sz w:val="18"/>
          <w:szCs w:val="18"/>
          <w:color w:val="auto"/>
        </w:rPr>
        <w:t>If any of the above milestones in (a) and (b) are triggered as a result of a combination approval of two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Licensed Products or combination clinical trial of two or more Licensed Products, only one milestone payment (the higher payment) shall be due to CTI as if the combination was a single Licensed Product.</w:t>
      </w:r>
    </w:p>
    <w:p>
      <w:pPr>
        <w:spacing w:after="0" w:line="140" w:lineRule="exact"/>
        <w:rPr>
          <w:rFonts w:ascii="Times New Roman" w:cs="Times New Roman" w:eastAsia="Times New Roman" w:hAnsi="Times New Roman"/>
          <w:sz w:val="18"/>
          <w:szCs w:val="18"/>
          <w:color w:val="auto"/>
        </w:rPr>
      </w:pPr>
    </w:p>
    <w:p>
      <w:pPr>
        <w:ind w:left="980" w:right="20"/>
        <w:spacing w:after="0" w:line="264" w:lineRule="auto"/>
        <w:tabs>
          <w:tab w:leader="none" w:pos="14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Aggregate Net Sales Achievement Milestones: </w:t>
      </w:r>
      <w:r>
        <w:rPr>
          <w:rFonts w:ascii="Times New Roman" w:cs="Times New Roman" w:eastAsia="Times New Roman" w:hAnsi="Times New Roman"/>
          <w:sz w:val="18"/>
          <w:szCs w:val="18"/>
          <w:color w:val="auto"/>
        </w:rPr>
        <w:t>As further consideration for CTI’s grant of the rights to TGTX hereunder, TGTX shall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CTI the following one-time milestone payments upon first achievement of worldwide Net Sales (as specifically set forth below) by TGTX and its Affiliates and Sublicensees. TGTX will pay the relevant milestone payment within 90 days of such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207010</wp:posOffset>
            </wp:positionV>
            <wp:extent cx="147447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74470" cy="188595"/>
                    </a:xfrm>
                    <a:prstGeom prst="rect">
                      <a:avLst/>
                    </a:prstGeom>
                    <a:noFill/>
                  </pic:spPr>
                </pic:pic>
              </a:graphicData>
            </a:graphic>
          </wp:anchor>
        </w:drawing>
      </w: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9160" w:type="dxa"/>
            <w:vAlign w:val="bottom"/>
            <w:tcBorders>
              <w:top w:val="single" w:sz="8" w:color="auto"/>
              <w:left w:val="single" w:sz="8" w:color="auto"/>
              <w:bottom w:val="single" w:sz="8" w:color="auto"/>
            </w:tcBorders>
          </w:tcPr>
          <w:p>
            <w:pPr>
              <w:ind w:left="2900"/>
              <w:spacing w:after="0"/>
              <w:rPr>
                <w:sz w:val="20"/>
                <w:szCs w:val="20"/>
                <w:color w:val="auto"/>
              </w:rPr>
            </w:pPr>
            <w:r>
              <w:rPr>
                <w:rFonts w:ascii="Times New Roman" w:cs="Times New Roman" w:eastAsia="Times New Roman" w:hAnsi="Times New Roman"/>
                <w:sz w:val="18"/>
                <w:szCs w:val="18"/>
                <w:b w:val="1"/>
                <w:bCs w:val="1"/>
                <w:color w:val="auto"/>
              </w:rPr>
              <w:t>Aggregate Net Sales Achievement Milestones</w:t>
            </w:r>
          </w:p>
        </w:tc>
        <w:tc>
          <w:tcPr>
            <w:tcW w:w="2260" w:type="dxa"/>
            <w:vAlign w:val="bottom"/>
          </w:tcPr>
          <w:p>
            <w:pPr>
              <w:spacing w:after="0"/>
              <w:rPr>
                <w:sz w:val="20"/>
                <w:szCs w:val="20"/>
                <w:color w:val="auto"/>
              </w:rPr>
            </w:pPr>
          </w:p>
        </w:tc>
      </w:tr>
      <w:tr>
        <w:trPr>
          <w:trHeight w:val="223"/>
        </w:trPr>
        <w:tc>
          <w:tcPr>
            <w:tcW w:w="9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first time aggregate worldwide Net Sales for all Licensed Products exceeds $[ * ] in any Calendar Year</w:t>
            </w:r>
          </w:p>
        </w:tc>
        <w:tc>
          <w:tcPr>
            <w:tcW w:w="22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 * ]</w:t>
            </w:r>
          </w:p>
        </w:tc>
      </w:tr>
      <w:tr>
        <w:trPr>
          <w:trHeight w:val="223"/>
        </w:trPr>
        <w:tc>
          <w:tcPr>
            <w:tcW w:w="9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first time aggregate worldwide Net Sales for all Licensed Products exceeds $[ * ] in any Calendar Year</w:t>
            </w:r>
          </w:p>
        </w:tc>
        <w:tc>
          <w:tcPr>
            <w:tcW w:w="22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 * ]</w:t>
            </w:r>
          </w:p>
        </w:tc>
      </w:tr>
      <w:tr>
        <w:trPr>
          <w:trHeight w:val="223"/>
        </w:trPr>
        <w:tc>
          <w:tcPr>
            <w:tcW w:w="9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first time aggregate worldwide Net Sales for all Licensed Products exceeds $[ * ] in any Calendar Year</w:t>
            </w:r>
          </w:p>
        </w:tc>
        <w:tc>
          <w:tcPr>
            <w:tcW w:w="22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 * ]</w:t>
            </w:r>
          </w:p>
        </w:tc>
      </w:tr>
      <w:tr>
        <w:trPr>
          <w:trHeight w:val="223"/>
        </w:trPr>
        <w:tc>
          <w:tcPr>
            <w:tcW w:w="9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first time aggregate worldwide Net Sales for all Licensed Products exceeds $[ * ] in any Calendar Year</w:t>
            </w:r>
          </w:p>
        </w:tc>
        <w:tc>
          <w:tcPr>
            <w:tcW w:w="2260" w:type="dxa"/>
            <w:vAlign w:val="bottom"/>
            <w:tcBorders>
              <w:bottom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 * ]</w:t>
            </w:r>
          </w:p>
        </w:tc>
      </w:tr>
    </w:tbl>
    <w:p>
      <w:pPr>
        <w:spacing w:after="0" w:line="22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6"/>
          <w:szCs w:val="16"/>
          <w:b w:val="1"/>
          <w:bCs w:val="1"/>
          <w:color w:val="auto"/>
        </w:rPr>
        <w:t>Royalty, Etc. Payments for Licensed Products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980" w:right="60"/>
        <w:spacing w:after="0" w:line="262" w:lineRule="auto"/>
        <w:tabs>
          <w:tab w:leader="none" w:pos="13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Net Sales of all Licensed Products: As further consideration for CTI’s grant of the rights to TGTX hereunder, TGTX shall pay to CTI a royalty of on aggregate annual worldwide Net Sales of all such Licensed Products by TGTX and its Affiliates and Sublicensees (but excluding Net Sales of a given Licensed Product after its applicable Royalty Term) at the percentage rates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5506720</wp:posOffset>
            </wp:positionH>
            <wp:positionV relativeFrom="paragraph">
              <wp:posOffset>71755</wp:posOffset>
            </wp:positionV>
            <wp:extent cx="17576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57680" cy="188595"/>
                    </a:xfrm>
                    <a:prstGeom prst="rect">
                      <a:avLst/>
                    </a:prstGeom>
                    <a:noFill/>
                  </pic:spPr>
                </pic:pic>
              </a:graphicData>
            </a:graphic>
          </wp:anchor>
        </w:drawing>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8720" w:type="dxa"/>
            <w:vAlign w:val="bottom"/>
            <w:tcBorders>
              <w:top w:val="single" w:sz="8" w:color="auto"/>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Annual Worldwide Net Sales of All Licensed Products per Calendar Year (US Dollars)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Incremental Royalty Rate</w:t>
            </w:r>
          </w:p>
        </w:tc>
      </w:tr>
      <w:tr>
        <w:trPr>
          <w:trHeight w:val="223"/>
        </w:trPr>
        <w:tc>
          <w:tcPr>
            <w:tcW w:w="8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Net Sales of such Licensed Products from $0 up to and including $[ * ]</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r>
        <w:trPr>
          <w:trHeight w:val="223"/>
        </w:trPr>
        <w:tc>
          <w:tcPr>
            <w:tcW w:w="8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that portion of Net Sales of such Licensed Products that is greater than $[ * ]</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 ]%</w:t>
            </w:r>
          </w:p>
        </w:tc>
      </w:tr>
    </w:tbl>
    <w:p>
      <w:pPr>
        <w:spacing w:after="0" w:line="229" w:lineRule="exact"/>
        <w:rPr>
          <w:sz w:val="20"/>
          <w:szCs w:val="20"/>
          <w:color w:val="auto"/>
        </w:rPr>
      </w:pPr>
    </w:p>
    <w:p>
      <w:pPr>
        <w:ind w:left="980" w:right="100"/>
        <w:spacing w:after="0" w:line="293" w:lineRule="auto"/>
        <w:tabs>
          <w:tab w:leader="none" w:pos="140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the manufacture of a Licensed Product give rise to a royalty/payment in the nature of royalties obligation until the particular unit of Licensed Product is sold; but if Net Sales of a particular unit of Licensed Product might or might not be subject to a royalty/payment in the nature of royalties payment (e.g., manufactured in Country A where the Royalty Term has expired but sold in Country B where the Royalty Term has not expired), the sale shall be deemed to be subject to a royalty/payment in the nature of royalties payment. For clarity, TGTX’s obligation to pay royalties to CTI under Section 5.7(a) is imposed only once with respect to the same unit of Licensed Product regardless of the number of DFCI Patents pertaining thereto or the number of times such Licensed Product has been sold or transferred to a Person.</w:t>
      </w:r>
    </w:p>
    <w:p>
      <w:pPr>
        <w:spacing w:after="0" w:line="124" w:lineRule="exact"/>
        <w:rPr>
          <w:rFonts w:ascii="Times New Roman" w:cs="Times New Roman" w:eastAsia="Times New Roman" w:hAnsi="Times New Roman"/>
          <w:sz w:val="16"/>
          <w:szCs w:val="16"/>
          <w:color w:val="auto"/>
        </w:rPr>
      </w:pPr>
    </w:p>
    <w:p>
      <w:pPr>
        <w:ind w:left="980" w:right="240"/>
        <w:spacing w:after="0" w:line="262" w:lineRule="auto"/>
        <w:tabs>
          <w:tab w:leader="none" w:pos="13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Licensed Product by Licensed Product and country-by-country basis, upon expiration of the Royalty Term for a Licensed Product in a country, the rights, licenses and sublicenses granted to TGTX hereunder with respect to such Licensed Product in such country shall continue in effect but become fully paid-up, royalty-free, and perpetual.</w:t>
      </w:r>
    </w:p>
    <w:p>
      <w:pPr>
        <w:spacing w:after="0" w:line="145"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jc w:val="both"/>
        <w:ind w:left="980" w:right="60"/>
        <w:spacing w:after="0" w:line="258" w:lineRule="auto"/>
        <w:tabs>
          <w:tab w:leader="none" w:pos="1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Licensed Product in a country is not Covered by a Valid Claim of a Licensed Patent, royalties with respect to such Licensed Product in such country shall be reduced by [ * ] percent ([ * ]%) of the applicable royalty rate as set forth in Section 5.5(a) and shall be due for the period commencing with the First Commercial Sale of such Licensed Product in such country and ending ten (10) years from date of such First Commercial Sale.</w:t>
      </w:r>
    </w:p>
    <w:p>
      <w:pPr>
        <w:spacing w:after="0" w:line="149" w:lineRule="exact"/>
        <w:rPr>
          <w:rFonts w:ascii="Times New Roman" w:cs="Times New Roman" w:eastAsia="Times New Roman" w:hAnsi="Times New Roman"/>
          <w:sz w:val="18"/>
          <w:szCs w:val="18"/>
          <w:color w:val="auto"/>
        </w:rPr>
      </w:pPr>
    </w:p>
    <w:p>
      <w:pPr>
        <w:ind w:left="980" w:right="220"/>
        <w:spacing w:after="0" w:line="275" w:lineRule="auto"/>
        <w:tabs>
          <w:tab w:leader="none" w:pos="14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in no event shall the royalty rates set forth in Section 5.7(a) be reduced under 5.7(d), (e), and (f) above by more than [ * ]% collectively.</w:t>
      </w:r>
    </w:p>
    <w:p>
      <w:pPr>
        <w:spacing w:after="0" w:line="13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5.6 Timing of Royalty Payment. </w:t>
      </w:r>
      <w:r>
        <w:rPr>
          <w:rFonts w:ascii="Times New Roman" w:cs="Times New Roman" w:eastAsia="Times New Roman" w:hAnsi="Times New Roman"/>
          <w:sz w:val="18"/>
          <w:szCs w:val="18"/>
          <w:color w:val="auto"/>
        </w:rPr>
        <w:t>Royalties/payments in the nature of royalties payable under Section 5.5 shall be payable on actual Net Sales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accrue at the time provided therefor by US GAAP. Royalty/payment in the nature of royalties obligations that have accrued during a particular Calendar Quarter shall be paid, on a Calendar Quarter basis, within 80 days after the end of each Calendar Quarter during which the royalty/payment in the nature of royalties obligation accrued; provided that within 40 days after the conclusion of each Calendar Year TGTX shall provide notice to CTI of any adjustments necessary to account for any royalties/payment in the nature of royalties which were overpaid or underpaid for such prior Calendar Year’s Calendar Quarters, and the Parties shall promptly true-up based on such adjustments, provided however, the lapse of such 50-day period shall not impact the right of TGTX to credit any over-payments discovered during an audit against future royalties due under Section 5.5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79" w:name="page80"/>
    <w:bookmarkEnd w:id="79"/>
    <w:p>
      <w:pPr>
        <w:ind w:right="6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5.7 Sublicense Revenue</w:t>
      </w:r>
      <w:r>
        <w:rPr>
          <w:rFonts w:ascii="Times New Roman" w:cs="Times New Roman" w:eastAsia="Times New Roman" w:hAnsi="Times New Roman"/>
          <w:sz w:val="18"/>
          <w:szCs w:val="18"/>
          <w:color w:val="auto"/>
        </w:rPr>
        <w:t>. TGTX shall pay to CTI [ * ] percent ([ * ]%) of all Sublicense Revenue received by TGTX (“</w:t>
      </w:r>
      <w:r>
        <w:rPr>
          <w:rFonts w:ascii="Times New Roman" w:cs="Times New Roman" w:eastAsia="Times New Roman" w:hAnsi="Times New Roman"/>
          <w:sz w:val="18"/>
          <w:szCs w:val="18"/>
          <w:b w:val="1"/>
          <w:bCs w:val="1"/>
          <w:color w:val="auto"/>
        </w:rPr>
        <w:t>Sublicense Revenue Share Payments</w:t>
      </w:r>
      <w:r>
        <w:rPr>
          <w:rFonts w:ascii="Times New Roman" w:cs="Times New Roman" w:eastAsia="Times New Roman" w:hAnsi="Times New Roman"/>
          <w:sz w:val="18"/>
          <w:szCs w:val="18"/>
          <w:color w:val="auto"/>
        </w:rPr>
        <w:t>”). Sublicense Revenue Share Payments shall be paid, on a Calendar Quarter basis, within 80 days after the end of each Calendar Quarter during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Sublicense Revenue is received.</w:t>
      </w:r>
    </w:p>
    <w:p>
      <w:pPr>
        <w:spacing w:after="0" w:line="141" w:lineRule="exact"/>
        <w:rPr>
          <w:sz w:val="20"/>
          <w:szCs w:val="20"/>
          <w:color w:val="auto"/>
        </w:rPr>
      </w:pPr>
    </w:p>
    <w:p>
      <w:pPr>
        <w:ind w:right="20" w:firstLine="648"/>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5.8 Royalty Reports and Records Retention. </w:t>
      </w:r>
      <w:r>
        <w:rPr>
          <w:rFonts w:ascii="Times New Roman" w:cs="Times New Roman" w:eastAsia="Times New Roman" w:hAnsi="Times New Roman"/>
          <w:sz w:val="16"/>
          <w:szCs w:val="16"/>
          <w:color w:val="auto"/>
        </w:rPr>
        <w:t>Within 50 days after the end of each Calendar Quarter during which Licensed Products have been sold,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TGTX shall deliver to CTI, together with the applicable royalty/payment in the nature of royalties payment due, a written report, on a Licensed Product-by-Licensed Product (and specifying non-Covered status, as applicable) and country-by-country basis, of (a) (a)Number of Licensed Products manufactured and sold by TGTX, and any Affiliates or Sublicensees, in each country; (b) gross invoiced (or otherwise charged) amounts of sales, by TGTX and its Affiliates and Sublicensees, of Licensed Products subject to royalty payments for such Calendar Quarter (and, if non-Covered, subject to royalty/payment in the nature of royalties payments for such Calendar Quarter), (c) amounts deducted by category (following the definition of Net Sales) from such gross invoiced amounts to calculate Net Sales, (d) Net Sales subject to royalty or royalty/payment in the nature of royalties payments for such Calendar Quarter and Calendar Year to date, and (e) the corresponding royalty or royalty/payment in the nature of royalties, and (f) the nature and amount of Sublicense Revenue received by TGTX. Such report shall be deemed “Confidential Information” of TGTX subject to the obligations of Article VII of this Agreement. For three years after each sale of a Licensed Product (whether Covered or not), TGTX shall keep (and shall ensure that its Affiliates and Sublicensees shall keep) complete and accurate records of such sale in sufficient detail to confirm the accuracy of the royalty or royalty/payment in the nature of royalties calculations hereunder.</w:t>
      </w:r>
    </w:p>
    <w:p>
      <w:pPr>
        <w:spacing w:after="0" w:line="34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color w:val="auto"/>
        </w:rPr>
        <w:t>CTI shall be solely responsible for paying directly to DFCI all payments due to DFCI under Section 5 of the License Agreement that arise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rights by TGTX under this Agreement, including, without limitation, royalties on TGTX’s Net Sales. Likewise, CTI shall be solely responsible for paying directly to Adimab all payments due to Adimab under Section 4 of the Collaboration Agreement with Adimab that arise out of the exercise of rights by TGTX under this Agreement, including, without limitation, royalties on TGTX’s Net Sales.</w:t>
      </w:r>
    </w:p>
    <w:p>
      <w:pPr>
        <w:spacing w:after="0" w:line="14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8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6"/>
          <w:szCs w:val="16"/>
          <w:b w:val="1"/>
          <w:bCs w:val="1"/>
          <w:color w:val="auto"/>
        </w:rPr>
        <w:t>Books and Audits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firstLine="574"/>
        <w:spacing w:after="0" w:line="258" w:lineRule="auto"/>
        <w:rPr>
          <w:sz w:val="20"/>
          <w:szCs w:val="20"/>
          <w:color w:val="auto"/>
        </w:rPr>
      </w:pPr>
      <w:r>
        <w:rPr>
          <w:rFonts w:ascii="Times New Roman" w:cs="Times New Roman" w:eastAsia="Times New Roman" w:hAnsi="Times New Roman"/>
          <w:sz w:val="18"/>
          <w:szCs w:val="18"/>
          <w:color w:val="auto"/>
        </w:rPr>
        <w:t>TGTX shall keep, and shall require its Affiliates and Sublicensees to keep, true books of account containing an accurate record (together with supporting documentation) of all data necessary for determining the amounts payable to CTI. TGTX shall keep it records at its principal place of business or the principal place of business of the appropriate division of TGTX to which this Agreement relates and shall require its Affiliates and Sublicenses to keep their books and records in the same manner.</w:t>
      </w:r>
    </w:p>
    <w:p>
      <w:pPr>
        <w:spacing w:after="0" w:line="150" w:lineRule="exact"/>
        <w:rPr>
          <w:sz w:val="20"/>
          <w:szCs w:val="20"/>
          <w:color w:val="auto"/>
        </w:rPr>
      </w:pPr>
    </w:p>
    <w:p>
      <w:pPr>
        <w:ind w:left="980"/>
        <w:spacing w:after="0" w:line="254" w:lineRule="auto"/>
        <w:tabs>
          <w:tab w:leader="none" w:pos="13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earlier of (i) the First Commercial Sale (of the first Licensed Product to have a First Commercial Sale) or (ii) receipt of Sublicense Revenue, and continuing until one Calendar Year after the conclusion of the final Royalty Term, upon the written request of CTI, and not more than once in each Calendar Year, TGTX shall permit, shall cause its Affiliates to permit, an independent certified public accounting firm of nationally recognized standing selected by CTI (who has not been engaged by CTI to provide services in any other capacity at any time during the three-year period before such selection), and reasonably acceptable to TGTX or such Affiliate, to have access to and to review, during normal business hours upon reasonable prior written notice, the applicable records of TGTX and its Affiliates to verify the accuracy of the royalty payments and Sublicense Revenue Share Payments. Such review may cover: (i) the records for the Calendar Year ending not more than three years before the date of such request, and (ii) only those periods that have not been subject to a prior audit.</w:t>
      </w:r>
    </w:p>
    <w:p>
      <w:pPr>
        <w:spacing w:after="0" w:line="151" w:lineRule="exact"/>
        <w:rPr>
          <w:rFonts w:ascii="Times New Roman" w:cs="Times New Roman" w:eastAsia="Times New Roman" w:hAnsi="Times New Roman"/>
          <w:sz w:val="18"/>
          <w:szCs w:val="18"/>
          <w:color w:val="auto"/>
        </w:rPr>
      </w:pPr>
    </w:p>
    <w:p>
      <w:pPr>
        <w:ind w:left="980"/>
        <w:spacing w:after="0" w:line="253" w:lineRule="auto"/>
        <w:tabs>
          <w:tab w:leader="none" w:pos="14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accounting firm concludes that additional amounts were owed during such period, TGTX shall pay the additional royalties and/or royalties/payment in the nature of royalties within 15 days after the date such public accounting firm delivers to TGTX such accounting firm’s written report. If such accounting firm concludes that an overpayment was made, such overpayment shall be fully creditable against amounts payable in subsequent payment periods. If TGTX disagrees with such calculation, TGTX may contest such calculation in writing – at which point the parties will work in good faith to submit the matter to a mediator for resolution. If the parties are unable to reach an agreement via mediation, then TGTX may initiate a court action to seek to recover the additional payment or to increase the amount of credit or reimbursement. CTI shall pay for the cost of any audit by CTI, unless TGTX has underpaid CTI by 5% or more for a specific royalty period, in which case TGTX shall pay for the reasonable costs of audit, as well as any additional sum that would have been payable to CTI had the TGTX reported correctly, plus interest as set forth in Section 4.14.</w:t>
      </w:r>
    </w:p>
    <w:p>
      <w:pPr>
        <w:spacing w:after="0" w:line="156" w:lineRule="exact"/>
        <w:rPr>
          <w:rFonts w:ascii="Times New Roman" w:cs="Times New Roman" w:eastAsia="Times New Roman" w:hAnsi="Times New Roman"/>
          <w:sz w:val="18"/>
          <w:szCs w:val="18"/>
          <w:color w:val="auto"/>
        </w:rPr>
      </w:pPr>
    </w:p>
    <w:p>
      <w:pPr>
        <w:jc w:val="both"/>
        <w:ind w:left="980" w:right="40"/>
        <w:spacing w:after="0" w:line="258" w:lineRule="auto"/>
        <w:tabs>
          <w:tab w:leader="none" w:pos="13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treat all information that it receives under this Section 5.10 in accordance with the confidentiality provisions of Article VII of this Agreement, and shall cause its accounting firm to enter into an acceptable confidentiality agreement with the audited Party obligating such firm to retain all such financial information in confidence pursuant to such confidentiality agreement, except to the extent necessary for a Party to enforce its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0" w:name="page81"/>
    <w:bookmarkEnd w:id="80"/>
    <w:p>
      <w:pPr>
        <w:ind w:right="160" w:firstLine="648"/>
        <w:spacing w:after="0" w:line="342" w:lineRule="auto"/>
        <w:rPr>
          <w:sz w:val="20"/>
          <w:szCs w:val="20"/>
          <w:color w:val="auto"/>
        </w:rPr>
      </w:pPr>
      <w:r>
        <w:rPr>
          <w:rFonts w:ascii="Times New Roman" w:cs="Times New Roman" w:eastAsia="Times New Roman" w:hAnsi="Times New Roman"/>
          <w:sz w:val="16"/>
          <w:szCs w:val="16"/>
          <w:b w:val="1"/>
          <w:bCs w:val="1"/>
          <w:color w:val="auto"/>
        </w:rPr>
        <w:t>5.12 Mode of Payment and Currency</w:t>
      </w:r>
      <w:r>
        <w:rPr>
          <w:rFonts w:ascii="Times New Roman" w:cs="Times New Roman" w:eastAsia="Times New Roman" w:hAnsi="Times New Roman"/>
          <w:sz w:val="16"/>
          <w:szCs w:val="16"/>
          <w:color w:val="auto"/>
        </w:rPr>
        <w:t>. All payments to CTI under this Agreement, whether or not in respect of Net Sales or milestone events,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made by deposit of US Dollars in the requisite amount to the following, which CTI may from time to time amend by advance written notice to TGTX.</w:t>
      </w:r>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by check:</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Checkpoint Therapeutics, Inc.</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Gansevoort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by wire transfer: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be provided]</w:t>
      </w:r>
    </w:p>
    <w:p>
      <w:pPr>
        <w:spacing w:after="0" w:line="374" w:lineRule="exact"/>
        <w:rPr>
          <w:sz w:val="20"/>
          <w:szCs w:val="20"/>
          <w:color w:val="auto"/>
        </w:rPr>
      </w:pPr>
    </w:p>
    <w:p>
      <w:pPr>
        <w:jc w:val="both"/>
        <w:ind w:right="20" w:firstLine="605"/>
        <w:spacing w:after="0" w:line="262" w:lineRule="auto"/>
        <w:rPr>
          <w:sz w:val="20"/>
          <w:szCs w:val="20"/>
          <w:color w:val="auto"/>
        </w:rPr>
      </w:pPr>
      <w:r>
        <w:rPr>
          <w:rFonts w:ascii="Times New Roman" w:cs="Times New Roman" w:eastAsia="Times New Roman" w:hAnsi="Times New Roman"/>
          <w:sz w:val="18"/>
          <w:szCs w:val="18"/>
          <w:color w:val="auto"/>
        </w:rPr>
        <w:t>Conversion of sales or expenses recorded in local currencies to Dollars will be performed in a manner consistent with TGTX’s normal practices used to prepare its audited financial statements for external reporting purposes, provided that such practices use a widely accepted source of published exchange rates. Based on the resulting Net Sales in US Dollars, the then applicable royalties/payment in the nature of royalties shall be calculated.</w:t>
      </w:r>
    </w:p>
    <w:p>
      <w:pPr>
        <w:spacing w:after="0" w:line="144"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6"/>
          <w:szCs w:val="16"/>
          <w:b w:val="1"/>
          <w:bCs w:val="1"/>
          <w:color w:val="auto"/>
        </w:rPr>
        <w:t>5.13 Late Payments</w:t>
      </w:r>
      <w:r>
        <w:rPr>
          <w:rFonts w:ascii="Times New Roman" w:cs="Times New Roman" w:eastAsia="Times New Roman" w:hAnsi="Times New Roman"/>
          <w:sz w:val="16"/>
          <w:szCs w:val="16"/>
          <w:color w:val="auto"/>
        </w:rPr>
        <w:t>. If a Party does not receive payment of any sum due to it on or before the due date therefor, simple interest shall thereafter accrue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the sum due to such Party from the due date until the date of payment at a rate equal to the lesser of (a) US dollar one-month LIBOR plus 300 basis points, or</w:t>
      </w:r>
    </w:p>
    <w:p>
      <w:pPr>
        <w:ind w:right="100" w:firstLine="8"/>
        <w:spacing w:after="0" w:line="255"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rate permissible under applicable Law. Accrual and payment of interest shall not be deemed to excuse or cure breaches of contract arising from late payment or nonpayment. Waiver or deferral by CTI of any payment owed under any paragraph under this Article V may not be construed as a waiver or deferral of any subsequent payment owed by TGTX to CTI.</w:t>
      </w:r>
    </w:p>
    <w:p>
      <w:pPr>
        <w:spacing w:after="0" w:line="15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5.14 Taxes. </w:t>
      </w:r>
      <w:r>
        <w:rPr>
          <w:rFonts w:ascii="Times New Roman" w:cs="Times New Roman" w:eastAsia="Times New Roman" w:hAnsi="Times New Roman"/>
          <w:sz w:val="18"/>
          <w:szCs w:val="18"/>
          <w:color w:val="auto"/>
        </w:rPr>
        <w:t>All amounts due hereunder exclude all applicable sales, use, and other taxes and duties, and TGTX shall be responsible for payment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taxes (other than taxes based on CTI’s income) and duties and any related penalties and interest, arising from the payment of amounts due under this Agreement. The Parties agree to cooperate with one another and use Commercially Reasonable Efforts to avoid or reduce tax withholding or similar obligations in respect of royalties, payments in the nature of royalties, milestone payments, and other payments made by TGTX to CTI under this Agreement. To the extent TGTX is required to withhold taxes on any payment to CTI, TGTX shall pay the amounts of such taxes to the proper governmental authority in a timely manner and promptly transmit to CTI official receipts issued by the appropriate taxing authority and/or an official tax certificate, or such other evidence as CTI may reasonably request, to establish that such taxes have been paid. CTI shall provide TGTX any tax forms that may be reasonably necessary in order for TGTX to not withhold tax or to withhold tax at a reduced rate under an applicable bilateral income tax treaty. CTI shall use Commercially Reasonable Efforts to provide any such tax forms to TGTX at least 45 days before the due date for any payment for which CTI desires that TGTX apply a reduced withholding rate. Each Party shall provide the others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 CTI shall indemnify and hold TGTX harmless from and against any penalties, interest or other tax liability arising from any failure by TGTX (at the express request of CTI) to withhold or by reduction (at the express request of CTI) in its withholding.</w:t>
      </w:r>
    </w:p>
    <w:p>
      <w:pPr>
        <w:spacing w:after="0" w:line="159" w:lineRule="exact"/>
        <w:rPr>
          <w:sz w:val="20"/>
          <w:szCs w:val="20"/>
          <w:color w:val="auto"/>
        </w:rPr>
      </w:pPr>
    </w:p>
    <w:p>
      <w:pPr>
        <w:jc w:val="both"/>
        <w:ind w:right="140" w:firstLine="648"/>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5.15 Currency Conversion. </w:t>
      </w:r>
      <w:r>
        <w:rPr>
          <w:rFonts w:ascii="Times New Roman" w:cs="Times New Roman" w:eastAsia="Times New Roman" w:hAnsi="Times New Roman"/>
          <w:sz w:val="16"/>
          <w:szCs w:val="16"/>
          <w:color w:val="auto"/>
        </w:rPr>
        <w:t>If any currency conversion is required in connection with any payment owed to CTI, the conversion will be made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buying rate for the transfer of such other currency as quoted by the Wall Street Journal on the last business day of the applicable accounting period in the case of any payment payable with respect to a specified accounting period or, in the case of any other payment, the last business day before the date the payment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1" w:name="page82"/>
    <w:bookmarkEnd w:id="8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PATENTS</w:t>
      </w:r>
    </w:p>
    <w:p>
      <w:pPr>
        <w:spacing w:after="0" w:line="14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6"/>
          <w:szCs w:val="16"/>
          <w:b w:val="1"/>
          <w:bCs w:val="1"/>
          <w:color w:val="auto"/>
        </w:rPr>
        <w:t>Patent Prosecution and Maintenance.</w:t>
      </w:r>
    </w:p>
    <w:p>
      <w:pPr>
        <w:spacing w:after="0" w:line="185" w:lineRule="exact"/>
        <w:rPr>
          <w:sz w:val="20"/>
          <w:szCs w:val="20"/>
          <w:color w:val="auto"/>
        </w:rPr>
      </w:pPr>
    </w:p>
    <w:p>
      <w:pPr>
        <w:ind w:left="980"/>
        <w:spacing w:after="0" w:line="264" w:lineRule="auto"/>
        <w:tabs>
          <w:tab w:leader="none" w:pos="13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DFCI Patents and Additional PD-L1 Intellectual Property</w:t>
      </w:r>
      <w:r>
        <w:rPr>
          <w:rFonts w:ascii="Times New Roman" w:cs="Times New Roman" w:eastAsia="Times New Roman" w:hAnsi="Times New Roman"/>
          <w:sz w:val="18"/>
          <w:szCs w:val="18"/>
          <w:color w:val="auto"/>
        </w:rPr>
        <w:t>. TGTX shall reimburse CTI for [ * ]% of the patent expenses incurred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Agreement and incurred for the filing, maintenance and prosecution of patents included in Additional PD-L1 Intellectual Property for which CTI is responsible.</w:t>
      </w:r>
    </w:p>
    <w:p>
      <w:pPr>
        <w:spacing w:after="0" w:line="140" w:lineRule="exact"/>
        <w:rPr>
          <w:rFonts w:ascii="Times New Roman" w:cs="Times New Roman" w:eastAsia="Times New Roman" w:hAnsi="Times New Roman"/>
          <w:sz w:val="18"/>
          <w:szCs w:val="18"/>
          <w:color w:val="auto"/>
        </w:rPr>
      </w:pPr>
    </w:p>
    <w:p>
      <w:pPr>
        <w:ind w:left="980"/>
        <w:spacing w:after="0" w:line="255" w:lineRule="auto"/>
        <w:tabs>
          <w:tab w:leader="none" w:pos="14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or Revised Applications</w:t>
      </w:r>
      <w:r>
        <w:rPr>
          <w:rFonts w:ascii="Times New Roman" w:cs="Times New Roman" w:eastAsia="Times New Roman" w:hAnsi="Times New Roman"/>
          <w:sz w:val="18"/>
          <w:szCs w:val="18"/>
          <w:color w:val="auto"/>
        </w:rPr>
        <w:t>. CTI will, upon learning from DFCI of an intention to file or revise one or more patent applications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DFCI Patents subject to the License grant in Article II, promptly inform TGTX of such intention, and will provide TGTX with the opportunity to comment on the content of such DFCI patent application before CTI sends comments to DFCI on such filing. CTI shall include any such reasonable TGTX comments in the comments to be sent to DFCI. CTI will inform TGTX of CTI’s intention to file or revise one or more patent applications which are included in Additional PD-L1 Intellectual Property for which CTI is responsible subject to the License grant in Article II and will provide TGTX with the opportunity to comment on the content of such one or more patent applications. CTI shall take into account any such reasonable TGTX comments.</w:t>
      </w:r>
    </w:p>
    <w:p>
      <w:pPr>
        <w:spacing w:after="0" w:line="148" w:lineRule="exact"/>
        <w:rPr>
          <w:rFonts w:ascii="Times New Roman" w:cs="Times New Roman" w:eastAsia="Times New Roman" w:hAnsi="Times New Roman"/>
          <w:sz w:val="18"/>
          <w:szCs w:val="18"/>
          <w:color w:val="auto"/>
        </w:rPr>
      </w:pPr>
    </w:p>
    <w:p>
      <w:pPr>
        <w:ind w:left="980" w:right="420"/>
        <w:spacing w:after="0" w:line="259" w:lineRule="auto"/>
        <w:tabs>
          <w:tab w:leader="none" w:pos="13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Liaising. </w:t>
      </w:r>
      <w:r>
        <w:rPr>
          <w:rFonts w:ascii="Times New Roman" w:cs="Times New Roman" w:eastAsia="Times New Roman" w:hAnsi="Times New Roman"/>
          <w:sz w:val="18"/>
          <w:szCs w:val="18"/>
          <w:color w:val="auto"/>
        </w:rPr>
        <w:t>CTI shall keep TGTX promptly and regularly informed of the course of the filing and prosecution of DFCI Patents and 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in Additional PD-L1 Intellectual Property for which CTI is responsible or related proceedings (e.g., interferences, oppositions, reexaminations, reissues, revocations or nullifications) in a timely manner, and to reasonably take into consideration the advice and recommendations of TGTX.</w:t>
      </w:r>
    </w:p>
    <w:p>
      <w:pPr>
        <w:spacing w:after="0" w:line="146" w:lineRule="exact"/>
        <w:rPr>
          <w:rFonts w:ascii="Times New Roman" w:cs="Times New Roman" w:eastAsia="Times New Roman" w:hAnsi="Times New Roman"/>
          <w:sz w:val="18"/>
          <w:szCs w:val="18"/>
          <w:color w:val="auto"/>
        </w:rPr>
      </w:pPr>
    </w:p>
    <w:p>
      <w:pPr>
        <w:ind w:left="980"/>
        <w:spacing w:after="0" w:line="252" w:lineRule="auto"/>
        <w:tabs>
          <w:tab w:leader="none" w:pos="14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Not to File/Prosecute/Maintain DFCI Patents and Patents Included in Additional PD-L1 Intellectual Property for which CTI is Responsible. </w:t>
      </w:r>
      <w:r>
        <w:rPr>
          <w:rFonts w:ascii="Times New Roman" w:cs="Times New Roman" w:eastAsia="Times New Roman" w:hAnsi="Times New Roman"/>
          <w:sz w:val="18"/>
          <w:szCs w:val="18"/>
          <w:color w:val="auto"/>
        </w:rPr>
        <w:t>TGTX acknowledges and agrees that CTI and DFCI shall not be required to file, prosecute or maintain patents included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PD-L1 Intellectual Property for which CTI is responsible and DFCI Patents, respectively, provided, however, if DFCI decides to not pursue or maintain any such DFCI Patents then CTI shall promptly notify TGTX so the Parties can determine if they would like to assume responsibility for such activities in DFCI’s name but at the Parties expense. The same notice applies to any decision made by CTI to drop a case included in Additional PD-L1 Intellectual Property for which CTI is responsible. In either event, TGTX will no longer owe any royalty obligation on account of such (country-level) DFCI Patents or patents included in Additional PD-L1 Intellectual Property for which CTI is responsible assumed by the Parties or TGTX, as the case might be. Similarly, to the extent CTI does not want to continue funding the patent costs of any portion of DFCI Patents, CTI will notify TGTX and give TGTX an opportunity to assume responsibility for such Patents at TGTX’s expense, in which case TGTX shall owe DFCI directly the royalties due under the License Agreement and shall no longer owe royalty obligation to CTI on account of such (country-level) DFCI Patents assumed by TGTX. The Parties acknowledge that if neither CTI nor TGTX continues funding patent costs then such portion of DFCI Patents will no longer be included as DFCI Patents. The same course of action will be followed by the Parties in connection with patents included in Additional PD-L1 Intellectual Property for which CTI is responsible.</w:t>
      </w:r>
    </w:p>
    <w:p>
      <w:pPr>
        <w:spacing w:after="0" w:line="159"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6.2 Certification under Drug Price Competition and Patent Restoration Act. </w:t>
      </w:r>
      <w:r>
        <w:rPr>
          <w:rFonts w:ascii="Times New Roman" w:cs="Times New Roman" w:eastAsia="Times New Roman" w:hAnsi="Times New Roman"/>
          <w:sz w:val="18"/>
          <w:szCs w:val="18"/>
          <w:color w:val="auto"/>
        </w:rPr>
        <w:t>Each of TGTX and CTI shall provide within a reasonable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other of any certification of which they become aware filed pursuant to 21 U.S.C. Section 355(b)(2)(A) (or any amendment or successor statute thereto) claiming that any DFCI Patents covering a Licensed Product, or the manufacture or use of each of the foregoing, are invalid or unenforceable, or that infringement will not arise from the manufacture, use or sale in the US of a Licensed Product by a Third Party.</w:t>
      </w:r>
    </w:p>
    <w:p>
      <w:pPr>
        <w:spacing w:after="0" w:line="146" w:lineRule="exact"/>
        <w:rPr>
          <w:sz w:val="20"/>
          <w:szCs w:val="20"/>
          <w:color w:val="auto"/>
        </w:rPr>
      </w:pPr>
    </w:p>
    <w:p>
      <w:pPr>
        <w:ind w:right="60" w:firstLine="648"/>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6.3 Listing of Patents. </w:t>
      </w:r>
      <w:r>
        <w:rPr>
          <w:rFonts w:ascii="Times New Roman" w:cs="Times New Roman" w:eastAsia="Times New Roman" w:hAnsi="Times New Roman"/>
          <w:sz w:val="16"/>
          <w:szCs w:val="16"/>
          <w:color w:val="auto"/>
        </w:rPr>
        <w:t>To the extent a DFCI Patent and/or a patent included in Additional PD-L1 Intellectual Property is applicable in support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label associated with an approval to market a Licensed Product, TGTX shall have the sole right to determine which of such DFCI Patents and/or a patents included in Additional PD-L1 Intellectual Property, if any, shall be listed for inclusion in the Approved Drug Products with Therapeutic Equivalence Evaluations publication pursuant to 21 U.S.C. Section 355, any equivalent publication for biologics, or any successor Law in the United States, together with any comparable Laws in any other country. CTI will co-operate with TGTX to list any of said DFCI Patents and patents included in Additional PD-L1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82" w:name="page83"/>
    <w:bookmarkEnd w:id="82"/>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6"/>
          <w:szCs w:val="16"/>
          <w:b w:val="1"/>
          <w:bCs w:val="1"/>
          <w:color w:val="auto"/>
        </w:rPr>
        <w:t>Enforcement of Patents.</w:t>
      </w:r>
    </w:p>
    <w:p>
      <w:pPr>
        <w:spacing w:after="0" w:line="279" w:lineRule="exact"/>
        <w:rPr>
          <w:sz w:val="20"/>
          <w:szCs w:val="20"/>
          <w:color w:val="auto"/>
        </w:rPr>
      </w:pPr>
    </w:p>
    <w:p>
      <w:pPr>
        <w:jc w:val="both"/>
        <w:ind w:left="320" w:right="200"/>
        <w:spacing w:after="0" w:line="264" w:lineRule="auto"/>
        <w:tabs>
          <w:tab w:leader="none" w:pos="7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If either TGTX or CTI believes that a Licensed Patent is being infringed in the Field by a Third Party or if a Third Party claims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Licensed Patent is invalid or unenforceable, the Party possessing such knowledge or belief shall notify the other and provide it with details of such infringement, misappropriation or claim that are known by such Party.</w:t>
      </w:r>
    </w:p>
    <w:p>
      <w:pPr>
        <w:spacing w:after="0" w:line="140" w:lineRule="exact"/>
        <w:rPr>
          <w:rFonts w:ascii="Times New Roman" w:cs="Times New Roman" w:eastAsia="Times New Roman" w:hAnsi="Times New Roman"/>
          <w:sz w:val="18"/>
          <w:szCs w:val="18"/>
          <w:color w:val="auto"/>
        </w:rPr>
      </w:pPr>
    </w:p>
    <w:p>
      <w:pPr>
        <w:ind w:left="740" w:hanging="420"/>
        <w:spacing w:after="0"/>
        <w:tabs>
          <w:tab w:leader="none" w:pos="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Action by DFCI.</w:t>
      </w:r>
    </w:p>
    <w:p>
      <w:pPr>
        <w:spacing w:after="0" w:line="184" w:lineRule="exact"/>
        <w:rPr>
          <w:rFonts w:ascii="Times New Roman" w:cs="Times New Roman" w:eastAsia="Times New Roman" w:hAnsi="Times New Roman"/>
          <w:sz w:val="18"/>
          <w:szCs w:val="18"/>
          <w:color w:val="auto"/>
        </w:rPr>
      </w:pPr>
    </w:p>
    <w:p>
      <w:pPr>
        <w:ind w:left="640" w:right="40" w:firstLine="5"/>
        <w:spacing w:after="0" w:line="255" w:lineRule="auto"/>
        <w:tabs>
          <w:tab w:leader="none" w:pos="102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Procedure. </w:t>
      </w:r>
      <w:r>
        <w:rPr>
          <w:rFonts w:ascii="Times New Roman" w:cs="Times New Roman" w:eastAsia="Times New Roman" w:hAnsi="Times New Roman"/>
          <w:sz w:val="18"/>
          <w:szCs w:val="18"/>
          <w:color w:val="auto"/>
        </w:rPr>
        <w:t>TGTX acknowledges that DFCI is responsible for enforcing its DFCI Patents and prosecuting apparent infringers when,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DFCI’s judgment, such action may be reasonably necessary and justified. TGTX may request that CTI request DFCI to take steps to protect the DFCI Patents from an apparent infringement. However, TGTX recognizes that before DFCI must respond to the request, TGTX shall supply CTI to provide to DFCI (i) an opinion of qualified legal counsel demonstrating to DFCI's reasonable satisfaction that an infringement of the DFCI Patents exists in a particular country and (ii) with written evidence demonstrating to DFCI’s reasonable satisfaction that a Substantial Infringement of the DFCI Patents exists in a particular country (“Substantial Infringer”).</w:t>
      </w:r>
    </w:p>
    <w:p>
      <w:pPr>
        <w:spacing w:after="0" w:line="154" w:lineRule="exact"/>
        <w:rPr>
          <w:rFonts w:ascii="Times New Roman" w:cs="Times New Roman" w:eastAsia="Times New Roman" w:hAnsi="Times New Roman"/>
          <w:sz w:val="18"/>
          <w:szCs w:val="18"/>
          <w:color w:val="auto"/>
        </w:rPr>
      </w:pPr>
    </w:p>
    <w:p>
      <w:pPr>
        <w:ind w:left="640" w:right="20" w:firstLine="5"/>
        <w:spacing w:after="0" w:line="255" w:lineRule="auto"/>
        <w:tabs>
          <w:tab w:leader="none" w:pos="10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DFCI has three months from the date of receiving satisfactory written evidence from CTI of a Substantial Infringement to decide whether it will seek to terminate the Substantial Infringement. DFCI shall give CTI notice of its decision by the end of this three-month period, which CTI shall promptly forward to TGTX. If DFCI notifies CTI that it intends to prosecute the alleged infringer, then DFCI has six (6) months from the date of its notice to CTI to either (a) cause the Substantial Infringement to terminate or (b) initiate legal proceedings against the infringer. If any such suit is brought by DFCI in its own name, or jointly with CTI if required by law, it will be at DFCI’s expense and on its own behalf, but DFCI shall not be obligated to bring more than one such suit at a time.</w:t>
      </w:r>
    </w:p>
    <w:p>
      <w:pPr>
        <w:spacing w:after="0" w:line="150" w:lineRule="exact"/>
        <w:rPr>
          <w:rFonts w:ascii="Times New Roman" w:cs="Times New Roman" w:eastAsia="Times New Roman" w:hAnsi="Times New Roman"/>
          <w:sz w:val="18"/>
          <w:szCs w:val="18"/>
          <w:color w:val="auto"/>
        </w:rPr>
      </w:pPr>
    </w:p>
    <w:p>
      <w:pPr>
        <w:ind w:left="640" w:right="40" w:firstLine="5"/>
        <w:spacing w:after="0" w:line="342" w:lineRule="auto"/>
        <w:tabs>
          <w:tab w:leader="none" w:pos="1119"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CTI’s Right to Join. </w:t>
      </w:r>
      <w:r>
        <w:rPr>
          <w:rFonts w:ascii="Times New Roman" w:cs="Times New Roman" w:eastAsia="Times New Roman" w:hAnsi="Times New Roman"/>
          <w:sz w:val="16"/>
          <w:szCs w:val="16"/>
          <w:color w:val="auto"/>
        </w:rPr>
        <w:t>If CTI shall exercise its rights to join any legal proceeding brought by DFCI under Section 6.4 of the License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then TGTX shall have the right to join CTI under the same terms and conditions of paragraph 6.4(b)(iii) of the License Agreement.</w:t>
      </w:r>
    </w:p>
    <w:p>
      <w:pPr>
        <w:spacing w:after="0" w:line="83" w:lineRule="exact"/>
        <w:rPr>
          <w:rFonts w:ascii="Times New Roman" w:cs="Times New Roman" w:eastAsia="Times New Roman" w:hAnsi="Times New Roman"/>
          <w:sz w:val="16"/>
          <w:szCs w:val="16"/>
          <w:color w:val="auto"/>
        </w:rPr>
      </w:pPr>
    </w:p>
    <w:p>
      <w:pPr>
        <w:ind w:left="740" w:hanging="420"/>
        <w:spacing w:after="0"/>
        <w:tabs>
          <w:tab w:leader="none" w:pos="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Action by CTI and TGTX.</w:t>
      </w:r>
    </w:p>
    <w:p>
      <w:pPr>
        <w:spacing w:after="0" w:line="184" w:lineRule="exact"/>
        <w:rPr>
          <w:rFonts w:ascii="Times New Roman" w:cs="Times New Roman" w:eastAsia="Times New Roman" w:hAnsi="Times New Roman"/>
          <w:sz w:val="18"/>
          <w:szCs w:val="18"/>
          <w:color w:val="auto"/>
        </w:rPr>
      </w:pPr>
    </w:p>
    <w:p>
      <w:pPr>
        <w:ind w:left="640" w:right="180" w:firstLine="5"/>
        <w:spacing w:after="0" w:line="259" w:lineRule="auto"/>
        <w:tabs>
          <w:tab w:leader="none" w:pos="102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Procedure. </w:t>
      </w:r>
      <w:r>
        <w:rPr>
          <w:rFonts w:ascii="Times New Roman" w:cs="Times New Roman" w:eastAsia="Times New Roman" w:hAnsi="Times New Roman"/>
          <w:sz w:val="18"/>
          <w:szCs w:val="18"/>
          <w:color w:val="auto"/>
        </w:rPr>
        <w:t>If CTI has the right to prosecute a Substantial Infringement under Section 6.4(c) of the License Agreement, then CTI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notify TGTX, and it may initiate a legal proceeding against the alleged infringer. If CTI decides that it will not commence any legal proceeding with respect to the Substantial Infringement, then such right to prosecute a Substantial Infringement under Section 6.4(c) of the License Agreement passes to TGTX hereunder.</w:t>
      </w:r>
    </w:p>
    <w:p>
      <w:pPr>
        <w:spacing w:after="0" w:line="146" w:lineRule="exact"/>
        <w:rPr>
          <w:rFonts w:ascii="Times New Roman" w:cs="Times New Roman" w:eastAsia="Times New Roman" w:hAnsi="Times New Roman"/>
          <w:sz w:val="18"/>
          <w:szCs w:val="18"/>
          <w:color w:val="auto"/>
        </w:rPr>
      </w:pPr>
    </w:p>
    <w:p>
      <w:pPr>
        <w:ind w:left="640" w:right="40" w:firstLine="5"/>
        <w:spacing w:after="0" w:line="264" w:lineRule="auto"/>
        <w:tabs>
          <w:tab w:leader="none" w:pos="10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TGTX’s Right To Join. </w:t>
      </w:r>
      <w:r>
        <w:rPr>
          <w:rFonts w:ascii="Times New Roman" w:cs="Times New Roman" w:eastAsia="Times New Roman" w:hAnsi="Times New Roman"/>
          <w:sz w:val="18"/>
          <w:szCs w:val="18"/>
          <w:color w:val="auto"/>
        </w:rPr>
        <w:t>TGTX independently has the right to join any legal proceeding brought by CTI under this Section 6.4 and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fifty percent of the cost of the legal proceeding from the date of joining. If TGTX elects to join as a party plaintiff pursuant to this Section 6.4, TGTX may jointly participate in the action with CTI, but CTI’s counsel will be lead counsel.</w:t>
      </w:r>
    </w:p>
    <w:p>
      <w:pPr>
        <w:spacing w:after="0" w:line="140" w:lineRule="exact"/>
        <w:rPr>
          <w:rFonts w:ascii="Times New Roman" w:cs="Times New Roman" w:eastAsia="Times New Roman" w:hAnsi="Times New Roman"/>
          <w:sz w:val="18"/>
          <w:szCs w:val="18"/>
          <w:color w:val="auto"/>
        </w:rPr>
      </w:pPr>
    </w:p>
    <w:p>
      <w:pPr>
        <w:ind w:left="640" w:firstLine="5"/>
        <w:spacing w:after="0" w:line="253" w:lineRule="auto"/>
        <w:tabs>
          <w:tab w:leader="none" w:pos="111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Reduction of Royalties. </w:t>
      </w:r>
      <w:r>
        <w:rPr>
          <w:rFonts w:ascii="Times New Roman" w:cs="Times New Roman" w:eastAsia="Times New Roman" w:hAnsi="Times New Roman"/>
          <w:sz w:val="18"/>
          <w:szCs w:val="18"/>
          <w:color w:val="auto"/>
        </w:rPr>
        <w:t>If CTI initiates legal proceedings under Section 6.4 of the License Agreement and TGTX joins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6.4, then TGTX shall have the same rights as CTI has under Section 6.4(c)(iii) of the License Agreement. Additionally, if TGTX prosecutes pursuant Section 6.4(i) of this Agreement after CTI decides not to prosecute and neither DFCI nor CTI independently (except as a necessary party) join the proceeding, then TGTX may deduct up to [ * ] percent ([ * ]%) of TGTX’s documented costs and expenses of the proceeding (including reasonable attorney fees) from running and minimum royalties payable to CTI under Section 5.7(a) of this Agreement from sales of Licensed Products covered by the patent(s)-in suit. However, TGTX may not reduce CTI’s royalty payments by more than fifty percent of the amount otherwise due under Article V. If [ * ] percent ([ * ]%) of TGTX’s costs and expenses exceed the amount of royalties deducted by TGTX for any calendar year, TGTX may, to that extent, reduce the royalties due to CTI in succeeding calendar quarters for so long as TGTX is actively engaged in legal proceedings to terminate the Substantial Infringement. However, TGTX may not reduce total royalties due to CTI in a given calendar quarter by more than [ * ] percent ([ * ]%). TGTX’s right to reduce royalty payments to CTI under this paragraph 6.4(c)(iii) applies only for so long as the Substantial Infringement continues.</w:t>
      </w:r>
    </w:p>
    <w:p>
      <w:pPr>
        <w:spacing w:after="0" w:line="152" w:lineRule="exact"/>
        <w:rPr>
          <w:rFonts w:ascii="Times New Roman" w:cs="Times New Roman" w:eastAsia="Times New Roman" w:hAnsi="Times New Roman"/>
          <w:sz w:val="18"/>
          <w:szCs w:val="18"/>
          <w:color w:val="auto"/>
        </w:rPr>
      </w:pPr>
    </w:p>
    <w:p>
      <w:pPr>
        <w:ind w:left="640" w:right="40" w:firstLine="5"/>
        <w:spacing w:after="0" w:line="264" w:lineRule="auto"/>
        <w:tabs>
          <w:tab w:leader="none" w:pos="110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w:t>
      </w:r>
      <w:r>
        <w:rPr>
          <w:rFonts w:ascii="Times New Roman" w:cs="Times New Roman" w:eastAsia="Times New Roman" w:hAnsi="Times New Roman"/>
          <w:sz w:val="18"/>
          <w:szCs w:val="18"/>
          <w:color w:val="auto"/>
        </w:rPr>
        <w:t>Regardless of whether CTI or DFCI is joined or joins any legal proceeding initiated by TGTX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TGTX acknowledges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no settlement, consent judgment or other voluntary final disposition of the legal proceeding may be entered into without the consent of DFCI and CTI.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185420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28" w:right="239" w:bottom="1440" w:gutter="0" w:footer="0" w:header="0"/>
        </w:sectPr>
      </w:pPr>
    </w:p>
    <w:bookmarkStart w:id="83" w:name="page84"/>
    <w:bookmarkEnd w:id="83"/>
    <w:p>
      <w:pPr>
        <w:ind w:right="12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6.5 Cooperation. </w:t>
      </w:r>
      <w:r>
        <w:rPr>
          <w:rFonts w:ascii="Times New Roman" w:cs="Times New Roman" w:eastAsia="Times New Roman" w:hAnsi="Times New Roman"/>
          <w:sz w:val="18"/>
          <w:szCs w:val="18"/>
          <w:color w:val="auto"/>
        </w:rPr>
        <w:t>If one party initiates legal proceedings to enforce the DFCI Patents pursuant to this Article VI, the other party shall cooperate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supply all assistance reasonably requested by the party initiating the proceedings, at the initiating party’s request and expense.</w:t>
      </w:r>
    </w:p>
    <w:p>
      <w:pPr>
        <w:spacing w:after="0" w:line="13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6.6 Distribution of Amounts Paid by Third Parties. </w:t>
      </w:r>
      <w:r>
        <w:rPr>
          <w:rFonts w:ascii="Times New Roman" w:cs="Times New Roman" w:eastAsia="Times New Roman" w:hAnsi="Times New Roman"/>
          <w:sz w:val="18"/>
          <w:szCs w:val="18"/>
          <w:color w:val="auto"/>
        </w:rPr>
        <w:t>Any amounts recovered by the Party initiating an Action pursuant to this Section 6.6,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settlement or judgment, shall be allocated in the following order: to reimburse the Parties for all out-of-pocket costs and expenses incurred in connection therewith, including attorneys’ fees. If such recovery is insufficient to cover all such costs and expenses of both Parties, it will be shared pro-rata in proportion to the relative amount of such costs and expenses incurred by each Party. If after such reimbursement any funds remain from such damages, the remaining amount of such recovery shall be allocated as follows: the portion thereof attributable to “lost sales” in the Field shall be retained by TGTX and shall be deemed to be Net Sales for the Calendar Quarter in which the amount is actually received by TGTX and TGTX shall pay to CTI a royalty on such portion based on the royalty rates set forth in Section 5.7(a), and the portion thereof not attributable to “lost sales” and is not allocated to DFCI under Section 6.6 of the License Agreement shall be allocated 50% to TGTX and 50% to CTI.</w:t>
      </w:r>
    </w:p>
    <w:p>
      <w:pPr>
        <w:spacing w:after="0" w:line="152"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6.7 Declaratory Judgment Actions. </w:t>
      </w:r>
      <w:r>
        <w:rPr>
          <w:rFonts w:ascii="Times New Roman" w:cs="Times New Roman" w:eastAsia="Times New Roman" w:hAnsi="Times New Roman"/>
          <w:sz w:val="16"/>
          <w:szCs w:val="16"/>
          <w:color w:val="auto"/>
        </w:rPr>
        <w:t>In the event that any third party initiates a declaratory judgment action alleging the invalidity or unenforceability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Licensed Patents with respect to claims relating to the Field, or if any third party brings an infringement action against TGTX or its Affiliates or Sublicensees because of the exercise of the rights granted TGTX under this Agreement, then TGTX shall have the right to defend such action under its own control and at its own expense; provided, however, that TGTX acknowledges that DFCI has the right to assume control of such defense, at its own expense, if such action is directed to a DFCI Patent and DFCI in good-faith believes that assuming control of such defense is beneficial to CTI and DFCI. TGTX shall NOT enter into any settlement, consent judgment or other voluntary final disposition of any action under this Section 6.7 without the consent of the other party (the patent owner), which consent shall not be unreasonably withheld unless the settlement includes any express or implied admission of liability or wrongdoing on the other party’s part, in which case the other party’s right to grant or deny consent is absolute and at its sole discretion. Any recovery shall be first applied to reimburse each party pro rata for any out-of-pocket expenses it may have incurred with respect to defense of such action, and the remainder shall be retained entirely by the party controlling the action; provided, however, that any recovery for infringement will be distributed as described in Section 6.6.</w:t>
      </w:r>
    </w:p>
    <w:p>
      <w:pPr>
        <w:spacing w:after="0" w:line="200" w:lineRule="exact"/>
        <w:rPr>
          <w:sz w:val="20"/>
          <w:szCs w:val="20"/>
          <w:color w:val="auto"/>
        </w:r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17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7.1 Definitions</w:t>
      </w:r>
      <w:r>
        <w:rPr>
          <w:rFonts w:ascii="Times New Roman" w:cs="Times New Roman" w:eastAsia="Times New Roman" w:hAnsi="Times New Roman"/>
          <w:sz w:val="18"/>
          <w:szCs w:val="18"/>
          <w:color w:val="auto"/>
        </w:rPr>
        <w:t>. CTI and TGTX each recognizes that during the Term, it may be necessary for a Party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(as defined herein) to another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that is highly valuable, the disclosure of which would be highly prejudicial to such Party. The disclosure and use of Confidential Information shall be governed by the provisions of this Article VII. Neither Party shall use the other’s Confidential Information except as expressly permitted in this Agreement. For purposes of this Agreement,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information (including information relating to the business, operations and products of a Party or any of its Affiliates) disclosed by the Disclosing Party to the Receiving Party and which reasonably ought to have been understood to be confidential and/or non-public information at the time disclosed to the Receiving Party, or which is designated in writing by the Disclosing Party as “Confidential” (or equivalent), or which when disclosed orally to the Receiving Party is declared to be confidential by the Disclosing Party and is so confirmed in a writing delivered to the Receiving Party within 30 days after such oral disclosure, including but not limited to any technical information, Know-How, trade secrets, or inventions (whether patentable or not), that such Party discloses to another Party under this Agreement, or otherwise becomes known to another Party by virtue of or that relates to this Agreement.</w:t>
      </w:r>
    </w:p>
    <w:p>
      <w:pPr>
        <w:spacing w:after="0" w:line="15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7.2 Obligation. </w:t>
      </w:r>
      <w:r>
        <w:rPr>
          <w:rFonts w:ascii="Times New Roman" w:cs="Times New Roman" w:eastAsia="Times New Roman" w:hAnsi="Times New Roman"/>
          <w:sz w:val="16"/>
          <w:szCs w:val="16"/>
          <w:color w:val="auto"/>
        </w:rPr>
        <w:t>The Parties agree that they will disclose the other Party’s Confidential Information to its own (or its respective Affiliate’s, or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respect to TGTX, its Sublicensees’) officers, employees, consultants and agents only if and to the extent necessary to carry out their respective responsibilities under this Agreement or in accordance with the exercise of their rights under this Agreement, and such disclosure shall be limited to the maximum extent possible consistent with such responsibilities and rights. Except as set forth in the foregoing sentence, no Party shall disclose Confidential Information of the other to any Third Party without the other’s prior written consent. In all events, however, any and all disclosure to a Third Party (or to any such Affiliate or Sublicensee) shall be pursuant to the terms of a non-disclosure/nonuse agreement no less restrictive than this Article VII. The Party which disclosed Confidential Information of the other to any Third Party (or to any such Affiliate or Sublicensee) shall be responsible and liable for any disclosure or use by such Third Party, Affiliate or Sublicensee (or its disclosees) which would have violated this Agreement if committed by the Party itself. No Party shall use Confidential Information of the other except as expressly allowed by and for the purposes of this Agreement. Each Party shall take such action to preserve the confidentiality of each other’s Confidential Information as it would customarily take to preserve the confidentiality of its own Confidential Information (but in no event less than a reasonable standard of care). Upon expiration or termination of this Agreement, each Party, upon the other’s request, shall return or destroy (at Disclosing Party’s discretion) all the Confidential Information disclosed to the other Party pursuant to this Agreement, including all copies and extracts of documents, within 60 days after the request, except for one archival copy (and such electronic copies that exist as part of the Party’s computer systems, network storage systems and electronic backup systems) of such materials solely to be able to monitor its obligations that survive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84" w:name="page85"/>
    <w:bookmarkEnd w:id="84"/>
    <w:p>
      <w:pPr>
        <w:ind w:right="28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7.3 Exceptions</w:t>
      </w:r>
      <w:r>
        <w:rPr>
          <w:rFonts w:ascii="Times New Roman" w:cs="Times New Roman" w:eastAsia="Times New Roman" w:hAnsi="Times New Roman"/>
          <w:sz w:val="18"/>
          <w:szCs w:val="18"/>
          <w:color w:val="auto"/>
        </w:rPr>
        <w:t>. The non-use and non-disclosure obligations set forth in this Article VII shall not apply to any Confidential Information, or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that the Receiving Party can demonstrate by competent evidence:</w:t>
      </w:r>
    </w:p>
    <w:p>
      <w:pPr>
        <w:spacing w:after="0" w:line="132" w:lineRule="exact"/>
        <w:rPr>
          <w:sz w:val="20"/>
          <w:szCs w:val="20"/>
          <w:color w:val="auto"/>
        </w:rPr>
      </w:pPr>
    </w:p>
    <w:p>
      <w:pPr>
        <w:ind w:left="1400" w:hanging="420"/>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disclosure is in the public domain;</w:t>
      </w:r>
    </w:p>
    <w:p>
      <w:pPr>
        <w:spacing w:after="0" w:line="184"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disclosure, becomes part of the public domain, by publication or otherwise, through no fault of the Receiving Party or its disclosees;</w:t>
      </w:r>
    </w:p>
    <w:p>
      <w:pPr>
        <w:spacing w:after="0" w:line="184" w:lineRule="exact"/>
        <w:rPr>
          <w:rFonts w:ascii="Times New Roman" w:cs="Times New Roman" w:eastAsia="Times New Roman" w:hAnsi="Times New Roman"/>
          <w:sz w:val="18"/>
          <w:szCs w:val="18"/>
          <w:color w:val="auto"/>
        </w:rPr>
      </w:pPr>
    </w:p>
    <w:p>
      <w:pPr>
        <w:ind w:left="980" w:right="80"/>
        <w:spacing w:after="0" w:line="339" w:lineRule="auto"/>
        <w:tabs>
          <w:tab w:leader="none" w:pos="139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made available to the Receiving Party by an independent Third Party without obligation of confidentiality; provided, however, that to the Receiving Party’s knowledge, such information was not obtained by said Third Party, directly or indirectly, from the Disclosing Party hereunder; or</w:t>
      </w:r>
    </w:p>
    <w:p>
      <w:pPr>
        <w:spacing w:after="0" w:line="87" w:lineRule="exact"/>
        <w:rPr>
          <w:rFonts w:ascii="Times New Roman" w:cs="Times New Roman" w:eastAsia="Times New Roman" w:hAnsi="Times New Roman"/>
          <w:sz w:val="16"/>
          <w:szCs w:val="16"/>
          <w:color w:val="auto"/>
        </w:rPr>
      </w:pPr>
    </w:p>
    <w:p>
      <w:pPr>
        <w:ind w:left="1400" w:hanging="420"/>
        <w:spacing w:after="0"/>
        <w:tabs>
          <w:tab w:leader="none" w:pos="1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an employee of the Receiving Party not accessing or utilizing the Disclosing Party’s information.</w:t>
      </w:r>
    </w:p>
    <w:p>
      <w:pPr>
        <w:spacing w:after="0" w:line="158" w:lineRule="exact"/>
        <w:rPr>
          <w:sz w:val="20"/>
          <w:szCs w:val="20"/>
          <w:color w:val="auto"/>
        </w:rPr>
      </w:pPr>
    </w:p>
    <w:p>
      <w:pPr>
        <w:jc w:val="both"/>
        <w:ind w:firstLine="566"/>
        <w:spacing w:after="0" w:line="255" w:lineRule="auto"/>
        <w:rPr>
          <w:sz w:val="20"/>
          <w:szCs w:val="20"/>
          <w:color w:val="auto"/>
        </w:rPr>
      </w:pPr>
      <w:r>
        <w:rPr>
          <w:rFonts w:ascii="Times New Roman" w:cs="Times New Roman" w:eastAsia="Times New Roman" w:hAnsi="Times New Roman"/>
          <w:sz w:val="18"/>
          <w:szCs w:val="18"/>
          <w:color w:val="auto"/>
        </w:rPr>
        <w:t>In addition, the Receiving Party may disclose information that is required to be disclosed by law, by a valid order of a court or by order or regulation of a governmental agency including but not limited to, regulations of the SEC or in the course of arbitration or litigation; provided, however, that in all cases the Receiving Party shall give the other party prompt notice of the pending disclosure and make a reasonable effort to obtain, or to assist the Disclosing Party in obtaining, a protective order or confidential-treatment order preventing or limiting (to the greatest possible extent and for the longest possible period) the disclosure and/or requiring that the Confidential Information so disclosed be used only for the purposes for which the law or regulation required, or for which the order was issued.</w:t>
      </w:r>
    </w:p>
    <w:p>
      <w:pPr>
        <w:spacing w:after="0" w:line="15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7.4 Third Party Information</w:t>
      </w:r>
      <w:r>
        <w:rPr>
          <w:rFonts w:ascii="Times New Roman" w:cs="Times New Roman" w:eastAsia="Times New Roman" w:hAnsi="Times New Roman"/>
          <w:sz w:val="18"/>
          <w:szCs w:val="18"/>
          <w:color w:val="auto"/>
        </w:rPr>
        <w:t>. The Parties acknowledge that the defined term “Confidential Information” shall include not only a Disclosing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Confidential Information but also Confidential Information of a Third Party which is in the possession of a Disclosing Party. The Parties agree not to disclose to the other any Confidential Information of a Third Party which is in the possession of such Party, unless the other has given an express prior written consent (which specifies the owner of such Confidential Information) to receive such particular Confidential Information.</w:t>
      </w:r>
    </w:p>
    <w:p>
      <w:pPr>
        <w:spacing w:after="0" w:line="14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7.5 Press Release Announcing the Execution of the License Agreement and Related Disclosures. </w:t>
      </w:r>
      <w:r>
        <w:rPr>
          <w:rFonts w:ascii="Times New Roman" w:cs="Times New Roman" w:eastAsia="Times New Roman" w:hAnsi="Times New Roman"/>
          <w:sz w:val="18"/>
          <w:szCs w:val="18"/>
          <w:color w:val="auto"/>
        </w:rPr>
        <w:t>Either Party may make an initial press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announcing the execution of this Agreement, including any matter covered by this Agreement, and the Development or Commercialization of Licensed Products, but such Party shall provide the text of such planned disclosure to the other Party sufficiently in advance of the scheduled disclosure to afford such other Party a reasonable opportunity to review and comment upon the proposed text and the timing of such disclosure, and shall consider all reasonable comments of the other Party regarding such disclosure. (Provided, that no Party shall use the trademark or logo of the other Party, its Affiliates or their respective employee(s) in any publicity, promotion, news release or public disclosure relating to this Agreement or its subject matter, except as may be required by Law or required by the rules of an applicable US national securities exchange or except with the prior express written permission of such other Party, such permission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w:t>
      </w:r>
    </w:p>
    <w:p>
      <w:pPr>
        <w:spacing w:after="0" w:line="17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6"/>
          <w:szCs w:val="16"/>
          <w:b w:val="1"/>
          <w:bCs w:val="1"/>
          <w:color w:val="auto"/>
        </w:rPr>
        <w:t xml:space="preserve">Representations and Warranties. </w:t>
      </w:r>
      <w:r>
        <w:rPr>
          <w:rFonts w:ascii="Times New Roman" w:cs="Times New Roman" w:eastAsia="Times New Roman" w:hAnsi="Times New Roman"/>
          <w:sz w:val="16"/>
          <w:szCs w:val="16"/>
          <w:color w:val="auto"/>
        </w:rPr>
        <w:t>(a) TGTX represents and warrants to CTI, and (b) CTI represents to TGTX, in each case as of the Effective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72" w:lineRule="exact"/>
        <w:rPr>
          <w:sz w:val="20"/>
          <w:szCs w:val="20"/>
          <w:color w:val="auto"/>
        </w:rPr>
      </w:pPr>
    </w:p>
    <w:p>
      <w:pPr>
        <w:ind w:left="1400" w:hanging="420"/>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is a corporation duly organized and validly existing under the Laws of the jurisdiction of its incorporation;</w:t>
      </w:r>
    </w:p>
    <w:p>
      <w:pPr>
        <w:spacing w:after="0" w:line="184"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all right, power and authority to enter into this Agreement, and to perform its obligations under this Agreement;</w:t>
      </w:r>
    </w:p>
    <w:p>
      <w:pPr>
        <w:spacing w:after="0" w:line="184" w:lineRule="exact"/>
        <w:rPr>
          <w:rFonts w:ascii="Times New Roman" w:cs="Times New Roman" w:eastAsia="Times New Roman" w:hAnsi="Times New Roman"/>
          <w:sz w:val="18"/>
          <w:szCs w:val="18"/>
          <w:color w:val="auto"/>
        </w:rPr>
      </w:pPr>
    </w:p>
    <w:p>
      <w:pPr>
        <w:ind w:left="980" w:right="320"/>
        <w:spacing w:after="0" w:line="275" w:lineRule="auto"/>
        <w:tabs>
          <w:tab w:leader="none" w:pos="139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taken all action necessary to authorize the execution and delivery of this Agreement and the performance of its obligations under this Agreement;</w:t>
      </w:r>
    </w:p>
    <w:p>
      <w:pPr>
        <w:spacing w:after="0" w:line="133" w:lineRule="exact"/>
        <w:rPr>
          <w:rFonts w:ascii="Times New Roman" w:cs="Times New Roman" w:eastAsia="Times New Roman" w:hAnsi="Times New Roman"/>
          <w:sz w:val="18"/>
          <w:szCs w:val="18"/>
          <w:color w:val="auto"/>
        </w:rPr>
      </w:pPr>
    </w:p>
    <w:p>
      <w:pPr>
        <w:ind w:left="980" w:right="140"/>
        <w:spacing w:after="0" w:line="262" w:lineRule="auto"/>
        <w:tabs>
          <w:tab w:leader="none" w:pos="14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w:t>
      </w:r>
    </w:p>
    <w:p>
      <w:pPr>
        <w:spacing w:after="0" w:line="145" w:lineRule="exact"/>
        <w:rPr>
          <w:rFonts w:ascii="Times New Roman" w:cs="Times New Roman" w:eastAsia="Times New Roman" w:hAnsi="Times New Roman"/>
          <w:sz w:val="18"/>
          <w:szCs w:val="18"/>
          <w:color w:val="auto"/>
        </w:rPr>
      </w:pPr>
    </w:p>
    <w:p>
      <w:pPr>
        <w:jc w:val="both"/>
        <w:ind w:left="980"/>
        <w:spacing w:after="0" w:line="262" w:lineRule="auto"/>
        <w:tabs>
          <w:tab w:leader="none" w:pos="139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such party’s knowledge, the execution, delivery and performance of this Agreement by such Party does not conflict with, breach or create in any Third Party the right to accelerate, terminate or modify any agreement or instrument to which such Party is a party or by which such Party is bound;</w:t>
      </w:r>
    </w:p>
    <w:p>
      <w:pPr>
        <w:spacing w:after="0" w:line="145" w:lineRule="exact"/>
        <w:rPr>
          <w:rFonts w:ascii="Times New Roman" w:cs="Times New Roman" w:eastAsia="Times New Roman" w:hAnsi="Times New Roman"/>
          <w:sz w:val="18"/>
          <w:szCs w:val="18"/>
          <w:color w:val="auto"/>
        </w:rPr>
      </w:pPr>
    </w:p>
    <w:p>
      <w:pPr>
        <w:jc w:val="both"/>
        <w:ind w:left="980" w:right="160"/>
        <w:spacing w:after="0" w:line="310" w:lineRule="auto"/>
        <w:tabs>
          <w:tab w:leader="none" w:pos="137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best of such party’s knowledge, all consents, approvals and authorizations from all governmental authorities or other Third Parties required to be obtained by such Party in connection with the execution and delivery of this Agreement have been obtained; and the execution, delivery and performance of this Agreement by such Party does not violate any Law of any Governmental Body having authority over such Party;</w:t>
      </w:r>
    </w:p>
    <w:p>
      <w:pPr>
        <w:spacing w:after="0" w:line="110" w:lineRule="exact"/>
        <w:rPr>
          <w:rFonts w:ascii="Times New Roman" w:cs="Times New Roman" w:eastAsia="Times New Roman" w:hAnsi="Times New Roman"/>
          <w:sz w:val="16"/>
          <w:szCs w:val="16"/>
          <w:color w:val="auto"/>
        </w:rPr>
      </w:pPr>
    </w:p>
    <w:p>
      <w:pPr>
        <w:ind w:left="980" w:right="560"/>
        <w:spacing w:after="0" w:line="262" w:lineRule="auto"/>
        <w:tabs>
          <w:tab w:leader="none" w:pos="14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entity has or will have, as a result of the execution and delivery of or as a result of the transactions contemplated by this Agreement, any right, interest or valid claim against or upon such Party for any commission, fee or other compensation as a finder or broker because of any act by such Party or its Affiliates, agents or Sublicensees; and</w:t>
      </w:r>
    </w:p>
    <w:p>
      <w:pPr>
        <w:spacing w:after="0" w:line="145" w:lineRule="exact"/>
        <w:rPr>
          <w:rFonts w:ascii="Times New Roman" w:cs="Times New Roman" w:eastAsia="Times New Roman" w:hAnsi="Times New Roman"/>
          <w:sz w:val="18"/>
          <w:szCs w:val="18"/>
          <w:color w:val="auto"/>
        </w:rPr>
      </w:pPr>
    </w:p>
    <w:p>
      <w:pPr>
        <w:ind w:left="980" w:right="240"/>
        <w:spacing w:after="0" w:line="275" w:lineRule="auto"/>
        <w:tabs>
          <w:tab w:leader="none" w:pos="14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such party’s knowledge, no agreement between it and any Third Party is in conflict with the rights granted to any other party pursuant to this Agreement.</w:t>
      </w:r>
    </w:p>
    <w:p>
      <w:pPr>
        <w:spacing w:after="0" w:line="13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6"/>
          <w:szCs w:val="16"/>
          <w:b w:val="1"/>
          <w:bCs w:val="1"/>
          <w:color w:val="auto"/>
        </w:rPr>
        <w:t>Reserved</w:t>
      </w:r>
      <w:r>
        <w:rPr>
          <w:rFonts w:ascii="Times New Roman" w:cs="Times New Roman" w:eastAsia="Times New Roman" w:hAnsi="Times New Roman"/>
          <w:sz w:val="16"/>
          <w:szCs w:val="16"/>
          <w:color w:val="auto"/>
        </w:rPr>
        <w:t>.</w:t>
      </w:r>
    </w:p>
    <w:p>
      <w:pPr>
        <w:spacing w:after="0" w:line="185" w:lineRule="exact"/>
        <w:rPr>
          <w:sz w:val="20"/>
          <w:szCs w:val="20"/>
          <w:color w:val="auto"/>
        </w:rPr>
      </w:pPr>
    </w:p>
    <w:p>
      <w:pPr>
        <w:ind w:right="12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8.3 Disclaimer</w:t>
      </w:r>
      <w:r>
        <w:rPr>
          <w:rFonts w:ascii="Times New Roman" w:cs="Times New Roman" w:eastAsia="Times New Roman" w:hAnsi="Times New Roman"/>
          <w:sz w:val="18"/>
          <w:szCs w:val="18"/>
          <w:color w:val="auto"/>
        </w:rPr>
        <w:t>. Notwithstanding the representations and warranties set forth in this Article VIII, TGTX acknowledges and accepts the risks inherent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attempting to Develop and Commercialize any pharmaceutical product. There is no implied representation that the Licensed Products can be successfully Developed or Commercialized.</w:t>
      </w:r>
    </w:p>
    <w:p>
      <w:pPr>
        <w:spacing w:after="0" w:line="141" w:lineRule="exact"/>
        <w:rPr>
          <w:sz w:val="20"/>
          <w:szCs w:val="20"/>
          <w:color w:val="auto"/>
        </w:rPr>
      </w:pPr>
    </w:p>
    <w:p>
      <w:pPr>
        <w:ind w:right="120" w:firstLine="648"/>
        <w:spacing w:after="0" w:line="302" w:lineRule="auto"/>
        <w:rPr>
          <w:sz w:val="20"/>
          <w:szCs w:val="20"/>
          <w:color w:val="auto"/>
        </w:rPr>
      </w:pPr>
      <w:r>
        <w:rPr>
          <w:rFonts w:ascii="Times New Roman" w:cs="Times New Roman" w:eastAsia="Times New Roman" w:hAnsi="Times New Roman"/>
          <w:sz w:val="16"/>
          <w:szCs w:val="16"/>
          <w:b w:val="1"/>
          <w:bCs w:val="1"/>
          <w:color w:val="auto"/>
        </w:rPr>
        <w:t>8.4 CTI MAKES NO WARRANTY, EXPRESS OR IMPLIED, INCLUDING, WITHOUT LIMITATION, ANY IMPLIED WARRANTIES OF MERCHANTABILITY OR OF FITNESS FOR A PARTICULAR PURPOSE WITH RESPECT TO ANY PATENT, TRADEMARK, SOFTWARE, NON-PUBLIC OR OTHER INFORMATION, DFCI MATERIALS, DFCI ANTIBODIES, KNOW-HOW, OR TANGIBLE RESEARCH PROPERTY, LICENSED OR OTHERWISE PROVIDED TO TGTX HEREUNDER AND HEREBY DISCLAIMS THE SAME.</w:t>
      </w:r>
    </w:p>
    <w:p>
      <w:pPr>
        <w:spacing w:after="0" w:line="114"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8.5 CTI DOES NOT WARRANT THE VALIDITY OF THE LICENSED PATENTS LICENSED HEREUNDER AND MAKES NO REPRESENTATION WHATSOEVER WITH REGARD TO THE SCOPE OF THE LICENSED PATENTS OR THAT SUCH LICENSED PATENTS MAY BE EXPLOITED BY TGTX, AFFILIATE OR SUBLICENSEE WITHOUT INFRINGING OTHER PATENTS. CTI MAKES NO REPRESENTATION THAT DFCI ANTIBODIES, CTI ANTIBODIES OR THE METHODS USED IN MAKING OR USING SUCH DFCI ANTIBODIES OR CTI ANTIBODIES ARE FREE FROM LIABILITY FOR PATENT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INDEMNIFICATION; LIMITATION OF LIABILITY; INSURANCE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Defense.</w:t>
      </w:r>
    </w:p>
    <w:p>
      <w:pPr>
        <w:spacing w:after="0" w:line="25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color w:val="auto"/>
        </w:rPr>
        <w:t>TGTX shall indemnify, defend and hold harmless (i) DFCI and its trustees officers, medical and professional staff, employees, and agents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successors, heirs and assigns and (ii) CTI and its directors, officers, employees, agents and contractors (the "CTI Indemnitees"), against any liability, damage, loss or expense (including reasonable attorneys' fees and expenses of litigation) incurred by or imposed upon the CTI Indemnitees, or any one of them, in connection with any claims, suits, actions, demands or judgments arising out any theory of product liability ( including but not limited to action in the form of tort, warranty, strict liability) concerning any product, process or service relating to, or developed by TGTX, its Affiliates or Sublicensees pursuant to (a) any right or license granted under this Agreement or (b) arising out of any other activities to be carried out by TGTX pursuant to this agreement. TGTX's indemnification under Section 9.1 does not apply to any liability, damage, loss or expense to the extent that it is attributable to (x) the grossly negligent activities of the CTI Indemnitees, or (y) the intentional wrongdoing or intentional misconduct of the CTI Indemnitees TGTX shall, at its own expense, provide attorneys reasonably acceptable to CTI to defend against any actions brought or filed against any party indemnified hereunder with respect to the subject of indemnity contained herein, whether or not such actions are rightfully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-851535</wp:posOffset>
            </wp:positionV>
            <wp:extent cx="279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2"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color w:val="auto"/>
        </w:rPr>
        <w:t>CTI shall indemnify, defend and hold harmless TGTX and its directors, officers, employees, agents and contractors (the "TGTX Indemnitees"),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liability, damage, loss or expense (including reasonable attorneys' fees and expenses of litigation) incurred by or imposed upon the TGTX Indemnitees, or any one of them, in connection with any claims, suits, actions, demands or judgments arising out any theory of product liability ( including but not limited to action in the form of tort, warranty, strict liability) concerning (a) any product, process or service relating to, or developed by CTI, its Affiliates or Sublicensees pursuant to the License Agreement or (b) any other activities to be carried out by CTI pursuant to this agreement. CTI's indemnification under Section 9.1 does not apply to any liability, damage, loss or expense to the extent that it is attributable to (x) the grossly negligent activities of the TGTX Indemnitees, or (y) the intentional wrongdoing or intentional misconduct of the TGTX Indemnitees. CTI shall, at its own expense, provide attorneys reasonably acceptable to DFCI and TGTX to defend against any actions brought or filed against any party indemnified hereunder with respect to the subject of indemnity contained herein, whether or not such actions are rightfully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-850265</wp:posOffset>
            </wp:positionV>
            <wp:extent cx="279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4"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color w:val="auto"/>
        </w:rPr>
        <w:t>If any such action is commenced or claim made or threatened against a DFCI Indemnitee or CTI Indemnitee (collectively, “Indemnitees”)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other Party (the “Indemnifying Party”) is obligated to indemnify it (them) or hold it (them) harmless, the Indemnitee shall promptly notify Indemnifying Party of such event. Indemnifying Party shall assume the defense of, and may settle, that part of any such claim or action commenced or made against an Indemnitee which relates to the Indemnifying Party’s indemnification and CTI may take such other steps as may be necessary to protect it. Indemnifying Party will not be liable to Indemnitees on account of any settlement of any such claim or litigation affected without Indemnifying Party’s consent. The right of Indemnifying Party to assume the defense of any action is limited to that part of the action commenced against Indemnitees that relates to Indemnifying Party’s obligation of indemnification and holding harmless.</w:t>
      </w:r>
    </w:p>
    <w:p>
      <w:pPr>
        <w:spacing w:after="0" w:line="216" w:lineRule="exact"/>
        <w:rPr>
          <w:sz w:val="20"/>
          <w:szCs w:val="20"/>
          <w:color w:val="auto"/>
        </w:rPr>
      </w:pPr>
    </w:p>
    <w:p>
      <w:pPr>
        <w:ind w:right="42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color w:val="auto"/>
        </w:rPr>
        <w:t>TGTX shall require any Affiliates or Sublicensee(s) to indemnify, hold harmless and defend DFCI and CTI under the same terms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9.1 – 9.4.</w:t>
      </w:r>
    </w:p>
    <w:p>
      <w:pPr>
        <w:spacing w:after="0" w:line="197" w:lineRule="exact"/>
        <w:rPr>
          <w:sz w:val="20"/>
          <w:szCs w:val="20"/>
          <w:color w:val="auto"/>
        </w:rPr>
      </w:pPr>
    </w:p>
    <w:p>
      <w:pPr>
        <w:ind w:right="20" w:firstLine="648"/>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9.5 Insurance. </w:t>
      </w:r>
      <w:r>
        <w:rPr>
          <w:rFonts w:ascii="Times New Roman" w:cs="Times New Roman" w:eastAsia="Times New Roman" w:hAnsi="Times New Roman"/>
          <w:sz w:val="16"/>
          <w:szCs w:val="16"/>
          <w:color w:val="auto"/>
        </w:rPr>
        <w:t>At such time as any product, process or service relating to, or developed pursuant to, this Agreement is being commercially distributed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sold (other than for the purpose of obtaining regulatory approvals) by TGTX or by a Sublicensee, Affiliate or agent of TGTX, TGTX shall, at its sole cost and expense, procure and maintain policies of commercial general liability insurance in amounts not less than $2,000,000 per incident and $2,000,000 annual aggregate and naming the Indemnitees as additional insureds. Such commercial general liability insurance must provide (a) product liability coverage and (b) contractual liability coverage for TGTX's indemnification under Sections 9.1 through 9.5 of this Agreement. If TGTX elects to self-insure all or part of the limits described above (including deductibles or retentions which are in excess of $250,000 annual aggregate), such self-insurance program must be acceptable to the CTI, DFCI and the DFCI's associated Risk Management Foundation. The minimum amounts of insurance coverage required under these provisions may not be construed to create a limit of TGTX's liability with respect to its indemnification obligation under Sections 9.1 through 9.5 of this Agreement.</w:t>
      </w:r>
    </w:p>
    <w:p>
      <w:pPr>
        <w:spacing w:after="0" w:line="19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6"/>
          <w:szCs w:val="16"/>
          <w:color w:val="auto"/>
        </w:rPr>
        <w:t>TGTX shall provide CTI with written evidence of such insurance upon request of CTI. TGTX shall provide CTI with written notice at least fifteen</w:t>
      </w:r>
    </w:p>
    <w:p>
      <w:pPr>
        <w:spacing w:after="0" w:line="23"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cancellation, non-renewal or material change in such insurance; if TGTX does not obtain replacement insurance providing comparable</w:t>
      </w:r>
    </w:p>
    <w:p>
      <w:pPr>
        <w:spacing w:after="0" w:line="9" w:lineRule="exact"/>
        <w:rPr>
          <w:rFonts w:ascii="Times New Roman" w:cs="Times New Roman" w:eastAsia="Times New Roman" w:hAnsi="Times New Roman"/>
          <w:sz w:val="18"/>
          <w:szCs w:val="18"/>
          <w:color w:val="auto"/>
        </w:rPr>
      </w:pPr>
    </w:p>
    <w:p>
      <w:pPr>
        <w:ind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within such fifteen (15) day period, CTI has the right to terminate this Agreement effective at the end of such fifteen (15) day period without any notice or additional waiting periods.</w:t>
      </w:r>
    </w:p>
    <w:p>
      <w:pPr>
        <w:spacing w:after="0" w:line="211" w:lineRule="exact"/>
        <w:rPr>
          <w:sz w:val="20"/>
          <w:szCs w:val="20"/>
          <w:color w:val="auto"/>
        </w:rPr>
      </w:pPr>
    </w:p>
    <w:p>
      <w:pPr>
        <w:jc w:val="both"/>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9.7 </w:t>
      </w:r>
      <w:r>
        <w:rPr>
          <w:rFonts w:ascii="Times New Roman" w:cs="Times New Roman" w:eastAsia="Times New Roman" w:hAnsi="Times New Roman"/>
          <w:sz w:val="18"/>
          <w:szCs w:val="18"/>
          <w:color w:val="auto"/>
        </w:rPr>
        <w:t>TGTX shall maintain such comprehensive general liability insurance beyond the expiration or termination of this Agreement during (a) the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product, process, or service, relating to, or developed pursuant to, this Agreement is being commercially distributed or sold (other than for the purpose of obtaining regulatory approvals) by TGTX or by a Sublicensee, Affiliate or agent of TGTX and (b) a reasonable period after the period referred to in 9.8 (a) above which in no event shall be less than fifteen (15) years.</w:t>
      </w:r>
    </w:p>
    <w:p>
      <w:pPr>
        <w:spacing w:after="0" w:line="214"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9.8 </w:t>
      </w:r>
      <w:r>
        <w:rPr>
          <w:rFonts w:ascii="Times New Roman" w:cs="Times New Roman" w:eastAsia="Times New Roman" w:hAnsi="Times New Roman"/>
          <w:sz w:val="18"/>
          <w:szCs w:val="18"/>
          <w:color w:val="auto"/>
        </w:rPr>
        <w:t>TGTX shall require any of its Affiliates or Sublicensee(s) to, maintain insurance in favor of CTI, DFCI and the Indemnitees under the same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Sections 9.5 – 9.7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87" w:name="page88"/>
    <w:bookmarkEnd w:id="87"/>
    <w:p>
      <w:pPr>
        <w:ind w:left="528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6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10.1 Term. </w:t>
      </w:r>
      <w:r>
        <w:rPr>
          <w:rFonts w:ascii="Times New Roman" w:cs="Times New Roman" w:eastAsia="Times New Roman" w:hAnsi="Times New Roman"/>
          <w:sz w:val="18"/>
          <w:szCs w:val="18"/>
          <w:color w:val="auto"/>
        </w:rPr>
        <w:t>The term of this Agreement shall commence on the Effective Date and, unless earlier terminated as provided in this Article X,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continue in full force and effect, on a country-by-country and Licensed Product-by-Licensed Product basis until the Royalty Term in such country with respect to such Licensed Product expires, at which time this Agreement shall expire in its entirety with respect to such Licensed Product in such country.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shall mean the period from the Effective Date until the earlier of termination of this Agreement as provided in this Article X or expiration of this Agreement upon the expiration of the last-to-expire Royalty Term.) The Parties confirm that subject to the foregoing sentence, this Agreement shall not be terminated or invalidated by any future determination that any or all of the Licensed Patents have expired or been invalidated.</w:t>
      </w:r>
    </w:p>
    <w:p>
      <w:pPr>
        <w:spacing w:after="0" w:line="15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Termination by CTI. </w:t>
      </w:r>
      <w:r>
        <w:rPr>
          <w:rFonts w:ascii="Times New Roman" w:cs="Times New Roman" w:eastAsia="Times New Roman" w:hAnsi="Times New Roman"/>
          <w:sz w:val="18"/>
          <w:szCs w:val="18"/>
          <w:color w:val="auto"/>
        </w:rPr>
        <w:t>CTI has the right to immediately terminate this Agreement, the extension of rights (if such termination occurs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TGTX is an Affiliate of CTI), and all licenses granted hereunder (if such failure occurs after the time TGTX ceases to be an Affiliate of CTI), or at CTI’s option to convert the exclusive license granted in Article 2.1 to a non-exclusive license (if such failure occurs after the time TGTX ceases to be an Affiliate of CTI) in accordance with Section 3.6, by providing TGTX with written notice of such, upon the occurrence of any of the following events.</w:t>
      </w:r>
    </w:p>
    <w:p>
      <w:pPr>
        <w:spacing w:after="0" w:line="148" w:lineRule="exact"/>
        <w:rPr>
          <w:sz w:val="20"/>
          <w:szCs w:val="20"/>
          <w:color w:val="auto"/>
        </w:rPr>
      </w:pPr>
    </w:p>
    <w:p>
      <w:pPr>
        <w:ind w:left="1400" w:hanging="420"/>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TGTX’s Board of Director’s has agreed that TGTX will cease to carry on its business with respect to Licensed Products.</w:t>
      </w:r>
    </w:p>
    <w:p>
      <w:pPr>
        <w:spacing w:after="0" w:line="184" w:lineRule="exact"/>
        <w:rPr>
          <w:rFonts w:ascii="Times New Roman" w:cs="Times New Roman" w:eastAsia="Times New Roman" w:hAnsi="Times New Roman"/>
          <w:sz w:val="18"/>
          <w:szCs w:val="18"/>
          <w:color w:val="auto"/>
        </w:rPr>
      </w:pPr>
    </w:p>
    <w:p>
      <w:pPr>
        <w:ind w:left="980" w:right="140"/>
        <w:spacing w:after="0" w:line="262" w:lineRule="auto"/>
        <w:tabs>
          <w:tab w:leader="none" w:pos="14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TGTX fails to pay when due any undisputed royalty or other undisputed payment that has become due and is payable under Article V of this Agreement and has not cured the default by making the required payment, together with interest due, within ninety days of receiving a written notice of default from CTI requesting such payment.</w:t>
      </w:r>
    </w:p>
    <w:p>
      <w:pPr>
        <w:spacing w:after="0" w:line="145"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TGTX is convicted of a felony relating to the manufacture, use, sale or importation of Licensed Products.</w:t>
      </w:r>
    </w:p>
    <w:p>
      <w:pPr>
        <w:spacing w:after="0" w:line="184" w:lineRule="exact"/>
        <w:rPr>
          <w:rFonts w:ascii="Times New Roman" w:cs="Times New Roman" w:eastAsia="Times New Roman" w:hAnsi="Times New Roman"/>
          <w:sz w:val="18"/>
          <w:szCs w:val="18"/>
          <w:color w:val="auto"/>
        </w:rPr>
      </w:pPr>
    </w:p>
    <w:p>
      <w:pPr>
        <w:jc w:val="both"/>
        <w:ind w:left="980" w:right="80"/>
        <w:spacing w:after="0" w:line="258" w:lineRule="auto"/>
        <w:tabs>
          <w:tab w:leader="none" w:pos="14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TGTX materially breaches any other provision of this Agreement (including but not limited to due diligence obligations under Article III and insurance obligations under Section 9.7 – Section 9.10), unless TGTX has cured the breach within ninety days of receiving written notice from CTI specifying the nature of the breach; provided, however, that the due diligence obligations shall be determined on a Licensed Product by Licensed Product basis.</w:t>
      </w:r>
    </w:p>
    <w:p>
      <w:pPr>
        <w:spacing w:after="0" w:line="148" w:lineRule="exact"/>
        <w:rPr>
          <w:sz w:val="20"/>
          <w:szCs w:val="20"/>
          <w:color w:val="auto"/>
        </w:rPr>
      </w:pPr>
    </w:p>
    <w:p>
      <w:pPr>
        <w:jc w:val="both"/>
        <w:ind w:right="8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10.3 Termination for insolvency. </w:t>
      </w:r>
      <w:r>
        <w:rPr>
          <w:rFonts w:ascii="Times New Roman" w:cs="Times New Roman" w:eastAsia="Times New Roman" w:hAnsi="Times New Roman"/>
          <w:sz w:val="18"/>
          <w:szCs w:val="18"/>
          <w:color w:val="auto"/>
        </w:rPr>
        <w:t>TGTX or CTI may terminate this Agreement immediately upon written notice, with no further notice obligation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to cure, if TGTX or CTI shall become insolvent, shall make an assignment for the benefit of creditors, or shall have a petition in bankruptcy filed for or against it (which is not dismissed within 60 days of such filing).</w:t>
      </w:r>
    </w:p>
    <w:p>
      <w:pPr>
        <w:spacing w:after="0" w:line="14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color w:val="auto"/>
        </w:rPr>
        <w:t>Notwithstanding Sections 10.2 and 10.3, in the event of a good-faith dispute as to whether any alleged breach, default, failure or any other act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omission gives rise to a right of termination under this Agreement, is in fact a breach, default, failure or other act or omission that gives rise to a right of termination under this Agreement, termination of this Agreement in respect of such alleged breach, default, failure or other act or omission shall not take effect unless and until (y) such dispute is resolved in accordance with Section 10.7 below in favor of the Party alleging such breach, default, failure or other act or omission or (z) the non-terminating Party’s denial that the alleged breach, default, failure or other act or omissions is in fact a breach, default, failure or other act or omission giving rise to a right of termination hereunder ceases to be in good faith.</w:t>
      </w:r>
    </w:p>
    <w:p>
      <w:pPr>
        <w:spacing w:after="0" w:line="153"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10.5 Termination by TGTX. </w:t>
      </w:r>
      <w:r>
        <w:rPr>
          <w:rFonts w:ascii="Times New Roman" w:cs="Times New Roman" w:eastAsia="Times New Roman" w:hAnsi="Times New Roman"/>
          <w:sz w:val="18"/>
          <w:szCs w:val="18"/>
          <w:color w:val="auto"/>
        </w:rPr>
        <w:t>TGTX has the right to terminate this Agreement without cause by giving CTI one hundred and eighty days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in whole or on a Licensed Product by Licensed Product basis. Any milestones achieved by TGTX during this one hundred and eighty-day period will be due and payable to CTI.</w:t>
      </w:r>
    </w:p>
    <w:p>
      <w:pPr>
        <w:spacing w:after="0" w:line="14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6"/>
          <w:szCs w:val="16"/>
          <w:b w:val="1"/>
          <w:bCs w:val="1"/>
          <w:color w:val="auto"/>
        </w:rPr>
        <w:t>Effect of Termination</w:t>
      </w:r>
    </w:p>
    <w:p>
      <w:pPr>
        <w:spacing w:after="0" w:line="185" w:lineRule="exact"/>
        <w:rPr>
          <w:sz w:val="20"/>
          <w:szCs w:val="20"/>
          <w:color w:val="auto"/>
        </w:rPr>
      </w:pPr>
    </w:p>
    <w:p>
      <w:pPr>
        <w:ind w:left="980" w:right="120"/>
        <w:spacing w:after="0" w:line="277" w:lineRule="auto"/>
        <w:tabs>
          <w:tab w:leader="none" w:pos="13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release. </w:t>
      </w:r>
      <w:r>
        <w:rPr>
          <w:rFonts w:ascii="Times New Roman" w:cs="Times New Roman" w:eastAsia="Times New Roman" w:hAnsi="Times New Roman"/>
          <w:sz w:val="18"/>
          <w:szCs w:val="18"/>
          <w:color w:val="auto"/>
        </w:rPr>
        <w:t>Upon termination of this Agreement for any reason, nothing in this Agreement may be construed to release either party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that matured prior to the effective date of the termination.</w:t>
      </w:r>
    </w:p>
    <w:p>
      <w:pPr>
        <w:spacing w:after="0" w:line="129" w:lineRule="exact"/>
        <w:rPr>
          <w:rFonts w:ascii="Times New Roman" w:cs="Times New Roman" w:eastAsia="Times New Roman" w:hAnsi="Times New Roman"/>
          <w:sz w:val="18"/>
          <w:szCs w:val="18"/>
          <w:color w:val="auto"/>
        </w:rPr>
      </w:pPr>
    </w:p>
    <w:p>
      <w:pPr>
        <w:ind w:left="980" w:right="120"/>
        <w:spacing w:after="0" w:line="264" w:lineRule="auto"/>
        <w:tabs>
          <w:tab w:leader="none" w:pos="14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w:t>
      </w:r>
      <w:r>
        <w:rPr>
          <w:rFonts w:ascii="Times New Roman" w:cs="Times New Roman" w:eastAsia="Times New Roman" w:hAnsi="Times New Roman"/>
          <w:sz w:val="18"/>
          <w:szCs w:val="18"/>
          <w:color w:val="auto"/>
        </w:rPr>
        <w:t>The provisions of Section 6.1(a) (patent expenses) Article V (Financial Provisions), Section 3.1.2 (Publicity –paragraph 10.6(c)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Article IX (Indemnification), Sections 9.7 – 9.10 (Insurance), Article VIII (Representations and Warranties) and Section 10.7 (Dispute Resolution) survive termination or expiration of this Agreement.</w:t>
      </w:r>
    </w:p>
    <w:p>
      <w:pPr>
        <w:spacing w:after="0" w:line="140" w:lineRule="exact"/>
        <w:rPr>
          <w:rFonts w:ascii="Times New Roman" w:cs="Times New Roman" w:eastAsia="Times New Roman" w:hAnsi="Times New Roman"/>
          <w:sz w:val="18"/>
          <w:szCs w:val="18"/>
          <w:color w:val="auto"/>
        </w:rPr>
      </w:pPr>
    </w:p>
    <w:p>
      <w:pPr>
        <w:jc w:val="both"/>
        <w:ind w:left="980" w:right="200"/>
        <w:spacing w:after="0" w:line="257" w:lineRule="auto"/>
        <w:tabs>
          <w:tab w:leader="none" w:pos="13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Inventory. </w:t>
      </w:r>
      <w:r>
        <w:rPr>
          <w:rFonts w:ascii="Times New Roman" w:cs="Times New Roman" w:eastAsia="Times New Roman" w:hAnsi="Times New Roman"/>
          <w:sz w:val="18"/>
          <w:szCs w:val="18"/>
          <w:color w:val="auto"/>
        </w:rPr>
        <w:t>TGTX, any Affiliate(s) and any Sublicensees whose sublicenses are not converted as provided in paragraph 10.6(d) below,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effective date of termination, sell all Licensed Products that are in inventory as of the date of written notice of termination, and complete and sell Licensed Products which the licensed entity(ies) can reasonably demonstrate were in the process of manufacture as of the date of written notice of termination, provided that TGTX shall pay to CTI the royalties thereon as required by Article V and shall submit the reports required by Section 5.10 on the sales of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88" w:name="page89"/>
    <w:bookmarkEnd w:id="88"/>
    <w:p>
      <w:pPr>
        <w:ind w:left="980"/>
        <w:spacing w:after="0" w:line="259" w:lineRule="auto"/>
        <w:tabs>
          <w:tab w:leader="none" w:pos="14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Sublicenses. </w:t>
      </w:r>
      <w:r>
        <w:rPr>
          <w:rFonts w:ascii="Times New Roman" w:cs="Times New Roman" w:eastAsia="Times New Roman" w:hAnsi="Times New Roman"/>
          <w:sz w:val="18"/>
          <w:szCs w:val="18"/>
          <w:color w:val="auto"/>
        </w:rPr>
        <w:t>Any Sublicenses will terminate contemporaneously with this Agreement; provided, however, that any Sublicenses that are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under the sublicense agreement shall, upon DFCI’s and CTI’s written approval, survive and remain in full force and effect so long as the Sublicensee agrees to be bound by all of the provisions of this Agreement, if not otherwise already provided for in the sublicense agreement. Such approval by DFCI and CTI shall not be unreasonably withheld and shall not require the payment of additional consideration.</w:t>
      </w:r>
    </w:p>
    <w:p>
      <w:pPr>
        <w:spacing w:after="0" w:line="215" w:lineRule="exact"/>
        <w:rPr>
          <w:rFonts w:ascii="Times New Roman" w:cs="Times New Roman" w:eastAsia="Times New Roman" w:hAnsi="Times New Roman"/>
          <w:sz w:val="18"/>
          <w:szCs w:val="18"/>
          <w:color w:val="auto"/>
        </w:rPr>
      </w:pPr>
    </w:p>
    <w:p>
      <w:pPr>
        <w:ind w:left="980"/>
        <w:spacing w:after="0" w:line="256" w:lineRule="auto"/>
        <w:tabs>
          <w:tab w:leader="none" w:pos="13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in effect at the time of the termination of the License Agreement and (ii) TGTX is not an Affiliate of CTI at such time then, upon the written approval by DFCI, this Agreement survive and remain in full force and TGTX hereby agrees to be bound by the terms of the License Agreement pursuant to Section 10.6(d) of the License Agreement. If DFCI does not approve such survival, then this Agreement shall terminate upon termination of the License Agreement. Such approval by DFCI shall not be unreasonably withheld and shall not require the payment of additional consideration.</w:t>
      </w:r>
    </w:p>
    <w:p>
      <w:pPr>
        <w:spacing w:after="0" w:line="219" w:lineRule="exact"/>
        <w:rPr>
          <w:rFonts w:ascii="Times New Roman" w:cs="Times New Roman" w:eastAsia="Times New Roman" w:hAnsi="Times New Roman"/>
          <w:sz w:val="18"/>
          <w:szCs w:val="18"/>
          <w:color w:val="auto"/>
        </w:rPr>
      </w:pPr>
    </w:p>
    <w:p>
      <w:pPr>
        <w:ind w:left="980" w:right="40"/>
        <w:spacing w:after="0" w:line="262" w:lineRule="auto"/>
        <w:tabs>
          <w:tab w:leader="none" w:pos="13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License Agreement, TGTX is deemed an Affiliate of CTI, and thus at the time the License Agreement is terminated, this Agreement shall automatically terminate at such time; provided, that pursuant to Section 2.5, TGTX shall have the right to cure any breach and that CTI will not voluntarily terminate the License Agreement with TGTX’s prior written consent.</w:t>
      </w:r>
    </w:p>
    <w:p>
      <w:pPr>
        <w:spacing w:after="0" w:line="21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6"/>
          <w:szCs w:val="16"/>
          <w:b w:val="1"/>
          <w:bCs w:val="1"/>
          <w:color w:val="auto"/>
        </w:rPr>
        <w:t>Dispute Resolution.</w:t>
      </w:r>
    </w:p>
    <w:p>
      <w:pPr>
        <w:spacing w:after="0" w:line="185" w:lineRule="exact"/>
        <w:rPr>
          <w:sz w:val="20"/>
          <w:szCs w:val="20"/>
          <w:color w:val="auto"/>
        </w:rPr>
      </w:pPr>
    </w:p>
    <w:p>
      <w:pPr>
        <w:ind w:left="980" w:right="320"/>
        <w:spacing w:after="0" w:line="264" w:lineRule="auto"/>
        <w:tabs>
          <w:tab w:leader="none" w:pos="13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Negotiation between the Parties. </w:t>
      </w:r>
      <w:r>
        <w:rPr>
          <w:rFonts w:ascii="Times New Roman" w:cs="Times New Roman" w:eastAsia="Times New Roman" w:hAnsi="Times New Roman"/>
          <w:sz w:val="18"/>
          <w:szCs w:val="18"/>
          <w:color w:val="auto"/>
        </w:rPr>
        <w:t>The parties shall first attempt to resolve any controversy that arises from this Agreement, or claim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of the Agreement, by good faith negotiations, first between their respective business development representatives and then, if necessary, between senior representatives for the Parties.</w:t>
      </w:r>
    </w:p>
    <w:p>
      <w:pPr>
        <w:spacing w:after="0" w:line="140" w:lineRule="exact"/>
        <w:rPr>
          <w:rFonts w:ascii="Times New Roman" w:cs="Times New Roman" w:eastAsia="Times New Roman" w:hAnsi="Times New Roman"/>
          <w:sz w:val="18"/>
          <w:szCs w:val="18"/>
          <w:color w:val="auto"/>
        </w:rPr>
      </w:pPr>
    </w:p>
    <w:p>
      <w:pPr>
        <w:ind w:left="980" w:right="40"/>
        <w:spacing w:after="0" w:line="264" w:lineRule="auto"/>
        <w:tabs>
          <w:tab w:leader="none" w:pos="14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Non-Binding Mediation. </w:t>
      </w:r>
      <w:r>
        <w:rPr>
          <w:rFonts w:ascii="Times New Roman" w:cs="Times New Roman" w:eastAsia="Times New Roman" w:hAnsi="Times New Roman"/>
          <w:sz w:val="18"/>
          <w:szCs w:val="18"/>
          <w:color w:val="auto"/>
        </w:rPr>
        <w:t>If the controversy or claim cannot be settled through good faith negotiation between the parties, the parties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to try in good faith to settle their dispute by non-binding mediation under the Mediation Rules of the American Arbitration Association, before resorting to arbitration, litigation or other dispute resolution procedure.</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70"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11.1 Relationship of the Parties. </w:t>
      </w:r>
      <w:r>
        <w:rPr>
          <w:rFonts w:ascii="Times New Roman" w:cs="Times New Roman" w:eastAsia="Times New Roman" w:hAnsi="Times New Roman"/>
          <w:sz w:val="18"/>
          <w:szCs w:val="18"/>
          <w:color w:val="auto"/>
        </w:rPr>
        <w:t>Nothing in this Agreement is intended or shall be deemed to constitute a partnership, agency, joint venture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employer-employee relationship between the Parties. No Party shall have any right or authority to commit or legally bind any other Party in any way whatsoever including, without limitation, the making of any agreement, representation or warranty and each Party agrees to not purport to do so.</w:t>
      </w:r>
    </w:p>
    <w:p>
      <w:pPr>
        <w:spacing w:after="0" w:line="14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6"/>
          <w:szCs w:val="16"/>
          <w:b w:val="1"/>
          <w:bCs w:val="1"/>
          <w:color w:val="auto"/>
        </w:rPr>
        <w:t>Assignment.</w:t>
      </w:r>
    </w:p>
    <w:p>
      <w:pPr>
        <w:spacing w:after="0" w:line="187" w:lineRule="exact"/>
        <w:rPr>
          <w:sz w:val="20"/>
          <w:szCs w:val="20"/>
          <w:color w:val="auto"/>
        </w:rPr>
      </w:pPr>
    </w:p>
    <w:p>
      <w:pPr>
        <w:ind w:left="1400" w:hanging="420"/>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not in accordance with this Section 11.2 shall be void.</w:t>
      </w:r>
    </w:p>
    <w:p>
      <w:pPr>
        <w:spacing w:after="0" w:line="184"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shall relieve the assigning Party of any of its responsibilities or obligations hereunder.</w:t>
      </w:r>
    </w:p>
    <w:p>
      <w:pPr>
        <w:spacing w:after="0" w:line="184" w:lineRule="exact"/>
        <w:rPr>
          <w:rFonts w:ascii="Times New Roman" w:cs="Times New Roman" w:eastAsia="Times New Roman" w:hAnsi="Times New Roman"/>
          <w:sz w:val="18"/>
          <w:szCs w:val="18"/>
          <w:color w:val="auto"/>
        </w:rPr>
      </w:pPr>
    </w:p>
    <w:p>
      <w:pPr>
        <w:ind w:left="980" w:right="40"/>
        <w:spacing w:after="0" w:line="254" w:lineRule="auto"/>
        <w:tabs>
          <w:tab w:leader="none" w:pos="139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TGTX may not transfer or assign its rights or licenses or delegate its obligations under this Agreement, in whole or in part, by operation of law or otherwise, to any Third Party without the prior written consent of CTI, which consent shall not be unreasonably withheld, conditioned or delayed;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notwithstanding the foregoing, TGTX may, without such consent, assign its rights or licenses and/or delegate its obligations under this Agreement to (i) an Affiliate or (ii) a Third Party in connection with a Sale Event (and for the avoidance of doubt, at such time the extension of rights set forth in Section 2.5 shall terminate and the licenses granted to TGTX in Section 2 shall become effective). As a condition to any permitted assignment hereunder, the assignee must expressly assume, in a writing delivered to CTI and signed by a duly authorized officer of the assignee (and in a form reasonably acceptable to CTI) all of TGTX’s obligations under this Agreement, whether arising before, at or after the assignment.</w:t>
      </w:r>
    </w:p>
    <w:p>
      <w:pPr>
        <w:spacing w:after="0" w:line="150" w:lineRule="exact"/>
        <w:rPr>
          <w:sz w:val="20"/>
          <w:szCs w:val="20"/>
          <w:color w:val="auto"/>
        </w:rPr>
      </w:pPr>
    </w:p>
    <w:p>
      <w:pPr>
        <w:ind w:right="56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11.3 Further Actions. </w:t>
      </w:r>
      <w:r>
        <w:rPr>
          <w:rFonts w:ascii="Times New Roman" w:cs="Times New Roman" w:eastAsia="Times New Roman" w:hAnsi="Times New Roman"/>
          <w:sz w:val="18"/>
          <w:szCs w:val="18"/>
          <w:color w:val="auto"/>
        </w:rPr>
        <w:t>Each Party agrees to execute, acknowledge and deliver such further instruments and to do all such other acts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28" w:right="279" w:bottom="1440" w:gutter="0" w:footer="0" w:header="0"/>
        </w:sectPr>
      </w:pPr>
    </w:p>
    <w:bookmarkStart w:id="89" w:name="page90"/>
    <w:bookmarkEnd w:id="89"/>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11.4 Force Majeure. </w:t>
      </w:r>
      <w:r>
        <w:rPr>
          <w:rFonts w:ascii="Times New Roman" w:cs="Times New Roman" w:eastAsia="Times New Roman" w:hAnsi="Times New Roman"/>
          <w:sz w:val="18"/>
          <w:szCs w:val="18"/>
          <w:color w:val="auto"/>
        </w:rPr>
        <w:t>No Party shall be liable to any other Party or be deemed to have breached or defaulted under this Agreement for failure or delay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performance of any of its obligations under this Agreement (other than obligations for the payment of money) for the time and to the extent such failure or delay is caused by or results from acts of God, earthquake, riot, civil commotion, terrorism, war, strikes or other labor disputes, fire, flood, failure or delay of transportation, omissions or delays in acting by a governmental authority, acts of a government or an agency thereof or judicial orders or decrees or restrictions or any other like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 and the time for performance shall be extended for a number of days equal to the duration of the force majeure.</w:t>
      </w:r>
    </w:p>
    <w:p>
      <w:pPr>
        <w:spacing w:after="0" w:line="152" w:lineRule="exact"/>
        <w:rPr>
          <w:sz w:val="20"/>
          <w:szCs w:val="20"/>
          <w:color w:val="auto"/>
        </w:rPr>
      </w:pPr>
    </w:p>
    <w:p>
      <w:pPr>
        <w:ind w:firstLine="648"/>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11.5 Entire Agreement of the Parties; Amendments. </w:t>
      </w:r>
      <w:r>
        <w:rPr>
          <w:rFonts w:ascii="Times New Roman" w:cs="Times New Roman" w:eastAsia="Times New Roman" w:hAnsi="Times New Roman"/>
          <w:sz w:val="16"/>
          <w:szCs w:val="16"/>
          <w:color w:val="auto"/>
        </w:rPr>
        <w:t>This Agreement and the Schedules hereto constitute and contain the entire understanding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of the Parties respecting the subject matter hereof and cancel and supersede any and all prior or contemporaneous negotiations, correspondence, understandings and agreements between the Parties, whether oral or written, regarding such subject matter (provided, that any and all previous nondisclosure/nonuse obligations are not superseded and remain in full force and effect in addition to the nondisclosure/nonuse provisions hereof). Each Party acknowledges that it has not relied, in deciding whether to enter into this Agreement on this Agreement’s expressly stated terms and conditions, on any representations, warranties, agreements, commitments or promises which are not expressly set forth within this Agreement. No modification or amendment of any provision of this Agreement shall be valid or effective unless made in a writing referencing this Agreement and signed by a duly authorized officer of each Party.</w:t>
      </w:r>
    </w:p>
    <w:p>
      <w:pPr>
        <w:spacing w:after="0" w:line="127" w:lineRule="exact"/>
        <w:rPr>
          <w:sz w:val="20"/>
          <w:szCs w:val="20"/>
          <w:color w:val="auto"/>
        </w:rPr>
      </w:pPr>
    </w:p>
    <w:p>
      <w:pPr>
        <w:ind w:right="70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11.6 Governing Law. </w:t>
      </w:r>
      <w:r>
        <w:rPr>
          <w:rFonts w:ascii="Times New Roman" w:cs="Times New Roman" w:eastAsia="Times New Roman" w:hAnsi="Times New Roman"/>
          <w:sz w:val="18"/>
          <w:szCs w:val="18"/>
          <w:color w:val="auto"/>
        </w:rPr>
        <w:t>This Agreement shall be governed by and interpreted in accordance with the laws of the State of New York,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any conflict of laws principles.</w:t>
      </w:r>
    </w:p>
    <w:p>
      <w:pPr>
        <w:spacing w:after="0" w:line="130" w:lineRule="exact"/>
        <w:rPr>
          <w:sz w:val="20"/>
          <w:szCs w:val="20"/>
          <w:color w:val="auto"/>
        </w:rPr>
      </w:pPr>
    </w:p>
    <w:p>
      <w:pPr>
        <w:jc w:val="both"/>
        <w:ind w:right="120" w:firstLine="648"/>
        <w:spacing w:after="0" w:line="312" w:lineRule="auto"/>
        <w:rPr>
          <w:sz w:val="20"/>
          <w:szCs w:val="20"/>
          <w:color w:val="auto"/>
        </w:rPr>
      </w:pPr>
      <w:r>
        <w:rPr>
          <w:rFonts w:ascii="Times New Roman" w:cs="Times New Roman" w:eastAsia="Times New Roman" w:hAnsi="Times New Roman"/>
          <w:sz w:val="16"/>
          <w:szCs w:val="16"/>
          <w:b w:val="1"/>
          <w:bCs w:val="1"/>
          <w:color w:val="auto"/>
        </w:rPr>
        <w:t>11.7 Notices and Deliveries</w:t>
      </w:r>
      <w:r>
        <w:rPr>
          <w:rFonts w:ascii="Times New Roman" w:cs="Times New Roman" w:eastAsia="Times New Roman" w:hAnsi="Times New Roman"/>
          <w:sz w:val="16"/>
          <w:szCs w:val="16"/>
          <w:color w:val="auto"/>
        </w:rPr>
        <w:t>. Any notice, request, approval or consent required or permitted to be given under this Agreement shall be in writing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deemed to have been sufficiently given if and only if delivered in person, by email or by express courier service to the Party to which it is directed at its physical or email address shown below or such other physical or email address as such Party shall have last given by such written notice to the other Party.</w:t>
      </w:r>
    </w:p>
    <w:p>
      <w:pPr>
        <w:spacing w:after="0" w:line="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If to CTI, addressed 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Checkpoint Therapeutics, Inc.</w:t>
      </w:r>
    </w:p>
    <w:p>
      <w:pPr>
        <w:ind w:left="1300"/>
        <w:spacing w:after="0" w:line="213" w:lineRule="auto"/>
        <w:rPr>
          <w:sz w:val="20"/>
          <w:szCs w:val="20"/>
          <w:color w:val="auto"/>
        </w:rPr>
      </w:pPr>
      <w:r>
        <w:rPr>
          <w:rFonts w:ascii="Times New Roman" w:cs="Times New Roman" w:eastAsia="Times New Roman" w:hAnsi="Times New Roman"/>
          <w:sz w:val="18"/>
          <w:szCs w:val="18"/>
          <w:color w:val="auto"/>
        </w:rPr>
        <w:t>2 Gansevoort Street,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p>
      <w:pPr>
        <w:ind w:left="130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James F. Oliviero,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jfo@checkpointtx.com</w:t>
      </w:r>
    </w:p>
    <w:p>
      <w:pPr>
        <w:spacing w:after="0" w:line="3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If to TGTX, addressed 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TG Therapeutics, Inc.</w:t>
      </w:r>
    </w:p>
    <w:p>
      <w:pPr>
        <w:ind w:left="1300"/>
        <w:spacing w:after="0" w:line="213" w:lineRule="auto"/>
        <w:rPr>
          <w:sz w:val="20"/>
          <w:szCs w:val="20"/>
          <w:color w:val="auto"/>
        </w:rPr>
      </w:pPr>
      <w:r>
        <w:rPr>
          <w:rFonts w:ascii="Times New Roman" w:cs="Times New Roman" w:eastAsia="Times New Roman" w:hAnsi="Times New Roman"/>
          <w:sz w:val="18"/>
          <w:szCs w:val="18"/>
          <w:color w:val="auto"/>
        </w:rPr>
        <w:t>2 Gansevoort Street,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p>
      <w:pPr>
        <w:ind w:left="130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Sean Power, CFO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sp@tgtxinc.com</w:t>
      </w:r>
    </w:p>
    <w:p>
      <w:pPr>
        <w:spacing w:after="0" w:line="386"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11.8 Waiver. </w:t>
      </w:r>
      <w:r>
        <w:rPr>
          <w:rFonts w:ascii="Times New Roman" w:cs="Times New Roman" w:eastAsia="Times New Roman" w:hAnsi="Times New Roman"/>
          <w:sz w:val="18"/>
          <w:szCs w:val="18"/>
          <w:color w:val="auto"/>
        </w:rPr>
        <w:t>No waiver of any provision of this Agreement shall be valid or effective unless made in a writing referencing this Agreement and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authorized officer of the waiving Party. A waiver by a Party of any of the terms and conditions of this Agreement in any instance shall not be deemed or construed to be a waiver of such term or condition for the future, or of any other term or condition hereof.</w:t>
      </w:r>
    </w:p>
    <w:p>
      <w:pPr>
        <w:spacing w:after="0" w:line="141" w:lineRule="exact"/>
        <w:rPr>
          <w:sz w:val="20"/>
          <w:szCs w:val="20"/>
          <w:color w:val="auto"/>
        </w:rPr>
      </w:pPr>
    </w:p>
    <w:p>
      <w:pPr>
        <w:ind w:right="26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11.9 Rights and Remedies are Cumulative</w:t>
      </w:r>
      <w:r>
        <w:rPr>
          <w:rFonts w:ascii="Times New Roman" w:cs="Times New Roman" w:eastAsia="Times New Roman" w:hAnsi="Times New Roman"/>
          <w:sz w:val="18"/>
          <w:szCs w:val="18"/>
          <w:color w:val="auto"/>
        </w:rPr>
        <w:t>. Except to the extent expressly set forth herein, all rights, remedies, undertakings, obligations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contained in or available upon violation of this Agreement shall be cumulative and none of them shall be in limitation of any other remedy or right authorized in law or in equity, or any undertaking, obligation or agreement of the applicable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90" w:name="page91"/>
    <w:bookmarkEnd w:id="90"/>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11.10 Severability. </w:t>
      </w:r>
      <w:r>
        <w:rPr>
          <w:rFonts w:ascii="Times New Roman" w:cs="Times New Roman" w:eastAsia="Times New Roman" w:hAnsi="Times New Roman"/>
          <w:sz w:val="18"/>
          <w:szCs w:val="18"/>
          <w:color w:val="auto"/>
        </w:rPr>
        <w:t>This Agreement is severable. When possible, each provision of this Agreement will be interpreted in such manner as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valid under applicable Law, but if any provision of this Agreement is held to be to any extent prohibited by or invalid under applicable Law, such provision will be ineffective only to the extent of such prohibition or invalidity, without invalidating the remainder of this Agreement (or of such provision). The Parties shall make a good faith effort to replace the invalid or unenforceable provision with a valid one which in its economic effect is most consistent with the invalid or unenforceable provision.</w:t>
      </w:r>
    </w:p>
    <w:p>
      <w:pPr>
        <w:spacing w:after="0" w:line="14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11.11 Third Party Beneficiaries</w:t>
      </w:r>
      <w:r>
        <w:rPr>
          <w:rFonts w:ascii="Times New Roman" w:cs="Times New Roman" w:eastAsia="Times New Roman" w:hAnsi="Times New Roman"/>
          <w:sz w:val="18"/>
          <w:szCs w:val="18"/>
          <w:color w:val="auto"/>
        </w:rPr>
        <w:t>. Except for the rights of Indemnified Parties pursuant to Article IX hereof and the rights of Sublicensees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2.3 and 10.6(d), the terms and provisions of this Agreement are intended solely for the benefit of each Party hereto and their respective successors or permitted assigns and it is not the intention of the Parties to confer third-party beneficiary rights upon any other person, including without limitation Sublicensees. The enforcement of any obligation of CTI under this Agreement shall only be pursued by TGTX or such Indemnified Party, and not Sublicensees (except as set forth in Sections 2.3 and 10.6(d)).</w:t>
      </w:r>
    </w:p>
    <w:p>
      <w:pPr>
        <w:spacing w:after="0" w:line="148"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11.12 No Implied License. </w:t>
      </w:r>
      <w:r>
        <w:rPr>
          <w:rFonts w:ascii="Times New Roman" w:cs="Times New Roman" w:eastAsia="Times New Roman" w:hAnsi="Times New Roman"/>
          <w:sz w:val="18"/>
          <w:szCs w:val="18"/>
          <w:color w:val="auto"/>
        </w:rPr>
        <w:t>No right or license is granted to TGTX hereunder by implication, estoppel, or otherwise to any know-how, patent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right owned or controlled by CTI or its Affiliates, except by an express license granted hereunder. No right or license is granted to CTI hereunder by implication, estoppel, or otherwise to any know-how, patent or other intellectual property right owned or controlled by TGTX or its Affiliates, except by an express license granted hereunder.</w:t>
      </w:r>
    </w:p>
    <w:p>
      <w:pPr>
        <w:spacing w:after="0" w:line="146" w:lineRule="exact"/>
        <w:rPr>
          <w:sz w:val="20"/>
          <w:szCs w:val="20"/>
          <w:color w:val="auto"/>
        </w:rPr>
      </w:pPr>
    </w:p>
    <w:p>
      <w:pPr>
        <w:ind w:right="660" w:firstLine="648"/>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11.13 No Right of Set-Off. </w:t>
      </w:r>
      <w:r>
        <w:rPr>
          <w:rFonts w:ascii="Times New Roman" w:cs="Times New Roman" w:eastAsia="Times New Roman" w:hAnsi="Times New Roman"/>
          <w:sz w:val="16"/>
          <w:szCs w:val="16"/>
          <w:color w:val="auto"/>
        </w:rPr>
        <w:t>Except as expressly provided in Article 5 of this Agreement, TGTX shall not have a right to set-off any royalties,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milestones or other amount due to CTI under this Agreement against any damages incurred by TGTX for a breach by CTI of this Agreement.</w:t>
      </w:r>
    </w:p>
    <w:p>
      <w:pPr>
        <w:spacing w:after="0" w:line="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11.14 Equitable Relief</w:t>
      </w:r>
      <w:r>
        <w:rPr>
          <w:rFonts w:ascii="Times New Roman" w:cs="Times New Roman" w:eastAsia="Times New Roman" w:hAnsi="Times New Roman"/>
          <w:sz w:val="18"/>
          <w:szCs w:val="18"/>
          <w:color w:val="auto"/>
        </w:rPr>
        <w:t>. Each Party recognizes that the covenants and agreements herein and their continued performance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are necessary and critical to protect the legitimate interests of the other Party, that the other Party would not have entered into this Agreement in the absence of such covenants and agreements and the assurance of continued performance as set forth in this Agreement, and that a Party’s breach or threatened breach of such covenants and agreements may cause the opposed Party irreparable harm and significant injury, the amount of which will be extremely difficult to estimate and ascertain, thus potentially making any remedy at law or in damages inadequate. Therefore, each Party agrees that an opposed Party shall be entitled to seek specific performance, an order restraining any breach or threatened breach of Article VII and all other provisions of this Agreement, and any other equitable relief (including but not limited to temporary, preliminary and/or permanent injunctive relief). This right shall be in addition to and not exclusive of any other remedy available to such other Party at law or in equity.</w:t>
      </w:r>
    </w:p>
    <w:p>
      <w:pPr>
        <w:spacing w:after="0" w:line="152" w:lineRule="exact"/>
        <w:rPr>
          <w:sz w:val="20"/>
          <w:szCs w:val="20"/>
          <w:color w:val="auto"/>
        </w:rPr>
      </w:pPr>
    </w:p>
    <w:p>
      <w:pPr>
        <w:ind w:right="180"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11.15 Interpretation. </w:t>
      </w:r>
      <w:r>
        <w:rPr>
          <w:rFonts w:ascii="Times New Roman" w:cs="Times New Roman" w:eastAsia="Times New Roman" w:hAnsi="Times New Roman"/>
          <w:sz w:val="18"/>
          <w:szCs w:val="18"/>
          <w:color w:val="auto"/>
        </w:rPr>
        <w:t>The language used in this Agreement is the language chosen by the Parties to express their mutual intent, and no provision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interpreted for or against a Party because that Party or its attorney drafted the provision.</w:t>
      </w:r>
    </w:p>
    <w:p>
      <w:pPr>
        <w:spacing w:after="0" w:line="130"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11.16 Construction. </w:t>
      </w:r>
      <w:r>
        <w:rPr>
          <w:rFonts w:ascii="Times New Roman" w:cs="Times New Roman" w:eastAsia="Times New Roman" w:hAnsi="Times New Roman"/>
          <w:sz w:val="18"/>
          <w:szCs w:val="18"/>
          <w:color w:val="auto"/>
        </w:rPr>
        <w:t>The words “include,” “includes” and “including” shall be deemed to be followed by the phrase “without limitation.”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herein to Articles, Sections and Schedules shall be deemed references to Articles and Sections of, and Schedules to, this Agreement unless the context shall otherwise require.</w:t>
      </w:r>
    </w:p>
    <w:p>
      <w:pPr>
        <w:spacing w:after="0" w:line="141" w:lineRule="exact"/>
        <w:rPr>
          <w:sz w:val="20"/>
          <w:szCs w:val="20"/>
          <w:color w:val="auto"/>
        </w:rPr>
      </w:pPr>
    </w:p>
    <w:p>
      <w:pPr>
        <w:ind w:right="220" w:firstLine="6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11.17 Counterparts. </w:t>
      </w:r>
      <w:r>
        <w:rPr>
          <w:rFonts w:ascii="Times New Roman" w:cs="Times New Roman" w:eastAsia="Times New Roman" w:hAnsi="Times New Roman"/>
          <w:sz w:val="18"/>
          <w:szCs w:val="18"/>
          <w:color w:val="auto"/>
        </w:rPr>
        <w:t>This Agreement may be executed in counterparts, each of which will be deemed an original, and all of which together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one and the same instrument. A facsimile or a portable document format (.pdf) copy of this Agreement, including the signature pages, will be deemed an original.</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left blank intentionally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91" w:name="page92"/>
    <w:bookmarkEnd w:id="91"/>
    <w:p>
      <w:pPr>
        <w:ind w:firstLine="648"/>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Amended and Restated Collaboration Agreement to be executed and delivered by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duly authorized officers as of the day and year first above written.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CHECKPOINT THERAPEUTICS,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Oliviero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-10160</wp:posOffset>
            </wp:positionV>
            <wp:extent cx="1501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0177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Oliviero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3684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-10160</wp:posOffset>
            </wp:positionV>
            <wp:extent cx="14211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-10160</wp:posOffset>
            </wp:positionV>
            <wp:extent cx="15767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767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14433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335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-10160</wp:posOffset>
            </wp:positionV>
            <wp:extent cx="14211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MASTER SERVICES AGREEMENT</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SAMSUNG BIOLOGICS CO., LTD.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152400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123"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Table of Contents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2</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RELATED AGREEMENTS AND EXHIBITS</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3</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MANAGEMENT OF SERVICE</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4</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SERVICES</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5</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 DESCRIPTIONS</w:t>
            </w: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2"/>
        </w:trPr>
        <w:tc>
          <w:tcPr>
            <w:tcW w:w="1360" w:type="dxa"/>
            <w:vAlign w:val="bottom"/>
          </w:tcPr>
          <w:p>
            <w:pPr>
              <w:spacing w:after="0"/>
              <w:rPr>
                <w:sz w:val="17"/>
                <w:szCs w:val="17"/>
                <w:color w:val="auto"/>
              </w:rPr>
            </w:pPr>
          </w:p>
        </w:tc>
        <w:tc>
          <w:tcPr>
            <w:tcW w:w="8700" w:type="dxa"/>
            <w:vAlign w:val="bottom"/>
          </w:tcPr>
          <w:p>
            <w:pPr>
              <w:ind w:left="400"/>
              <w:spacing w:after="0" w:line="201" w:lineRule="exact"/>
              <w:rPr>
                <w:sz w:val="20"/>
                <w:szCs w:val="20"/>
                <w:color w:val="auto"/>
              </w:rPr>
            </w:pPr>
            <w:r>
              <w:rPr>
                <w:rFonts w:ascii="Times New Roman" w:cs="Times New Roman" w:eastAsia="Times New Roman" w:hAnsi="Times New Roman"/>
                <w:sz w:val="18"/>
                <w:szCs w:val="18"/>
                <w:color w:val="auto"/>
              </w:rPr>
              <w:t>CHANGES TO THE SPECIFICATIONS, ANALYTICAL METHODS, MANUFACTURING PROCESS,</w:t>
            </w:r>
          </w:p>
        </w:tc>
        <w:tc>
          <w:tcPr>
            <w:tcW w:w="1360" w:type="dxa"/>
            <w:vAlign w:val="bottom"/>
          </w:tcPr>
          <w:p>
            <w:pPr>
              <w:spacing w:after="0"/>
              <w:rPr>
                <w:sz w:val="17"/>
                <w:szCs w:val="17"/>
                <w:color w:val="auto"/>
              </w:rPr>
            </w:pPr>
          </w:p>
        </w:tc>
      </w:tr>
      <w:tr>
        <w:trPr>
          <w:trHeight w:val="229"/>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6</w:t>
            </w:r>
          </w:p>
        </w:tc>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OR EQUIPMENT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w:t>
            </w:r>
          </w:p>
        </w:tc>
      </w:tr>
      <w:tr>
        <w:trPr>
          <w:trHeight w:val="217"/>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7</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REGULATORY APPROVALS AND INSPECTIONS</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8</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QUALITY COMPLIANCE</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9</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CONSIDERATION AND PAYMENT TERMS</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10</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CONFIDENTIALITY</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11</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OWNERSHIP OF MATERIALS AND INTELLECTUAL PROPERTY</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12</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WARRANTIES</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13</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INDEMNIFICATION</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14</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DISCLAIMER OF CONSEQUENTIAL DAMAGES; LIMITATION OF LIABILITY</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15</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 AND TERMINATION OF AGREEMENT</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16</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ARBITRATION</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6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8"/>
        </w:trPr>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17</w:t>
            </w:r>
          </w:p>
        </w:tc>
        <w:tc>
          <w:tcPr>
            <w:tcW w:w="8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MISCELLANEOUS</w:t>
            </w:r>
          </w:p>
        </w:tc>
        <w:tc>
          <w:tcPr>
            <w:tcW w:w="13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w:t>
            </w:r>
          </w:p>
        </w:tc>
      </w:tr>
      <w:tr>
        <w:trPr>
          <w:trHeight w:val="419"/>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52" w:right="239" w:bottom="1440" w:gutter="0" w:footer="0" w:header="0"/>
        </w:sectPr>
      </w:pPr>
    </w:p>
    <w:bookmarkStart w:id="94" w:name="page95"/>
    <w:bookmarkEnd w:id="9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MASTER SERVICES AGREEMENT</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MASTER SERVICES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is made and entered into as of the date of last signature below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TG Therapeutics, Inc., a Delaware corporation having its principal place of business at 2 Gansevoort St., 9th Floor, New York, NY 10014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Samsung BioLogics Co., Ltd.</w:t>
      </w:r>
      <w:r>
        <w:rPr>
          <w:rFonts w:ascii="Times New Roman" w:cs="Times New Roman" w:eastAsia="Times New Roman" w:hAnsi="Times New Roman"/>
          <w:sz w:val="18"/>
          <w:szCs w:val="18"/>
          <w:color w:val="auto"/>
        </w:rPr>
        <w:t>, a company with offices at 300, Songdo bio-daero, Yeonsu-gu, Incheon, 21987, Republic of Korea (</w:t>
      </w:r>
      <w:r>
        <w:rPr>
          <w:rFonts w:ascii="Times New Roman" w:cs="Times New Roman" w:eastAsia="Times New Roman" w:hAnsi="Times New Roman"/>
          <w:sz w:val="18"/>
          <w:szCs w:val="18"/>
          <w:b w:val="1"/>
          <w:bCs w:val="1"/>
          <w:color w:val="auto"/>
        </w:rPr>
        <w:t>“SBL”</w:t>
      </w:r>
      <w:r>
        <w:rPr>
          <w:rFonts w:ascii="Times New Roman" w:cs="Times New Roman" w:eastAsia="Times New Roman" w:hAnsi="Times New Roman"/>
          <w:sz w:val="18"/>
          <w:szCs w:val="18"/>
          <w:color w:val="auto"/>
        </w:rPr>
        <w:t xml:space="preserve">). Client and SBL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collectively as the </w:t>
      </w:r>
      <w:r>
        <w:rPr>
          <w:rFonts w:ascii="Times New Roman" w:cs="Times New Roman" w:eastAsia="Times New Roman" w:hAnsi="Times New Roman"/>
          <w:sz w:val="18"/>
          <w:szCs w:val="18"/>
          <w:b w:val="1"/>
          <w:bCs w:val="1"/>
          <w:color w:val="auto"/>
        </w:rPr>
        <w:t>“Parties”.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Client and SBL wish to enter into a business relationship whereby SBL will provide Client with certain biologics manufacturing services;</w:t>
      </w:r>
    </w:p>
    <w:p>
      <w:pPr>
        <w:spacing w:after="0" w:line="22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promises, covenants and agreements hereinafter set forth and for other valuable consideration,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0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SECTION 1</w:t>
      </w:r>
      <w:r>
        <w:rPr>
          <w:sz w:val="20"/>
          <w:szCs w:val="20"/>
          <w:color w:val="auto"/>
        </w:rPr>
        <w:tab/>
      </w:r>
      <w:r>
        <w:rPr>
          <w:rFonts w:ascii="Times New Roman" w:cs="Times New Roman" w:eastAsia="Times New Roman" w:hAnsi="Times New Roman"/>
          <w:sz w:val="16"/>
          <w:szCs w:val="16"/>
          <w:b w:val="1"/>
          <w:bCs w:val="1"/>
          <w:u w:val="single" w:color="auto"/>
          <w:color w:val="auto"/>
        </w:rPr>
        <w:t>DEFINITIONS</w:t>
      </w:r>
    </w:p>
    <w:p>
      <w:pPr>
        <w:spacing w:after="0" w:line="160"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“Acceptance Procedure” shall mean the review of the Batch Related Documents and test(s) of the Product, if necessary, to verify that the Product delivered meets the Specifications and complies with Regulatory Authority requirements, conducted by Client after SBL’s release of the Product, to determine whether to accept the same, in accordance with the applicable QAG as modified from time to time by written agreement between the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“Affected Party” is defined in Section 17.3.</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“Affiliate” shall mean any corporation, company, partnership or other entity which directly or indirectly, controls, is controlled by or is under common control with either Party hereto. A corporation or other entity shall be regarded as controlling another corporation or other entity if it owns or directly or indirectly controls more than fifty percent (50 %) of the voting stock or other ownership interest of the corporation or other entity, or if possesses, directly or indirectly, the power to direct or cause the direction of the management and policies of the corporation or other entity or the power to elect or appoint more than fifty percent (50 %) of the members of the governing body of the corporation or other entity.</w:t>
      </w:r>
    </w:p>
    <w:p>
      <w:pPr>
        <w:spacing w:after="0" w:line="19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“Applicable Laws” shall mean any and all applicable laws of any jurisdiction which are applicable to any of the Parties in carrying out activities described in this MSA or any PSAs that may be in effect from time to time, and shall include all statutes, enactments, acts of legislature, laws, ordinances, rules, regulations, notifications, guidelines, directions, directives and orders of any Regulatory Authority, statutory authority, stock exchange, securities regulatory agency, tribunal, board, or court or any central or state government or local authority or other governmental entity in such jurisdictions.</w:t>
      </w:r>
    </w:p>
    <w:p>
      <w:pPr>
        <w:spacing w:after="0" w:line="19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“Background IP” shall mean Intellectual Property which has been owned and/or controlled by a Party prior to the Effective Date or outside, or not relating to, the performance of the MSA and any pertinent PSA.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“Batch” shall mean Product Manufactured by SBL from a single run of the applicable Manufacturing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“Batch Record” is defined in the applicable QAG.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“Batch Related Documents” means Manufacturing Documentation in support of the SBL’s release of a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“Binding Year” shall be defined in the applicable PSA.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1.10</w:t>
      </w:r>
      <w:r>
        <w:rPr>
          <w:rFonts w:ascii="Times New Roman" w:cs="Times New Roman" w:eastAsia="Times New Roman" w:hAnsi="Times New Roman"/>
          <w:sz w:val="18"/>
          <w:szCs w:val="18"/>
          <w:color w:val="auto"/>
        </w:rPr>
        <w:t xml:space="preserve"> “Business Day” shall mean a day on which commercial banks are open for business in both the Republic of Korea and New York,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“Cell Line” shall mean the aliquot of cells supplied to SBL by Client to perform the Services and their progeny.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“Certificate of Analysis” is defined in the applicable QAG.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“Certificate of Compliance” is defined in the applicable QAG.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“Change” is defined in Section 6.1.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1.15</w:t>
      </w:r>
      <w:r>
        <w:rPr>
          <w:rFonts w:ascii="Times New Roman" w:cs="Times New Roman" w:eastAsia="Times New Roman" w:hAnsi="Times New Roman"/>
          <w:sz w:val="18"/>
          <w:szCs w:val="18"/>
          <w:color w:val="auto"/>
        </w:rPr>
        <w:t xml:space="preserve"> “Client” is defined in the preamble.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31" w:right="259" w:bottom="1440" w:gutter="0" w:footer="0" w:header="0"/>
        </w:sectPr>
      </w:pPr>
    </w:p>
    <w:bookmarkStart w:id="95" w:name="page96"/>
    <w:bookmarkEnd w:id="95"/>
    <w:p>
      <w:pPr>
        <w:spacing w:after="0" w:line="262" w:lineRule="auto"/>
        <w:rPr>
          <w:sz w:val="20"/>
          <w:szCs w:val="20"/>
          <w:color w:val="auto"/>
        </w:rPr>
      </w:pPr>
      <w:r>
        <w:rPr>
          <w:rFonts w:ascii="Times New Roman" w:cs="Times New Roman" w:eastAsia="Times New Roman" w:hAnsi="Times New Roman"/>
          <w:sz w:val="18"/>
          <w:szCs w:val="18"/>
          <w:u w:val="single" w:color="auto"/>
          <w:color w:val="auto"/>
        </w:rPr>
        <w:t>1.16</w:t>
      </w:r>
      <w:r>
        <w:rPr>
          <w:rFonts w:ascii="Times New Roman" w:cs="Times New Roman" w:eastAsia="Times New Roman" w:hAnsi="Times New Roman"/>
          <w:sz w:val="18"/>
          <w:szCs w:val="18"/>
          <w:color w:val="auto"/>
        </w:rPr>
        <w:t xml:space="preserve"> “Client Materials” shall mean Client reagents and other materials supplied by Client or its third party supplier to be used in the Service hereunder, as each is further defined in the PSA and/or applicable QAG. In the case of a Drug Product PSA, Client Materials shall also include Drug Substance and/or other active pharmaceutical ingredients, which may or may not be Manufactured by SBL.</w:t>
      </w:r>
    </w:p>
    <w:p>
      <w:pPr>
        <w:spacing w:after="0" w:line="11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u w:val="single" w:color="auto"/>
          <w:color w:val="auto"/>
        </w:rPr>
        <w:t>1.17</w:t>
      </w:r>
      <w:r>
        <w:rPr>
          <w:rFonts w:ascii="Times New Roman" w:cs="Times New Roman" w:eastAsia="Times New Roman" w:hAnsi="Times New Roman"/>
          <w:sz w:val="18"/>
          <w:szCs w:val="18"/>
          <w:color w:val="auto"/>
        </w:rPr>
        <w:t xml:space="preserve"> “Client Technology” shall mean know-how, technology, research and other information of Client including and relating to the Manufacturing Process, analytical methods, quality control analysis, specifications, transportation and storage requirements provided by Client to SBL in connection with this MSA and applicable PSA.</w:t>
      </w:r>
    </w:p>
    <w:p>
      <w:pPr>
        <w:spacing w:after="0" w:line="119"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u w:val="single" w:color="auto"/>
          <w:color w:val="auto"/>
        </w:rPr>
        <w:t>1.18</w:t>
      </w:r>
      <w:r>
        <w:rPr>
          <w:rFonts w:ascii="Times New Roman" w:cs="Times New Roman" w:eastAsia="Times New Roman" w:hAnsi="Times New Roman"/>
          <w:sz w:val="18"/>
          <w:szCs w:val="18"/>
          <w:color w:val="auto"/>
        </w:rPr>
        <w:t xml:space="preserve"> “Clinical Product” shall mean a Drug Substance or Drug Product which is Manufactured by SBL pursuant to a PSA and which is to be used by Client in a research study or studies that investigate the safety of human use or prospectively assign human participants or groups of humans to one or more health-related interventions to evaluate the effects on health outcomes.</w:t>
      </w:r>
    </w:p>
    <w:p>
      <w:pPr>
        <w:spacing w:after="0" w:line="11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u w:val="single" w:color="auto"/>
          <w:color w:val="auto"/>
        </w:rPr>
        <w:t>1.19</w:t>
      </w:r>
      <w:r>
        <w:rPr>
          <w:rFonts w:ascii="Times New Roman" w:cs="Times New Roman" w:eastAsia="Times New Roman" w:hAnsi="Times New Roman"/>
          <w:sz w:val="18"/>
          <w:szCs w:val="18"/>
          <w:color w:val="auto"/>
        </w:rPr>
        <w:t xml:space="preserve"> “Commercial Product” shall mean a Drug Substance or Drug Product which is Manufactured by SBL which is intended for commercial sale and use by humans and for importation or exportation into countries or regions designated in each PSA.</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1.20</w:t>
      </w:r>
      <w:r>
        <w:rPr>
          <w:rFonts w:ascii="Times New Roman" w:cs="Times New Roman" w:eastAsia="Times New Roman" w:hAnsi="Times New Roman"/>
          <w:sz w:val="18"/>
          <w:szCs w:val="18"/>
          <w:color w:val="auto"/>
        </w:rPr>
        <w:t xml:space="preserve"> “Commercially Reasonable Efforts” shall mean with respect to an activity to be carried out by a Party, the carrying out of such activity in a diligent manner, which, in the case of SBL, requires using the efforts of sufficient numbers of personnel appropriately qualified by experience and training, in the application of such resources as would be reasonably applied by a qualified manufacturer of biologics for human use adhering to recognized standards in the manufacture and testing of such products, or, in the case of Client, using such efforts as would be typically be used in the biopharmaceutical industry by companies of comparable resources and expertise. “Commercially Reasonable Efforts” requires prompt assignment of responsibility for such task or activity to specific qualified employee(s) and allocation of resources designed to advance progress with respect to such task or activity but does not require the taking of actions which would require either Party to violate Applicable Laws or break any existing contractual commitments with third parties which were entered into prior to the Effective Date, the performance of which at such time was not reasonably foreseeable to be in conflict, or otherwise inconsistent, with such Party’s obligations under the MSA or any PSA.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“Common Raw Materials” is defined in Section 5.3.1.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“Confidential Information” is defined in Section 10.1.</w:t>
      </w:r>
    </w:p>
    <w:p>
      <w:pPr>
        <w:spacing w:after="0" w:line="158" w:lineRule="exact"/>
        <w:rPr>
          <w:sz w:val="20"/>
          <w:szCs w:val="20"/>
          <w:color w:val="auto"/>
        </w:rPr>
      </w:pPr>
    </w:p>
    <w:p>
      <w:pPr>
        <w:jc w:val="both"/>
        <w:ind w:right="600"/>
        <w:spacing w:after="0" w:line="262" w:lineRule="auto"/>
        <w:rPr>
          <w:sz w:val="20"/>
          <w:szCs w:val="20"/>
          <w:color w:val="auto"/>
        </w:rPr>
      </w:pP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color w:val="auto"/>
        </w:rPr>
        <w:t xml:space="preserve"> “Control” (including, with correlative meanings, “Controlled”) means possession, directly or indirectly, of power to direct or cause the direction of management or policies (whether through ownership of securities or other ownership interest, by contract or otherwise) of that person or entity and/or the ownership of more than 50% of the voting shares of that person or entity.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“Core Team” is defined in Section 3.3.</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1.25</w:t>
      </w:r>
      <w:r>
        <w:rPr>
          <w:rFonts w:ascii="Times New Roman" w:cs="Times New Roman" w:eastAsia="Times New Roman" w:hAnsi="Times New Roman"/>
          <w:sz w:val="18"/>
          <w:szCs w:val="18"/>
          <w:color w:val="auto"/>
        </w:rPr>
        <w:t xml:space="preserve"> “current Good Manufacturing Practices” or “cGMP” shall mean current good manufacturing practices and regulations applicable to the Manufacture of Product that are promulgated by any Regulatory Authority, including as promulgated under and in accordance with (i) the U.S. Federal Food, Drug and Cosmetic Act, Title 21 of the U.S. Code of Federal Regulations, Parts 210, 211, 600, 601 and 610, (ii) relevant EU legislation, including European Directive 2003/94/EC or national implementations of that Directive, (iii) relevant guidelines, including the EU Guidelines for Good Manufacturing Practices for Medicinal Products (Eudralex Vol. 4 and Annexes thereto), (iv) International Conference on Harmonisation Good Manufacturing Practice Guide for Active Pharmaceuticals Ingredients and (v) and any analogous set of regulations, guidelines or standards as defined, from time to time, by any relevant Regulatory Authority having jurisdiction over the development, manufacture or commercialization of the Product, as applicable, in each case as in effect as of the date such manufacturing for the Product are or were conducted.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1.26</w:t>
      </w:r>
      <w:r>
        <w:rPr>
          <w:rFonts w:ascii="Times New Roman" w:cs="Times New Roman" w:eastAsia="Times New Roman" w:hAnsi="Times New Roman"/>
          <w:sz w:val="18"/>
          <w:szCs w:val="18"/>
          <w:color w:val="auto"/>
        </w:rPr>
        <w:t xml:space="preserve"> “Damages” means any damages, costs, expenses, fines, penalties (including reasonable attorneys’ fees and costs), losses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1.27</w:t>
      </w:r>
      <w:r>
        <w:rPr>
          <w:rFonts w:ascii="Times New Roman" w:cs="Times New Roman" w:eastAsia="Times New Roman" w:hAnsi="Times New Roman"/>
          <w:sz w:val="18"/>
          <w:szCs w:val="18"/>
          <w:color w:val="auto"/>
        </w:rPr>
        <w:t xml:space="preserve"> “Disclosing Party” is defined in Section 10.1.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96" w:name="page97"/>
    <w:bookmarkEnd w:id="96"/>
    <w:p>
      <w:pPr>
        <w:spacing w:after="0" w:line="275" w:lineRule="auto"/>
        <w:rPr>
          <w:sz w:val="20"/>
          <w:szCs w:val="20"/>
          <w:color w:val="auto"/>
        </w:rPr>
      </w:pPr>
      <w:r>
        <w:rPr>
          <w:rFonts w:ascii="Times New Roman" w:cs="Times New Roman" w:eastAsia="Times New Roman" w:hAnsi="Times New Roman"/>
          <w:sz w:val="18"/>
          <w:szCs w:val="18"/>
          <w:u w:val="single" w:color="auto"/>
          <w:color w:val="auto"/>
        </w:rPr>
        <w:t>1.28</w:t>
      </w:r>
      <w:r>
        <w:rPr>
          <w:rFonts w:ascii="Times New Roman" w:cs="Times New Roman" w:eastAsia="Times New Roman" w:hAnsi="Times New Roman"/>
          <w:sz w:val="18"/>
          <w:szCs w:val="18"/>
          <w:color w:val="auto"/>
        </w:rPr>
        <w:t xml:space="preserve"> “Drug Product” means a finished or intermediate dosage form that contains a Drug Substance, generally, but not necessarily, in association with one or more other ingredients.</w:t>
      </w:r>
    </w:p>
    <w:p>
      <w:pPr>
        <w:spacing w:after="0" w:line="10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u w:val="single" w:color="auto"/>
          <w:color w:val="auto"/>
        </w:rPr>
        <w:t>1.29</w:t>
      </w:r>
      <w:r>
        <w:rPr>
          <w:rFonts w:ascii="Times New Roman" w:cs="Times New Roman" w:eastAsia="Times New Roman" w:hAnsi="Times New Roman"/>
          <w:sz w:val="18"/>
          <w:szCs w:val="18"/>
          <w:color w:val="auto"/>
        </w:rPr>
        <w:t xml:space="preserve"> “Drug Substance” means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1.30</w:t>
      </w:r>
      <w:r>
        <w:rPr>
          <w:rFonts w:ascii="Times New Roman" w:cs="Times New Roman" w:eastAsia="Times New Roman" w:hAnsi="Times New Roman"/>
          <w:sz w:val="18"/>
          <w:szCs w:val="18"/>
          <w:color w:val="auto"/>
        </w:rPr>
        <w:t xml:space="preserve"> “Effective Date” is defined in the preamble.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1.31</w:t>
      </w:r>
      <w:r>
        <w:rPr>
          <w:rFonts w:ascii="Times New Roman" w:cs="Times New Roman" w:eastAsia="Times New Roman" w:hAnsi="Times New Roman"/>
          <w:sz w:val="18"/>
          <w:szCs w:val="18"/>
          <w:color w:val="auto"/>
        </w:rPr>
        <w:t xml:space="preserve"> “EMA” shall mean the European Medicines Agency, or any successor agency.</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“Engineering Batch” shall mean a Batch that is intended to demonstrate the transfer of the Manufacturing Process to the Facility. After Manufacture, Client shall have the right to make whatever further use of non-cGMP Engineering Batches as it shall determine, provided that Client pays for such Batches according to this MSA, such use is not for human use and does not violate any Applicable Laws. SBL makes no warranty that Engineering Batches will meet cGMP or the Specifications. If SBL determines that an Engineering Batch does meet cGMP and the Specifications, it will release such Engineering Batch as a cGMP Batch, and thereafter Client shall be entitled to use such Engineering Batch for human use.</w:t>
      </w:r>
    </w:p>
    <w:p>
      <w:pPr>
        <w:spacing w:after="0" w:line="22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“Facility” shall mean one or more of the manufacturing facilities of SBL where the Services shall be performed, located at 300, Songdo bio-daero, Yeonsu-gu, Incheon, 21987, Republic of Korea.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1.34</w:t>
      </w:r>
      <w:r>
        <w:rPr>
          <w:rFonts w:ascii="Times New Roman" w:cs="Times New Roman" w:eastAsia="Times New Roman" w:hAnsi="Times New Roman"/>
          <w:sz w:val="18"/>
          <w:szCs w:val="18"/>
          <w:color w:val="auto"/>
        </w:rPr>
        <w:t xml:space="preserve"> “FDA” shall mean the United States Food and Drug Administration or any successor agency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1.35</w:t>
      </w:r>
      <w:r>
        <w:rPr>
          <w:rFonts w:ascii="Times New Roman" w:cs="Times New Roman" w:eastAsia="Times New Roman" w:hAnsi="Times New Roman"/>
          <w:sz w:val="18"/>
          <w:szCs w:val="18"/>
          <w:color w:val="auto"/>
        </w:rPr>
        <w:t xml:space="preserve"> “Firm Period” shall be defined in the applicable PSA.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1.36</w:t>
      </w:r>
      <w:r>
        <w:rPr>
          <w:rFonts w:ascii="Times New Roman" w:cs="Times New Roman" w:eastAsia="Times New Roman" w:hAnsi="Times New Roman"/>
          <w:sz w:val="18"/>
          <w:szCs w:val="18"/>
          <w:color w:val="auto"/>
        </w:rPr>
        <w:t xml:space="preserve"> “Force Majeure Event” is defined in Section 17.3.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1.37</w:t>
      </w:r>
      <w:r>
        <w:rPr>
          <w:rFonts w:ascii="Times New Roman" w:cs="Times New Roman" w:eastAsia="Times New Roman" w:hAnsi="Times New Roman"/>
          <w:sz w:val="18"/>
          <w:szCs w:val="18"/>
          <w:color w:val="auto"/>
        </w:rPr>
        <w:t xml:space="preserve"> “Implementation Plan and Budget” is defined in Section 6.2(b).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1.38</w:t>
      </w:r>
      <w:r>
        <w:rPr>
          <w:rFonts w:ascii="Times New Roman" w:cs="Times New Roman" w:eastAsia="Times New Roman" w:hAnsi="Times New Roman"/>
          <w:sz w:val="18"/>
          <w:szCs w:val="18"/>
          <w:color w:val="auto"/>
        </w:rPr>
        <w:t xml:space="preserve"> “Indemnified Party” is defined in Section 13.3.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1.39</w:t>
      </w:r>
      <w:r>
        <w:rPr>
          <w:rFonts w:ascii="Times New Roman" w:cs="Times New Roman" w:eastAsia="Times New Roman" w:hAnsi="Times New Roman"/>
          <w:sz w:val="18"/>
          <w:szCs w:val="18"/>
          <w:color w:val="auto"/>
        </w:rPr>
        <w:t xml:space="preserve"> “Indemnifying Party” is defined in Section 13.3.</w:t>
      </w:r>
    </w:p>
    <w:p>
      <w:pPr>
        <w:spacing w:after="0" w:line="15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1.40</w:t>
      </w:r>
      <w:r>
        <w:rPr>
          <w:rFonts w:ascii="Times New Roman" w:cs="Times New Roman" w:eastAsia="Times New Roman" w:hAnsi="Times New Roman"/>
          <w:sz w:val="18"/>
          <w:szCs w:val="18"/>
          <w:color w:val="auto"/>
        </w:rPr>
        <w:t xml:space="preserve"> “Intellectual Property” is shall mean (a) patents, patent rights, provisional patent applications, patent applications, designs, registered designs, registered design applications, industrial designs, industrial design applications and industrial design registrations, including any and all divisions, continuations, continuations-in-part, extensions, restorations, substitutions, renewals, registrations, revalidations, reexaminations, reissues or additions, including supplementary certificates of protection, of or to any of the foregoing items; (b) copyrights, copyright registrations, copyright applications, original works of authorship fixed in any tangible medium of expression, including literary works (including all forms and types of computer software, including all source code, object code, firmware, development tools, files, records and data, and all documentation related to any of the foregoing), pictorial and graphic works; (c) trade secrets, technology, developments, discoveries and improvements, know- how, proprietary rights, formulae, confidential and proprietary information, technical information, techniques, inventions,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which have actual or potential commercial value and are not available in the public domain; (d) trademarks, trademark registrations, trademark applications, service marks, service mark registrations, service mark applications, business marks, brand names, trade names, trade dress, names, logos and slogans, Internet domain names, and all goodwill associated therewith; and (e) all other intellectual property or proprietary rights, in each case whether or not subject to statutory registration or protection.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auto"/>
        </w:rPr>
        <w:t>1.41</w:t>
      </w:r>
      <w:r>
        <w:rPr>
          <w:rFonts w:ascii="Times New Roman" w:cs="Times New Roman" w:eastAsia="Times New Roman" w:hAnsi="Times New Roman"/>
          <w:sz w:val="18"/>
          <w:szCs w:val="18"/>
          <w:color w:val="auto"/>
        </w:rPr>
        <w:t xml:space="preserve"> “Joint Steering Committee” or “JSC” is defined in Section 3.2.1.</w:t>
      </w:r>
    </w:p>
    <w:p>
      <w:pPr>
        <w:spacing w:after="0" w:line="15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u w:val="single" w:color="auto"/>
          <w:color w:val="auto"/>
        </w:rPr>
        <w:t>1.42</w:t>
      </w:r>
      <w:r>
        <w:rPr>
          <w:rFonts w:ascii="Times New Roman" w:cs="Times New Roman" w:eastAsia="Times New Roman" w:hAnsi="Times New Roman"/>
          <w:sz w:val="18"/>
          <w:szCs w:val="18"/>
          <w:color w:val="auto"/>
        </w:rPr>
        <w:t xml:space="preserve"> “Manufacturing” or to “Manufacture” shall mean the manufacturing of the Product, and any services relating to such manufacturing, including, but not limited to, testing, quality control, documentations, archiving, handling, storage and packaging, release and delivery of the Product, to be performed by SBL at the Facility under the MSA and any applicable PSA.</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xml:space="preserve"> “Manufacturing Documentation” shall mean data acquired and generated, documents and records describing or otherwise related to the Manufacturing Process including, without limitation: documents and records consisting of or containing process descriptions, requirements and specifications; Client Materials and Specifications; analytical methods, process trend and variability data; validations protocols and reports; process development reports; Batch Records; Batch Related Documents, and SOPs, including, without limitation, SOP’s for the Raw Materials handling, the Manufacturing operations, equipment operation, in-process, final Product and stability quality control testing, quality assurance, validation, storage and shipping.</w:t>
      </w:r>
    </w:p>
    <w:p>
      <w:pPr>
        <w:spacing w:after="0" w:line="1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u w:val="single" w:color="auto"/>
          <w:color w:val="auto"/>
        </w:rPr>
        <w:t>1.44</w:t>
      </w:r>
      <w:r>
        <w:rPr>
          <w:rFonts w:ascii="Times New Roman" w:cs="Times New Roman" w:eastAsia="Times New Roman" w:hAnsi="Times New Roman"/>
          <w:sz w:val="18"/>
          <w:szCs w:val="18"/>
          <w:color w:val="auto"/>
        </w:rPr>
        <w:t xml:space="preserve"> “Manufacturing Process” shall mean the mutually agreed production process and analytical methods for the Manufacturing of the Product pursuant to the applicable PSA, as summarily described in the applicable QAG and as described in the Manufacturing Documentation, as such process may be changed from time to time in accordance with the MSA.</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1.45</w:t>
      </w:r>
      <w:r>
        <w:rPr>
          <w:rFonts w:ascii="Times New Roman" w:cs="Times New Roman" w:eastAsia="Times New Roman" w:hAnsi="Times New Roman"/>
          <w:sz w:val="18"/>
          <w:szCs w:val="18"/>
          <w:color w:val="auto"/>
        </w:rPr>
        <w:t xml:space="preserve"> “Manufacturing Process Transfer” means the Commercially Reasonable Efforts of the parties undertaken pursuant to the Manufacturing Process Transfer Plan to transfer the Manufacturing Process (together with copies of relevant books and records) in SBL’s possession or under its control, to Client as set forth in greater detail in the Manufacturing Process Transfer Plan. SBL shall only be obligated to use its Commercially Reasonable Efforts in the implementation of the Manufacturing Transfer Plan, and in no case shall SBL personnel be required to visit the site of Client or any third party manufacturer. For the avoidance of doubt, the foregoing prohibition shall not be construed as a basis for SBL refusing to assist in the transfer of analytical methods to an independent laboratory, including a visit by SBL personnel to such site to assist in method transfer, if, and only as, reasonably necessary, and at Client’s cost and expense. For the avoidance of doubt, Manufacturing Process Transfer shall include, without limitation, the transfer of data, information, or samples of validated or SBL manufactured or partially manufactured Products or other indicia measured at various points during Manufacture, to the extent SBL possesses such data, information, or samples. SBL shall not be obligated to deliver the proprietary process information contained in any drug master file with respect to which SBL has granted Client a right of reference. SBL shall provide Manufacturing Process Transfer services with a capacity of one (1) full time employee equivalent (“FTE”) month for each of upstream, downstream and analytics, for a total maximum of three (3) FTE months. SBL will have no obligation to provide Manufacturing Process Transfer services more than twelve (12) months after termination of the MSA or applicable PSA. For clarity, SBL's assistance shall be time- based, and SBL shall in no way guarantee or ensure that after Manufacturing Process Transfer services is complete, Client or its third-party manufacturer will be able to manufacture the Product.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1.47</w:t>
      </w:r>
      <w:r>
        <w:rPr>
          <w:rFonts w:ascii="Times New Roman" w:cs="Times New Roman" w:eastAsia="Times New Roman" w:hAnsi="Times New Roman"/>
          <w:sz w:val="18"/>
          <w:szCs w:val="18"/>
          <w:color w:val="auto"/>
        </w:rPr>
        <w:t xml:space="preserve"> “Non-Affected Party” is defined in Section 17.3.</w:t>
      </w:r>
    </w:p>
    <w:p>
      <w:pPr>
        <w:spacing w:after="0" w:line="15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u w:val="single" w:color="auto"/>
          <w:color w:val="auto"/>
        </w:rPr>
        <w:t>1.48</w:t>
      </w:r>
      <w:r>
        <w:rPr>
          <w:rFonts w:ascii="Times New Roman" w:cs="Times New Roman" w:eastAsia="Times New Roman" w:hAnsi="Times New Roman"/>
          <w:sz w:val="18"/>
          <w:szCs w:val="18"/>
          <w:color w:val="auto"/>
        </w:rPr>
        <w:t xml:space="preserve"> “Non-Conforming Product” shall mean an entire Batch of Product, any portion of which fails to conform to the Specifications, cGMP (if applicable), and any other mutually agreed upon written express requirements for SBL to follow under the applicable PSA and the applicable QAG.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1.49</w:t>
      </w:r>
      <w:r>
        <w:rPr>
          <w:rFonts w:ascii="Times New Roman" w:cs="Times New Roman" w:eastAsia="Times New Roman" w:hAnsi="Times New Roman"/>
          <w:sz w:val="18"/>
          <w:szCs w:val="18"/>
          <w:color w:val="auto"/>
        </w:rPr>
        <w:t xml:space="preserve"> “Party” and “Parties” is defined in the preamble.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1.50</w:t>
      </w:r>
      <w:r>
        <w:rPr>
          <w:rFonts w:ascii="Times New Roman" w:cs="Times New Roman" w:eastAsia="Times New Roman" w:hAnsi="Times New Roman"/>
          <w:sz w:val="18"/>
          <w:szCs w:val="18"/>
          <w:color w:val="auto"/>
        </w:rPr>
        <w:t xml:space="preserve"> “Pilot Batch” means a Batch of Product designated as a pilot Batch which shall not comply with cGMP and is not required to meet the Specifications.</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u w:val="single" w:color="auto"/>
          <w:color w:val="auto"/>
        </w:rPr>
        <w:t>1.51</w:t>
      </w:r>
      <w:r>
        <w:rPr>
          <w:rFonts w:ascii="Times New Roman" w:cs="Times New Roman" w:eastAsia="Times New Roman" w:hAnsi="Times New Roman"/>
          <w:sz w:val="18"/>
          <w:szCs w:val="18"/>
          <w:color w:val="auto"/>
        </w:rPr>
        <w:t xml:space="preserve"> “Pre-Approval Inspection” means an on-site inspection of the Facility by the Regulatory Authority prior to granting the Regulatory Approval for a Commercial Product as required by various Regulatory Authorities to ensure that the Manufacturing Process and the Facility meet the appropriate requirements and comply with cGMP.</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u w:val="single" w:color="auto"/>
          <w:color w:val="auto"/>
        </w:rPr>
        <w:t>1.52</w:t>
      </w:r>
      <w:r>
        <w:rPr>
          <w:rFonts w:ascii="Times New Roman" w:cs="Times New Roman" w:eastAsia="Times New Roman" w:hAnsi="Times New Roman"/>
          <w:sz w:val="18"/>
          <w:szCs w:val="18"/>
          <w:color w:val="auto"/>
        </w:rPr>
        <w:t xml:space="preserve"> “Process Validation Batch” shall mean a Batch of Commercial Product produced from a process validation run conducted by SBL hereunder to (i) demonstrate and document the consistency and reproducibility of the Manufacturing Process at the Facility, and (ii) support the Regulatory Approval of both the Product Manufactured and the Manufacturing Process at the Facility each as defined in the Project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auto"/>
        </w:rPr>
        <w:t>1.53</w:t>
      </w:r>
      <w:r>
        <w:rPr>
          <w:rFonts w:ascii="Times New Roman" w:cs="Times New Roman" w:eastAsia="Times New Roman" w:hAnsi="Times New Roman"/>
          <w:sz w:val="18"/>
          <w:szCs w:val="18"/>
          <w:color w:val="auto"/>
        </w:rPr>
        <w:t xml:space="preserve"> “Product” shall mean Clinical Product or Commercial Product to be Manufactured by SBL pursuant to this MSA and any applicable PSA.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1.54</w:t>
      </w:r>
      <w:r>
        <w:rPr>
          <w:rFonts w:ascii="Times New Roman" w:cs="Times New Roman" w:eastAsia="Times New Roman" w:hAnsi="Times New Roman"/>
          <w:sz w:val="18"/>
          <w:szCs w:val="18"/>
          <w:color w:val="auto"/>
        </w:rPr>
        <w:t xml:space="preserve"> “Product Purchase Commitment” is defined in Section 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1.55</w:t>
      </w:r>
      <w:r>
        <w:rPr>
          <w:rFonts w:ascii="Times New Roman" w:cs="Times New Roman" w:eastAsia="Times New Roman" w:hAnsi="Times New Roman"/>
          <w:sz w:val="18"/>
          <w:szCs w:val="18"/>
          <w:color w:val="auto"/>
        </w:rPr>
        <w:t xml:space="preserve"> “Product specific agreement” or “PSA” is defined in Section 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1.56</w:t>
      </w:r>
      <w:r>
        <w:rPr>
          <w:rFonts w:ascii="Times New Roman" w:cs="Times New Roman" w:eastAsia="Times New Roman" w:hAnsi="Times New Roman"/>
          <w:sz w:val="18"/>
          <w:szCs w:val="18"/>
          <w:color w:val="auto"/>
        </w:rPr>
        <w:t xml:space="preserve"> “Project Management Team Leader” is defined in Section 3.3.2.</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1.57</w:t>
      </w:r>
      <w:r>
        <w:rPr>
          <w:rFonts w:ascii="Times New Roman" w:cs="Times New Roman" w:eastAsia="Times New Roman" w:hAnsi="Times New Roman"/>
          <w:sz w:val="18"/>
          <w:szCs w:val="18"/>
          <w:color w:val="auto"/>
        </w:rPr>
        <w:t xml:space="preserve"> “Project Plan” shall mean a formal, approved document used to guide both project execution and project control. The primary uses of the Project Plan are to document planning assumptions and decisions, facilitate communication among project stakeholders, and document approved scope, cost, and schedule baselines. The Project Plan will contain the description and overall objectives of the Services for Manufacturing a Product and shall include, among other things: (a) JSC and Core Team membership rosters, (b) change request procedures, (c) details, intentions, and deliverables for Technology Transfer, (d) project schedule, (e) detailed procurement plan, as needed, and (f) project budgets and invoicing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1.58</w:t>
      </w:r>
      <w:r>
        <w:rPr>
          <w:rFonts w:ascii="Times New Roman" w:cs="Times New Roman" w:eastAsia="Times New Roman" w:hAnsi="Times New Roman"/>
          <w:sz w:val="18"/>
          <w:szCs w:val="18"/>
          <w:color w:val="auto"/>
        </w:rPr>
        <w:t xml:space="preserve"> “PSA Effective Date” shall mean the effective date of any PSA governed by this MSA.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1.59</w:t>
      </w:r>
      <w:r>
        <w:rPr>
          <w:rFonts w:ascii="Times New Roman" w:cs="Times New Roman" w:eastAsia="Times New Roman" w:hAnsi="Times New Roman"/>
          <w:sz w:val="18"/>
          <w:szCs w:val="18"/>
          <w:color w:val="auto"/>
        </w:rPr>
        <w:t xml:space="preserve"> “Purchase Order” is defined in Section 5.6.</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u w:val="single" w:color="auto"/>
          <w:color w:val="auto"/>
        </w:rPr>
        <w:t>1.60</w:t>
      </w:r>
      <w:r>
        <w:rPr>
          <w:rFonts w:ascii="Times New Roman" w:cs="Times New Roman" w:eastAsia="Times New Roman" w:hAnsi="Times New Roman"/>
          <w:sz w:val="18"/>
          <w:szCs w:val="18"/>
          <w:color w:val="auto"/>
        </w:rPr>
        <w:t xml:space="preserve"> “Quality Agreement” or “QAG” shall mean that certain quality agreement between the Parties that governs their respective responsibilities related to quality systems and quality requirements for the Product(s) Manufactured hereunder, including quality control, testing and release of such Product(s) at the Facility. Clinical Products and Commercial Products shall have separate forms of QAGs.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1.61</w:t>
      </w:r>
      <w:r>
        <w:rPr>
          <w:rFonts w:ascii="Times New Roman" w:cs="Times New Roman" w:eastAsia="Times New Roman" w:hAnsi="Times New Roman"/>
          <w:sz w:val="18"/>
          <w:szCs w:val="18"/>
          <w:color w:val="auto"/>
        </w:rPr>
        <w:t xml:space="preserve"> “Quarter” means each period of three (3) consecutive calendar months beginning on January 1, April 1, July 1, or October 1.</w:t>
      </w:r>
    </w:p>
    <w:p>
      <w:pPr>
        <w:spacing w:after="0" w:line="15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xml:space="preserve"> “Raw Materials” shall mean those materials that are used in the Manufacturing Process, including, but not limited to, chemicals, reagents, filters, excipients, disposable consumables, and secondary packaging materials. Raw Materials exclude the Client Materials.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1.63</w:t>
      </w:r>
      <w:r>
        <w:rPr>
          <w:rFonts w:ascii="Times New Roman" w:cs="Times New Roman" w:eastAsia="Times New Roman" w:hAnsi="Times New Roman"/>
          <w:sz w:val="18"/>
          <w:szCs w:val="18"/>
          <w:color w:val="auto"/>
        </w:rPr>
        <w:t xml:space="preserve"> “Receiving Party” is defined in Section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1.64</w:t>
      </w:r>
      <w:r>
        <w:rPr>
          <w:rFonts w:ascii="Times New Roman" w:cs="Times New Roman" w:eastAsia="Times New Roman" w:hAnsi="Times New Roman"/>
          <w:sz w:val="18"/>
          <w:szCs w:val="18"/>
          <w:color w:val="auto"/>
        </w:rPr>
        <w:t xml:space="preserve"> “Reference Standards” shall mean materials for standards prepared by Client and/or SBL in accordance with the applicable QAG.</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u w:val="single" w:color="auto"/>
          <w:color w:val="auto"/>
        </w:rPr>
        <w:t>1.65</w:t>
      </w:r>
      <w:r>
        <w:rPr>
          <w:rFonts w:ascii="Times New Roman" w:cs="Times New Roman" w:eastAsia="Times New Roman" w:hAnsi="Times New Roman"/>
          <w:sz w:val="18"/>
          <w:szCs w:val="18"/>
          <w:color w:val="auto"/>
        </w:rPr>
        <w:t xml:space="preserve"> “Regulatory Approval” shall mean all approvals, licenses, registrations or authorizations thereof of any national, regional, state or local regulatory agency, department, bureau or other governmental entity in any jurisdiction where the Product is marketed or intended to be marketed, necessary for the manufacture and sale of the Product, which manufacturing includes the Manufacturing of the Products at the Facility.</w:t>
      </w:r>
    </w:p>
    <w:p>
      <w:pPr>
        <w:spacing w:after="0" w:line="119"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u w:val="single" w:color="auto"/>
          <w:color w:val="auto"/>
        </w:rPr>
        <w:t>1.66</w:t>
      </w:r>
      <w:r>
        <w:rPr>
          <w:rFonts w:ascii="Times New Roman" w:cs="Times New Roman" w:eastAsia="Times New Roman" w:hAnsi="Times New Roman"/>
          <w:sz w:val="18"/>
          <w:szCs w:val="18"/>
          <w:color w:val="auto"/>
        </w:rPr>
        <w:t xml:space="preserve"> “Regulatory Authority” shall mean any national (e.g., the FDA), supra-national (e.g., the EMA), regional, state or local regulatory agency, department, bureau, commission, council or other governmental entity, in any jurisdiction responsible for granting the Regulatory Approval.</w:t>
      </w:r>
    </w:p>
    <w:p>
      <w:pPr>
        <w:spacing w:after="0" w:line="10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u w:val="single" w:color="auto"/>
          <w:color w:val="auto"/>
        </w:rPr>
        <w:t>1.67</w:t>
      </w:r>
      <w:r>
        <w:rPr>
          <w:rFonts w:ascii="Times New Roman" w:cs="Times New Roman" w:eastAsia="Times New Roman" w:hAnsi="Times New Roman"/>
          <w:sz w:val="18"/>
          <w:szCs w:val="18"/>
          <w:color w:val="auto"/>
        </w:rPr>
        <w:t xml:space="preserve"> “SBL Assignable Error” means: negligence, fraud, recklessness, willful misconduct, or material breach of cGMP (if applicable) on the part of employees, consultants, contractors, sub-contractors, agents or representatives of SBL.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1.68</w:t>
      </w:r>
      <w:r>
        <w:rPr>
          <w:rFonts w:ascii="Times New Roman" w:cs="Times New Roman" w:eastAsia="Times New Roman" w:hAnsi="Times New Roman"/>
          <w:sz w:val="18"/>
          <w:szCs w:val="18"/>
          <w:color w:val="auto"/>
        </w:rPr>
        <w:t xml:space="preserve"> “Service” or “Services” is defined in Section 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auto"/>
        </w:rPr>
        <w:t>1.69</w:t>
      </w:r>
      <w:r>
        <w:rPr>
          <w:rFonts w:ascii="Times New Roman" w:cs="Times New Roman" w:eastAsia="Times New Roman" w:hAnsi="Times New Roman"/>
          <w:sz w:val="18"/>
          <w:szCs w:val="18"/>
          <w:color w:val="auto"/>
        </w:rPr>
        <w:t xml:space="preserve"> “Service Fee” is defined in Section 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1.70</w:t>
      </w:r>
      <w:r>
        <w:rPr>
          <w:rFonts w:ascii="Times New Roman" w:cs="Times New Roman" w:eastAsia="Times New Roman" w:hAnsi="Times New Roman"/>
          <w:sz w:val="18"/>
          <w:szCs w:val="18"/>
          <w:color w:val="auto"/>
        </w:rPr>
        <w:t xml:space="preserve"> “Specialized Raw Materials” is defined in Section 5.3.1.</w:t>
      </w:r>
    </w:p>
    <w:p>
      <w:pPr>
        <w:spacing w:after="0" w:line="158"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u w:val="single" w:color="auto"/>
          <w:color w:val="auto"/>
        </w:rPr>
        <w:t>1.71</w:t>
      </w:r>
      <w:r>
        <w:rPr>
          <w:rFonts w:ascii="Times New Roman" w:cs="Times New Roman" w:eastAsia="Times New Roman" w:hAnsi="Times New Roman"/>
          <w:sz w:val="16"/>
          <w:szCs w:val="16"/>
          <w:color w:val="auto"/>
        </w:rPr>
        <w:t xml:space="preserve"> “Specification(s)” shall mean the observable and measurable characteristics of the Products, Client Materials, or Raw Materials, as the case maybe, and the criteria for their storage, handling, packaging and shipping, which details are provided in documentation as reviewed and approved in writing by the Parties.</w:t>
      </w:r>
    </w:p>
    <w:p>
      <w:pPr>
        <w:spacing w:after="0" w:line="12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xml:space="preserve"> “Standard Operating Procedure(s)” or “SOP(s)” shall mean the standard operating procedures established by and mutually agreed upon by both Parties regarding the Manufacturing Process.</w:t>
      </w:r>
    </w:p>
    <w:p>
      <w:pPr>
        <w:spacing w:after="0" w:line="10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u w:val="single" w:color="auto"/>
          <w:color w:val="auto"/>
        </w:rPr>
        <w:t>1.73</w:t>
      </w:r>
      <w:r>
        <w:rPr>
          <w:rFonts w:ascii="Times New Roman" w:cs="Times New Roman" w:eastAsia="Times New Roman" w:hAnsi="Times New Roman"/>
          <w:sz w:val="18"/>
          <w:szCs w:val="18"/>
          <w:color w:val="auto"/>
        </w:rPr>
        <w:t xml:space="preserve"> “Technology Transfer” shall mean the activities by the Parties necessary to Manufacture the Product for Client at the Facility or otherwise conduct the Services, as further described in the applicable PSA and/or Project Plan which may include: (i) transfer of the Client Technology and Client Material from Client to SBL; (ii) implementation of the Manufacturing Process at the Facility, including establishing a small scale Manufacturing Process model at SBL; (iii) all Manufacturing Process fit activities, including required small- and large-scale process development and validation work as allocated between the Parties to SBL and process engineering required to modify / equip, qualify and validate the Facility for the Manufacturing of the Commercial Product; (iv) stability testing, if applicable, for the Product required for licensure; (v) comparability testing to the appropriate reference product, and (vi) regulatory support for all Regulatory Approvals, each as further described in the Project Plan.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1.74</w:t>
      </w:r>
      <w:r>
        <w:rPr>
          <w:rFonts w:ascii="Times New Roman" w:cs="Times New Roman" w:eastAsia="Times New Roman" w:hAnsi="Times New Roman"/>
          <w:sz w:val="18"/>
          <w:szCs w:val="18"/>
          <w:color w:val="auto"/>
        </w:rPr>
        <w:t xml:space="preserve"> “Term” is defined in Section 15.1.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1.75</w:t>
      </w:r>
      <w:r>
        <w:rPr>
          <w:rFonts w:ascii="Times New Roman" w:cs="Times New Roman" w:eastAsia="Times New Roman" w:hAnsi="Times New Roman"/>
          <w:sz w:val="18"/>
          <w:szCs w:val="18"/>
          <w:color w:val="auto"/>
        </w:rPr>
        <w:t xml:space="preserve"> “Warehouse” shall mean SBL’s warehouse for storage of the Product located at 300, Songdo bio- daero, Yeonsu-gu, Incheon, 21987, Republic of Korea.</w:t>
      </w:r>
    </w:p>
    <w:p>
      <w:pPr>
        <w:spacing w:after="0" w:line="22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u w:val="single" w:color="auto"/>
          <w:color w:val="auto"/>
        </w:rPr>
        <w:t>SECTION 2</w:t>
      </w:r>
      <w:r>
        <w:rPr>
          <w:sz w:val="20"/>
          <w:szCs w:val="20"/>
          <w:color w:val="auto"/>
        </w:rPr>
        <w:tab/>
      </w:r>
      <w:r>
        <w:rPr>
          <w:rFonts w:ascii="Times New Roman" w:cs="Times New Roman" w:eastAsia="Times New Roman" w:hAnsi="Times New Roman"/>
          <w:sz w:val="16"/>
          <w:szCs w:val="16"/>
          <w:b w:val="1"/>
          <w:bCs w:val="1"/>
          <w:u w:val="single" w:color="auto"/>
          <w:color w:val="auto"/>
        </w:rPr>
        <w:t>RELATED AGREEMENTS AND EXHIBITS</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Product specific agreements.</w:t>
      </w:r>
      <w:r>
        <w:rPr>
          <w:rFonts w:ascii="Times New Roman" w:cs="Times New Roman" w:eastAsia="Times New Roman" w:hAnsi="Times New Roman"/>
          <w:sz w:val="18"/>
          <w:szCs w:val="18"/>
          <w:color w:val="auto"/>
        </w:rPr>
        <w:t xml:space="preserve"> Pursuant to one or more product specific agreements entered into and mutually agreed from time to time by duly authorized representatives of the Parties (</w:t>
      </w:r>
      <w:r>
        <w:rPr>
          <w:rFonts w:ascii="Times New Roman" w:cs="Times New Roman" w:eastAsia="Times New Roman" w:hAnsi="Times New Roman"/>
          <w:sz w:val="18"/>
          <w:szCs w:val="18"/>
          <w:b w:val="1"/>
          <w:bCs w:val="1"/>
          <w:color w:val="auto"/>
        </w:rPr>
        <w:t>“Product specific agreements” or “PSAs”</w:t>
      </w:r>
      <w:r>
        <w:rPr>
          <w:rFonts w:ascii="Times New Roman" w:cs="Times New Roman" w:eastAsia="Times New Roman" w:hAnsi="Times New Roman"/>
          <w:sz w:val="18"/>
          <w:szCs w:val="18"/>
          <w:color w:val="auto"/>
        </w:rPr>
        <w:t>), SBL will perform manufacturing services for Client as specified in such PSAs and applicable Project Plan and in accordance with the terms and conditions of this MSA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Each PSA shall refer to this MSA and contain as applicable (i) a high level scope of work of the Services to be performed under such PSA which describes key activities, (ii) the Product for which Samsung will perform such Services for Client, (iii) a description of the Cell Line; (iv) fees to be paid to SBL by Client for the Services with a general timing plan for invoicing and a more detailed plan to be in the Project Plan, (v) if the Services pertain to the manufacture of the Product, the number of batches of Product to be manufactured by SBL and delivered to Client and the Specifications, (vi) any other deliverables, (vii) the Samsung facility where the Services are to be performed, and (viii) the Regulatory Approvals to be obtained by the Parties. Services shall be governed by the terms and conditions of this MSA, the applicable PSA, and any applicable Quality Agreement. In the event of a conflict between a Quality Agreement and either any provision of this MSA or any PSA, the MSA or PSA shall control except with respect to Product quality terms, in which case, the Quality Agreement will control. In the event of a conflict between any provision of this MSA and the PSA, this MSA shall control, except as otherwise explicitly specified in the PSA.</w:t>
      </w:r>
    </w:p>
    <w:p>
      <w:pPr>
        <w:spacing w:after="0" w:line="2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Project Plan.</w:t>
      </w:r>
      <w:r>
        <w:rPr>
          <w:rFonts w:ascii="Times New Roman" w:cs="Times New Roman" w:eastAsia="Times New Roman" w:hAnsi="Times New Roman"/>
          <w:sz w:val="18"/>
          <w:szCs w:val="18"/>
          <w:color w:val="auto"/>
        </w:rPr>
        <w:t xml:space="preserve"> Concurrently with the execution of a PSA or within a reasonable time after the PSA effective date, the Parties shall agree upon a Project Plan which will specify in detail scope and schedule of the Services, including Technology Transfer and Manufacture. The Project Plan shall also set forth the JSC members (if applicable), Core Team members, and Project Management Team Leader for the Services as well as the frequency and duration of meetings. The Project Plan may be updated as needed by the mutual agreement of the Client and SBL and is governed by and incorporated into the applicable PSA by reference. If there is a conflict between the Project Plan and the applicable PSA, the PSA shall control. If any of the assumptions shared in writing by the Parties and on which the Parties have relied in defining the scope of the activities required to effect the Technology Transfer and/or other Services including but not limited to Manufacture, and the associated timeframes, fees, expenditures and costs proves to be invalid, or if for any reason other than a Party’s negligence in planning, it becomes apparent that additional activities are required as part of or in connection with the Technology Transfer and/or other Services including but not limited to Manufacture, the Parties shall (acting reasonably and in good faith) discuss and seek to agree appropriate revisions to the Technology Transfer activities, and associated timelines and pricing.</w:t>
      </w:r>
    </w:p>
    <w:p>
      <w:pPr>
        <w:spacing w:after="0" w:line="1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Quality Agreement (QAG).</w:t>
      </w:r>
      <w:r>
        <w:rPr>
          <w:rFonts w:ascii="Times New Roman" w:cs="Times New Roman" w:eastAsia="Times New Roman" w:hAnsi="Times New Roman"/>
          <w:sz w:val="18"/>
          <w:szCs w:val="18"/>
          <w:color w:val="auto"/>
        </w:rPr>
        <w:t xml:space="preserve"> The Parties shall agree upon and finalize a Quality Agreement in good faith within a reasonable period time after each PSA Effective Date which shall cover such PSA. No Manufacturing of Products for human use shall be conducted without an agreed upon, applicable QAG.Clinical Products and Commercial Products shall have separate QAGs. The Quality Agreement may be amended from time to time, subject to the JSC’s approval followed by the Parties’ written agreement pursuant to Section 17.9 (if applicable), which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0" w:name="page101"/>
    <w:bookmarkEnd w:id="100"/>
    <w:p>
      <w:pPr>
        <w:spacing w:after="0"/>
        <w:tabs>
          <w:tab w:leader="none" w:pos="1200" w:val="left"/>
        </w:tabs>
        <w:rPr>
          <w:sz w:val="20"/>
          <w:szCs w:val="20"/>
          <w:color w:val="auto"/>
        </w:rPr>
      </w:pPr>
      <w:r>
        <w:rPr>
          <w:rFonts w:ascii="Times New Roman" w:cs="Times New Roman" w:eastAsia="Times New Roman" w:hAnsi="Times New Roman"/>
          <w:sz w:val="18"/>
          <w:szCs w:val="18"/>
          <w:b w:val="1"/>
          <w:bCs w:val="1"/>
          <w:u w:val="single" w:color="auto"/>
          <w:color w:val="auto"/>
        </w:rPr>
        <w:t>SECTION 3</w:t>
      </w:r>
      <w:r>
        <w:rPr>
          <w:sz w:val="20"/>
          <w:szCs w:val="20"/>
          <w:color w:val="auto"/>
        </w:rPr>
        <w:tab/>
      </w:r>
      <w:r>
        <w:rPr>
          <w:rFonts w:ascii="Times New Roman" w:cs="Times New Roman" w:eastAsia="Times New Roman" w:hAnsi="Times New Roman"/>
          <w:sz w:val="16"/>
          <w:szCs w:val="16"/>
          <w:b w:val="1"/>
          <w:bCs w:val="1"/>
          <w:u w:val="single" w:color="auto"/>
          <w:color w:val="auto"/>
        </w:rPr>
        <w:t>MANAGEMENT OF SERVICE</w:t>
      </w:r>
    </w:p>
    <w:p>
      <w:pPr>
        <w:spacing w:after="0" w:line="22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xml:space="preserve"> Each Party will be responsible for its internal decision making process and for reasonably informing the other Party of decisions affecting the Service in a regular and timely manner. Without limiting the foregoing, the Parties shall establish the joint committees or teams set forth herein to advise the Parties on certain matters including, without limitation, Facility modification, Technology Transfer, and optimization of the Manufacturing operation relating to the Product.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3.2 </w:t>
      </w:r>
      <w:r>
        <w:rPr>
          <w:rFonts w:ascii="Times New Roman" w:cs="Times New Roman" w:eastAsia="Times New Roman" w:hAnsi="Times New Roman"/>
          <w:sz w:val="18"/>
          <w:szCs w:val="18"/>
          <w:b w:val="1"/>
          <w:bCs w:val="1"/>
          <w:u w:val="single" w:color="auto"/>
          <w:color w:val="auto"/>
        </w:rPr>
        <w:t>Joint Steering Committee.</w:t>
      </w:r>
    </w:p>
    <w:p>
      <w:pPr>
        <w:spacing w:after="0" w:line="158" w:lineRule="exact"/>
        <w:rPr>
          <w:sz w:val="20"/>
          <w:szCs w:val="20"/>
          <w:color w:val="auto"/>
        </w:rPr>
      </w:pPr>
    </w:p>
    <w:p>
      <w:pPr>
        <w:ind w:left="180"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Formation and Composition.</w:t>
      </w:r>
      <w:r>
        <w:rPr>
          <w:rFonts w:ascii="Times New Roman" w:cs="Times New Roman" w:eastAsia="Times New Roman" w:hAnsi="Times New Roman"/>
          <w:sz w:val="18"/>
          <w:szCs w:val="18"/>
          <w:color w:val="auto"/>
        </w:rPr>
        <w:t xml:space="preserve"> The applicable Project Plan will set forth a Joint Steering Committee for that Product (the “</w:t>
      </w:r>
      <w:r>
        <w:rPr>
          <w:rFonts w:ascii="Times New Roman" w:cs="Times New Roman" w:eastAsia="Times New Roman" w:hAnsi="Times New Roman"/>
          <w:sz w:val="18"/>
          <w:szCs w:val="18"/>
          <w:b w:val="1"/>
          <w:bCs w:val="1"/>
          <w:color w:val="auto"/>
        </w:rPr>
        <w:t>Joint Steering 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if the Parties mutually agree that such JSC is necessary. The JSC will be a cross-functional committee composed of an equal number of representatives appointed by each of Client and SBL with each of Client and SBL having at least three (3) representatives, and with one (1) representative from each of Client and SBL having oversight for quality activities, and with one (1) representative from each of Client and SBL having oversight for manufacturing and supply chain activities, including the transfer and implementation of the Manufacturing Process at the Facility. Either Party may replace any or all of its representatives at any time. Such Party shall notify, in writing, of such replacement to the other Party.</w:t>
      </w:r>
    </w:p>
    <w:p>
      <w:pPr>
        <w:spacing w:after="0" w:line="193" w:lineRule="exact"/>
        <w:rPr>
          <w:sz w:val="20"/>
          <w:szCs w:val="20"/>
          <w:color w:val="auto"/>
        </w:rPr>
      </w:pPr>
    </w:p>
    <w:p>
      <w:pPr>
        <w:ind w:left="18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Responsibilities.</w:t>
      </w:r>
      <w:r>
        <w:rPr>
          <w:rFonts w:ascii="Times New Roman" w:cs="Times New Roman" w:eastAsia="Times New Roman" w:hAnsi="Times New Roman"/>
          <w:sz w:val="18"/>
          <w:szCs w:val="18"/>
          <w:color w:val="auto"/>
        </w:rPr>
        <w:t xml:space="preserve"> The JSC shall (i) establish and oversee the governance structure for the Service including the formation of any subcommittee hereunder; (ii) monitor any Facility modification and the Technology Transfer and Manufacturing strategy of the Product at the Facility, including strategies for the Regulatory Approval of the Facility to Manufacture the Product; (iii) provide strategic guidance to the Core Team as required by the Project Plan; (iv) conduct high level project stage reviews with the Core Team as required by the Project Plan at appropriate milestones or completion of key deliverables or a sequence of event to review and approve key deliverables, evaluate the Core Team’s progress and performance, all in order to ensure that the Manufacturing Process is being implemented appropriately; (v) advise on and/or resolve business, manufacturing, supply chain, quality, regulatory or other issues unresolved at the Core Team level; (vi) review and recommend for approval by the Parties any changes to the MSA or the applicable PSA; (vii) review and approve changes to the Specifications, analytical methods, the Manufacturing Process, the Facility or equipment as escalated to the JSC by the Core Team or by a Party pursuant to Section 3.6 below; (viii) review completion of the Service; (ix) settle disputes or disagreements unresolved by a subcommittee; and (x) perform such other functions as appropriate to further the purposes of the MSA as determined by the Parties. For the avoidance of doubt, the JSC shall be a reviewing and consultative body, without authority to make decisions not otherwise concurred in by the Parties.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3.3 </w:t>
      </w:r>
      <w:r>
        <w:rPr>
          <w:rFonts w:ascii="Times New Roman" w:cs="Times New Roman" w:eastAsia="Times New Roman" w:hAnsi="Times New Roman"/>
          <w:sz w:val="18"/>
          <w:szCs w:val="18"/>
          <w:b w:val="1"/>
          <w:bCs w:val="1"/>
          <w:u w:val="single" w:color="auto"/>
          <w:color w:val="auto"/>
        </w:rPr>
        <w:t>Core Team.</w:t>
      </w:r>
    </w:p>
    <w:p>
      <w:pPr>
        <w:spacing w:after="0" w:line="225" w:lineRule="exact"/>
        <w:rPr>
          <w:sz w:val="20"/>
          <w:szCs w:val="20"/>
          <w:color w:val="auto"/>
        </w:rPr>
      </w:pPr>
    </w:p>
    <w:p>
      <w:pPr>
        <w:ind w:left="180"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3.3.1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Formation and Composition.</w:t>
      </w:r>
      <w:r>
        <w:rPr>
          <w:rFonts w:ascii="Times New Roman" w:cs="Times New Roman" w:eastAsia="Times New Roman" w:hAnsi="Times New Roman"/>
          <w:sz w:val="18"/>
          <w:szCs w:val="18"/>
          <w:color w:val="auto"/>
        </w:rPr>
        <w:t xml:space="preserve"> The applicable Project Plan will set forth a Core Team for that Product (the “</w:t>
      </w:r>
      <w:r>
        <w:rPr>
          <w:rFonts w:ascii="Times New Roman" w:cs="Times New Roman" w:eastAsia="Times New Roman" w:hAnsi="Times New Roman"/>
          <w:sz w:val="18"/>
          <w:szCs w:val="18"/>
          <w:b w:val="1"/>
          <w:bCs w:val="1"/>
          <w:color w:val="auto"/>
        </w:rPr>
        <w:t>Core Team</w:t>
      </w:r>
      <w:r>
        <w:rPr>
          <w:rFonts w:ascii="Times New Roman" w:cs="Times New Roman" w:eastAsia="Times New Roman" w:hAnsi="Times New Roman"/>
          <w:sz w:val="18"/>
          <w:szCs w:val="18"/>
          <w:color w:val="auto"/>
        </w:rPr>
        <w:t>”). The Core Team shall be composed of an equal number of representatives from each of SBL and Client, with up to four (4) representatives appointed by each of Client and SBL. Such representatives will include the Project Management Team Leaders of Client and SBL as well as such of their representatives from manufacturing, technical operations, supply chain, quality assurance, quality control, regulatory affairs or other individuals with expertise and responsibilities for those functions required from time-to-time to execute the Facility modification, the Technology Transfer and Manufacturing. Either Party may replace any or all of its representatives at any time. Such Party shall notify, in writing, of such replacement to the other Party.</w:t>
      </w:r>
    </w:p>
    <w:p>
      <w:pPr>
        <w:spacing w:after="0" w:line="220" w:lineRule="exact"/>
        <w:rPr>
          <w:sz w:val="20"/>
          <w:szCs w:val="20"/>
          <w:color w:val="auto"/>
        </w:rPr>
      </w:pPr>
    </w:p>
    <w:p>
      <w:pPr>
        <w:ind w:left="180" w:right="60"/>
        <w:spacing w:after="0" w:line="259" w:lineRule="auto"/>
        <w:rPr>
          <w:sz w:val="20"/>
          <w:szCs w:val="20"/>
          <w:color w:val="auto"/>
        </w:rPr>
      </w:pPr>
      <w:r>
        <w:rPr>
          <w:rFonts w:ascii="Times New Roman" w:cs="Times New Roman" w:eastAsia="Times New Roman" w:hAnsi="Times New Roman"/>
          <w:sz w:val="18"/>
          <w:szCs w:val="18"/>
          <w:u w:val="single" w:color="auto"/>
          <w:color w:val="auto"/>
        </w:rPr>
        <w:t>3.3.2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Appointment of Project Management Team Leader.</w:t>
      </w:r>
      <w:r>
        <w:rPr>
          <w:rFonts w:ascii="Times New Roman" w:cs="Times New Roman" w:eastAsia="Times New Roman" w:hAnsi="Times New Roman"/>
          <w:sz w:val="18"/>
          <w:szCs w:val="18"/>
          <w:color w:val="auto"/>
        </w:rPr>
        <w:t xml:space="preserve"> Each Party shall appoint a Project Management Team Leader (each, a “</w:t>
      </w:r>
      <w:r>
        <w:rPr>
          <w:rFonts w:ascii="Times New Roman" w:cs="Times New Roman" w:eastAsia="Times New Roman" w:hAnsi="Times New Roman"/>
          <w:sz w:val="18"/>
          <w:szCs w:val="18"/>
          <w:b w:val="1"/>
          <w:bCs w:val="1"/>
          <w:color w:val="auto"/>
        </w:rPr>
        <w:t>Project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Team Leader</w:t>
      </w:r>
      <w:r>
        <w:rPr>
          <w:rFonts w:ascii="Times New Roman" w:cs="Times New Roman" w:eastAsia="Times New Roman" w:hAnsi="Times New Roman"/>
          <w:sz w:val="18"/>
          <w:szCs w:val="18"/>
          <w:color w:val="auto"/>
        </w:rPr>
        <w:t>”) to act as the primary contact for such Party in connection with matters related to the Service. Each Project Management Team Leader,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mutually agreed, shall serve as the leaders of the Core Team. A Party may replace its Project Management Team Leader at any time and from time to time for any reason. Such Party shall notify, in writing, of such replacement to the other Party.</w:t>
      </w:r>
    </w:p>
    <w:p>
      <w:pPr>
        <w:spacing w:after="0" w:line="119" w:lineRule="exact"/>
        <w:rPr>
          <w:sz w:val="20"/>
          <w:szCs w:val="20"/>
          <w:color w:val="auto"/>
        </w:rPr>
      </w:pPr>
    </w:p>
    <w:p>
      <w:pPr>
        <w:ind w:left="180" w:right="40"/>
        <w:spacing w:after="0" w:line="291" w:lineRule="auto"/>
        <w:rPr>
          <w:sz w:val="20"/>
          <w:szCs w:val="20"/>
          <w:color w:val="auto"/>
        </w:rPr>
      </w:pPr>
      <w:r>
        <w:rPr>
          <w:rFonts w:ascii="Times New Roman" w:cs="Times New Roman" w:eastAsia="Times New Roman" w:hAnsi="Times New Roman"/>
          <w:sz w:val="16"/>
          <w:szCs w:val="16"/>
          <w:u w:val="single" w:color="auto"/>
          <w:color w:val="auto"/>
        </w:rPr>
        <w:t>3.3.3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Responsibilities.</w:t>
      </w:r>
      <w:r>
        <w:rPr>
          <w:rFonts w:ascii="Times New Roman" w:cs="Times New Roman" w:eastAsia="Times New Roman" w:hAnsi="Times New Roman"/>
          <w:sz w:val="16"/>
          <w:szCs w:val="16"/>
          <w:color w:val="auto"/>
        </w:rPr>
        <w:t xml:space="preserve"> The Core Team shall (i) develop and maintain the Project Plan and monitor, review and manage the Service according to the MSA and applicable PSA; (ii) conduct project stage reviews with the JSC as required by the Project Plan at appropriate milestones or completion of key deliverables or a sequence of event to review key deliverables, review its progress and performance against plans; (iii) develop a change management process to identify, review and recommend any significant changes in the project scope, time, fee or risk to the JSC; (iv) investigate and resolve business, manufacturing, supply chain, quality, regulatory or other issues arising during the Service; (v) review and escalate to the JSC, as needed, changes to the Project Plan or applicable QAG; (vi) review and recommend to the JSC changes to the Specifications, analytical methods, the Manufacturing Process, the Facility or equipment; (vii) coordinate the activities of the Parties relating to the Manufacturing hereunder, including but not limited to: managing the technical operations and quality aspects of routine manufacturing, conducting Product testing technical operations and quality aspects of routine manufacturing, conducting Product testing and release, and managing supply chain activities including shipping and delivery logistics; (viii) report periodically on operation and quality progress and performance; and</w:t>
      </w:r>
    </w:p>
    <w:p>
      <w:pPr>
        <w:spacing w:after="0" w:line="5" w:lineRule="exact"/>
        <w:rPr>
          <w:sz w:val="20"/>
          <w:szCs w:val="20"/>
          <w:color w:val="auto"/>
        </w:rPr>
      </w:pPr>
    </w:p>
    <w:p>
      <w:pPr>
        <w:ind w:left="180" w:hanging="10"/>
        <w:spacing w:after="0" w:line="292" w:lineRule="auto"/>
        <w:tabs>
          <w:tab w:leader="none" w:pos="4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tasks and undertake such other responsibilities as may be specifically delegate to the Core Team by mutual agreement of the Parties. For the avoidance of doubt, the Core Team shall be without authority to make decisions not otherwise concurred in by the Parties.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auto"/>
        </w:rPr>
        <w:t xml:space="preserve">3.4 </w:t>
      </w:r>
      <w:r>
        <w:rPr>
          <w:rFonts w:ascii="Times New Roman" w:cs="Times New Roman" w:eastAsia="Times New Roman" w:hAnsi="Times New Roman"/>
          <w:sz w:val="18"/>
          <w:szCs w:val="18"/>
          <w:b w:val="1"/>
          <w:bCs w:val="1"/>
          <w:u w:val="single" w:color="auto"/>
          <w:color w:val="auto"/>
        </w:rPr>
        <w:t>Meetings</w:t>
      </w:r>
    </w:p>
    <w:p>
      <w:pPr>
        <w:spacing w:after="0" w:line="225" w:lineRule="exact"/>
        <w:rPr>
          <w:sz w:val="20"/>
          <w:szCs w:val="20"/>
          <w:color w:val="auto"/>
        </w:rPr>
      </w:pPr>
    </w:p>
    <w:p>
      <w:pPr>
        <w:ind w:left="180" w:right="100"/>
        <w:spacing w:after="0" w:line="259" w:lineRule="auto"/>
        <w:rPr>
          <w:sz w:val="20"/>
          <w:szCs w:val="20"/>
          <w:color w:val="auto"/>
        </w:rPr>
      </w:pPr>
      <w:r>
        <w:rPr>
          <w:rFonts w:ascii="Times New Roman" w:cs="Times New Roman" w:eastAsia="Times New Roman" w:hAnsi="Times New Roman"/>
          <w:sz w:val="18"/>
          <w:szCs w:val="18"/>
          <w:u w:val="single" w:color="auto"/>
          <w:color w:val="auto"/>
        </w:rPr>
        <w:t>3.4.1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JSC.</w:t>
      </w:r>
      <w:r>
        <w:rPr>
          <w:rFonts w:ascii="Times New Roman" w:cs="Times New Roman" w:eastAsia="Times New Roman" w:hAnsi="Times New Roman"/>
          <w:sz w:val="18"/>
          <w:szCs w:val="18"/>
          <w:color w:val="auto"/>
        </w:rPr>
        <w:t xml:space="preserve"> The JSC shall meet by audio or video teleconference or in-person as agreed by the JSC or as necessary to make determinations as required of it. Any member of the JSC may designate a substitute to attend and perform the functions of that member at any meeting of the JSC and each Party may, in its reasonable discretion, invite non-member representatives of such Party to attend such meeting with advance notice to the other Party; provided, however, such non-member representatives are subject to enforceable obligations of confidentiality to the inviting Party.</w:t>
      </w:r>
    </w:p>
    <w:p>
      <w:pPr>
        <w:spacing w:after="0" w:line="214" w:lineRule="exact"/>
        <w:rPr>
          <w:sz w:val="20"/>
          <w:szCs w:val="20"/>
          <w:color w:val="auto"/>
        </w:rPr>
      </w:pPr>
    </w:p>
    <w:p>
      <w:pPr>
        <w:ind w:left="180" w:right="180"/>
        <w:spacing w:after="0" w:line="259" w:lineRule="auto"/>
        <w:rPr>
          <w:sz w:val="20"/>
          <w:szCs w:val="20"/>
          <w:color w:val="auto"/>
        </w:rPr>
      </w:pP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Core Team.</w:t>
      </w:r>
      <w:r>
        <w:rPr>
          <w:rFonts w:ascii="Times New Roman" w:cs="Times New Roman" w:eastAsia="Times New Roman" w:hAnsi="Times New Roman"/>
          <w:sz w:val="18"/>
          <w:szCs w:val="18"/>
          <w:color w:val="auto"/>
        </w:rPr>
        <w:t xml:space="preserve"> The Core Team shall meet by audio or video teleconference or in-person as agreed by the Core Team. Any member of the Core Team may designate a substitute to attend and perform the functions of that member at any meeting of the Core Team and each Party may, in its reasonable discretion, invite non-member representatives of such Party to attend such meetings with advance notice to the other Party; provided, however, such non-member representatives are subject to enforceable obligations of confidentiality to the inviting Party.</w:t>
      </w:r>
    </w:p>
    <w:p>
      <w:pPr>
        <w:spacing w:after="0" w:line="214" w:lineRule="exact"/>
        <w:rPr>
          <w:sz w:val="20"/>
          <w:szCs w:val="20"/>
          <w:color w:val="auto"/>
        </w:rPr>
      </w:pPr>
    </w:p>
    <w:p>
      <w:pPr>
        <w:ind w:left="180" w:right="280"/>
        <w:spacing w:after="0" w:line="277" w:lineRule="auto"/>
        <w:rPr>
          <w:sz w:val="20"/>
          <w:szCs w:val="20"/>
          <w:color w:val="auto"/>
        </w:rPr>
      </w:pPr>
      <w:r>
        <w:rPr>
          <w:rFonts w:ascii="Times New Roman" w:cs="Times New Roman" w:eastAsia="Times New Roman" w:hAnsi="Times New Roman"/>
          <w:sz w:val="18"/>
          <w:szCs w:val="18"/>
          <w:u w:val="single" w:color="auto"/>
          <w:color w:val="auto"/>
        </w:rPr>
        <w:t>3.4.3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Travel Expenses.</w:t>
      </w:r>
      <w:r>
        <w:rPr>
          <w:rFonts w:ascii="Times New Roman" w:cs="Times New Roman" w:eastAsia="Times New Roman" w:hAnsi="Times New Roman"/>
          <w:sz w:val="18"/>
          <w:szCs w:val="18"/>
          <w:color w:val="auto"/>
        </w:rPr>
        <w:t xml:space="preserve"> Each Party shall be responsible for all of its own expenses of traveling to and participating in any joint committee or team meeting, including the JSC and Core Team.</w:t>
      </w:r>
    </w:p>
    <w:p>
      <w:pPr>
        <w:spacing w:after="0" w:line="1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Decisions.</w:t>
      </w:r>
      <w:r>
        <w:rPr>
          <w:rFonts w:ascii="Times New Roman" w:cs="Times New Roman" w:eastAsia="Times New Roman" w:hAnsi="Times New Roman"/>
          <w:sz w:val="18"/>
          <w:szCs w:val="18"/>
          <w:color w:val="auto"/>
        </w:rPr>
        <w:t xml:space="preserve"> All decisions of JSC, the Core Team and any other joint committee or team formed under the MSA or any applicable PSA, except as expressly set forth herein, shall be made by the unanimous agreement of its members or their designated representatives, with a Party’s members of designated representatives having, in the aggregate, one (1) vote (with the casting of fractional votes being impermissible), and shall be reflected in written meeting minutes which summarily address topics discussed, delegation of work, schedules and decision of such committee or team. SBL shall prepare written minutes of the JSC and Core Team within fifteen (15) Business Days of the meeting to which they relate, which shall be subject to approval by the authorized representatives of the Parties; provided, however, no joint committee or team herein may amend or waive any provision of the MSA or applicable PSA, including without limitation, the financial terms set forth in Section 9. The MSA or any PSA may be amended, and provision of the MSA or any PSA may be waived, pursuant to Section </w:t>
      </w:r>
      <w:r>
        <w:rPr>
          <w:rFonts w:ascii="Times New Roman" w:cs="Times New Roman" w:eastAsia="Times New Roman" w:hAnsi="Times New Roman"/>
          <w:sz w:val="18"/>
          <w:szCs w:val="18"/>
          <w:u w:val="single" w:color="auto"/>
          <w:color w:val="auto"/>
        </w:rPr>
        <w:t>17.9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only.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3.6 </w:t>
      </w:r>
      <w:r>
        <w:rPr>
          <w:rFonts w:ascii="Times New Roman" w:cs="Times New Roman" w:eastAsia="Times New Roman" w:hAnsi="Times New Roman"/>
          <w:sz w:val="18"/>
          <w:szCs w:val="18"/>
          <w:b w:val="1"/>
          <w:bCs w:val="1"/>
          <w:u w:val="single" w:color="auto"/>
          <w:color w:val="auto"/>
        </w:rPr>
        <w:t>Disputes.</w:t>
      </w:r>
    </w:p>
    <w:p>
      <w:pPr>
        <w:spacing w:after="0" w:line="252" w:lineRule="exact"/>
        <w:rPr>
          <w:sz w:val="20"/>
          <w:szCs w:val="20"/>
          <w:color w:val="auto"/>
        </w:rPr>
      </w:pPr>
    </w:p>
    <w:p>
      <w:pPr>
        <w:ind w:left="180" w:right="300"/>
        <w:spacing w:after="0" w:line="313" w:lineRule="auto"/>
        <w:rPr>
          <w:sz w:val="20"/>
          <w:szCs w:val="20"/>
          <w:color w:val="auto"/>
        </w:rPr>
      </w:pPr>
      <w:r>
        <w:rPr>
          <w:rFonts w:ascii="Times New Roman" w:cs="Times New Roman" w:eastAsia="Times New Roman" w:hAnsi="Times New Roman"/>
          <w:sz w:val="16"/>
          <w:szCs w:val="16"/>
          <w:u w:val="single" w:color="auto"/>
          <w:color w:val="auto"/>
        </w:rPr>
        <w:t>3.6.1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General.</w:t>
      </w:r>
      <w:r>
        <w:rPr>
          <w:rFonts w:ascii="Times New Roman" w:cs="Times New Roman" w:eastAsia="Times New Roman" w:hAnsi="Times New Roman"/>
          <w:sz w:val="16"/>
          <w:szCs w:val="16"/>
          <w:color w:val="auto"/>
        </w:rPr>
        <w:t xml:space="preserve"> In the event that the Core Team and any other joint committee or team formed under the MSA or any applicable PSA, is unable, despite the good faith efforts of all members, to resolve a disputed issue that is within the purview of such joint committee or team within ten (10) Business Days of meeting request by either Party, the disputed issue shall be referred immediately by such joint committee or team to the JSC. If the disputes still cannot be resolved within an additional twenty (20) Business Days of meeting request by the JSC, the matter may be handled in accordance with Section 16.</w:t>
      </w:r>
    </w:p>
    <w:p>
      <w:pPr>
        <w:spacing w:after="0" w:line="148" w:lineRule="exact"/>
        <w:rPr>
          <w:sz w:val="20"/>
          <w:szCs w:val="20"/>
          <w:color w:val="auto"/>
        </w:rPr>
      </w:pPr>
    </w:p>
    <w:p>
      <w:pPr>
        <w:ind w:left="180"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3.6.2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Project Management Team Leaders.</w:t>
      </w:r>
      <w:r>
        <w:rPr>
          <w:rFonts w:ascii="Times New Roman" w:cs="Times New Roman" w:eastAsia="Times New Roman" w:hAnsi="Times New Roman"/>
          <w:sz w:val="18"/>
          <w:szCs w:val="18"/>
          <w:color w:val="auto"/>
        </w:rPr>
        <w:t xml:space="preserve"> Subject to Section 3.6.1, the Project Management Team Leaders (or their respective designees) will in good faith attempt to mutually resolve in a timely fashion any disagreement with respect to the Service hereunder, which could reasonably affect the quality of the Manufacturing of the Product, including without limitation, the related management processes and operations, control of production planning and scheduling, prioritization decisions, allocation of resources, timing of in-process and release testing, oversight of auxiliary facilities (e.g., in-process tests that need to be conducted at laboratories other than those at the Facility), Facility modification, the Technology Transfer, registration and troubleshooting decisions, and any other matters relating to implementation of the Manufacturing Process and the Manufacturing of the Product hereunder.</w:t>
      </w:r>
    </w:p>
    <w:p>
      <w:pPr>
        <w:spacing w:after="0" w:line="22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u w:val="single" w:color="auto"/>
          <w:color w:val="auto"/>
        </w:rPr>
        <w:t>SECTION 4</w:t>
      </w:r>
      <w:r>
        <w:rPr>
          <w:sz w:val="20"/>
          <w:szCs w:val="20"/>
          <w:color w:val="auto"/>
        </w:rPr>
        <w:tab/>
      </w:r>
      <w:r>
        <w:rPr>
          <w:rFonts w:ascii="Times New Roman" w:cs="Times New Roman" w:eastAsia="Times New Roman" w:hAnsi="Times New Roman"/>
          <w:sz w:val="16"/>
          <w:szCs w:val="16"/>
          <w:b w:val="1"/>
          <w:bCs w:val="1"/>
          <w:u w:val="single" w:color="auto"/>
          <w:color w:val="auto"/>
        </w:rPr>
        <w:t>SERVICES</w:t>
      </w:r>
    </w:p>
    <w:p>
      <w:pPr>
        <w:spacing w:after="0" w:line="225"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6"/>
          <w:szCs w:val="16"/>
          <w:u w:val="single" w:color="auto"/>
          <w:color w:val="auto"/>
        </w:rPr>
        <w:t>4.1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Services.</w:t>
      </w:r>
      <w:r>
        <w:rPr>
          <w:rFonts w:ascii="Times New Roman" w:cs="Times New Roman" w:eastAsia="Times New Roman" w:hAnsi="Times New Roman"/>
          <w:sz w:val="16"/>
          <w:szCs w:val="16"/>
          <w:color w:val="auto"/>
        </w:rPr>
        <w:t xml:space="preserve"> During the Term, in accordance with and subject to the terms and conditions set forth in this MSA, applicable PSA, and the applicable QAG, SBL shall provide the Services to Client relating to the Product(s). SBL shall at all times make Commercially Reasonable Efforts to complete the Services in accordance with the timelines set forth in the applicable PSA. Except as otherwise expressly set forth in the MSA, applicable PSA, or the applicable QAG or as otherwise mutually agreed in writing by the Parties, SBL shall be responsible at its own cost and discretion for operating and maintaining the Facility.</w:t>
      </w:r>
    </w:p>
    <w:p>
      <w:pPr>
        <w:spacing w:after="0" w:line="8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xml:space="preserve"> Subject to the provisions of Section 6 below, SBL shall maintain the Facility in accordance with cGMP and in such condition as will allow SBL to Manufacture the Products in accordance with the terms of the MSA and the applicable QAG. SBL shall perform the Services under the MSA in conformance with cGMP, if applicable, any requirements of the Regulatory Authorities that shall be mutually agreed upon by the Parties, and all Applicable Laws.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Project Personnel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SBL shall adequately staff the Facility with personnel necessary (including consultants and contractors), who have sufficient technical expertise by virtue of training and experience to perform its obligations under the MSA and any applicable PSA. Notwithstanding anything to the contrary and in addition to the JSC and Core Team meetings described in Section 3 above, Client and SBL may arrange for core project personnel to have regular meetings, which shall be by audio or video teleconference. The Project Plan shall specify the frequency and duration of such meetings; provided that the associated costs for meetings requested solely by Client in excess of the number set forth in the Project Plan shall be passed through to Client by SBL, unless such meeting is for the purpose of addressing a deficiency in Manufacturing caused by SBL Assignable Error or assessing remediation thereof.</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102" w:name="page103"/>
    <w:bookmarkEnd w:id="102"/>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Subcontract.</w:t>
      </w:r>
      <w:r>
        <w:rPr>
          <w:rFonts w:ascii="Times New Roman" w:cs="Times New Roman" w:eastAsia="Times New Roman" w:hAnsi="Times New Roman"/>
          <w:sz w:val="18"/>
          <w:szCs w:val="18"/>
          <w:color w:val="auto"/>
        </w:rPr>
        <w:t xml:space="preserve"> SBL may subcontract any portion of the Services without approval from Client; provided, however, that SBL will not subcontract or otherwise engage subcontractors or other third party agents to manufacture, conduct quality control testing, or perform Services directly related to manufacturing or quality control testing without the prior written approval of Client, which shall not be unreasonably withheld, conditioned, or delayed. Notwithstanding any subcontracting, SBL shall be primarily obligated to Client for any subcontracted services as if it were providing the Services itself, and shall be jointly and severally liable to Client for the performance of any such Service. The preceding sentence is not meant to nor shall it be construed as altering or eliminating any mutually agreed upon limitations of liability contained within this MSA or any applicable PSA. Every subcontractor or other third party agent of SBL performing pursuant to this Section 4.4 shall be required by SBL to agree in writing to comply with relevant portions of this MSA, together with pertinent PSAs and QAGs. For the avoidance of doubt, SBL shall not directly or indirectly use on its own behalf or through any subcontractor, other vendor or any third party in the performance of this MSA or any PSA, any invention, technology, data or information that would require Client to obtain a license from SBL not otherwise granted pursuant to this MSA or an applicable PSA, or obtain a license from any such subcontractor, vendor or third party a license in order to make, have, made, use, offer for sell, sell, import or otherwise exploit any Product, unless Client has agreed in advance in writing.</w:t>
      </w:r>
    </w:p>
    <w:p>
      <w:pPr>
        <w:spacing w:after="0" w:line="125"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Development and Manufacturing Site.</w:t>
      </w:r>
      <w:r>
        <w:rPr>
          <w:rFonts w:ascii="Times New Roman" w:cs="Times New Roman" w:eastAsia="Times New Roman" w:hAnsi="Times New Roman"/>
          <w:sz w:val="18"/>
          <w:szCs w:val="18"/>
          <w:color w:val="auto"/>
        </w:rPr>
        <w:t xml:space="preserve"> Except as is provided in Section 4.4 or otherwise agreed by Client, all Services shall be performed by SBL at the Facility.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4.6 </w:t>
      </w:r>
      <w:r>
        <w:rPr>
          <w:rFonts w:ascii="Times New Roman" w:cs="Times New Roman" w:eastAsia="Times New Roman" w:hAnsi="Times New Roman"/>
          <w:sz w:val="18"/>
          <w:szCs w:val="18"/>
          <w:b w:val="1"/>
          <w:bCs w:val="1"/>
          <w:u w:val="single" w:color="auto"/>
          <w:color w:val="auto"/>
        </w:rPr>
        <w:t>Access to the Facility.</w:t>
      </w:r>
    </w:p>
    <w:p>
      <w:pPr>
        <w:spacing w:after="0" w:line="254" w:lineRule="exact"/>
        <w:rPr>
          <w:sz w:val="20"/>
          <w:szCs w:val="20"/>
          <w:color w:val="auto"/>
        </w:rPr>
      </w:pPr>
    </w:p>
    <w:p>
      <w:pPr>
        <w:ind w:left="18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4.6.1</w:t>
      </w:r>
      <w:r>
        <w:rPr>
          <w:rFonts w:ascii="Times New Roman" w:cs="Times New Roman" w:eastAsia="Times New Roman" w:hAnsi="Times New Roman"/>
          <w:sz w:val="18"/>
          <w:szCs w:val="18"/>
          <w:color w:val="auto"/>
        </w:rPr>
        <w:t xml:space="preserve"> SBL shall accommodate visits by Client personnel in the Facility during operational hours during the Term, upon Client’s request, to coordinate, expedite and guide the Service. Client will provide SBL with written notice at least one (1) month prior to any visit, and the Parties shall decide on a mutually agreeable date, duration, visitor list, and agenda prior to the visit. Additionally, Client may, at no cost to SBL, request up to two (2) of its personnel to be on-site at the Facility to observe and consult with SBL during the performance of Services under this MSA and such additional personnel in such numbers as deemed necessary by Client shall be accommodated upon mutual agreement. SBL shall make reasonable efforts to provide such Client personnel working space and access to guest wireless connections. All applicable out- of-pocket expenses associated with such on-site Client personnel shall be passed through to Client by SBL.</w:t>
      </w:r>
    </w:p>
    <w:p>
      <w:pPr>
        <w:spacing w:after="0" w:line="222" w:lineRule="exact"/>
        <w:rPr>
          <w:sz w:val="20"/>
          <w:szCs w:val="20"/>
          <w:color w:val="auto"/>
        </w:rPr>
      </w:pPr>
    </w:p>
    <w:p>
      <w:pPr>
        <w:ind w:left="180"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4.6.2</w:t>
      </w:r>
      <w:r>
        <w:rPr>
          <w:rFonts w:ascii="Times New Roman" w:cs="Times New Roman" w:eastAsia="Times New Roman" w:hAnsi="Times New Roman"/>
          <w:sz w:val="18"/>
          <w:szCs w:val="18"/>
          <w:color w:val="auto"/>
        </w:rPr>
        <w:t xml:space="preserve"> While at the Facility, all such Client personnel shall have reasonable access to all areas as are relevant to SBL’s performance of the Service hereunder, provided that SBL may reasonably restrict Client personnel’s access to those portions of the Facility as it deems reasonably necessary for safety, confidentiality and cGMP, and visitors admitted pursuant to this Section, upon request of SBL, shall comply with SBL policies and procedures as they apply to SBL personnel generally while at the Facility.</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Manufacturing Documentation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SBL shall maintain in the English language, complete, true and accurate Manufacturing Documentation, and shall keep them in strict confidence and shall not use them for purposes other than providing or performing the Service or other obligations hereunder. SBL shall maintain all such Manufacturing Documentation for at least that period specified in the applicable QAG or such longer period as may be required by Applicable Law. Upon written request of Client and at mutually agreeable times, Client shall have the right to review Manufacturing Documentation, including the Batch Records, at the Facility as further defined in the applicable QAG; provided, however, SBL shall not delay any such request of Client for more than fifteen (15) Business Days. Client may also request scanned or printed copies of such Manufacturing Documentation, but shall be responsible for reasonable costs associated therewith. SBL shall record and maintain such records, data, documentation and other information in the language as so required in the applicable QAG or as so required by a Regulatory Authority and in compliance with Applicable Law, or as otherwise may be set forth in an applicable PSA. The form and style of Batch documents, including, but not limited to, Batch production records, lot packaging records, equipment set up control, operating parameters, and data printouts, raw material data, and laboratory notebooks are the exclusive property of SBL. Notwithstanding anything to the contrary, SBL SOPs not specific to the Client’s Products may be provided to Client for on-site review if deemed necessary by both SBL and Client. Such SOPs cannot be removed from the SBL premises, copied, photographed or otherwise replicated, but to the extent required for filing in connection with any Regulatory Approval related to a Product including, but not limited to, an IND, BLA or MAA, SBL will file, maintain and update such SOPs with appropriate Regulatory Authorities by means of a Drug Master File, Common Technical Document or other means by which such SOPs may remain confidential, but available by reference to Client to effect Regulatory Approvals, and SBL shall formally authorize such reference.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3" w:name="page104"/>
    <w:bookmarkEnd w:id="103"/>
    <w:p>
      <w:pPr>
        <w:spacing w:after="0"/>
        <w:tabs>
          <w:tab w:leader="none" w:pos="1360" w:val="left"/>
        </w:tabs>
        <w:rPr>
          <w:sz w:val="20"/>
          <w:szCs w:val="20"/>
          <w:color w:val="auto"/>
        </w:rPr>
      </w:pPr>
      <w:r>
        <w:rPr>
          <w:rFonts w:ascii="Times New Roman" w:cs="Times New Roman" w:eastAsia="Times New Roman" w:hAnsi="Times New Roman"/>
          <w:sz w:val="18"/>
          <w:szCs w:val="18"/>
          <w:b w:val="1"/>
          <w:bCs w:val="1"/>
          <w:u w:val="single" w:color="auto"/>
          <w:color w:val="auto"/>
        </w:rPr>
        <w:t>SECTION 5</w:t>
      </w:r>
      <w:r>
        <w:rPr>
          <w:sz w:val="20"/>
          <w:szCs w:val="20"/>
          <w:color w:val="auto"/>
        </w:rPr>
        <w:tab/>
      </w:r>
      <w:r>
        <w:rPr>
          <w:rFonts w:ascii="Times New Roman" w:cs="Times New Roman" w:eastAsia="Times New Roman" w:hAnsi="Times New Roman"/>
          <w:sz w:val="16"/>
          <w:szCs w:val="16"/>
          <w:b w:val="1"/>
          <w:bCs w:val="1"/>
          <w:u w:val="single" w:color="auto"/>
          <w:color w:val="auto"/>
        </w:rPr>
        <w:t>SERVICE DESCRIPTIONS</w:t>
      </w:r>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Technology Transfer Requirements.</w:t>
      </w:r>
      <w:r>
        <w:rPr>
          <w:rFonts w:ascii="Times New Roman" w:cs="Times New Roman" w:eastAsia="Times New Roman" w:hAnsi="Times New Roman"/>
          <w:sz w:val="18"/>
          <w:szCs w:val="18"/>
          <w:color w:val="auto"/>
        </w:rPr>
        <w:t xml:space="preserve"> The Parties shall make their personnel available at the Facility to enable the transfer and implementation in accordance with the Project Plan. Client shall transfer to and grant SBL the limited license set forth below in Section 11.2 in respect of the Reference Standards, Client Technology, Client Materials, and Cell Line In the event that Client agrees to utilize SBL’s SharePoint portal for Technology Transfer, Client agrees that (a) in the event of any relevant change that affects a Client user’s authorization to use such portal, Client shall promptly notify SBL so that SBL may disable their usernames and remove / change passwords in order to secure the SBL Portal and (b) Client shall ensure that all of Client’s users have up-to-date antivirus software installed on the computer devices used to access such portal.</w:t>
      </w:r>
    </w:p>
    <w:p>
      <w:pPr>
        <w:spacing w:after="0" w:line="2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Facility Modification and Equipment.</w:t>
      </w:r>
      <w:r>
        <w:rPr>
          <w:rFonts w:ascii="Times New Roman" w:cs="Times New Roman" w:eastAsia="Times New Roman" w:hAnsi="Times New Roman"/>
          <w:sz w:val="18"/>
          <w:szCs w:val="18"/>
          <w:color w:val="auto"/>
        </w:rPr>
        <w:t xml:space="preserve"> Except as otherwise specifically provided herein to the contrary, and upon mutual agreement of the Parties, Client and SBL will agree on what equipment in the Facility is necessary to perform the Services, and if it is necessary or Client deems it necessary to procure additional equipment beyond that which is in the Facility as of the applicable PSA Effective Date, the Core Team shall determine equitable allocation of costs including, as applicable, procurement, validation, installation, maintenance, commissioning, and decommissioning/validation (which determination shall be escalated to the JSC if in dispute). Thereafter, if any additional equipment is necessary at the request of Client, such costs shall be dealt with by the Change provisions of this MSA. SBL shall modify the Facility and engineer, procure, install, commission, test, qualify, troubleshoot and validate necessary equipment and instruments in order to accommodate Manufacture of the Product at the Facility, as further described in the Project Plan and applicable QAG. Except as provided in this Section 5.2 or any applicable PSA, the Facility, Warehouse and all the equipment shall be maintained, tested, validated, calibrated and qualified for their intended uses by SBL at SBL’s expense. For the avoidance of doubt, it shall be the responsibility of SBL to effect such changes at the Facility including, but not limited to changes in equipment, as are required by changes in laws, rules or regulations related to the manufacture, handling, storage, packaging and disposal of biologics generally, compliance therewith being necessary in order for SBL to hold itself out as a qualified manufacturer of biologics for human use. It shall be the responsibility of SBL to obtain, maintain and pay all costs associated with establishment licenses required for the Facility, the Warehouse and any other facilities used by SBL in the performance of its obligations under this MSA and any applicable PSA.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5.3 </w:t>
      </w:r>
      <w:r>
        <w:rPr>
          <w:rFonts w:ascii="Times New Roman" w:cs="Times New Roman" w:eastAsia="Times New Roman" w:hAnsi="Times New Roman"/>
          <w:sz w:val="18"/>
          <w:szCs w:val="18"/>
          <w:b w:val="1"/>
          <w:bCs w:val="1"/>
          <w:u w:val="single" w:color="auto"/>
          <w:color w:val="auto"/>
        </w:rPr>
        <w:t>Raw Materials.</w:t>
      </w:r>
    </w:p>
    <w:p>
      <w:pPr>
        <w:spacing w:after="0" w:line="225"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u w:val="single" w:color="auto"/>
          <w:color w:val="auto"/>
        </w:rPr>
        <w:t>5.3.1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SBL shall procure and maintain a reasonable quantity of the Raw Materials, required for the Services in accordance with the MSA and any applicable PSA, as further described in the applicable QAG. On a per-Product basis, the Core Team shall finalize the categorization of the Raw Materials into Raw Materials which shall be used for that specific Product only (“</w:t>
      </w:r>
      <w:r>
        <w:rPr>
          <w:rFonts w:ascii="Times New Roman" w:cs="Times New Roman" w:eastAsia="Times New Roman" w:hAnsi="Times New Roman"/>
          <w:sz w:val="18"/>
          <w:szCs w:val="18"/>
          <w:b w:val="1"/>
          <w:bCs w:val="1"/>
          <w:color w:val="auto"/>
        </w:rPr>
        <w:t>Specialized Raw Materials</w:t>
      </w:r>
      <w:r>
        <w:rPr>
          <w:rFonts w:ascii="Times New Roman" w:cs="Times New Roman" w:eastAsia="Times New Roman" w:hAnsi="Times New Roman"/>
          <w:sz w:val="18"/>
          <w:szCs w:val="18"/>
          <w:color w:val="auto"/>
        </w:rPr>
        <w:t>”), Raw Materials which can be used across multiple products and/or customers (“</w:t>
      </w:r>
      <w:r>
        <w:rPr>
          <w:rFonts w:ascii="Times New Roman" w:cs="Times New Roman" w:eastAsia="Times New Roman" w:hAnsi="Times New Roman"/>
          <w:sz w:val="18"/>
          <w:szCs w:val="18"/>
          <w:b w:val="1"/>
          <w:bCs w:val="1"/>
          <w:color w:val="auto"/>
        </w:rPr>
        <w:t>Common Raw Materials</w:t>
      </w:r>
      <w:r>
        <w:rPr>
          <w:rFonts w:ascii="Times New Roman" w:cs="Times New Roman" w:eastAsia="Times New Roman" w:hAnsi="Times New Roman"/>
          <w:sz w:val="18"/>
          <w:szCs w:val="18"/>
          <w:color w:val="auto"/>
        </w:rPr>
        <w:t>”), and Raw Materials which will not be charged on a cost-plus basis to the Client, and shall attach such list to the applicable PSA. Such list of Common Raw Materials and Specialized Raw Materials may be amended from time to time, subject to the Parties’ approval. Prior to the commencement of Manufacture, the Core Team shall agree on estimates for quantities of Raw Materials anticipated to be consumed in the Manufacture of each Batch. Although SBL will make Commercially Reasonable Efforts to use no more than those amounts, SBL will not be responsible for Raw Materials used in excess of the agreed-upon estimate; provided, however, that SBL shall be responsible for any such excessive use, loss, spoilage, or waste of such Raw Materials caused by an SBL Assignable Error. In order to become effective, SBL’s reasonable strategies regarding Raw Material safety stock and sourcing from qualified vendors shall be agreed upon by Client. In the event SBL is not able to utilize any capacity reserved to Manufacture Product according to an agreed-upon forecast or manufacturing plan due to Client’s failure to agree to such reasonable strategies, then Client shall be responsible for the costs of such reserved capacity regardless of whether it is utilized or not.</w:t>
      </w:r>
    </w:p>
    <w:p>
      <w:pPr>
        <w:spacing w:after="0" w:line="218" w:lineRule="exact"/>
        <w:rPr>
          <w:sz w:val="20"/>
          <w:szCs w:val="20"/>
          <w:color w:val="auto"/>
        </w:rPr>
      </w:pPr>
    </w:p>
    <w:p>
      <w:pPr>
        <w:ind w:left="180" w:right="20"/>
        <w:spacing w:after="0" w:line="264" w:lineRule="auto"/>
        <w:rPr>
          <w:sz w:val="20"/>
          <w:szCs w:val="20"/>
          <w:color w:val="auto"/>
        </w:rPr>
      </w:pPr>
      <w:r>
        <w:rPr>
          <w:rFonts w:ascii="Times New Roman" w:cs="Times New Roman" w:eastAsia="Times New Roman" w:hAnsi="Times New Roman"/>
          <w:sz w:val="18"/>
          <w:szCs w:val="18"/>
          <w:u w:val="single" w:color="auto"/>
          <w:color w:val="auto"/>
        </w:rPr>
        <w:t>5.3.2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Data Transfer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Client and SBL shall agree on the Specifications for the Raw Materials, including without limitation analytical methods, supplier information including supplier site information, and other information concerning the stability, storage, and safety thereof that are available and required for the Manufacturing hereunder, as further described in the applicable QAG.</w:t>
      </w:r>
    </w:p>
    <w:p>
      <w:pPr>
        <w:spacing w:after="0" w:line="181" w:lineRule="exact"/>
        <w:rPr>
          <w:sz w:val="20"/>
          <w:szCs w:val="20"/>
          <w:color w:val="auto"/>
        </w:rPr>
      </w:pPr>
    </w:p>
    <w:p>
      <w:pPr>
        <w:ind w:left="180" w:right="140"/>
        <w:spacing w:after="0" w:line="264" w:lineRule="auto"/>
        <w:rPr>
          <w:sz w:val="20"/>
          <w:szCs w:val="20"/>
          <w:color w:val="auto"/>
        </w:rPr>
      </w:pPr>
      <w:r>
        <w:rPr>
          <w:rFonts w:ascii="Times New Roman" w:cs="Times New Roman" w:eastAsia="Times New Roman" w:hAnsi="Times New Roman"/>
          <w:sz w:val="18"/>
          <w:szCs w:val="18"/>
          <w:u w:val="single" w:color="auto"/>
          <w:color w:val="auto"/>
        </w:rPr>
        <w:t>5.3.3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Testing and Evaluation</w:t>
      </w:r>
      <w:r>
        <w:rPr>
          <w:rFonts w:ascii="Times New Roman" w:cs="Times New Roman" w:eastAsia="Times New Roman" w:hAnsi="Times New Roman"/>
          <w:sz w:val="18"/>
          <w:szCs w:val="18"/>
          <w:color w:val="auto"/>
        </w:rPr>
        <w:t>. SBL or vendors qualified by SBL shall perform all testing and evaluation of the Raw Materials as required by the Specifications for the Raw Materials and the cGMPs, as further described in the applicable QAG, if applicable. SBL shall not release any Raw Materials from quarantine that do not meet their Specifications or are not otherwise suitable for cGMP use.</w:t>
      </w:r>
    </w:p>
    <w:p>
      <w:pPr>
        <w:spacing w:after="0" w:line="208" w:lineRule="exact"/>
        <w:rPr>
          <w:sz w:val="20"/>
          <w:szCs w:val="20"/>
          <w:color w:val="auto"/>
        </w:rPr>
      </w:pPr>
    </w:p>
    <w:p>
      <w:pPr>
        <w:ind w:left="18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5.3.4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Storage.</w:t>
      </w:r>
      <w:r>
        <w:rPr>
          <w:rFonts w:ascii="Times New Roman" w:cs="Times New Roman" w:eastAsia="Times New Roman" w:hAnsi="Times New Roman"/>
          <w:sz w:val="18"/>
          <w:szCs w:val="18"/>
          <w:color w:val="auto"/>
        </w:rPr>
        <w:t xml:space="preserve"> SBL shall secure sufficient and suitable cGMP storage facilities and/or equipment at the Facility that meet the Specifications for storage of the Raw Materials. SBL shall preserve and protect the Raw Materials from loss and damage while in SBL’s possession, consistent with reasonable technical and business judgment, the Specifications and any relevant SOPs or other instructions provided by Client; provided however, SBL shall be responsible for loss of Raw Materials after receipt by SBL and prior to Manufacture only in cases of SBL Assignable Error or breach of this Section 5.3.4. In all other cases, Client shall be responsible for the risk of loss of the Raw Materials. Upon obsolescence, or upon expiration or earlier termination of a PSA, Client shall be responsible for the loss of Raw Material purchased in reliance on a Purchase Order, Firm Period, or Binding Year which Client fails to honor and SBL cannot reasonably otherwise utilize such Raw Material.</w:t>
      </w:r>
    </w:p>
    <w:p>
      <w:pPr>
        <w:spacing w:after="0" w:line="216" w:lineRule="exact"/>
        <w:rPr>
          <w:sz w:val="20"/>
          <w:szCs w:val="20"/>
          <w:color w:val="auto"/>
        </w:rPr>
      </w:pPr>
    </w:p>
    <w:p>
      <w:pPr>
        <w:ind w:left="180" w:right="660"/>
        <w:spacing w:after="0" w:line="277" w:lineRule="auto"/>
        <w:rPr>
          <w:sz w:val="20"/>
          <w:szCs w:val="20"/>
          <w:color w:val="auto"/>
        </w:rPr>
      </w:pPr>
      <w:r>
        <w:rPr>
          <w:rFonts w:ascii="Times New Roman" w:cs="Times New Roman" w:eastAsia="Times New Roman" w:hAnsi="Times New Roman"/>
          <w:sz w:val="18"/>
          <w:szCs w:val="18"/>
          <w:u w:val="single" w:color="auto"/>
          <w:color w:val="auto"/>
        </w:rPr>
        <w:t>5.3.5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Service Fee Related to Raw Material.</w:t>
      </w:r>
      <w:r>
        <w:rPr>
          <w:rFonts w:ascii="Times New Roman" w:cs="Times New Roman" w:eastAsia="Times New Roman" w:hAnsi="Times New Roman"/>
          <w:sz w:val="18"/>
          <w:szCs w:val="18"/>
          <w:color w:val="auto"/>
        </w:rPr>
        <w:t xml:space="preserve"> Common Raw Materials and Specialized Raw Materials will be charged on a cost-plus basis to Client in accordance with Sections 9.1(ii) and 9.2.2, subject to any changes in the scope of work.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auto"/>
        </w:rPr>
        <w:t xml:space="preserve">5.4 </w:t>
      </w:r>
      <w:r>
        <w:rPr>
          <w:rFonts w:ascii="Times New Roman" w:cs="Times New Roman" w:eastAsia="Times New Roman" w:hAnsi="Times New Roman"/>
          <w:sz w:val="18"/>
          <w:szCs w:val="18"/>
          <w:b w:val="1"/>
          <w:bCs w:val="1"/>
          <w:u w:val="single" w:color="auto"/>
          <w:color w:val="auto"/>
        </w:rPr>
        <w:t>Client Materials.</w:t>
      </w:r>
    </w:p>
    <w:p>
      <w:pPr>
        <w:spacing w:after="0" w:line="225" w:lineRule="exact"/>
        <w:rPr>
          <w:sz w:val="20"/>
          <w:szCs w:val="20"/>
          <w:color w:val="auto"/>
        </w:rPr>
      </w:pPr>
    </w:p>
    <w:p>
      <w:pPr>
        <w:ind w:left="18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5.4.1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 xml:space="preserve"> Client shall provide to SBL free of charge, either by itself or through its third party supplier, Client Materials in amounts reasonably necessary to carry out the Services as agreed by the Parties. The applicable PSA shall set forth the exact timing of such provision of Client Materials to SBL. SBL shall make Commercially Reasonable Efforts to import the Client Materials to the Republic of Korea in a timely manner, provided that Client provides reasonable assistance. The title to such Client Materials shall remain at all times with the Client. Prior to the commencement of Manufacture, the Core Team shall agree on estimates of quantities for Client Material anticipated to be consumed in the Manufacture of each Batch. Although SBL will make Commercially Reasonable Efforts to use no more than those amounts, SBL will not be responsible for Client Materials used in excess of the agreed-upon estimate; provided, however, that SBL shall be responsible for any such excessive use, loss, spoilage, or waste of such Client Materials caused by an SBL Assignable Error, and further provided that SBL shall not be liable for the monetary value of Cell Line loss if it complied with risk mitigation measures to protect the Cell Line, as reasonably agreed to by the Parties and set forth in the Quality Agreement. In order to become effective, SBL’s reasonable strategies regarding Client Material safety stock and sourcing from qualified vendors shall be agreed to by Client. In the event SBL is not able to utilize any capacity reserved to Manufacture Product according to an agreed-upon forecast or manufacturing plan due to Client’s failure to agree to such reasonable strategies, then Client shall be responsible for the costs of such reserved capacity regardless of whether it is utilized or not.</w:t>
      </w:r>
    </w:p>
    <w:p>
      <w:pPr>
        <w:spacing w:after="0" w:line="191" w:lineRule="exact"/>
        <w:rPr>
          <w:sz w:val="20"/>
          <w:szCs w:val="20"/>
          <w:color w:val="auto"/>
        </w:rPr>
      </w:pPr>
    </w:p>
    <w:p>
      <w:pPr>
        <w:ind w:left="180" w:right="420"/>
        <w:spacing w:after="0" w:line="264" w:lineRule="auto"/>
        <w:rPr>
          <w:sz w:val="20"/>
          <w:szCs w:val="20"/>
          <w:color w:val="auto"/>
        </w:rPr>
      </w:pPr>
      <w:r>
        <w:rPr>
          <w:rFonts w:ascii="Times New Roman" w:cs="Times New Roman" w:eastAsia="Times New Roman" w:hAnsi="Times New Roman"/>
          <w:sz w:val="18"/>
          <w:szCs w:val="18"/>
          <w:u w:val="single" w:color="auto"/>
          <w:color w:val="auto"/>
        </w:rPr>
        <w:t>5.4.2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Data Transfer.</w:t>
      </w:r>
      <w:r>
        <w:rPr>
          <w:rFonts w:ascii="Times New Roman" w:cs="Times New Roman" w:eastAsia="Times New Roman" w:hAnsi="Times New Roman"/>
          <w:sz w:val="18"/>
          <w:szCs w:val="18"/>
          <w:color w:val="auto"/>
        </w:rPr>
        <w:t xml:space="preserve"> Client shall provide SBL with the Specifications of the Client Materials, including without limitation analytical methods, supplier information, and other information concerning the stability, storage, and safety thereof that are available and required for the Manufacturing hereunder, as further described in the applicable QAG.</w:t>
      </w:r>
    </w:p>
    <w:p>
      <w:pPr>
        <w:spacing w:after="0" w:line="208"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6"/>
          <w:szCs w:val="16"/>
          <w:u w:val="single" w:color="auto"/>
          <w:color w:val="auto"/>
        </w:rPr>
        <w:t>5.4.3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Testing and Evaluation.</w:t>
      </w:r>
      <w:r>
        <w:rPr>
          <w:rFonts w:ascii="Times New Roman" w:cs="Times New Roman" w:eastAsia="Times New Roman" w:hAnsi="Times New Roman"/>
          <w:sz w:val="16"/>
          <w:szCs w:val="16"/>
          <w:color w:val="auto"/>
        </w:rPr>
        <w:t xml:space="preserve"> SBL shall perform testing of the Client Materials in accordance with the applicable QAG and/or Client’s instruction prior to the performance of the Manufacturing hereunder, in order to determine whether such Client Materials meet the Specification described in the applicable QAG (if applicable). SBL shall inform Client of (a) any damage to the Client Materials received that is visually obvious (e.g., damaged or punctured containers and temperature monitoring results outside of predetermined Specifications) within five (5) Business Days after SBL’s receipt of the Client Materials and (b) any non-conformance of the Client Materials to Specification either: (i) within sixty (60) calendar days after SBL’s receipt of the Client Materials or (ii) if release testing of Client Materials is not to be performed until it is needed for Manufacture, within sixty (60) calendar days after such release testing is performed; or</w:t>
      </w:r>
    </w:p>
    <w:p>
      <w:pPr>
        <w:spacing w:after="0" w:line="5" w:lineRule="exact"/>
        <w:rPr>
          <w:sz w:val="20"/>
          <w:szCs w:val="20"/>
          <w:color w:val="auto"/>
        </w:rPr>
      </w:pPr>
    </w:p>
    <w:p>
      <w:pPr>
        <w:ind w:left="180" w:right="120" w:hanging="10"/>
        <w:spacing w:after="0" w:line="255" w:lineRule="auto"/>
        <w:tabs>
          <w:tab w:leader="none" w:pos="4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is otherwise agreed between the Parties. If, prior to performing any Service on the Client Materials, SBL determines that such Client Materials are defective or damaged, SBL shall not perform the Service on such Client Materials and shall follow Client’s written instructions regarding disposal or return of such Client materials to Client, such disposal or return to be at Client’s discretion and cost.</w:t>
      </w:r>
    </w:p>
    <w:p>
      <w:pPr>
        <w:spacing w:after="0" w:line="190" w:lineRule="exact"/>
        <w:rPr>
          <w:sz w:val="20"/>
          <w:szCs w:val="20"/>
          <w:color w:val="auto"/>
        </w:rPr>
      </w:pPr>
    </w:p>
    <w:p>
      <w:pPr>
        <w:ind w:left="180" w:right="160"/>
        <w:spacing w:after="0" w:line="297" w:lineRule="auto"/>
        <w:rPr>
          <w:sz w:val="20"/>
          <w:szCs w:val="20"/>
          <w:color w:val="auto"/>
        </w:rPr>
      </w:pPr>
      <w:r>
        <w:rPr>
          <w:rFonts w:ascii="Times New Roman" w:cs="Times New Roman" w:eastAsia="Times New Roman" w:hAnsi="Times New Roman"/>
          <w:sz w:val="16"/>
          <w:szCs w:val="16"/>
          <w:u w:val="single" w:color="auto"/>
          <w:color w:val="auto"/>
        </w:rPr>
        <w:t>5.4.4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Storage.</w:t>
      </w:r>
      <w:r>
        <w:rPr>
          <w:rFonts w:ascii="Times New Roman" w:cs="Times New Roman" w:eastAsia="Times New Roman" w:hAnsi="Times New Roman"/>
          <w:sz w:val="16"/>
          <w:szCs w:val="16"/>
          <w:color w:val="auto"/>
        </w:rPr>
        <w:t xml:space="preserve"> SBL shall secure sufficient and suitable cGMP storage facilities and/or equipment at the Facility that meet the Specifications for storage of reasonable quantities of Client Materials in light of quantities of Product anticipated to be Manufactured. SBL shall preserve and protect the Client Materials from loss and damage while in SBL’s possession, consistent with reasonable technical and business judgment, the Specifications and any relevant SOPs or other instructions provided by Client; provided that SBL shall only be liable for loss and damage after receipt/acceptance by SBL and prior to Manufacture in cases of SBL Assignable Error or breach of this Section 5.4.4. In all other cases, Client shall be responsible for the risk of loss of the Client Materials.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5.4.5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Service Fee Related to Client Material.</w:t>
      </w:r>
      <w:r>
        <w:rPr>
          <w:rFonts w:ascii="Times New Roman" w:cs="Times New Roman" w:eastAsia="Times New Roman" w:hAnsi="Times New Roman"/>
          <w:sz w:val="16"/>
          <w:szCs w:val="16"/>
          <w:color w:val="auto"/>
        </w:rPr>
        <w:t xml:space="preserve"> Handling fees relating to the Client Material will be charged to Client in accordance with Sections 9.1(iii) and</w:t>
      </w:r>
    </w:p>
    <w:p>
      <w:pPr>
        <w:spacing w:after="0" w:line="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9.2.3.</w:t>
      </w:r>
    </w:p>
    <w:p>
      <w:pPr>
        <w:spacing w:after="0" w:line="1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Forecasts.</w:t>
      </w:r>
      <w:r>
        <w:rPr>
          <w:rFonts w:ascii="Times New Roman" w:cs="Times New Roman" w:eastAsia="Times New Roman" w:hAnsi="Times New Roman"/>
          <w:sz w:val="18"/>
          <w:szCs w:val="18"/>
          <w:color w:val="auto"/>
        </w:rPr>
        <w:t xml:space="preserve"> For each Commercial Product, the Parties shall determine a mutually agreeable mechanism for forecasting of each Product, which shall be detailed in writing and attached to each relevant PSA. For Clinical Product, the Parties shall agree upon the number and schedule of Batches to be Manufactured by SBL in the applicable PSA.</w:t>
      </w:r>
    </w:p>
    <w:p>
      <w:pPr>
        <w:spacing w:after="0" w:line="114"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Purchase Orders.</w:t>
      </w:r>
      <w:r>
        <w:rPr>
          <w:rFonts w:ascii="Times New Roman" w:cs="Times New Roman" w:eastAsia="Times New Roman" w:hAnsi="Times New Roman"/>
          <w:sz w:val="18"/>
          <w:szCs w:val="18"/>
          <w:color w:val="auto"/>
        </w:rPr>
        <w:t xml:space="preserve"> For each Clinical Product or Commercial Product, Client shall notify SBL in a binding form and procedure to be agreed upon in the applicable PSA requesting a specific amount of Product to be Manufactured (a “</w:t>
      </w:r>
      <w:r>
        <w:rPr>
          <w:rFonts w:ascii="Times New Roman" w:cs="Times New Roman" w:eastAsia="Times New Roman" w:hAnsi="Times New Roman"/>
          <w:sz w:val="18"/>
          <w:szCs w:val="18"/>
          <w:b w:val="1"/>
          <w:bCs w:val="1"/>
          <w:color w:val="auto"/>
        </w:rPr>
        <w:t>Purchase Order</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u w:val="single" w:color="auto"/>
          <w:color w:val="auto"/>
        </w:rPr>
        <w:t>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Product Purchase Commitment.</w:t>
      </w:r>
      <w:r>
        <w:rPr>
          <w:rFonts w:ascii="Times New Roman" w:cs="Times New Roman" w:eastAsia="Times New Roman" w:hAnsi="Times New Roman"/>
          <w:sz w:val="18"/>
          <w:szCs w:val="18"/>
          <w:color w:val="auto"/>
        </w:rPr>
        <w:t xml:space="preserve"> As further set forth in a PSA, during the Term the Parties may agree that Client will purchase a minimum quantity of batches of a certain Product in a given year (a “</w:t>
      </w:r>
      <w:r>
        <w:rPr>
          <w:rFonts w:ascii="Times New Roman" w:cs="Times New Roman" w:eastAsia="Times New Roman" w:hAnsi="Times New Roman"/>
          <w:sz w:val="18"/>
          <w:szCs w:val="18"/>
          <w:b w:val="1"/>
          <w:bCs w:val="1"/>
          <w:color w:val="auto"/>
        </w:rPr>
        <w:t>Product Purchase Commitment</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auto"/>
        </w:rPr>
        <w:t xml:space="preserve">5.8 </w:t>
      </w:r>
      <w:r>
        <w:rPr>
          <w:rFonts w:ascii="Times New Roman" w:cs="Times New Roman" w:eastAsia="Times New Roman" w:hAnsi="Times New Roman"/>
          <w:sz w:val="18"/>
          <w:szCs w:val="18"/>
          <w:b w:val="1"/>
          <w:bCs w:val="1"/>
          <w:u w:val="single" w:color="auto"/>
          <w:color w:val="auto"/>
        </w:rPr>
        <w:t>Batch Failure during Manufacture</w:t>
      </w:r>
    </w:p>
    <w:p>
      <w:pPr>
        <w:spacing w:after="0" w:line="252" w:lineRule="exact"/>
        <w:rPr>
          <w:sz w:val="20"/>
          <w:szCs w:val="20"/>
          <w:color w:val="auto"/>
        </w:rPr>
      </w:pPr>
    </w:p>
    <w:p>
      <w:pPr>
        <w:ind w:left="180" w:right="20"/>
        <w:spacing w:after="0" w:line="257" w:lineRule="auto"/>
        <w:rPr>
          <w:sz w:val="20"/>
          <w:szCs w:val="20"/>
          <w:color w:val="auto"/>
        </w:rPr>
      </w:pPr>
      <w:r>
        <w:rPr>
          <w:rFonts w:ascii="Times New Roman" w:cs="Times New Roman" w:eastAsia="Times New Roman" w:hAnsi="Times New Roman"/>
          <w:sz w:val="18"/>
          <w:szCs w:val="18"/>
          <w:u w:val="single" w:color="auto"/>
          <w:color w:val="auto"/>
        </w:rPr>
        <w:t>5.8.1</w:t>
      </w:r>
      <w:r>
        <w:rPr>
          <w:rFonts w:ascii="Times New Roman" w:cs="Times New Roman" w:eastAsia="Times New Roman" w:hAnsi="Times New Roman"/>
          <w:sz w:val="18"/>
          <w:szCs w:val="18"/>
          <w:color w:val="auto"/>
        </w:rPr>
        <w:t xml:space="preserve"> If, during Manufacture of a Batch and prior to SBL’s Batch release, the Core Team determines that a Batch is Non-Conforming Product (a “</w:t>
      </w:r>
      <w:r>
        <w:rPr>
          <w:rFonts w:ascii="Times New Roman" w:cs="Times New Roman" w:eastAsia="Times New Roman" w:hAnsi="Times New Roman"/>
          <w:sz w:val="18"/>
          <w:szCs w:val="18"/>
          <w:b w:val="1"/>
          <w:bCs w:val="1"/>
          <w:color w:val="auto"/>
        </w:rPr>
        <w:t>Batch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w:t>
      </w:r>
      <w:r>
        <w:rPr>
          <w:rFonts w:ascii="Times New Roman" w:cs="Times New Roman" w:eastAsia="Times New Roman" w:hAnsi="Times New Roman"/>
          <w:sz w:val="18"/>
          <w:szCs w:val="18"/>
          <w:color w:val="auto"/>
        </w:rPr>
        <w:t>”), SBL shall take Commercially Reasonable Efforts to promptly Manufacture (except to the extent prohibited by cGMP or applicable QAG)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to Client a replacement Batch on a date to be mutually agreed by the Parties, which Batch shall be invoiced and paid for as if it were the failed Batch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Client shall only be invoiced for the Batch conforming to the Specifications and Manufactured in compliance with cGMP, and actually delivered). Client shall be responsible for the costs and fees of the Raw Materials and Client Materials for the replacement Batch as if it were the failed Batch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Client shall only be invoiced the applicable cost of the Raw Materials and Client Materials actually used to Manufacture the conforming, cGMP compliant replacement Batch). Client shall use Commercially Reasonable Efforts to ensure that SBL has adequate Client Materials to Manufacture such Batches and Client’s failure to provide such Client Materials shall relieve SBL of its obligations to provide a remedy pursuant to this Section 5.8. The remedies contained in Section 5.8 of this MSA shall be the sole and exclusive remedies of Client regarding a Batch Failure and a Batch Failure shall not constitute a material breach of this MSA or a PSA unless SBL fails to provide the remedies contained in this Section 5.8.</w:t>
      </w:r>
    </w:p>
    <w:p>
      <w:pPr>
        <w:spacing w:after="0" w:line="216" w:lineRule="exact"/>
        <w:rPr>
          <w:sz w:val="20"/>
          <w:szCs w:val="20"/>
          <w:color w:val="auto"/>
        </w:rPr>
      </w:pPr>
    </w:p>
    <w:p>
      <w:pPr>
        <w:ind w:left="180" w:right="60"/>
        <w:spacing w:after="0" w:line="254" w:lineRule="auto"/>
        <w:rPr>
          <w:sz w:val="20"/>
          <w:szCs w:val="20"/>
          <w:color w:val="auto"/>
        </w:rPr>
      </w:pPr>
      <w:r>
        <w:rPr>
          <w:rFonts w:ascii="Times New Roman" w:cs="Times New Roman" w:eastAsia="Times New Roman" w:hAnsi="Times New Roman"/>
          <w:sz w:val="18"/>
          <w:szCs w:val="18"/>
          <w:u w:val="single" w:color="auto"/>
          <w:color w:val="auto"/>
        </w:rPr>
        <w:t>5.8.2</w:t>
      </w:r>
      <w:r>
        <w:rPr>
          <w:rFonts w:ascii="Times New Roman" w:cs="Times New Roman" w:eastAsia="Times New Roman" w:hAnsi="Times New Roman"/>
          <w:sz w:val="18"/>
          <w:szCs w:val="18"/>
          <w:color w:val="auto"/>
        </w:rPr>
        <w:t xml:space="preserve"> The Parties shall conduct a root cause analysis (including an analysis of whether the Batch Failure was the fault of SBL, Client, neither or both) of the Batch Failure, which shall be done through SBL’s deviation process and which result will be reviewed and confirmed by the JSC. If either the Core Team does not agree on the Batch Failure root cause, and the JSC does not agree on the results of the Core Team’s Batch Failure root cause analysis, the Parties shall refer review of such root cause analysis to an independent mutually agreed-on laboratory or firm with international repute, acting as a neutral arbiter, to conduct a root cause analysis of the Batch Failure. The costs of the independent laboratory will be borne by the Party responsible for the Batch Failure, as determined by the independent laboratory, whose written decision shall be binding on the Parties. If the independent laboratory is paid in advance of a final written determination, the Parties shall share equally such expense, and the Party at fault shall reimburse the other Party for its share of any such expenses paid after there has been a final written determination made by the independent laboratory.</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5.8.3</w:t>
      </w:r>
      <w:r>
        <w:rPr>
          <w:rFonts w:ascii="Times New Roman" w:cs="Times New Roman" w:eastAsia="Times New Roman" w:hAnsi="Times New Roman"/>
          <w:sz w:val="16"/>
          <w:szCs w:val="16"/>
          <w:color w:val="auto"/>
        </w:rPr>
        <w:t xml:space="preserve"> The PSA applicable to such Product Batch Failure shall set forth responsibility among the Parties for the following costs in the event of a Batch Failure:</w:t>
      </w:r>
    </w:p>
    <w:p>
      <w:pPr>
        <w:spacing w:after="0" w:line="44" w:lineRule="exact"/>
        <w:rPr>
          <w:sz w:val="20"/>
          <w:szCs w:val="20"/>
          <w:color w:val="auto"/>
        </w:rPr>
      </w:pPr>
    </w:p>
    <w:p>
      <w:pPr>
        <w:ind w:left="180" w:hanging="10"/>
        <w:spacing w:after="0" w:line="254" w:lineRule="auto"/>
        <w:tabs>
          <w:tab w:leader="none" w:pos="4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SBL Service Fee to Manufacture the failed Batch; (2) SBL’s costs to procure the Raw Materials used in the failed Batch plus applicable SBL handling fees associated with such Raw Materials; (3) SBL handling fees associated with the applicable Client Materials used in the failed Batch; and (4) Client’s cost to procure the Client Materials (which shall not include Cell Line) used in the failed Batch which amount is to be calculated based on the actual replacement value (as opposed to the market value) of such materials as supported by reasonable documentary evidence by Client.</w:t>
      </w:r>
    </w:p>
    <w:p>
      <w:pPr>
        <w:spacing w:after="0" w:line="124" w:lineRule="exact"/>
        <w:rPr>
          <w:sz w:val="20"/>
          <w:szCs w:val="20"/>
          <w:color w:val="auto"/>
        </w:rPr>
      </w:pPr>
    </w:p>
    <w:p>
      <w:pPr>
        <w:ind w:left="180"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5.8.4</w:t>
      </w:r>
      <w:r>
        <w:rPr>
          <w:rFonts w:ascii="Times New Roman" w:cs="Times New Roman" w:eastAsia="Times New Roman" w:hAnsi="Times New Roman"/>
          <w:sz w:val="18"/>
          <w:szCs w:val="18"/>
          <w:color w:val="auto"/>
        </w:rPr>
        <w:t xml:space="preserve"> In the event that any of the foregoing procedures results in a Batch being delivered in a different year than the year in which the original Batch was ordered for delivery by Client, the Service Fee for such re-Manufactured Batch shall be the Service Fee in effect in the Year in which such re-Manufactured Batch is actually delivered by SBL unless the root cause analysis determined the Batch Failure resulted from SBL Assignable Error, in which case, the Service Fee in effect at the time of the Purchase Order for the failed Batch shall apply.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Storage, Packaging and Delivery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180" w:right="280"/>
        <w:spacing w:after="0" w:line="277" w:lineRule="auto"/>
        <w:rPr>
          <w:sz w:val="20"/>
          <w:szCs w:val="20"/>
          <w:color w:val="auto"/>
        </w:rPr>
      </w:pPr>
      <w:r>
        <w:rPr>
          <w:rFonts w:ascii="Times New Roman" w:cs="Times New Roman" w:eastAsia="Times New Roman" w:hAnsi="Times New Roman"/>
          <w:sz w:val="18"/>
          <w:szCs w:val="18"/>
          <w:u w:val="single" w:color="auto"/>
          <w:color w:val="auto"/>
        </w:rPr>
        <w:t>5.9.1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Service Deliverables other than Products.</w:t>
      </w:r>
      <w:r>
        <w:rPr>
          <w:rFonts w:ascii="Times New Roman" w:cs="Times New Roman" w:eastAsia="Times New Roman" w:hAnsi="Times New Roman"/>
          <w:sz w:val="18"/>
          <w:szCs w:val="18"/>
          <w:color w:val="auto"/>
        </w:rPr>
        <w:t xml:space="preserve"> Storage, packaging and delivery of the Service deliverables other than Products Manufactured hereunder shall be made in accordance with the terms of this MSA, applicable PSA, Project Plan, applicable QAG and the Applicable Laws.</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 xml:space="preserve">5.9.2 </w:t>
      </w:r>
      <w:r>
        <w:rPr>
          <w:rFonts w:ascii="Times New Roman" w:cs="Times New Roman" w:eastAsia="Times New Roman" w:hAnsi="Times New Roman"/>
          <w:sz w:val="18"/>
          <w:szCs w:val="18"/>
          <w:b w:val="1"/>
          <w:bCs w:val="1"/>
          <w:u w:val="single" w:color="auto"/>
          <w:color w:val="auto"/>
        </w:rPr>
        <w:t>Products.</w:t>
      </w:r>
    </w:p>
    <w:p>
      <w:pPr>
        <w:spacing w:after="0" w:line="158" w:lineRule="exact"/>
        <w:rPr>
          <w:sz w:val="20"/>
          <w:szCs w:val="20"/>
          <w:color w:val="auto"/>
        </w:rPr>
      </w:pPr>
    </w:p>
    <w:p>
      <w:pPr>
        <w:ind w:left="740" w:hanging="246"/>
        <w:spacing w:after="0"/>
        <w:tabs>
          <w:tab w:leader="none" w:pos="7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by SBL and Acceptance by Client.</w:t>
      </w:r>
    </w:p>
    <w:p>
      <w:pPr>
        <w:spacing w:after="0" w:line="254" w:lineRule="exact"/>
        <w:rPr>
          <w:rFonts w:ascii="Times New Roman" w:cs="Times New Roman" w:eastAsia="Times New Roman" w:hAnsi="Times New Roman"/>
          <w:sz w:val="18"/>
          <w:szCs w:val="18"/>
          <w:b w:val="1"/>
          <w:bCs w:val="1"/>
          <w:color w:val="auto"/>
        </w:rPr>
      </w:pPr>
    </w:p>
    <w:p>
      <w:pPr>
        <w:ind w:left="820" w:right="320" w:hanging="2"/>
        <w:spacing w:after="0" w:line="258" w:lineRule="auto"/>
        <w:tabs>
          <w:tab w:leader="none" w:pos="103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SBL shall perform all testing in accordance with the Specifications of the Product and release the Product in accordance with the terms of the applicable QAG. Upon such release SBL shall deliver to Client a copy of the Manufacturing Documentation in support of the SBL’s release of the Product for each Batch (“</w:t>
      </w:r>
      <w:r>
        <w:rPr>
          <w:rFonts w:ascii="Times New Roman" w:cs="Times New Roman" w:eastAsia="Times New Roman" w:hAnsi="Times New Roman"/>
          <w:sz w:val="18"/>
          <w:szCs w:val="18"/>
          <w:b w:val="1"/>
          <w:bCs w:val="1"/>
          <w:color w:val="auto"/>
        </w:rPr>
        <w:t>Batch Related Documents</w:t>
      </w:r>
      <w:r>
        <w:rPr>
          <w:rFonts w:ascii="Times New Roman" w:cs="Times New Roman" w:eastAsia="Times New Roman" w:hAnsi="Times New Roman"/>
          <w:sz w:val="18"/>
          <w:szCs w:val="18"/>
          <w:color w:val="auto"/>
        </w:rPr>
        <w:t>”), including a Certificate of Analysis and Certificate of Compliance, in accordance with the applicable QAG;</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09" w:right="259" w:bottom="1440" w:gutter="0" w:footer="0" w:header="0"/>
        </w:sectPr>
      </w:pPr>
    </w:p>
    <w:bookmarkStart w:id="106" w:name="page107"/>
    <w:bookmarkEnd w:id="106"/>
    <w:p>
      <w:pPr>
        <w:ind w:left="320" w:hanging="2"/>
        <w:spacing w:after="0" w:line="284" w:lineRule="auto"/>
        <w:tabs>
          <w:tab w:leader="none" w:pos="578"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Acceptance of Product. </w:t>
      </w:r>
      <w:r>
        <w:rPr>
          <w:rFonts w:ascii="Times New Roman" w:cs="Times New Roman" w:eastAsia="Times New Roman" w:hAnsi="Times New Roman"/>
          <w:sz w:val="16"/>
          <w:szCs w:val="16"/>
          <w:color w:val="auto"/>
        </w:rPr>
        <w:t>Client will complete the Acceptance Procedure and determine the acceptability of such Product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QAG and notify SBL of the result within the latter of thirty (30) Business Days of SBL’s release of Product or Client’s receipt of the Batch Related Documents. Upon Client’s acceptance, SBL will have no liability for such Product once entrusted to the carrier (the Parties shall use good-faith efforts to minimize the time-period between Client’s acceptance and SBL’s delivery to the carrier), except as set forth in Section 5.9.2(a)(iv) regarding Latent Defects. If Client does not reject such Product within the thirty (30) Business Day period, the Product will be deemed to have been accepted by Client and SBL will have no liability for such Product once entrusted to the carrier (the Parties shall use good-faith efforts to minimize the time-period between Client’s acceptance and SBL’s delivery to the carrier), except (A) as set forth in Section 5.9.2(a)(iv) regarding Latent Defects or</w:t>
      </w:r>
    </w:p>
    <w:p>
      <w:pPr>
        <w:spacing w:after="0" w:line="2" w:lineRule="exact"/>
        <w:rPr>
          <w:rFonts w:ascii="Times New Roman" w:cs="Times New Roman" w:eastAsia="Times New Roman" w:hAnsi="Times New Roman"/>
          <w:sz w:val="16"/>
          <w:szCs w:val="16"/>
          <w:color w:val="auto"/>
        </w:rPr>
      </w:pPr>
    </w:p>
    <w:p>
      <w:pPr>
        <w:ind w:left="320" w:right="62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due to a breach of SBL’s obligations with regard to (I) handling or storage or (II) the Specifications insofar as they relate to packaging and shipping.</w:t>
      </w:r>
    </w:p>
    <w:p>
      <w:pPr>
        <w:spacing w:after="0" w:line="183" w:lineRule="exact"/>
        <w:rPr>
          <w:rFonts w:ascii="Times New Roman" w:cs="Times New Roman" w:eastAsia="Times New Roman" w:hAnsi="Times New Roman"/>
          <w:sz w:val="16"/>
          <w:szCs w:val="16"/>
          <w:color w:val="auto"/>
        </w:rPr>
      </w:pPr>
    </w:p>
    <w:p>
      <w:pPr>
        <w:ind w:left="320" w:right="20" w:hanging="2"/>
        <w:spacing w:after="0" w:line="253" w:lineRule="auto"/>
        <w:tabs>
          <w:tab w:leader="none" w:pos="6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Non-Conforming. </w:t>
      </w:r>
      <w:r>
        <w:rPr>
          <w:rFonts w:ascii="Times New Roman" w:cs="Times New Roman" w:eastAsia="Times New Roman" w:hAnsi="Times New Roman"/>
          <w:sz w:val="18"/>
          <w:szCs w:val="18"/>
          <w:color w:val="auto"/>
        </w:rPr>
        <w:t>If, during the Acceptance Procedure, any Product is determined by Client or SBL as Non-Conforming Product, at the 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Client, SBL shall take Commercially Reasonable Efforts to promptly Manufacture replacement Product (except to the extent prohibited by cGMP or applicable QAG) and deliver to Client the quantity of the Product equivalent to the quantity of Non-Conforming Product on a date to be mutually agreed by the Parties and such replacement Batch shall be invoiced and paid for as if it were the original Non-Conforming Product. If SBL does not confirm the non-conformity, the Parties shall refer to an independent and mutually agreed-on laboratory or firm with international repute to test the disputed Product. The costs of the independent laboratory will be borne by the Party responsible for the Batch Failure, as determined by the independent laboratory, whose written decision shall be binding on the Parties. If the independent laboratory is paid in advance of a final written determination, the Parties shall share equally such expense, and the Party at fault shall reimburse the other Party for its share of any such expenses paid after there has been a final written determination made by the independent laboratory. Section 5.9.2(a) (i) and (ii) shall apply to such replaced Product </w:t>
      </w:r>
      <w:r>
        <w:rPr>
          <w:rFonts w:ascii="Times New Roman" w:cs="Times New Roman" w:eastAsia="Times New Roman" w:hAnsi="Times New Roman"/>
          <w:sz w:val="18"/>
          <w:szCs w:val="18"/>
          <w:i w:val="1"/>
          <w:iCs w:val="1"/>
          <w:u w:val="single" w:color="auto"/>
          <w:color w:val="auto"/>
        </w:rPr>
        <w:t>mutatis mutandis</w:t>
      </w:r>
      <w:r>
        <w:rPr>
          <w:rFonts w:ascii="Times New Roman" w:cs="Times New Roman" w:eastAsia="Times New Roman" w:hAnsi="Times New Roman"/>
          <w:sz w:val="18"/>
          <w:szCs w:val="18"/>
          <w:color w:val="auto"/>
        </w:rPr>
        <w:t xml:space="preserve">. Responsibility for the costs of such Non-Conforming Product shall be as if such Non-Conforming Product is a Batch Failure and Section 5.8.2 – 5.8.4 shall apply to such Non-Conforming Product </w:t>
      </w:r>
      <w:r>
        <w:rPr>
          <w:rFonts w:ascii="Times New Roman" w:cs="Times New Roman" w:eastAsia="Times New Roman" w:hAnsi="Times New Roman"/>
          <w:sz w:val="18"/>
          <w:szCs w:val="18"/>
          <w:i w:val="1"/>
          <w:iCs w:val="1"/>
          <w:u w:val="single" w:color="auto"/>
          <w:color w:val="auto"/>
        </w:rPr>
        <w:t>mutatis mutandis</w:t>
      </w:r>
      <w:r>
        <w:rPr>
          <w:rFonts w:ascii="Times New Roman" w:cs="Times New Roman" w:eastAsia="Times New Roman" w:hAnsi="Times New Roman"/>
          <w:sz w:val="18"/>
          <w:szCs w:val="18"/>
          <w:color w:val="auto"/>
        </w:rPr>
        <w:t>. The remedies contained in this Section 5.9.2 shall be the sole and exclusive remedy of client for Non-Conforming Product.</w:t>
      </w:r>
    </w:p>
    <w:p>
      <w:pPr>
        <w:spacing w:after="0" w:line="190" w:lineRule="exact"/>
        <w:rPr>
          <w:rFonts w:ascii="Times New Roman" w:cs="Times New Roman" w:eastAsia="Times New Roman" w:hAnsi="Times New Roman"/>
          <w:sz w:val="18"/>
          <w:szCs w:val="18"/>
          <w:color w:val="auto"/>
        </w:rPr>
      </w:pPr>
    </w:p>
    <w:p>
      <w:pPr>
        <w:ind w:left="320" w:right="40" w:hanging="2"/>
        <w:spacing w:after="0" w:line="255" w:lineRule="auto"/>
        <w:tabs>
          <w:tab w:leader="none" w:pos="61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Latent Defect. </w:t>
      </w:r>
      <w:r>
        <w:rPr>
          <w:rFonts w:ascii="Times New Roman" w:cs="Times New Roman" w:eastAsia="Times New Roman" w:hAnsi="Times New Roman"/>
          <w:sz w:val="18"/>
          <w:szCs w:val="18"/>
          <w:color w:val="auto"/>
        </w:rPr>
        <w:t>At any time after completion of review of the Batch Related Documents, if Client finds any hidden defects of the Product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not have been reasonably discovered through the review of the Batch Related Documents (</w:t>
      </w:r>
      <w:r>
        <w:rPr>
          <w:rFonts w:ascii="Times New Roman" w:cs="Times New Roman" w:eastAsia="Times New Roman" w:hAnsi="Times New Roman"/>
          <w:sz w:val="18"/>
          <w:szCs w:val="18"/>
          <w:b w:val="1"/>
          <w:bCs w:val="1"/>
          <w:color w:val="auto"/>
        </w:rPr>
        <w:t>“Latent Defect”</w:t>
      </w:r>
      <w:r>
        <w:rPr>
          <w:rFonts w:ascii="Times New Roman" w:cs="Times New Roman" w:eastAsia="Times New Roman" w:hAnsi="Times New Roman"/>
          <w:sz w:val="18"/>
          <w:szCs w:val="18"/>
          <w:color w:val="auto"/>
        </w:rPr>
        <w:t>), Client shall promptly give notice of such claim in writing to SBL. In such case, if Client proves the Latent Defect is solely due to SBL Assignable Error, the above Section 5.9.2(a)(iii) and Section 13.1 shall apply. If no written claim for Latent Defect of the Product is received by SBL within one (1) month from Client’s discovery of the Latent Defect, the Product shall be deemed as irrevocably accepted. Notwithstanding anything to the contrary; such claim for Latent Defect must be made within a time period to be set forth in the applicable PSA, but in no event after the expiration date of the Product. For the avoidance of doubt, a Latent Defect is a defect in existence at the time of completion of the Acceptance Procedure.</w:t>
      </w:r>
    </w:p>
    <w:p>
      <w:pPr>
        <w:spacing w:after="0" w:line="189" w:lineRule="exact"/>
        <w:rPr>
          <w:rFonts w:ascii="Times New Roman" w:cs="Times New Roman" w:eastAsia="Times New Roman" w:hAnsi="Times New Roman"/>
          <w:sz w:val="18"/>
          <w:szCs w:val="18"/>
          <w:color w:val="auto"/>
        </w:rPr>
      </w:pPr>
    </w:p>
    <w:p>
      <w:pPr>
        <w:ind w:right="1020" w:firstLine="28"/>
        <w:spacing w:after="0" w:line="277" w:lineRule="auto"/>
        <w:tabs>
          <w:tab w:leader="none" w:pos="2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w:t>
      </w:r>
      <w:r>
        <w:rPr>
          <w:rFonts w:ascii="Times New Roman" w:cs="Times New Roman" w:eastAsia="Times New Roman" w:hAnsi="Times New Roman"/>
          <w:sz w:val="18"/>
          <w:szCs w:val="18"/>
          <w:color w:val="auto"/>
        </w:rPr>
        <w:t>Shipping conditions, title transfer to Client and risk of loss for the Product Manufactured hereunder shall be FCA SBL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(INCOTERMS 2010). The Parties further agree as follows:</w:t>
      </w:r>
    </w:p>
    <w:p>
      <w:pPr>
        <w:spacing w:after="0" w:line="199" w:lineRule="exact"/>
        <w:rPr>
          <w:rFonts w:ascii="Times New Roman" w:cs="Times New Roman" w:eastAsia="Times New Roman" w:hAnsi="Times New Roman"/>
          <w:sz w:val="18"/>
          <w:szCs w:val="18"/>
          <w:color w:val="auto"/>
        </w:rPr>
      </w:pPr>
    </w:p>
    <w:p>
      <w:pPr>
        <w:ind w:left="320" w:right="20" w:hanging="2"/>
        <w:spacing w:after="0" w:line="262" w:lineRule="auto"/>
        <w:tabs>
          <w:tab w:leader="none" w:pos="53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SBL’s release of the Product and prior to each pick-up by Client or Client’s designated carrier, SBL shall propose to Client a delivery schedule of the Product, in order for the Parties to agree on it in advance for each pick- up. SBL shall schedule Delivery with the carrier selected and paid for by Client;</w:t>
      </w:r>
    </w:p>
    <w:p>
      <w:pPr>
        <w:spacing w:after="0" w:line="186" w:lineRule="exact"/>
        <w:rPr>
          <w:rFonts w:ascii="Times New Roman" w:cs="Times New Roman" w:eastAsia="Times New Roman" w:hAnsi="Times New Roman"/>
          <w:sz w:val="18"/>
          <w:szCs w:val="18"/>
          <w:color w:val="auto"/>
        </w:rPr>
      </w:pPr>
    </w:p>
    <w:p>
      <w:pPr>
        <w:ind w:left="320" w:right="20" w:hanging="2"/>
        <w:spacing w:after="0" w:line="258" w:lineRule="auto"/>
        <w:tabs>
          <w:tab w:leader="none" w:pos="57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SBL shall not deliver the Product until it has been instructed to by Client in accordance with the applicable QAG. Client shall confirm specific delivery instructions with SBL prior to SBL release. Upon SBL’s release of Product, SBL shall store the Manufactured Product as described in Section 5.9.2(c) and Client shall compensate SBL for storage costs for the Manufactured Product stored with SBL for more than sixty (60) calendar days following release, as set forth in the applicable PSA;</w:t>
      </w:r>
    </w:p>
    <w:p>
      <w:pPr>
        <w:spacing w:after="0" w:line="190" w:lineRule="exact"/>
        <w:rPr>
          <w:rFonts w:ascii="Times New Roman" w:cs="Times New Roman" w:eastAsia="Times New Roman" w:hAnsi="Times New Roman"/>
          <w:sz w:val="18"/>
          <w:szCs w:val="18"/>
          <w:color w:val="auto"/>
        </w:rPr>
      </w:pPr>
    </w:p>
    <w:p>
      <w:pPr>
        <w:ind w:left="320" w:right="520" w:hanging="2"/>
        <w:spacing w:after="0" w:line="275" w:lineRule="auto"/>
        <w:tabs>
          <w:tab w:leader="none" w:pos="6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SBL shall provide Client with invoice, packing lists, supporting export documents as specified by Client by separate delivery and shipment documentation instructions, together with each shipment of the Product (or such other deliverables); and</w:t>
      </w:r>
    </w:p>
    <w:p>
      <w:pPr>
        <w:spacing w:after="0" w:line="173" w:lineRule="exact"/>
        <w:rPr>
          <w:rFonts w:ascii="Times New Roman" w:cs="Times New Roman" w:eastAsia="Times New Roman" w:hAnsi="Times New Roman"/>
          <w:sz w:val="18"/>
          <w:szCs w:val="18"/>
          <w:color w:val="auto"/>
        </w:rPr>
      </w:pPr>
    </w:p>
    <w:p>
      <w:pPr>
        <w:ind w:left="320" w:right="620" w:hanging="2"/>
        <w:spacing w:after="0" w:line="275" w:lineRule="auto"/>
        <w:tabs>
          <w:tab w:leader="none" w:pos="61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cooperation with Client and subject to the delivery schedule agreed by the Parties, SBL shall adhere to the first-expire-first-out (FEFO) principle in shipping all released Product.</w:t>
      </w:r>
    </w:p>
    <w:p>
      <w:pPr>
        <w:spacing w:after="0" w:line="26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01" w:right="239" w:bottom="1440" w:gutter="0" w:footer="0" w:header="0"/>
        </w:sectPr>
      </w:pPr>
    </w:p>
    <w:bookmarkStart w:id="107" w:name="page108"/>
    <w:bookmarkEnd w:id="107"/>
    <w:p>
      <w:pPr>
        <w:ind w:left="740" w:hanging="246"/>
        <w:spacing w:after="0"/>
        <w:tabs>
          <w:tab w:leader="none" w:pos="7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Packaging and Shipping Container.</w:t>
      </w:r>
    </w:p>
    <w:p>
      <w:pPr>
        <w:spacing w:after="0" w:line="227" w:lineRule="exact"/>
        <w:rPr>
          <w:rFonts w:ascii="Times New Roman" w:cs="Times New Roman" w:eastAsia="Times New Roman" w:hAnsi="Times New Roman"/>
          <w:sz w:val="18"/>
          <w:szCs w:val="18"/>
          <w:color w:val="auto"/>
        </w:rPr>
      </w:pPr>
    </w:p>
    <w:p>
      <w:pPr>
        <w:ind w:left="1020" w:hanging="202"/>
        <w:spacing w:after="0"/>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this MSA and any applicable PSA, SBL shall store the Products Manufactured hereunder.</w:t>
      </w:r>
    </w:p>
    <w:p>
      <w:pPr>
        <w:spacing w:after="0" w:line="225" w:lineRule="exact"/>
        <w:rPr>
          <w:rFonts w:ascii="Times New Roman" w:cs="Times New Roman" w:eastAsia="Times New Roman" w:hAnsi="Times New Roman"/>
          <w:sz w:val="18"/>
          <w:szCs w:val="18"/>
          <w:color w:val="auto"/>
        </w:rPr>
      </w:pPr>
    </w:p>
    <w:p>
      <w:pPr>
        <w:ind w:left="820" w:right="20" w:hanging="2"/>
        <w:spacing w:after="0" w:line="275" w:lineRule="auto"/>
        <w:tabs>
          <w:tab w:leader="none" w:pos="107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SBL shall store, package, label and prepare shipment according to the Specifications for the Product Manufactured hereunder, the applicable QAG and the SOPs, and using storage and/or shipping containers determined in the applicable PSA.</w:t>
      </w:r>
    </w:p>
    <w:p>
      <w:pPr>
        <w:spacing w:after="0" w:line="173" w:lineRule="exact"/>
        <w:rPr>
          <w:rFonts w:ascii="Times New Roman" w:cs="Times New Roman" w:eastAsia="Times New Roman" w:hAnsi="Times New Roman"/>
          <w:sz w:val="18"/>
          <w:szCs w:val="18"/>
          <w:color w:val="auto"/>
        </w:rPr>
      </w:pPr>
    </w:p>
    <w:p>
      <w:pPr>
        <w:ind w:left="820" w:right="20" w:hanging="2"/>
        <w:spacing w:after="0" w:line="258" w:lineRule="auto"/>
        <w:tabs>
          <w:tab w:leader="none" w:pos="112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does not direct SBL to prepare Manufactured Product to be picked up by Client or Client’s designated carrier with a pick-up date within sixty calendar (60) days of Client’s receipt of the Batch Related Documents, SBL shall store the Product at the Warehouse and Client shall pay storage fees to SBL as set forth in Section 9.1 for the period of storage at the Warehouse in excess of sixty (60) calendar days from release until the actual delivery date, in accordance with the applicable PSA.</w:t>
      </w:r>
    </w:p>
    <w:p>
      <w:pPr>
        <w:spacing w:after="0" w:line="122" w:lineRule="exact"/>
        <w:rPr>
          <w:rFonts w:ascii="Times New Roman" w:cs="Times New Roman" w:eastAsia="Times New Roman" w:hAnsi="Times New Roman"/>
          <w:sz w:val="18"/>
          <w:szCs w:val="18"/>
          <w:color w:val="auto"/>
        </w:rPr>
      </w:pPr>
    </w:p>
    <w:p>
      <w:pPr>
        <w:ind w:left="820" w:right="60" w:hanging="2"/>
        <w:spacing w:after="0" w:line="262" w:lineRule="auto"/>
        <w:tabs>
          <w:tab w:leader="none" w:pos="111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SBL shall store and handle all Manufactured Product in accordance with applicable storage and handling Specifications, including all times when SBL and Client agree that SBL shall store Manufactured Product per Section 5.9.2(c)(iii), but shall have no obligation regarding risk of loss and damage of Manufactured Product in its possession unless such loss or damage resulted from SBL’s negligence or willful misconduct.</w:t>
      </w:r>
    </w:p>
    <w:p>
      <w:pPr>
        <w:spacing w:after="0" w:line="184" w:lineRule="exact"/>
        <w:rPr>
          <w:sz w:val="20"/>
          <w:szCs w:val="20"/>
          <w:color w:val="auto"/>
        </w:rPr>
      </w:pPr>
    </w:p>
    <w:p>
      <w:pPr>
        <w:ind w:right="340"/>
        <w:spacing w:after="0" w:line="342" w:lineRule="auto"/>
        <w:rPr>
          <w:sz w:val="20"/>
          <w:szCs w:val="20"/>
          <w:color w:val="auto"/>
        </w:rPr>
      </w:pPr>
      <w:r>
        <w:rPr>
          <w:rFonts w:ascii="Times New Roman" w:cs="Times New Roman" w:eastAsia="Times New Roman" w:hAnsi="Times New Roman"/>
          <w:sz w:val="16"/>
          <w:szCs w:val="16"/>
          <w:u w:val="single" w:color="auto"/>
          <w:color w:val="auto"/>
        </w:rPr>
        <w:t>5.10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Supply Interruptions</w:t>
      </w:r>
      <w:r>
        <w:rPr>
          <w:rFonts w:ascii="Times New Roman" w:cs="Times New Roman" w:eastAsia="Times New Roman" w:hAnsi="Times New Roman"/>
          <w:sz w:val="16"/>
          <w:szCs w:val="16"/>
          <w:color w:val="auto"/>
        </w:rPr>
        <w:t>. On a PSA by PSA basis, the Parties will discuss appropriate steps to alleviate any expected or actual shortfall in Manufactured Product. The Parties may agree on a PSA by PSA basis, in what events, if any, such a supply failure could constitute a material breach of this MSA or a PSA.</w:t>
      </w:r>
    </w:p>
    <w:p>
      <w:pPr>
        <w:spacing w:after="0" w:line="1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t>SECTION 6</w:t>
      </w:r>
      <w:r>
        <w:rPr>
          <w:sz w:val="20"/>
          <w:szCs w:val="20"/>
          <w:color w:val="auto"/>
        </w:rPr>
        <w:tab/>
      </w:r>
      <w:r>
        <w:rPr>
          <w:rFonts w:ascii="Times New Roman" w:cs="Times New Roman" w:eastAsia="Times New Roman" w:hAnsi="Times New Roman"/>
          <w:sz w:val="16"/>
          <w:szCs w:val="16"/>
          <w:b w:val="1"/>
          <w:bCs w:val="1"/>
          <w:u w:val="single" w:color="auto"/>
          <w:color w:val="auto"/>
        </w:rPr>
        <w:t>CHANGES TO THE SPECIFICATIONS, ANALYTICAL, METHODS, MAUNFACTURING PROCESS, FACILITY OR EQUIPMENT</w:t>
      </w:r>
    </w:p>
    <w:p>
      <w:pPr>
        <w:spacing w:after="0" w:line="252"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Approval for Change.</w:t>
      </w:r>
      <w:r>
        <w:rPr>
          <w:rFonts w:ascii="Times New Roman" w:cs="Times New Roman" w:eastAsia="Times New Roman" w:hAnsi="Times New Roman"/>
          <w:sz w:val="18"/>
          <w:szCs w:val="18"/>
          <w:color w:val="auto"/>
        </w:rPr>
        <w:t xml:space="preserve"> SBL shall not make any change to the Manufacturing Process, the Services, or the Specifications (a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without the prior written consent of Client in accordance with the applicable QAG.</w:t>
      </w:r>
    </w:p>
    <w:p>
      <w:pPr>
        <w:spacing w:after="0" w:line="1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Changes Required by cGMP, Regulatory Authorities or Requested by Client.</w:t>
      </w:r>
      <w:r>
        <w:rPr>
          <w:rFonts w:ascii="Times New Roman" w:cs="Times New Roman" w:eastAsia="Times New Roman" w:hAnsi="Times New Roman"/>
          <w:sz w:val="18"/>
          <w:szCs w:val="18"/>
          <w:color w:val="auto"/>
        </w:rPr>
        <w:t xml:space="preserve"> Except as otherwise expressly set forth to the contrary in the applicable QAG, in the event that cGMP, a Regulatory Authority, Applicable Law, or any other regulatory or legal authority requires, or Client requests, a Change, SBL shall accommodate such requirements or requests, subject to the following:</w:t>
      </w:r>
    </w:p>
    <w:p>
      <w:pPr>
        <w:spacing w:after="0" w:line="183" w:lineRule="exact"/>
        <w:rPr>
          <w:sz w:val="20"/>
          <w:szCs w:val="20"/>
          <w:color w:val="auto"/>
        </w:rPr>
      </w:pPr>
    </w:p>
    <w:p>
      <w:pPr>
        <w:ind w:left="500" w:right="80" w:hanging="6"/>
        <w:spacing w:after="0" w:line="292" w:lineRule="auto"/>
        <w:tabs>
          <w:tab w:leader="none" w:pos="73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Client shall promptly notify SBL in writing of the required and/or requested Change(s), and provide information necessary for SBL to evaluate the effect of such Change(s); provided, however, in the event SBL first learns of a required Change it shall notify Client thereof in writing, and SBL shall promptly advise Client as to any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additional equipment required, modifications to the Facility or equipment, and/or additional equipment and the Facility qualification and validation requirements; (ii) Manufacturing Process development, transfer, scale-up, testing, qualification, or validation requirements; (iii) regulatory requirements pursuant to such Changes; (iv) changes to the Manufacturing scheduling and/or Product delivery schedule; and</w:t>
      </w:r>
    </w:p>
    <w:p>
      <w:pPr>
        <w:ind w:left="500" w:right="480" w:hanging="6"/>
        <w:spacing w:after="0" w:line="255" w:lineRule="auto"/>
        <w:tabs>
          <w:tab w:leader="none" w:pos="7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impacts on the Facility or SBL’s ability to manufacture products (including the Products) in the Facility, if any, which may result from such Change(s). The notification and formal approval procedure of such Changes shall be in accordance with the applicable QAG (i.e., change control procedures) (if applicable). The Parties shall meet in a timely manner to identify and discuss such Changes as appropriate;</w:t>
      </w:r>
    </w:p>
    <w:p>
      <w:pPr>
        <w:spacing w:after="0" w:line="219" w:lineRule="exact"/>
        <w:rPr>
          <w:rFonts w:ascii="Times New Roman" w:cs="Times New Roman" w:eastAsia="Times New Roman" w:hAnsi="Times New Roman"/>
          <w:sz w:val="18"/>
          <w:szCs w:val="18"/>
          <w:color w:val="auto"/>
        </w:rPr>
      </w:pPr>
    </w:p>
    <w:p>
      <w:pPr>
        <w:ind w:left="500" w:hanging="6"/>
        <w:spacing w:after="0" w:line="303" w:lineRule="auto"/>
        <w:tabs>
          <w:tab w:leader="none" w:pos="74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implementation of any such Change(s), SBL, subject to Section 5.2, shall provide Client with an estimated plan and budget of the reasonable and necessary costs that would be incurred by SBL as a result of the implementation of any such Change(s), including, but not limited to for (i) process and analytical development; (ii) equipment and/or the Facility modifications, qualification, validation, maintenance, and decommissioning/disposal; (iii) process and analytical validation; (iv) document revisions or changes, the Facility, equipment, and system modifications or changes; (v) additional stability testing; and (vi) preparing submissions to Regulatory Authorities (collectively, the “</w:t>
      </w:r>
      <w:r>
        <w:rPr>
          <w:rFonts w:ascii="Times New Roman" w:cs="Times New Roman" w:eastAsia="Times New Roman" w:hAnsi="Times New Roman"/>
          <w:sz w:val="16"/>
          <w:szCs w:val="16"/>
          <w:b w:val="1"/>
          <w:bCs w:val="1"/>
          <w:color w:val="auto"/>
        </w:rPr>
        <w:t>Implementation Plan and Budget</w:t>
      </w:r>
      <w:r>
        <w:rPr>
          <w:rFonts w:ascii="Times New Roman" w:cs="Times New Roman" w:eastAsia="Times New Roman" w:hAnsi="Times New Roman"/>
          <w:sz w:val="16"/>
          <w:szCs w:val="16"/>
          <w:color w:val="auto"/>
        </w:rPr>
        <w:t>”). Following review and approval by Client of such Implementation Plan and Budget, subject to the Core Team’s approval and agreement followed by the Parties’ written agreement pursuant to Section 17.9 (if applicable), SBL shall commence implementation of such Change(s);</w:t>
      </w:r>
    </w:p>
    <w:p>
      <w:pPr>
        <w:spacing w:after="0" w:line="183" w:lineRule="exact"/>
        <w:rPr>
          <w:rFonts w:ascii="Times New Roman" w:cs="Times New Roman" w:eastAsia="Times New Roman" w:hAnsi="Times New Roman"/>
          <w:sz w:val="16"/>
          <w:szCs w:val="16"/>
          <w:color w:val="auto"/>
        </w:rPr>
      </w:pPr>
    </w:p>
    <w:p>
      <w:pPr>
        <w:ind w:left="500" w:right="80" w:hanging="6"/>
        <w:spacing w:after="0" w:line="269" w:lineRule="auto"/>
        <w:tabs>
          <w:tab w:leader="none" w:pos="7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such implementation, SBL shall provide Client with regular updates on the progress of implementation. Subject to any timeframe imposed by Applicable Law, SBL shall exercise Commercially Reasonable Efforts to implement the Change according to the Implementation Plan and Budget’s target completion date. SBL shall provide written notice to Client if SBL becomes aware of any cause which may create delay with the implementation of Changes. Following any such notice, both Parties shall discuss an amendment of Implementation Plan and Budget; and</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108" w:name="page109"/>
    <w:bookmarkEnd w:id="108"/>
    <w:p>
      <w:pPr>
        <w:ind w:left="500" w:right="260" w:hanging="6"/>
        <w:spacing w:after="0" w:line="257" w:lineRule="auto"/>
        <w:tabs>
          <w:tab w:leader="none" w:pos="7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approval of the Implementation Plan and Budget for Change(s), both Parties shall negotiate in good faith to determine the allocation of the costs incurred by SBL for the implementation of any such Change(s) between the Parties, in accordance with the following principles:</w:t>
      </w:r>
    </w:p>
    <w:p>
      <w:pPr>
        <w:spacing w:after="0" w:line="1" w:lineRule="exact"/>
        <w:rPr>
          <w:rFonts w:ascii="Times New Roman" w:cs="Times New Roman" w:eastAsia="Times New Roman" w:hAnsi="Times New Roman"/>
          <w:sz w:val="18"/>
          <w:szCs w:val="18"/>
          <w:color w:val="auto"/>
        </w:rPr>
      </w:pPr>
    </w:p>
    <w:p>
      <w:pPr>
        <w:ind w:left="500" w:right="220" w:hanging="6"/>
        <w:spacing w:after="0" w:line="309" w:lineRule="auto"/>
        <w:tabs>
          <w:tab w:leader="none" w:pos="71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for the general Facility Changes required by cGMP, any Regulatory Authority, or any Applicable Laws related to the maintaining the Manufacturing Facility by SBL as set forth in Section 7.2, shall be borne by SBL, provided that where the Change relates exclusively or partially to the Manufacture of Product in which case the costs shall be borne by Client fully or proportionally, respectively; (ii) the costs for the Changes other than (i) above, and requested by Client and required uniquely to the Manufacture of the Product and beneficial solely to Client shall be borne by Client; and (iii) the costs for the Changes other than (i) and (ii) above shall be discussed in good faith by the Parties to achieve equitable allocation of costs.</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SECTION 7</w:t>
      </w:r>
      <w:r>
        <w:rPr>
          <w:sz w:val="20"/>
          <w:szCs w:val="20"/>
          <w:color w:val="auto"/>
        </w:rPr>
        <w:tab/>
      </w:r>
      <w:r>
        <w:rPr>
          <w:rFonts w:ascii="Times New Roman" w:cs="Times New Roman" w:eastAsia="Times New Roman" w:hAnsi="Times New Roman"/>
          <w:sz w:val="16"/>
          <w:szCs w:val="16"/>
          <w:b w:val="1"/>
          <w:bCs w:val="1"/>
          <w:u w:val="single" w:color="auto"/>
          <w:color w:val="auto"/>
        </w:rPr>
        <w:t>REGULATORY APPROVALS AND INSPECTIONS</w:t>
      </w:r>
    </w:p>
    <w:p>
      <w:pPr>
        <w:spacing w:after="0" w:line="252"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6"/>
          <w:szCs w:val="16"/>
          <w:u w:val="single" w:color="auto"/>
          <w:color w:val="auto"/>
        </w:rPr>
        <w:t>7.1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Regulatory Approvals.</w:t>
      </w:r>
      <w:r>
        <w:rPr>
          <w:rFonts w:ascii="Times New Roman" w:cs="Times New Roman" w:eastAsia="Times New Roman" w:hAnsi="Times New Roman"/>
          <w:sz w:val="16"/>
          <w:szCs w:val="16"/>
          <w:color w:val="auto"/>
        </w:rPr>
        <w:t xml:space="preserve"> SBL shall provide reasonable assistance and cooperation in order for Client to obtain and maintain the Regulatory Approvals. The direct costs and fees associated with such assistance and cooperation, to the extent not detailed in the MSA or PSA shall be borne by Client, or as otherwise mutually agreed between the Parties. As specified in the applicable PSA, the Parties shall agree on which Regulatory Approvals are to be obtained.</w:t>
      </w:r>
    </w:p>
    <w:p>
      <w:pPr>
        <w:spacing w:after="0" w:line="7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Regulatory Approvals for the Facility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SBL shall obtain and continuously maintain all approvals, licenses, registrations or authorizations of any federal, state or local regulatory agency, department, bureau or other governmental entity (other than the Regulatory Approvals, which will be obtained or maintained by Client) that are required to Manufacture and ship the Product at the Facility and perform the Services including, but not limited to, cGMP Manufacture.</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Regulatory Inspections.</w:t>
      </w:r>
      <w:r>
        <w:rPr>
          <w:rFonts w:ascii="Times New Roman" w:cs="Times New Roman" w:eastAsia="Times New Roman" w:hAnsi="Times New Roman"/>
          <w:sz w:val="18"/>
          <w:szCs w:val="18"/>
          <w:color w:val="auto"/>
        </w:rPr>
        <w:t xml:space="preserve"> SBL shall facilitate on-site inspections of the Facility conducted by Regulatory Authorities. SBL shall notify Client according to the applicable QAG provisions of any contacts or inquiries by the Regulatory Authorities, including inspections, Pre-Approval Inspections, sample requests, and written correspondence and its result, related to the Manufacture of Product by SBL at the Facility, as further defined in the applicable QAG. Any direct expenses or costs incurred by SBL for such inspections including Pre-Approval Inspections at the Facility shall be borne by Client. Unless prohibited by the pertinent Regulatory Authority, Client shall be entitled to witness any inspection or audit by a Regulatory Authority of the Facility or Warehouse related to the Manufacture of Product by SBL at the Facility. Further, Client shall be entitled to attend, as an observer, any wrap-up meeting between SBL and a Regulatory Authority related to such an inspection related to the Services or the Manufacture of Product by SBL at the Facility. SBL shall timely provide Client with a copy of any Form 483, inspection report or regulatory letter issued by a Regulatory Authority, and shall provide Client a meaningful opportunity to review and comment upon any response of SBL thereto. Client’s comments in such regard shall be considered in good faith and be given due regard by SBL in formulating any proposed response to a Regulatory Authority.</w:t>
      </w:r>
    </w:p>
    <w:p>
      <w:pPr>
        <w:spacing w:after="0" w:line="19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Regulatory Support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the Term, SBL will assist Client with all regulatory matters relating to Services and Manufacture and review the Common Technical Document pertaining to the Products, as it relates to Chemistry, Manufacturing and Controls, and make such corrections as are necessary to accurately reflect the Products, in each case at Client’s request and reasonable expense; provided, however, SBL shall review and correct such documents as they relate to SBL activities at no charge to Client (updates will be made with respect to regulatory filings for which Client has engaged SBL and paid the associated flat rate fees for support). In addition, SBL will maintain at SBL’s expense, the relevant Drug Master File, including any updates thereto, and shall provide a letter authorizing Client to reference SBL’s Drug Master Files on file with the FDA and other Regulatory Authorities in connection with the pursuit of Regulatory Approval for the Products.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SECTION 8</w:t>
      </w:r>
      <w:r>
        <w:rPr>
          <w:sz w:val="20"/>
          <w:szCs w:val="20"/>
          <w:color w:val="auto"/>
        </w:rPr>
        <w:tab/>
      </w:r>
      <w:r>
        <w:rPr>
          <w:rFonts w:ascii="Times New Roman" w:cs="Times New Roman" w:eastAsia="Times New Roman" w:hAnsi="Times New Roman"/>
          <w:sz w:val="16"/>
          <w:szCs w:val="16"/>
          <w:b w:val="1"/>
          <w:bCs w:val="1"/>
          <w:u w:val="single" w:color="auto"/>
          <w:color w:val="auto"/>
        </w:rPr>
        <w:t>QUALITY COMPLIANCE</w:t>
      </w:r>
    </w:p>
    <w:p>
      <w:pPr>
        <w:spacing w:after="0" w:line="25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Quality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Both Parties shall adhere to the provisions of the applicable QAG and the Parties agree that all elements of quality assurance, quality control and the like shall be governed by the terms and conditions of the applicable QAG. In the event of a conflict between the MSA and the applicable QAG, the MSA shall prevail over those of the applicable QAG with the exception of Product quality-related matters, cGMP and related regulatory requirements in which case, the terms of the applicable QAG shall prevail.</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Responsibility for Recalled Product</w:t>
      </w:r>
      <w:r>
        <w:rPr>
          <w:rFonts w:ascii="Times New Roman" w:cs="Times New Roman" w:eastAsia="Times New Roman" w:hAnsi="Times New Roman"/>
          <w:sz w:val="18"/>
          <w:szCs w:val="18"/>
          <w:color w:val="auto"/>
        </w:rPr>
        <w:t>. For a Commercial Product, either Party shall notify the other Party as soon as practicably possible if any Commercial Product is the subject of a threatened or actual recall by a Regulatory Authority, (a “</w:t>
      </w:r>
      <w:r>
        <w:rPr>
          <w:rFonts w:ascii="Times New Roman" w:cs="Times New Roman" w:eastAsia="Times New Roman" w:hAnsi="Times New Roman"/>
          <w:sz w:val="18"/>
          <w:szCs w:val="18"/>
          <w:b w:val="1"/>
          <w:bCs w:val="1"/>
          <w:color w:val="auto"/>
        </w:rPr>
        <w:t>Recall</w:t>
      </w:r>
      <w:r>
        <w:rPr>
          <w:rFonts w:ascii="Times New Roman" w:cs="Times New Roman" w:eastAsia="Times New Roman" w:hAnsi="Times New Roman"/>
          <w:sz w:val="18"/>
          <w:szCs w:val="18"/>
          <w:color w:val="auto"/>
        </w:rPr>
        <w:t>”) which may be attributable to any Service or Manufacture by or on behalf of SBL hereunder. Client shall be responsible for conducting all Recalls and shall make all decisions regarding, and in all events shall have sole authority for, conducting any recalls, market withdrawals or corrections with respect to the Product and SBL shall at all times exercise Commercially Reasonable Efforts to provide its assistance and cooperation to Client in conducting such Recalls to the extent the Recall arises out of SBL’s Manufacture of Product. Details regarding the roles and responsibilities of the Parties in regard to Recalls are set forth in the applicable QAG. If such Recall results solely from SBL Assignable Error, SBL shall be responsible for direct and documented out-of-pocket costs associated with such Recall subject to the limitation of liability sections of the PSA applicable to such Recalled Product and, subject to written instructions of Client to the contrary, will use its Commercially Reasonable Efforts to replace the Recalled Products with new Products, contingent upon the receipt from Client free-of-charge of all Client Materials required for the Manufacture of the replacement Product. If SBL is unable to replace the Recalled or returned Products (except where this inability results from a failure to receive the Client Materials), then SBL shall credit to Client the price that Client paid to SBL for Manufacturing and Services for the affected Products. In all other circumstances, Recalls will be made at Client’s cost and expense. The provisions of this Section 8.2 shall not apply to any Clinical Product and shall be Client’s sole and exclusive remedy with respect to a Recall due to the delivery of Non-Conforming Product.</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purpose of this Section, Recall expenses shall not include the value of the Product that is the subject of such Recall or any loss of reputation or good will, or lost profits or any other costs or expenses not associated with the Product that is the subject of the Recall. If SBL and Client cannot agree which Party is at fault or whether a Recall was reasonably beyond the control of the Parties, then an independent third party technical expert of international repute, acceptable to both Parties, shall be designated to make such determination. The designated technical expert shall not be an employee, consultant, officer, director or shareholder of, or otherwise associated with, or have been retained during the prior five (5) years by, or be retained during the ensuing five (5) years, by SBL, Client or their respective Affiliates. The technical expert’s determination will be, in the absence of fraud or manifest error, binding and conclusive upon the Parties. The cost of designating such technical expert shall be borne by the Party determined at fault, and if neither Party is determined to be at fault, then the cost of such technical expert shall be borne by both Parties in equal proportion.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8.3 </w:t>
      </w:r>
      <w:r>
        <w:rPr>
          <w:rFonts w:ascii="Times New Roman" w:cs="Times New Roman" w:eastAsia="Times New Roman" w:hAnsi="Times New Roman"/>
          <w:sz w:val="18"/>
          <w:szCs w:val="18"/>
          <w:b w:val="1"/>
          <w:bCs w:val="1"/>
          <w:u w:val="single" w:color="auto"/>
          <w:color w:val="auto"/>
        </w:rPr>
        <w:t>Records &amp; Audit.</w:t>
      </w:r>
    </w:p>
    <w:p>
      <w:pPr>
        <w:spacing w:after="0" w:line="252" w:lineRule="exact"/>
        <w:rPr>
          <w:sz w:val="20"/>
          <w:szCs w:val="20"/>
          <w:color w:val="auto"/>
        </w:rPr>
      </w:pPr>
    </w:p>
    <w:p>
      <w:pPr>
        <w:ind w:left="18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8.3.1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Audit by Client.</w:t>
      </w:r>
      <w:r>
        <w:rPr>
          <w:rFonts w:ascii="Times New Roman" w:cs="Times New Roman" w:eastAsia="Times New Roman" w:hAnsi="Times New Roman"/>
          <w:sz w:val="18"/>
          <w:szCs w:val="18"/>
          <w:color w:val="auto"/>
        </w:rPr>
        <w:t xml:space="preserve"> Upon Client’s request, but no more than once per year, SBL shall accept an audit of the Facility and, if necessary in the judgment of Client, the Warehouse, by Client and allow Client to inspect and audit the Facility and, if necessary in the judgment of Client, the Warehouse, and Manufacture of the Product solely to ascertain compliance by SBL with the terms of this MSA or any applicable PSA; provided, however that in the event Client uses a designee, SBL must provide prior written consent, which shall not be unreasonably withheld, conditioned or delayed. SBL shall be reimbursed for its reasonable costs for audits beyond the audit described in the first sentence of this Section 8.3.1, except for audits conducted to measure corrective action or remediation following a finding of deficiency either by Client in a previous audit or by a Regulatory Authority or as is contemplated by Section 8.3.2(ii). Client shall not be limited in the number of its audits conducted to measure corrective action or remediation, and such audits shall not count against the limit expressed in the first sentence of this Section 8.3.1. SBL will make Commercially Reasonable Efforts to require vendors or subcontractors to accept an audit or visit to their facilities by Client upon similar notice as described in Section 8.3.2 below.</w:t>
      </w:r>
    </w:p>
    <w:p>
      <w:pPr>
        <w:spacing w:after="0" w:line="224" w:lineRule="exact"/>
        <w:rPr>
          <w:sz w:val="20"/>
          <w:szCs w:val="20"/>
          <w:color w:val="auto"/>
        </w:rPr>
      </w:pPr>
    </w:p>
    <w:p>
      <w:pPr>
        <w:ind w:left="180" w:right="20"/>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8.3.2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Audit Notice.</w:t>
      </w:r>
      <w:r>
        <w:rPr>
          <w:rFonts w:ascii="Times New Roman" w:cs="Times New Roman" w:eastAsia="Times New Roman" w:hAnsi="Times New Roman"/>
          <w:sz w:val="16"/>
          <w:szCs w:val="16"/>
          <w:color w:val="auto"/>
        </w:rPr>
        <w:t xml:space="preserve"> Client shall provide SBL with a written notice at least three (3) months prior to the initiation of the audit of the Facility and, if necessary in the judgment of Client, the Warehouse, set forth in Section </w:t>
      </w:r>
      <w:hyperlink w:anchor="page110">
        <w:r>
          <w:rPr>
            <w:rFonts w:ascii="Times New Roman" w:cs="Times New Roman" w:eastAsia="Times New Roman" w:hAnsi="Times New Roman"/>
            <w:sz w:val="16"/>
            <w:szCs w:val="16"/>
            <w:u w:val="single" w:color="auto"/>
            <w:color w:val="0000EE"/>
          </w:rPr>
          <w:t>8.3.1,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which shall be conducted on a mutually agreeable date and time, and with a mutually agreed duration, agenda, and number of attendees, which in the case of Client shall not be limited to less than three (3) without the consent of Client. Notwithstanding the foregoing, if the audit is required for cause (i) due to safety reasons or other reasons that necessitates immediate audit of or visit to the Facility or (ii) due to the SBL Assignable Error, the foregoing sentence shall not apply and Client may conduct such audit or visit by providing SBL with a prior notice by email. Access to SBL’s facilities shall be coordinated with SBL so as to minimize disruption to SBL’s ability to perform services for its other clients. Client representatives must comply with all of SBL’s generally applicable cGMP, confidentiality and security procedures and protocols during such observations, consultations, and inspections. SBL shall at all times cooperate and provide all the necessary documents reasonably required by Client during such audit; provided that, to the extent necessary, SBL may redact or withhold documents to protect the confidential information of its other clients. Client shall be solely responsible for any costs and liability caused by Client’s or its representatives’ failure to comply with SBL’s security, safety or confidentiality procedures.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10" w:name="page111"/>
    <w:bookmarkEnd w:id="110"/>
    <w:p>
      <w:pPr>
        <w:spacing w:after="0"/>
        <w:tabs>
          <w:tab w:leader="none" w:pos="1300" w:val="left"/>
        </w:tabs>
        <w:rPr>
          <w:sz w:val="20"/>
          <w:szCs w:val="20"/>
          <w:color w:val="auto"/>
        </w:rPr>
      </w:pPr>
      <w:r>
        <w:rPr>
          <w:rFonts w:ascii="Times New Roman" w:cs="Times New Roman" w:eastAsia="Times New Roman" w:hAnsi="Times New Roman"/>
          <w:sz w:val="18"/>
          <w:szCs w:val="18"/>
          <w:b w:val="1"/>
          <w:bCs w:val="1"/>
          <w:u w:val="single" w:color="auto"/>
          <w:color w:val="auto"/>
        </w:rPr>
        <w:t>SECTION 9</w:t>
      </w:r>
      <w:r>
        <w:rPr>
          <w:sz w:val="20"/>
          <w:szCs w:val="20"/>
          <w:color w:val="auto"/>
        </w:rPr>
        <w:tab/>
      </w:r>
      <w:r>
        <w:rPr>
          <w:rFonts w:ascii="Times New Roman" w:cs="Times New Roman" w:eastAsia="Times New Roman" w:hAnsi="Times New Roman"/>
          <w:sz w:val="16"/>
          <w:szCs w:val="16"/>
          <w:b w:val="1"/>
          <w:bCs w:val="1"/>
          <w:u w:val="single" w:color="auto"/>
          <w:color w:val="auto"/>
        </w:rPr>
        <w:t>CONSIDERATION AND PAYMENT TERMS</w:t>
      </w:r>
    </w:p>
    <w:p>
      <w:pPr>
        <w:spacing w:after="0" w:line="2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u w:val="single" w:color="auto"/>
          <w:color w:val="auto"/>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 consideration for SBL’s performing the Service and other obligations undertaken by SBL pursuant to a PSA, Client shall pay SBL amounts as set forth in the applicable PSA (the “</w:t>
      </w:r>
      <w:r>
        <w:rPr>
          <w:rFonts w:ascii="Times New Roman" w:cs="Times New Roman" w:eastAsia="Times New Roman" w:hAnsi="Times New Roman"/>
          <w:sz w:val="18"/>
          <w:szCs w:val="18"/>
          <w:b w:val="1"/>
          <w:bCs w:val="1"/>
          <w:color w:val="auto"/>
        </w:rPr>
        <w:t>Service Fee</w:t>
      </w:r>
      <w:r>
        <w:rPr>
          <w:rFonts w:ascii="Times New Roman" w:cs="Times New Roman" w:eastAsia="Times New Roman" w:hAnsi="Times New Roman"/>
          <w:sz w:val="18"/>
          <w:szCs w:val="18"/>
          <w:color w:val="auto"/>
        </w:rPr>
        <w:t>”); (ii) a handling surcharge of a certain percentage or certain amount to be set forth in the applicable PSA of the costs of Raw Materials paid by SBL (including but not limited to taxes and customs duties/fees); (iii) a handling surcharge of a certain percentage or certain amount to be set forth in the applicable PSA related to the Client Materials (which shall be based on the actual costs of such materials as supported by reasonable documentary evidence as opposed to the market value thereof); and (iv) storage fees as set forth in the relevant PSA.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9.2 </w:t>
      </w:r>
      <w:r>
        <w:rPr>
          <w:rFonts w:ascii="Times New Roman" w:cs="Times New Roman" w:eastAsia="Times New Roman" w:hAnsi="Times New Roman"/>
          <w:sz w:val="18"/>
          <w:szCs w:val="18"/>
          <w:b w:val="1"/>
          <w:bCs w:val="1"/>
          <w:u w:val="single" w:color="auto"/>
          <w:color w:val="auto"/>
        </w:rPr>
        <w:t>Invoices.</w:t>
      </w:r>
    </w:p>
    <w:p>
      <w:pPr>
        <w:spacing w:after="0" w:line="252" w:lineRule="exact"/>
        <w:rPr>
          <w:sz w:val="20"/>
          <w:szCs w:val="20"/>
          <w:color w:val="auto"/>
        </w:rPr>
      </w:pPr>
    </w:p>
    <w:p>
      <w:pPr>
        <w:ind w:left="180" w:right="420"/>
        <w:spacing w:after="0" w:line="277" w:lineRule="auto"/>
        <w:rPr>
          <w:sz w:val="20"/>
          <w:szCs w:val="20"/>
          <w:color w:val="auto"/>
        </w:rPr>
      </w:pPr>
      <w:r>
        <w:rPr>
          <w:rFonts w:ascii="Times New Roman" w:cs="Times New Roman" w:eastAsia="Times New Roman" w:hAnsi="Times New Roman"/>
          <w:sz w:val="18"/>
          <w:szCs w:val="18"/>
          <w:u w:val="single" w:color="auto"/>
          <w:color w:val="auto"/>
        </w:rPr>
        <w:t>9.2.1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Service Fee of the Project Stages and Batches.</w:t>
      </w:r>
      <w:r>
        <w:rPr>
          <w:rFonts w:ascii="Times New Roman" w:cs="Times New Roman" w:eastAsia="Times New Roman" w:hAnsi="Times New Roman"/>
          <w:sz w:val="18"/>
          <w:szCs w:val="18"/>
          <w:color w:val="auto"/>
        </w:rPr>
        <w:t xml:space="preserve"> According to the invoicing plan set forth in the applicable Project Plan or applicable PSA, or upon SBL’s release of a Batch of Product, as applicable, SBL shall invoice Client for the Service Fee set forth in the applicable PSA.</w:t>
      </w:r>
    </w:p>
    <w:p>
      <w:pPr>
        <w:spacing w:after="0" w:line="197" w:lineRule="exact"/>
        <w:rPr>
          <w:sz w:val="20"/>
          <w:szCs w:val="20"/>
          <w:color w:val="auto"/>
        </w:rPr>
      </w:pPr>
    </w:p>
    <w:p>
      <w:pPr>
        <w:ind w:left="180" w:right="80"/>
        <w:spacing w:after="0" w:line="265" w:lineRule="auto"/>
        <w:rPr>
          <w:sz w:val="20"/>
          <w:szCs w:val="20"/>
          <w:color w:val="auto"/>
        </w:rPr>
      </w:pPr>
      <w:r>
        <w:rPr>
          <w:rFonts w:ascii="Times New Roman" w:cs="Times New Roman" w:eastAsia="Times New Roman" w:hAnsi="Times New Roman"/>
          <w:sz w:val="18"/>
          <w:szCs w:val="18"/>
          <w:u w:val="single" w:color="auto"/>
          <w:color w:val="auto"/>
        </w:rPr>
        <w:t>9.2.2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Raw Materials.</w:t>
      </w:r>
      <w:r>
        <w:rPr>
          <w:rFonts w:ascii="Times New Roman" w:cs="Times New Roman" w:eastAsia="Times New Roman" w:hAnsi="Times New Roman"/>
          <w:sz w:val="18"/>
          <w:szCs w:val="18"/>
          <w:color w:val="auto"/>
        </w:rPr>
        <w:t xml:space="preserve"> With respect to the Raw Materials, SBL shall submit invoices to Client for the applicable Raw Materials cost (including any agreed upon safety stock) as set forth according to Section 9.1 as follows. SBL shall submit an invoice to Client (i) for the cost of Specialized Raw Materials procured upon receipt of the invoice from vendors/suppliers; and (ii) for the cost of Common Raw Materials used by SBL’s completion of such project stage or upon SBL’s release of a Batch of Product as applicable. Notwithstanding the foregoing, the Parties shall collaborate in the selection of the vendors of the Raw Materials. All such vendors shall be approved by Client before supplying SBL with Raw Materials for Product.</w:t>
      </w:r>
    </w:p>
    <w:p>
      <w:pPr>
        <w:spacing w:after="0" w:line="181" w:lineRule="exact"/>
        <w:rPr>
          <w:sz w:val="20"/>
          <w:szCs w:val="20"/>
          <w:color w:val="auto"/>
        </w:rPr>
      </w:pPr>
    </w:p>
    <w:p>
      <w:pPr>
        <w:ind w:left="180" w:right="20"/>
        <w:spacing w:after="0" w:line="264" w:lineRule="auto"/>
        <w:rPr>
          <w:sz w:val="20"/>
          <w:szCs w:val="20"/>
          <w:color w:val="auto"/>
        </w:rPr>
      </w:pPr>
      <w:r>
        <w:rPr>
          <w:rFonts w:ascii="Times New Roman" w:cs="Times New Roman" w:eastAsia="Times New Roman" w:hAnsi="Times New Roman"/>
          <w:sz w:val="18"/>
          <w:szCs w:val="18"/>
          <w:u w:val="single" w:color="auto"/>
          <w:color w:val="auto"/>
        </w:rPr>
        <w:t>9.2.3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Client Materials.</w:t>
      </w:r>
      <w:r>
        <w:rPr>
          <w:rFonts w:ascii="Times New Roman" w:cs="Times New Roman" w:eastAsia="Times New Roman" w:hAnsi="Times New Roman"/>
          <w:sz w:val="18"/>
          <w:szCs w:val="18"/>
          <w:color w:val="auto"/>
        </w:rPr>
        <w:t xml:space="preserve"> With respect to the Client Materials, which shall be supplied by Client to SBL at no cost during SBL’s performance the Service, SBL shall submit an invoice to Client in an amount as set forth in Section 9.1 upon SBL’s completion of such project stage of the Service SBL’s release of a Batch of Product, as applicable.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9.3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u w:val="single" w:color="auto"/>
          <w:color w:val="auto"/>
        </w:rPr>
        <w:t>.</w:t>
      </w:r>
    </w:p>
    <w:p>
      <w:pPr>
        <w:spacing w:after="0" w:line="185" w:lineRule="exact"/>
        <w:rPr>
          <w:sz w:val="20"/>
          <w:szCs w:val="20"/>
          <w:color w:val="auto"/>
        </w:rPr>
      </w:pPr>
    </w:p>
    <w:p>
      <w:pPr>
        <w:ind w:left="180" w:right="20"/>
        <w:spacing w:after="0" w:line="297" w:lineRule="auto"/>
        <w:rPr>
          <w:sz w:val="20"/>
          <w:szCs w:val="20"/>
          <w:color w:val="auto"/>
        </w:rPr>
      </w:pPr>
      <w:r>
        <w:rPr>
          <w:rFonts w:ascii="Times New Roman" w:cs="Times New Roman" w:eastAsia="Times New Roman" w:hAnsi="Times New Roman"/>
          <w:sz w:val="16"/>
          <w:szCs w:val="16"/>
          <w:u w:val="single" w:color="auto"/>
          <w:color w:val="auto"/>
        </w:rPr>
        <w:t>9.3.1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Mode of Payment; Foreign Exchange</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All payments to SBL due under the MSA or any applicable PSA shall be made within thirty (30) Business Days from the receipt of the SBL’s invoice in USD $ by means of telegraphic transfer to the account with the bank designated by SBL in the foregoing invoice. For the purpose of computing payment amounts incurred in a currency other than USD$, such currency shall be converted into USD$ using the basic exchange rate published by Bloomberg (or its successor institution) on its website “</w:t>
      </w:r>
      <w:r>
        <w:rPr>
          <w:rFonts w:ascii="Times New Roman" w:cs="Times New Roman" w:eastAsia="Times New Roman" w:hAnsi="Times New Roman"/>
          <w:sz w:val="16"/>
          <w:szCs w:val="16"/>
          <w:u w:val="single" w:color="auto"/>
          <w:color w:val="0000FF"/>
        </w:rPr>
        <w:t>http://www.bloomberg.com/markets/currencies</w:t>
      </w:r>
      <w:r>
        <w:rPr>
          <w:rFonts w:ascii="Times New Roman" w:cs="Times New Roman" w:eastAsia="Times New Roman" w:hAnsi="Times New Roman"/>
          <w:sz w:val="16"/>
          <w:szCs w:val="16"/>
          <w:color w:val="auto"/>
        </w:rPr>
        <w:t>” (or any other website that may be used by Bloomberg or its successor institution for publication of currency exchange rates) at the opening of business on such invoice date.</w:t>
      </w:r>
    </w:p>
    <w:p>
      <w:pPr>
        <w:spacing w:after="0" w:line="185" w:lineRule="exact"/>
        <w:rPr>
          <w:sz w:val="20"/>
          <w:szCs w:val="20"/>
          <w:color w:val="auto"/>
        </w:rPr>
      </w:pPr>
    </w:p>
    <w:p>
      <w:pPr>
        <w:ind w:left="180" w:right="40"/>
        <w:spacing w:after="0" w:line="291" w:lineRule="auto"/>
        <w:rPr>
          <w:sz w:val="20"/>
          <w:szCs w:val="20"/>
          <w:color w:val="auto"/>
        </w:rPr>
      </w:pPr>
      <w:r>
        <w:rPr>
          <w:rFonts w:ascii="Times New Roman" w:cs="Times New Roman" w:eastAsia="Times New Roman" w:hAnsi="Times New Roman"/>
          <w:sz w:val="16"/>
          <w:szCs w:val="16"/>
          <w:u w:val="single" w:color="auto"/>
          <w:color w:val="auto"/>
        </w:rPr>
        <w:t>9.3.2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Taxes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All prices and charges are exclusive of any applicable taxes, levies, imposts, duties and fees of whatever nature imposed by any law or regulations in any country in respect of the Services, importation or exportation of Raw Materials, Client Materials, Batches, and Product, which shall be paid by Client. For the avoidance of doubt, the foregoing shall not include any taxes imposed on the income or profit of SBL and any withholding tax lawfully levied on any payment to be made by Client to SBL, each of which shall be solely borne by SBL. Client shall pay or reimburse SBL for all customs duties and taxes in connection with the purchase, sale, importation or exportation of any Raw Materials, Client Materials, Batches, or Product or the provision of Services, except to the extent such duties and taxes are recoverable by or refundable to SBL. SBL agrees to assist Client in claiming exemption under double taxation or similar agreement or treaty from time to time in force to obtain a refund of any customs duties, value added taxes, and other taxes payable by SBL.</w:t>
      </w:r>
    </w:p>
    <w:p>
      <w:pPr>
        <w:spacing w:after="0" w:line="100" w:lineRule="exact"/>
        <w:rPr>
          <w:sz w:val="20"/>
          <w:szCs w:val="20"/>
          <w:color w:val="auto"/>
        </w:rPr>
      </w:pPr>
    </w:p>
    <w:p>
      <w:pPr>
        <w:ind w:left="180"/>
        <w:spacing w:after="0" w:line="264" w:lineRule="auto"/>
        <w:rPr>
          <w:sz w:val="20"/>
          <w:szCs w:val="20"/>
          <w:color w:val="auto"/>
        </w:rPr>
      </w:pPr>
      <w:r>
        <w:rPr>
          <w:rFonts w:ascii="Times New Roman" w:cs="Times New Roman" w:eastAsia="Times New Roman" w:hAnsi="Times New Roman"/>
          <w:sz w:val="18"/>
          <w:szCs w:val="18"/>
          <w:u w:val="single" w:color="auto"/>
          <w:color w:val="auto"/>
        </w:rPr>
        <w:t>9.3.3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Price Adjustments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Service Fees as set forth in the applicable PSA, shall be adjusted annually, on the last day of January, effective January 1 of each year during the Term, by the percentage change in the consumer price index as published by the Bank of Korea for the immediately preceding twelve (12) months. The relevant date for price adjustment under this Section shall be the issue date of SBL’s invoice.</w:t>
      </w:r>
    </w:p>
    <w:p>
      <w:pPr>
        <w:spacing w:after="0" w:line="181" w:lineRule="exact"/>
        <w:rPr>
          <w:sz w:val="20"/>
          <w:szCs w:val="20"/>
          <w:color w:val="auto"/>
        </w:rPr>
      </w:pPr>
    </w:p>
    <w:p>
      <w:pPr>
        <w:ind w:left="180" w:right="80"/>
        <w:spacing w:after="0" w:line="259" w:lineRule="auto"/>
        <w:rPr>
          <w:sz w:val="20"/>
          <w:szCs w:val="20"/>
          <w:color w:val="auto"/>
        </w:rPr>
      </w:pPr>
      <w:r>
        <w:rPr>
          <w:rFonts w:ascii="Times New Roman" w:cs="Times New Roman" w:eastAsia="Times New Roman" w:hAnsi="Times New Roman"/>
          <w:sz w:val="18"/>
          <w:szCs w:val="18"/>
          <w:u w:val="single" w:color="auto"/>
          <w:color w:val="auto"/>
        </w:rPr>
        <w:t>9.3.4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Default Interest.</w:t>
      </w:r>
      <w:r>
        <w:rPr>
          <w:rFonts w:ascii="Times New Roman" w:cs="Times New Roman" w:eastAsia="Times New Roman" w:hAnsi="Times New Roman"/>
          <w:sz w:val="18"/>
          <w:szCs w:val="18"/>
          <w:color w:val="auto"/>
        </w:rPr>
        <w:t xml:space="preserve"> Any amount that is not paid by a Party to the other when due under the MSA or any PSA shall bear default interest at the rate of ten percent (10%) per annum, or such lesser maximum rate allowed by Applicable Law, from the day following the due date until paid in full. In the event there is an amount which is invoiced by SBL but not paid by Client for more than six (6) months after the due date, such event shall be considered a material breach of the relevant PSA.</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1" w:name="page112"/>
    <w:bookmarkEnd w:id="111"/>
    <w:p>
      <w:pPr>
        <w:spacing w:after="0"/>
        <w:tabs>
          <w:tab w:leader="none" w:pos="1220" w:val="left"/>
        </w:tabs>
        <w:rPr>
          <w:sz w:val="20"/>
          <w:szCs w:val="20"/>
          <w:color w:val="auto"/>
        </w:rPr>
      </w:pPr>
      <w:r>
        <w:rPr>
          <w:rFonts w:ascii="Times New Roman" w:cs="Times New Roman" w:eastAsia="Times New Roman" w:hAnsi="Times New Roman"/>
          <w:sz w:val="18"/>
          <w:szCs w:val="18"/>
          <w:b w:val="1"/>
          <w:bCs w:val="1"/>
          <w:u w:val="single" w:color="auto"/>
          <w:color w:val="auto"/>
        </w:rPr>
        <w:t>SECTION 10</w:t>
      </w:r>
      <w:r>
        <w:rPr>
          <w:sz w:val="20"/>
          <w:szCs w:val="20"/>
          <w:color w:val="auto"/>
        </w:rPr>
        <w:tab/>
      </w:r>
      <w:r>
        <w:rPr>
          <w:rFonts w:ascii="Times New Roman" w:cs="Times New Roman" w:eastAsia="Times New Roman" w:hAnsi="Times New Roman"/>
          <w:sz w:val="16"/>
          <w:szCs w:val="16"/>
          <w:b w:val="1"/>
          <w:bCs w:val="1"/>
          <w:u w:val="single" w:color="auto"/>
          <w:color w:val="auto"/>
        </w:rPr>
        <w:t>CONFIDENTIALITY</w:t>
      </w:r>
    </w:p>
    <w:p>
      <w:pPr>
        <w:spacing w:after="0" w:line="2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u w:val="single" w:color="auto"/>
          <w:color w:val="auto"/>
        </w:rPr>
        <w:t>10.1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Confidential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shall mean any data, know-how and other information, whether technical or non-technical disclosed by one Party (hereinafter the “</w:t>
      </w:r>
      <w:r>
        <w:rPr>
          <w:rFonts w:ascii="Times New Roman" w:cs="Times New Roman" w:eastAsia="Times New Roman" w:hAnsi="Times New Roman"/>
          <w:sz w:val="16"/>
          <w:szCs w:val="16"/>
          <w:b w:val="1"/>
          <w:bCs w:val="1"/>
          <w:color w:val="auto"/>
        </w:rPr>
        <w:t>Disclosing Party</w:t>
      </w:r>
      <w:r>
        <w:rPr>
          <w:rFonts w:ascii="Times New Roman" w:cs="Times New Roman" w:eastAsia="Times New Roman" w:hAnsi="Times New Roman"/>
          <w:sz w:val="16"/>
          <w:szCs w:val="16"/>
          <w:color w:val="auto"/>
        </w:rPr>
        <w:t>”) or otherwise became known to the other Party (hereinafter the “</w:t>
      </w:r>
      <w:r>
        <w:rPr>
          <w:rFonts w:ascii="Times New Roman" w:cs="Times New Roman" w:eastAsia="Times New Roman" w:hAnsi="Times New Roman"/>
          <w:sz w:val="16"/>
          <w:szCs w:val="16"/>
          <w:b w:val="1"/>
          <w:bCs w:val="1"/>
          <w:color w:val="auto"/>
        </w:rPr>
        <w:t>Receiving Party</w:t>
      </w:r>
      <w:r>
        <w:rPr>
          <w:rFonts w:ascii="Times New Roman" w:cs="Times New Roman" w:eastAsia="Times New Roman" w:hAnsi="Times New Roman"/>
          <w:sz w:val="16"/>
          <w:szCs w:val="16"/>
          <w:color w:val="auto"/>
        </w:rPr>
        <w:t>”) hereunder relating to the subject matter of the MSA, regardless of form or manner of disclosure, i.e., whether disclosed in writing, in electronic file or format or in other tangible manner, or orally, visually or in other intangible manner. If a Party intends to disclose such information in writing, in electronic file or format or in other tangible manner, such Party will make reasonable efforts to indicate it is confidential; and if to disclose orally, visually or in other intangible manner, such Party will make reasonable efforts to reduce it in summary form in writing or in electronic file or format, identified as confidential and delivered to the other Party within thirty</w:t>
      </w:r>
    </w:p>
    <w:p>
      <w:pPr>
        <w:spacing w:after="0" w:line="5" w:lineRule="exact"/>
        <w:rPr>
          <w:sz w:val="20"/>
          <w:szCs w:val="20"/>
          <w:color w:val="auto"/>
        </w:rPr>
      </w:pPr>
    </w:p>
    <w:p>
      <w:pPr>
        <w:ind w:right="60" w:firstLine="8"/>
        <w:spacing w:after="0" w:line="252" w:lineRule="auto"/>
        <w:tabs>
          <w:tab w:leader="none" w:pos="3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oral or visual disclosure; provided, however, in each case, a failure to do so shall not constitute a breach of this term nor shall deny, negate or destroy the confidential nature thereof, and no such failure shall serve as conclusive evidence that the disclosed information shall not be considered Confidential Information by and between the Parties. Furthermore, the existence and terms of the MSA shall be deemed to be the Confidential Information of both Parties and any information, data or results disclosed by SBL to Client relating to the Product, the Services or Manufacture under this MSA or any PSA, as well as the Manufacturing Process, the Project Plan and the Specifications shall be the Confidential Information of Client, unless otherwise specifically identified as SBL Confidential Information by the terms of this Agreement. The Parties acknowledge and agree that the Manufacturing Process and the Project Plan may contain a mixture of both Party’s Background IP, ownership of which shall not be affected by this MSA.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Confidential Information shall not include the information, which as evidenced by written records:</w:t>
      </w:r>
    </w:p>
    <w:p>
      <w:pPr>
        <w:spacing w:after="0" w:line="158" w:lineRule="exact"/>
        <w:rPr>
          <w:sz w:val="20"/>
          <w:szCs w:val="20"/>
          <w:color w:val="auto"/>
        </w:rPr>
      </w:pPr>
    </w:p>
    <w:p>
      <w:pPr>
        <w:ind w:left="1100" w:hanging="282"/>
        <w:spacing w:after="0"/>
        <w:tabs>
          <w:tab w:leader="none" w:pos="1100"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at the time of disclosure by the Disclosing Party hereunder publicly known or available;</w:t>
      </w:r>
    </w:p>
    <w:p>
      <w:pPr>
        <w:spacing w:after="0" w:line="157" w:lineRule="exact"/>
        <w:rPr>
          <w:rFonts w:ascii="Times New Roman" w:cs="Times New Roman" w:eastAsia="Times New Roman" w:hAnsi="Times New Roman"/>
          <w:sz w:val="18"/>
          <w:szCs w:val="18"/>
          <w:u w:val="single" w:color="auto"/>
          <w:color w:val="auto"/>
        </w:rPr>
      </w:pPr>
    </w:p>
    <w:p>
      <w:pPr>
        <w:ind w:left="820" w:right="180" w:hanging="2"/>
        <w:spacing w:after="0" w:line="275" w:lineRule="auto"/>
        <w:tabs>
          <w:tab w:leader="none" w:pos="1112"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after disclosure by the Disclosing Party hereunder, became publicly known or available by publication or otherwise, other than by an authorized act or omission by the Receiving Party;</w:t>
      </w:r>
    </w:p>
    <w:p>
      <w:pPr>
        <w:spacing w:after="0" w:line="106" w:lineRule="exact"/>
        <w:rPr>
          <w:rFonts w:ascii="Times New Roman" w:cs="Times New Roman" w:eastAsia="Times New Roman" w:hAnsi="Times New Roman"/>
          <w:sz w:val="18"/>
          <w:szCs w:val="18"/>
          <w:u w:val="single" w:color="auto"/>
          <w:color w:val="auto"/>
        </w:rPr>
      </w:pPr>
    </w:p>
    <w:p>
      <w:pPr>
        <w:ind w:left="1100" w:hanging="282"/>
        <w:spacing w:after="0"/>
        <w:tabs>
          <w:tab w:leader="none" w:pos="1100"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in the possession of the Receiving Party without confidentiality restriction at the time of the disclosure by the Disclosing Party hereunder;</w:t>
      </w:r>
    </w:p>
    <w:p>
      <w:pPr>
        <w:spacing w:after="0" w:line="157" w:lineRule="exact"/>
        <w:rPr>
          <w:rFonts w:ascii="Times New Roman" w:cs="Times New Roman" w:eastAsia="Times New Roman" w:hAnsi="Times New Roman"/>
          <w:sz w:val="18"/>
          <w:szCs w:val="18"/>
          <w:u w:val="single" w:color="auto"/>
          <w:color w:val="auto"/>
        </w:rPr>
      </w:pPr>
    </w:p>
    <w:p>
      <w:pPr>
        <w:ind w:left="1120" w:hanging="302"/>
        <w:spacing w:after="0"/>
        <w:tabs>
          <w:tab w:leader="none" w:pos="1120"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lawfully received from any third party having the lawful right to make such disclosure, without obligation of confidentiality; or</w:t>
      </w:r>
    </w:p>
    <w:p>
      <w:pPr>
        <w:spacing w:after="0" w:line="157" w:lineRule="exact"/>
        <w:rPr>
          <w:rFonts w:ascii="Times New Roman" w:cs="Times New Roman" w:eastAsia="Times New Roman" w:hAnsi="Times New Roman"/>
          <w:sz w:val="18"/>
          <w:szCs w:val="18"/>
          <w:u w:val="single" w:color="auto"/>
          <w:color w:val="auto"/>
        </w:rPr>
      </w:pPr>
    </w:p>
    <w:p>
      <w:pPr>
        <w:ind w:left="820" w:right="440" w:hanging="2"/>
        <w:spacing w:after="0" w:line="275" w:lineRule="auto"/>
        <w:tabs>
          <w:tab w:leader="none" w:pos="1103" w:val="left"/>
        </w:tabs>
        <w:numPr>
          <w:ilvl w:val="0"/>
          <w:numId w:val="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was independently developed by the Receiving Party’s directors, officers or employees without reference to the Confidential Information, as demonstrated by records created contemporaneously with such development.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10.2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Confidentiality.</w:t>
      </w:r>
      <w:r>
        <w:rPr>
          <w:rFonts w:ascii="Times New Roman" w:cs="Times New Roman" w:eastAsia="Times New Roman" w:hAnsi="Times New Roman"/>
          <w:sz w:val="16"/>
          <w:szCs w:val="16"/>
          <w:color w:val="auto"/>
        </w:rPr>
        <w:t xml:space="preserve"> The Receiving Party recognizes the proprietary and confidential nature of the Disclosing Party’s Confidential Information and agrees that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right, title, ownership, license, or interest of any character in the Disclosing Party’s Confidential Information other than as specifically granted herein,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conveyed or transferred to the Receiving Party. Both Parties further agree to maintain the Disclosing Party’s Confidential Information in confidence and not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 or divulge the Disclosing Party’s Confidential Information, in whole or in part, to any third party, and not use the Disclosing Party’s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for any purpose other than pursuing the MSA. Each Party shall guard such Confidential Information using the same degree of care as it normally uses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guard its own confidential or proprietary information of like importance, but in any event no less than reasonable care. The Receiving Party shall limit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the Disclosing Party’s Confidential Information to its and those of its Affiliates’ directors, officers, employees, consultants and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Representatives</w:t>
      </w:r>
      <w:r>
        <w:rPr>
          <w:rFonts w:ascii="Times New Roman" w:cs="Times New Roman" w:eastAsia="Times New Roman" w:hAnsi="Times New Roman"/>
          <w:sz w:val="16"/>
          <w:szCs w:val="16"/>
          <w:color w:val="auto"/>
        </w:rPr>
        <w:t>”) who have a need to know the Disclosing Party’s Confidential Information for performance of the Service and implementation of the MSA,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the Receiving Party shall undertake procedures to ensure that each of its Representatives to whom the Disclosing Party’s Confidential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 disclosed understands (i) the confidential nature of the Disclosing Party’s Confidential Information and (ii) that he or she is under an obligation similar to those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 to hold the Disclosing Party’s Confidential Information disclosed strictly confidential.</w:t>
      </w:r>
    </w:p>
    <w:p>
      <w:pPr>
        <w:spacing w:after="0" w:line="14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Authorized Disclosures.</w:t>
      </w:r>
      <w:r>
        <w:rPr>
          <w:rFonts w:ascii="Times New Roman" w:cs="Times New Roman" w:eastAsia="Times New Roman" w:hAnsi="Times New Roman"/>
          <w:sz w:val="18"/>
          <w:szCs w:val="18"/>
          <w:color w:val="auto"/>
        </w:rPr>
        <w:t xml:space="preserve"> Disclosure is permitted in the event that (a) the Disclosing Party’s Confidential Information is reasonably required to obtain or maintain any Regulatory Approvals for the Products in any or all jurisdictions or (b) the Disclosing Party needs to disclose such Confidential Information to comply with Applicable Law; provided that such Receiving Party shall exercise its Commercially Reasonable Efforts to limit disclosure of the Disclosing Party’s Confidential Information to that which is necessary for compliance and to otherwise maintain the confidentiality of the Confidential Information.</w:t>
      </w:r>
    </w:p>
    <w:p>
      <w:pPr>
        <w:spacing w:after="0" w:line="18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u w:val="single" w:color="auto"/>
          <w:color w:val="auto"/>
        </w:rPr>
        <w:t>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Survival of confidential obligations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confidential obligations of the Receiving Party shall survive for a period of five (5) years from the expiration or termination of this MSA.</w:t>
      </w:r>
    </w:p>
    <w:p>
      <w:pPr>
        <w:spacing w:after="0" w:line="1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Return of the Confidential Information.</w:t>
      </w:r>
      <w:r>
        <w:rPr>
          <w:rFonts w:ascii="Times New Roman" w:cs="Times New Roman" w:eastAsia="Times New Roman" w:hAnsi="Times New Roman"/>
          <w:sz w:val="18"/>
          <w:szCs w:val="18"/>
          <w:color w:val="auto"/>
        </w:rPr>
        <w:t xml:space="preserve"> All written, printed or other tangible Confidential Information of the Disclosing Party disclosed under the MSA, and all copies thereof shall be returned to the Disclosing Party (or destroyed at the Disclosing Party’s request) by the Receiving Party within thirty (30) business days from the written request by the Disclosing Party. All Confidential Information disclosed electronically shall be completely deleted and destroyed by the Receiving Party within thirty (30) business days from the written request by the Disclosing Party. Notwithstanding the foregoing, (i) digital backup files automatically generated by the Receiving Party’s customary electronic data processing system may be retained and properly stored as confidential files for the sole purpose of backup and will be deleted in accordance with the Receiving Party’s retention policy, and (ii) a single copy of the Confidential Information may be retained in the secured files of the Receiving Party for the sole purpose of determining the scope of obligations incurred by it under the MSA provided that the Receiving Party shall keep such Confidential Information in confidence and will use the Confidential Information solely to comply with the terms of the MSA as well as the applicable law, rule and regulation.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112" w:name="page113"/>
    <w:bookmarkEnd w:id="112"/>
    <w:p>
      <w:pPr>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SECTION 11</w:t>
      </w:r>
      <w:r>
        <w:rPr>
          <w:sz w:val="20"/>
          <w:szCs w:val="20"/>
          <w:color w:val="auto"/>
        </w:rPr>
        <w:tab/>
      </w:r>
      <w:r>
        <w:rPr>
          <w:rFonts w:ascii="Times New Roman" w:cs="Times New Roman" w:eastAsia="Times New Roman" w:hAnsi="Times New Roman"/>
          <w:sz w:val="16"/>
          <w:szCs w:val="16"/>
          <w:b w:val="1"/>
          <w:bCs w:val="1"/>
          <w:u w:val="single" w:color="auto"/>
          <w:color w:val="auto"/>
        </w:rPr>
        <w:t>OWNERSHIP OF MATERIALS AND INTELLECTUAL PROPERTY</w:t>
      </w:r>
    </w:p>
    <w:p>
      <w:pPr>
        <w:spacing w:after="0" w:line="252"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Reference Standard, Client Technology, Client Materials, Cell Line, and Product.</w:t>
      </w:r>
      <w:r>
        <w:rPr>
          <w:rFonts w:ascii="Times New Roman" w:cs="Times New Roman" w:eastAsia="Times New Roman" w:hAnsi="Times New Roman"/>
          <w:sz w:val="18"/>
          <w:szCs w:val="18"/>
          <w:color w:val="auto"/>
        </w:rPr>
        <w:t xml:space="preserve"> SBL hereby understands and agrees that all rights to, titles of and interests in the Reference Standards, Client Technology, Client Materials, Cell Line, Product, the Manufacturing Process and any work in process or semi processed goods thereof belong to Client, unless otherwise provided herein.</w:t>
      </w: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Background Intellectual Property.</w:t>
      </w:r>
      <w:r>
        <w:rPr>
          <w:rFonts w:ascii="Times New Roman" w:cs="Times New Roman" w:eastAsia="Times New Roman" w:hAnsi="Times New Roman"/>
          <w:sz w:val="18"/>
          <w:szCs w:val="18"/>
          <w:color w:val="auto"/>
        </w:rPr>
        <w:t xml:space="preserve"> It is acknowledged that each Party possesses Background IP. Any Intellectual Property relating to the Reference Standards, Client Technology, Client Materials and Cell Line owned and/or controlled by Client as of the date of provision of such Reference Standards, Client Technology, Client Materials and Cell Line by Client to SBL pursuant to Section 5.1, shall be deemed to be included in the Background IP of Client. Client hereby grants SBL a royalty-free, non-transferable, revocable and non-sublicensable and fully-paid-up right and license to use such Intellectual Property relating to such Reference Standards, Client Technology, Client Materials, Cell Line, during the Term for the sole purposes of Manufacturing of the Product or Services in accordance with the MSA.</w:t>
      </w:r>
    </w:p>
    <w:p>
      <w:pPr>
        <w:spacing w:after="0" w:line="220"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Inventions.</w:t>
      </w:r>
      <w:r>
        <w:rPr>
          <w:rFonts w:ascii="Times New Roman" w:cs="Times New Roman" w:eastAsia="Times New Roman" w:hAnsi="Times New Roman"/>
          <w:sz w:val="18"/>
          <w:szCs w:val="18"/>
          <w:color w:val="auto"/>
        </w:rPr>
        <w:t xml:space="preserve"> Any Intellectual Property arising out of or resulting from the Service under the MSA, including but not limited to those contained in the Manufacturing Documentation, shall be hereinafter collectively called an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180"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11.3.1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Client Invention.</w:t>
      </w:r>
      <w:r>
        <w:rPr>
          <w:rFonts w:ascii="Times New Roman" w:cs="Times New Roman" w:eastAsia="Times New Roman" w:hAnsi="Times New Roman"/>
          <w:sz w:val="18"/>
          <w:szCs w:val="18"/>
          <w:color w:val="auto"/>
        </w:rPr>
        <w:t xml:space="preserve"> Any Invention that is conceived and first reduced to practice solely by one or more employees or officers of SBL (or its third party consultant or subcontractor) and does not constitute an SBL Invention shall be a “Client Invention”. SBL shall notify Client of such Client Invention(s) to Client immediately after SBL, the Project Management Team Leader, respective project personnel, SBL employees or officers or other applicable third parties working for SBL hereunder makes, conceives or reduces to practice such Client Invention, and shall take all necessary measures so that Client would have the sole and exclusive ownership of any and all Client Invention. Client may use any Client Invention for any purpose, including filing patent application and SBL shall provide reasonable cooperation to Client at the expense of Client (as to all reasonable out-of-pocket expenses incurred by SBL that are supported by adequate documentation). In the event that SBL wishes to use the Client Invention for purposes outside the scope of the MSA, Client hereby grants SBL a worldwide, irrevocable, royalty-free and fully-paid- up license to use such Client Invention. This Section 11.3 shall survive the expiration or earlier termination and continue in effect as long as the intellectual property right to such Client Invention is legally valid.</w:t>
      </w:r>
    </w:p>
    <w:p>
      <w:pPr>
        <w:spacing w:after="0" w:line="197" w:lineRule="exact"/>
        <w:rPr>
          <w:sz w:val="20"/>
          <w:szCs w:val="20"/>
          <w:color w:val="auto"/>
        </w:rPr>
      </w:pPr>
    </w:p>
    <w:p>
      <w:pPr>
        <w:ind w:left="18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11.3.2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SBL Invention.</w:t>
      </w:r>
      <w:r>
        <w:rPr>
          <w:rFonts w:ascii="Times New Roman" w:cs="Times New Roman" w:eastAsia="Times New Roman" w:hAnsi="Times New Roman"/>
          <w:sz w:val="18"/>
          <w:szCs w:val="18"/>
          <w:color w:val="auto"/>
        </w:rPr>
        <w:t xml:space="preserve"> Any Invention that is conceived and first reduced to practice solely by one or more employees or officers of SBL (or its third party consultant or subcontractor) and which is not derived from, or arises out of Client Background IP or Client’s Confidential Information or any other proprietary right of Client or its third party vendors, contractors, or other partners or clients under or in connection with the MSA, shall be the property of SBL (“</w:t>
      </w:r>
      <w:r>
        <w:rPr>
          <w:rFonts w:ascii="Times New Roman" w:cs="Times New Roman" w:eastAsia="Times New Roman" w:hAnsi="Times New Roman"/>
          <w:sz w:val="18"/>
          <w:szCs w:val="18"/>
          <w:b w:val="1"/>
          <w:bCs w:val="1"/>
          <w:color w:val="auto"/>
        </w:rPr>
        <w:t>SBL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and shall not be deemed to be Client Invention or Joint Invention for the purposes of the MSA. No Background IP of SBL and the SBL Invention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incorporated into the Product or Manufacturing Process without the joint review and approval of both Parties and the terms of a license to use such Background IP or SBL Invention shall be agreed upon prior to such incorporation.</w:t>
      </w:r>
    </w:p>
    <w:p>
      <w:pPr>
        <w:spacing w:after="0" w:line="220"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u w:val="single" w:color="auto"/>
          <w:color w:val="auto"/>
        </w:rPr>
        <w:t>11.3.3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Client-SBL Joint Invention.</w:t>
      </w:r>
      <w:r>
        <w:rPr>
          <w:rFonts w:ascii="Times New Roman" w:cs="Times New Roman" w:eastAsia="Times New Roman" w:hAnsi="Times New Roman"/>
          <w:sz w:val="18"/>
          <w:szCs w:val="18"/>
          <w:color w:val="auto"/>
        </w:rPr>
        <w:t xml:space="preserve"> Any Invention that is conceived and first reduced to practice jointly by one or more employees, or officers of SBL (or its third party consultant or subcontractor) or their respective Affiliates, on the one hand and one or more employees, officers, agents or contractors of Client (or its Affiliates) on the other hand and which is not derived from, or arises out of either Party’s Background IP or Confidential Information or any other proprietary right of a Party or its third party vendors, contractors, or other partners or clients under or in connection with the MSA, shall be jointly owned by Client and SBL (a “</w:t>
      </w:r>
      <w:r>
        <w:rPr>
          <w:rFonts w:ascii="Times New Roman" w:cs="Times New Roman" w:eastAsia="Times New Roman" w:hAnsi="Times New Roman"/>
          <w:sz w:val="18"/>
          <w:szCs w:val="18"/>
          <w:b w:val="1"/>
          <w:bCs w:val="1"/>
          <w:color w:val="auto"/>
        </w:rPr>
        <w:t>Joint Invention</w:t>
      </w:r>
      <w:r>
        <w:rPr>
          <w:rFonts w:ascii="Times New Roman" w:cs="Times New Roman" w:eastAsia="Times New Roman" w:hAnsi="Times New Roman"/>
          <w:sz w:val="18"/>
          <w:szCs w:val="18"/>
          <w:color w:val="auto"/>
        </w:rPr>
        <w:t>”), and shall not be a Client Invention or SBL Invention for the purposes of the MSA. Subject to the terms and conditions of the MSA, any such Joint Invention may be exploited by SBL or Client without compensation and liability of other obligation (including accounting obligations) to the other Party, and each Party has a non-exclusive, royalty-free, worldwide license, with the right to sublicense, under its interest in such Joint Inventions and any Intellectual Property rights (including patents) covering the same, for any purpose; provided that in the event of sublicense, each Party shall make written notice to the other Party of the fact. This license shall continue for the life of the applicable right.</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13" w:name="page114"/>
    <w:bookmarkEnd w:id="113"/>
    <w:p>
      <w:pPr>
        <w:spacing w:after="0"/>
        <w:tabs>
          <w:tab w:leader="none" w:pos="1440" w:val="left"/>
        </w:tabs>
        <w:rPr>
          <w:sz w:val="20"/>
          <w:szCs w:val="20"/>
          <w:color w:val="auto"/>
        </w:rPr>
      </w:pPr>
      <w:r>
        <w:rPr>
          <w:rFonts w:ascii="Times New Roman" w:cs="Times New Roman" w:eastAsia="Times New Roman" w:hAnsi="Times New Roman"/>
          <w:sz w:val="18"/>
          <w:szCs w:val="18"/>
          <w:b w:val="1"/>
          <w:bCs w:val="1"/>
          <w:u w:val="single" w:color="auto"/>
          <w:color w:val="auto"/>
        </w:rPr>
        <w:t>SECTION 12</w:t>
      </w:r>
      <w:r>
        <w:rPr>
          <w:sz w:val="20"/>
          <w:szCs w:val="20"/>
          <w:color w:val="auto"/>
        </w:rPr>
        <w:tab/>
      </w:r>
      <w:r>
        <w:rPr>
          <w:rFonts w:ascii="Times New Roman" w:cs="Times New Roman" w:eastAsia="Times New Roman" w:hAnsi="Times New Roman"/>
          <w:sz w:val="16"/>
          <w:szCs w:val="16"/>
          <w:b w:val="1"/>
          <w:bCs w:val="1"/>
          <w:u w:val="single" w:color="auto"/>
          <w:color w:val="auto"/>
        </w:rPr>
        <w:t>WARRANTIES</w:t>
      </w:r>
    </w:p>
    <w:p>
      <w:pPr>
        <w:spacing w:after="0" w:line="25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u w:val="single" w:color="auto"/>
          <w:color w:val="auto"/>
        </w:rPr>
        <w:t>12.1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The Parties General Warranties.</w:t>
      </w:r>
      <w:r>
        <w:rPr>
          <w:rFonts w:ascii="Times New Roman" w:cs="Times New Roman" w:eastAsia="Times New Roman" w:hAnsi="Times New Roman"/>
          <w:sz w:val="16"/>
          <w:szCs w:val="16"/>
          <w:color w:val="auto"/>
        </w:rPr>
        <w:t xml:space="preserve"> Each Party warrants and represents that: (i) it has the corporate power and authority to enter into this MSA and has taken all necessary action on its part required to authorize the execution, delivery and performance of this Agreement; (ii) it is aware of no legal, contractual or other restriction, limitation or condition that might adversely affect its ability to enter into this MSA and perform its obligations hereunder; (iii) it is duly organized, validly existing and in good standing under the laws of the jurisdiction in which it is incorporated; (iv) this MSA (a) has been duly executed and delivered by a duly authorized representative of it, and (b) is the legal, valid and binding obligation of it, enforceable against it in accordance with its terms, except as enforceability may be limited by applicable bankruptcy, insolvency, reorganization, moratorium or other similar laws now or hereafter in effect relating to or affecting creditors’ rights generally; and (v) the execution, delivery and performance of this Agreement by it does not and will not (a) violate any Applicable Laws applicable to it, or (b) violate or conflict with any provision of its Articles of Incorporation or By-laws or other organizational documents.</w:t>
      </w:r>
    </w:p>
    <w:p>
      <w:pPr>
        <w:spacing w:after="0" w:line="19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Client’s Warranties</w:t>
      </w:r>
      <w:r>
        <w:rPr>
          <w:rFonts w:ascii="Times New Roman" w:cs="Times New Roman" w:eastAsia="Times New Roman" w:hAnsi="Times New Roman"/>
          <w:sz w:val="18"/>
          <w:szCs w:val="18"/>
          <w:color w:val="auto"/>
        </w:rPr>
        <w:t>. Client represents, warrants and covenants to SBL that as of the Effective Date of the MSA and during the Term: (a) Client will comply with all Applicable Laws, and that it will keep SBL informed of any information known to Client which would affect SBL’s provision of the Service hereunder and (c) to the best of its knowledge, SBL’s use of the Client Materials, Manufacturing Process, and Client Technology for the purpose of the Service and to the extent as set forth in the MSA will not infringe any third party’s Intellectual Property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SBL’s Warranties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SBL represents, warrants and covenants that:</w:t>
      </w:r>
    </w:p>
    <w:p>
      <w:pPr>
        <w:spacing w:after="0" w:line="254" w:lineRule="exact"/>
        <w:rPr>
          <w:sz w:val="20"/>
          <w:szCs w:val="20"/>
          <w:color w:val="auto"/>
        </w:rPr>
      </w:pPr>
    </w:p>
    <w:p>
      <w:pPr>
        <w:ind w:left="180" w:right="60"/>
        <w:spacing w:after="0" w:line="262" w:lineRule="auto"/>
        <w:rPr>
          <w:sz w:val="20"/>
          <w:szCs w:val="20"/>
          <w:color w:val="auto"/>
        </w:rPr>
      </w:pPr>
      <w:r>
        <w:rPr>
          <w:rFonts w:ascii="Times New Roman" w:cs="Times New Roman" w:eastAsia="Times New Roman" w:hAnsi="Times New Roman"/>
          <w:sz w:val="18"/>
          <w:szCs w:val="18"/>
          <w:u w:val="single" w:color="auto"/>
          <w:color w:val="auto"/>
        </w:rPr>
        <w:t>12.3.1</w:t>
      </w:r>
      <w:r>
        <w:rPr>
          <w:rFonts w:ascii="Times New Roman" w:cs="Times New Roman" w:eastAsia="Times New Roman" w:hAnsi="Times New Roman"/>
          <w:sz w:val="18"/>
          <w:szCs w:val="18"/>
          <w:color w:val="auto"/>
        </w:rPr>
        <w:t xml:space="preserve"> As of the Effective Date and during the Term, (i) SBL is the lawful owner, lessee, operator, or licensee of the Facility, equipment, machinery, as well as permissions required, to enable SBL to perform its obligations under this MSA, and (ii) to the best of SBL’s knowledge none of the SBL Inventions or SBL Background IP infringes any third party Intellectual Property Right.</w:t>
      </w:r>
    </w:p>
    <w:p>
      <w:pPr>
        <w:spacing w:after="0" w:line="213" w:lineRule="exact"/>
        <w:rPr>
          <w:sz w:val="20"/>
          <w:szCs w:val="20"/>
          <w:color w:val="auto"/>
        </w:rPr>
      </w:pPr>
    </w:p>
    <w:p>
      <w:pPr>
        <w:ind w:left="180" w:right="100"/>
        <w:spacing w:after="0" w:line="301" w:lineRule="auto"/>
        <w:rPr>
          <w:sz w:val="20"/>
          <w:szCs w:val="20"/>
          <w:color w:val="auto"/>
        </w:rPr>
      </w:pPr>
      <w:r>
        <w:rPr>
          <w:rFonts w:ascii="Times New Roman" w:cs="Times New Roman" w:eastAsia="Times New Roman" w:hAnsi="Times New Roman"/>
          <w:sz w:val="16"/>
          <w:szCs w:val="16"/>
          <w:u w:val="single" w:color="auto"/>
          <w:color w:val="auto"/>
        </w:rPr>
        <w:t>12.3.2</w:t>
      </w:r>
      <w:r>
        <w:rPr>
          <w:rFonts w:ascii="Times New Roman" w:cs="Times New Roman" w:eastAsia="Times New Roman" w:hAnsi="Times New Roman"/>
          <w:sz w:val="16"/>
          <w:szCs w:val="16"/>
          <w:color w:val="auto"/>
        </w:rPr>
        <w:t xml:space="preserve"> All Product Batches, at the time of delivery to Client’s designated carrier, shall (a) conform to the Specifications (except for Pilot Batches and Engineering Batches unless otherwise agreed); (b) be Manufactured, packaged, handled and stored in compliance with the requirements of cGMPs (except for Pilot Batches and Engineering Batches unless otherwise agreed) and all Applicable Laws; (c) comply with the Standard Operating Procedures; (d) be Manufactured in compliance with the Quality Agreement; and (e) be transferred free and clear of any liens, claims or encumbrances of any kind.</w:t>
      </w:r>
    </w:p>
    <w:p>
      <w:pPr>
        <w:spacing w:after="0" w:line="90" w:lineRule="exact"/>
        <w:rPr>
          <w:sz w:val="20"/>
          <w:szCs w:val="20"/>
          <w:color w:val="auto"/>
        </w:rPr>
      </w:pPr>
    </w:p>
    <w:p>
      <w:pPr>
        <w:ind w:left="180" w:right="140"/>
        <w:spacing w:after="0" w:line="255" w:lineRule="auto"/>
        <w:rPr>
          <w:sz w:val="20"/>
          <w:szCs w:val="20"/>
          <w:color w:val="auto"/>
        </w:rPr>
      </w:pPr>
      <w:r>
        <w:rPr>
          <w:rFonts w:ascii="Times New Roman" w:cs="Times New Roman" w:eastAsia="Times New Roman" w:hAnsi="Times New Roman"/>
          <w:sz w:val="18"/>
          <w:szCs w:val="18"/>
          <w:u w:val="single" w:color="auto"/>
          <w:color w:val="auto"/>
        </w:rPr>
        <w:t>12.3.3</w:t>
      </w:r>
      <w:r>
        <w:rPr>
          <w:rFonts w:ascii="Times New Roman" w:cs="Times New Roman" w:eastAsia="Times New Roman" w:hAnsi="Times New Roman"/>
          <w:sz w:val="18"/>
          <w:szCs w:val="18"/>
          <w:color w:val="auto"/>
        </w:rPr>
        <w:t xml:space="preserve"> (i) SBL is not nor has it ever been, and (ii) SBL has not used, and will not use, the services of any person excluded, debarred, suspended (or subject to exclusion, debarment or suspension) under 21 U.S.C. §335(a) or (b) or otherwise disqualified by Applicable Law, including, the FDA Debarment List (</w:t>
      </w:r>
      <w:r>
        <w:rPr>
          <w:rFonts w:ascii="Times New Roman" w:cs="Times New Roman" w:eastAsia="Times New Roman" w:hAnsi="Times New Roman"/>
          <w:sz w:val="18"/>
          <w:szCs w:val="18"/>
          <w:u w:val="single" w:color="auto"/>
          <w:color w:val="auto"/>
        </w:rPr>
        <w:t>http://www.fda.gov/ora/compliance_ref/debar/default.htm</w:t>
      </w:r>
      <w:r>
        <w:rPr>
          <w:rFonts w:ascii="Times New Roman" w:cs="Times New Roman" w:eastAsia="Times New Roman" w:hAnsi="Times New Roman"/>
          <w:sz w:val="18"/>
          <w:szCs w:val="18"/>
          <w:color w:val="auto"/>
        </w:rPr>
        <w:t>), as amended or replaced from time to time, in connection with any of the Services or Manufacturing performed under this MSA or any PSA. SBL agrees to notify Client promptly in the event of any violation of SBL’s obligations under this Section. This certification applies to SBL and its respective officers, agents, and employees as well as subcontractors performing on behalf of SBL under this Agreement.</w:t>
      </w:r>
    </w:p>
    <w:p>
      <w:pPr>
        <w:spacing w:after="0" w:line="124" w:lineRule="exact"/>
        <w:rPr>
          <w:sz w:val="20"/>
          <w:szCs w:val="20"/>
          <w:color w:val="auto"/>
        </w:rPr>
      </w:pPr>
    </w:p>
    <w:p>
      <w:pPr>
        <w:jc w:val="both"/>
        <w:ind w:right="360"/>
        <w:spacing w:after="0" w:line="257" w:lineRule="auto"/>
        <w:rPr>
          <w:sz w:val="20"/>
          <w:szCs w:val="20"/>
          <w:color w:val="auto"/>
        </w:rPr>
      </w:pP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 Other Warranties.</w:t>
      </w:r>
      <w:r>
        <w:rPr>
          <w:rFonts w:ascii="Times New Roman" w:cs="Times New Roman" w:eastAsia="Times New Roman" w:hAnsi="Times New Roman"/>
          <w:sz w:val="18"/>
          <w:szCs w:val="18"/>
          <w:color w:val="auto"/>
        </w:rPr>
        <w:t xml:space="preserve"> THE REPRESENTATIONS AND WARRANTIES CONTAINED IN THIS SECTION ARE EXPRESSLY IN LIEU OF AND EXCLUDE, AND THE PARTIES HEREBY EXPRESSLY DISCLAIM AND NEGATE, TO THE MAXIMUM EXTENT PERMITTED BY APPLICABLE LAWS, ALL OTHER REPRESENTATIONS AND WARRANTIES OF ANY KIND, EXPRESS OR IMPLIED (ARISING BY OPERATION OF LAW OR OTHERWISE), INCLUDING IMPLIED WARRANTIES OF MERCHANTABILITY AND FITNESS FOR A PARTICULAR PURPOSE, EVEN IF THAT PURPOSE IS KNOWN.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28" w:right="279" w:bottom="1440" w:gutter="0" w:footer="0" w:header="0"/>
        </w:sectPr>
      </w:pPr>
    </w:p>
    <w:bookmarkStart w:id="114" w:name="page115"/>
    <w:bookmarkEnd w:id="114"/>
    <w:p>
      <w:pPr>
        <w:spacing w:after="0"/>
        <w:tabs>
          <w:tab w:leader="none" w:pos="1340" w:val="left"/>
        </w:tabs>
        <w:rPr>
          <w:sz w:val="20"/>
          <w:szCs w:val="20"/>
          <w:color w:val="auto"/>
        </w:rPr>
      </w:pPr>
      <w:r>
        <w:rPr>
          <w:rFonts w:ascii="Times New Roman" w:cs="Times New Roman" w:eastAsia="Times New Roman" w:hAnsi="Times New Roman"/>
          <w:sz w:val="18"/>
          <w:szCs w:val="18"/>
          <w:b w:val="1"/>
          <w:bCs w:val="1"/>
          <w:u w:val="single" w:color="auto"/>
          <w:color w:val="auto"/>
        </w:rPr>
        <w:t>SECTION 13</w:t>
      </w:r>
      <w:r>
        <w:rPr>
          <w:sz w:val="20"/>
          <w:szCs w:val="20"/>
          <w:color w:val="auto"/>
        </w:rPr>
        <w:tab/>
      </w:r>
      <w:r>
        <w:rPr>
          <w:rFonts w:ascii="Times New Roman" w:cs="Times New Roman" w:eastAsia="Times New Roman" w:hAnsi="Times New Roman"/>
          <w:sz w:val="16"/>
          <w:szCs w:val="16"/>
          <w:b w:val="1"/>
          <w:bCs w:val="1"/>
          <w:u w:val="single" w:color="auto"/>
          <w:color w:val="auto"/>
        </w:rPr>
        <w:t>INDEMNIFICATION</w:t>
      </w:r>
    </w:p>
    <w:p>
      <w:pPr>
        <w:spacing w:after="0" w:line="252"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6"/>
          <w:szCs w:val="16"/>
          <w:u w:val="single" w:color="auto"/>
          <w:color w:val="auto"/>
        </w:rPr>
        <w:t>13.1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Indemnification by SBL.</w:t>
      </w:r>
      <w:r>
        <w:rPr>
          <w:rFonts w:ascii="Times New Roman" w:cs="Times New Roman" w:eastAsia="Times New Roman" w:hAnsi="Times New Roman"/>
          <w:sz w:val="16"/>
          <w:szCs w:val="16"/>
          <w:color w:val="auto"/>
        </w:rPr>
        <w:t xml:space="preserve"> SBL shall indemnify and hold harmless Client, its Affiliates, and their respective officers, directors, employees or agents from and against any Damages arising or resulting from any third party (which shall exclude Client Affiliates) claims to the extent such Damages are relating to, arising out of, in connection with, or resulting from claims, demands, or actions based upon (i) gross negligence or willful misconduct; (ii) breach of the MSA or any PSA; (iii) violation of Applicable Law, in the case of clauses (i) through (iii) of or by SBL or its officers, directors, employees or agents, including any subcontractor or vendor used in the Manufacture of Product, or (iv) any claim that SBL’s use of SBL Background IP infringes any third party’s Intellectual Property rights, except to the extent that such Damages are caused by the causes as set forth in Section 13.2 for which Client is obliged to indemnify.</w:t>
      </w:r>
    </w:p>
    <w:p>
      <w:pPr>
        <w:spacing w:after="0" w:line="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Indemnification by Client.</w:t>
      </w:r>
      <w:r>
        <w:rPr>
          <w:rFonts w:ascii="Times New Roman" w:cs="Times New Roman" w:eastAsia="Times New Roman" w:hAnsi="Times New Roman"/>
          <w:sz w:val="18"/>
          <w:szCs w:val="18"/>
          <w:color w:val="auto"/>
        </w:rPr>
        <w:t xml:space="preserve"> Client shall indemnify and hold harmless SBL, its Affiliates, and their respective officers, directors, employees or agents from and against any Damages arising or resulting from any third party (which shall exclude SBL Affiliates) claims to the extent such Damages are relating to, arising out of, in connection with, or resulting from claims, demands or actions based upon (i) gross negligence or willful misconduct, (ii) any claim that SBL’s use of the Client Materials, Manufacturing Process, and Client Technology for the purpose of the Services and solely to the extent as set forth in the MSA infringes any third party’s Intellectual Property rights, (iii) breach of the MSA or any PSA, or (iv) violation of Applicable Law, in each case except to the extent that such Damages are caused by the causes as set forth in Section 13.1 for which SBL is obliged to indemnify and in the case of clauses (i), (iii), and (iv) of or by Client or its officers, directors, employees, or agents.</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Indemnification Procedure.</w:t>
      </w:r>
      <w:r>
        <w:rPr>
          <w:rFonts w:ascii="Times New Roman" w:cs="Times New Roman" w:eastAsia="Times New Roman" w:hAnsi="Times New Roman"/>
          <w:sz w:val="18"/>
          <w:szCs w:val="18"/>
          <w:color w:val="auto"/>
        </w:rPr>
        <w:t xml:space="preserve"> The foregoing indemnification by SBL or Client shall be conditioned, if and to the extent Damages are based on or related to a third party claim, upon a Party who intends to claim indemnification under Sections 13.1 and 13.2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(i) providing written notice to the other Party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within twenty (20) calendar days after the Indemnified Party have been given written notice of such third party claim, provided that absence or delay of such prior written notice will not relieve the Indemnifying Party of its obligation to indemnify except to the extent such absence or delay materially prejudices the Indemnifying Party’s ability to defend the third party claim; (ii) permitting the Indemnifying Party, upon timely notice by the Indemnified Party, the opportunity to assume full responsibility (at the Indemnifying Party’s cost and expense) for the investigation and defense of any such claim with counsel reasonably satisfactory to the Indemnified Party,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the Indemnifying Party shall keep the Indemnified Party informed as to the progress of the defense of any claim and that the Indemnified Party shall cooperate in such defense and shall make available all records, materials and witness reasonably requested by the Indemnifying Party in connection therewith; and (iii) not settling or compromising any such claim without the Indemnifying Party’s prior written consent, with such consent not to be unreasonably denied, withheld or conditioned. Furthermore, the Indemnifying Party shall not settle or compromise any such claim without the Indemnified Party’s prior written consent; provided, however, no such consent shall be required if such settlement or compromise involves only the payment of money, does not require a finding or admission of fault or guild on the party of the Indemnified Party, and provides for a general release of the Indemnified Party.</w:t>
      </w:r>
    </w:p>
    <w:p>
      <w:pPr>
        <w:spacing w:after="0" w:line="22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u w:val="single" w:color="auto"/>
          <w:color w:val="auto"/>
        </w:rPr>
        <w:t>SECTION 14</w:t>
      </w:r>
      <w:r>
        <w:rPr>
          <w:sz w:val="20"/>
          <w:szCs w:val="20"/>
          <w:color w:val="auto"/>
        </w:rPr>
        <w:tab/>
      </w:r>
      <w:r>
        <w:rPr>
          <w:rFonts w:ascii="Times New Roman" w:cs="Times New Roman" w:eastAsia="Times New Roman" w:hAnsi="Times New Roman"/>
          <w:sz w:val="16"/>
          <w:szCs w:val="16"/>
          <w:b w:val="1"/>
          <w:bCs w:val="1"/>
          <w:u w:val="single" w:color="auto"/>
          <w:color w:val="auto"/>
        </w:rPr>
        <w:t>DISCLAIMER OF CONSEQUENTIAL DAMAGES: LIMITATION OF LIABILITY</w:t>
      </w:r>
    </w:p>
    <w:p>
      <w:pPr>
        <w:spacing w:after="0" w:line="252"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6"/>
          <w:szCs w:val="16"/>
          <w:u w:val="single" w:color="auto"/>
          <w:color w:val="auto"/>
        </w:rPr>
        <w:t>14.1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Disclaimer of Consequential Damages.</w:t>
      </w:r>
      <w:r>
        <w:rPr>
          <w:rFonts w:ascii="Times New Roman" w:cs="Times New Roman" w:eastAsia="Times New Roman" w:hAnsi="Times New Roman"/>
          <w:sz w:val="16"/>
          <w:szCs w:val="16"/>
          <w:color w:val="auto"/>
        </w:rPr>
        <w:t xml:space="preserve"> EXCEPT FOR DAMAGES BASED ON OR RELATED TO A THIRD PARTY CLAIM ARISING UNDER SECTIONS 13.1 AND 13.2, OR BASED ON GROSS NEGLIGENCE OR WILLFUL MISCONDUCT, NEITHER PARTY WILL BE LIABLE UNDER THIS AGREEMENT FOR ANY SPECIAL, PUNITIVE, CONSEQUENTIAL, INCIDENTAL OR OTHER INDIRECT DAMAGES OF ANY TYPE OR NATURE, WHETHER BASED IN CONTRACT, TORT, STRICT LIABILITY, NEGLIGENCE OR OTHERWISE, INCLUDING LOSS OF PROFITS OR REVENUES.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xml:space="preserve"> Specific caps on Damages shall be set forth in the applicable PSA.</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115" w:name="page116"/>
    <w:bookmarkEnd w:id="115"/>
    <w:p>
      <w:pPr>
        <w:spacing w:after="0"/>
        <w:tabs>
          <w:tab w:leader="none" w:pos="1220" w:val="left"/>
        </w:tabs>
        <w:rPr>
          <w:sz w:val="20"/>
          <w:szCs w:val="20"/>
          <w:color w:val="auto"/>
        </w:rPr>
      </w:pPr>
      <w:r>
        <w:rPr>
          <w:rFonts w:ascii="Times New Roman" w:cs="Times New Roman" w:eastAsia="Times New Roman" w:hAnsi="Times New Roman"/>
          <w:sz w:val="18"/>
          <w:szCs w:val="18"/>
          <w:b w:val="1"/>
          <w:bCs w:val="1"/>
          <w:u w:val="single" w:color="auto"/>
          <w:color w:val="auto"/>
        </w:rPr>
        <w:t>SECTION 15</w:t>
      </w:r>
      <w:r>
        <w:rPr>
          <w:sz w:val="20"/>
          <w:szCs w:val="20"/>
          <w:color w:val="auto"/>
        </w:rPr>
        <w:tab/>
      </w:r>
      <w:r>
        <w:rPr>
          <w:rFonts w:ascii="Times New Roman" w:cs="Times New Roman" w:eastAsia="Times New Roman" w:hAnsi="Times New Roman"/>
          <w:sz w:val="16"/>
          <w:szCs w:val="16"/>
          <w:b w:val="1"/>
          <w:bCs w:val="1"/>
          <w:u w:val="single" w:color="auto"/>
          <w:color w:val="auto"/>
        </w:rPr>
        <w:t>TERM AND TERMINATION OF AGREEMENT</w:t>
      </w:r>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15.1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xml:space="preserve"> This MSA will become effective as of the Effective Date and will be in effect for as long as a PSA is in effect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Each PSA will have its own initial term as stated therein. Each PSA for clinical supply shall automatically renew for successive terms of one (1) year each or upon execution of a PSA for commercial supply, whichever is earlier, and each PSA for commercial supply, including supply of stocking inventories in advance of Regulatory Approval, shall automatically renew for successive terms of three (3) years each, unless a Party gives written notice to the other Party of its intention to not renew a PSA for clinical supply ninety (90) days prior to the end of the then current PSA term, or a Party gives written notice to the other Party of its intention to not renew a PSA for commercial supply thirty-six (36) months prior to the end of the then current PSA term.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MSA or a PSA may be earlier terminated as set forth in this Section 15.2.</w:t>
      </w:r>
    </w:p>
    <w:p>
      <w:pPr>
        <w:spacing w:after="0" w:line="252" w:lineRule="exact"/>
        <w:rPr>
          <w:sz w:val="20"/>
          <w:szCs w:val="20"/>
          <w:color w:val="auto"/>
        </w:rPr>
      </w:pPr>
    </w:p>
    <w:p>
      <w:pPr>
        <w:ind w:left="180" w:right="160"/>
        <w:spacing w:after="0" w:line="259" w:lineRule="auto"/>
        <w:rPr>
          <w:sz w:val="20"/>
          <w:szCs w:val="20"/>
          <w:color w:val="auto"/>
        </w:rPr>
      </w:pPr>
      <w:r>
        <w:rPr>
          <w:rFonts w:ascii="Times New Roman" w:cs="Times New Roman" w:eastAsia="Times New Roman" w:hAnsi="Times New Roman"/>
          <w:sz w:val="18"/>
          <w:szCs w:val="18"/>
          <w:u w:val="single" w:color="auto"/>
          <w:color w:val="auto"/>
        </w:rPr>
        <w:t>15.2.1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Material Breach</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 Party may terminate any PSA for a material breach by the other Party; provided, however, that the non-breaching Party shall give the breaching Party written notice of such breach and if the breaching Party fails to commence Commercially Reasonable Efforts to cure that breach within twenty (20) Business Days after receipt of such written notice, then the non-breaching Party may terminate this Agreement on twenty (20) Business Days’ written notice after expiration of such twenty (20) Business Day period. This MSA shall terminate if all effective PSAs are terminated.</w:t>
      </w:r>
    </w:p>
    <w:p>
      <w:pPr>
        <w:spacing w:after="0" w:line="187" w:lineRule="exact"/>
        <w:rPr>
          <w:sz w:val="20"/>
          <w:szCs w:val="20"/>
          <w:color w:val="auto"/>
        </w:rPr>
      </w:pPr>
    </w:p>
    <w:p>
      <w:pPr>
        <w:ind w:left="180" w:right="100"/>
        <w:spacing w:after="0" w:line="257" w:lineRule="auto"/>
        <w:rPr>
          <w:sz w:val="20"/>
          <w:szCs w:val="20"/>
          <w:color w:val="auto"/>
        </w:rPr>
      </w:pPr>
      <w:r>
        <w:rPr>
          <w:rFonts w:ascii="Times New Roman" w:cs="Times New Roman" w:eastAsia="Times New Roman" w:hAnsi="Times New Roman"/>
          <w:sz w:val="18"/>
          <w:szCs w:val="18"/>
          <w:u w:val="single" w:color="auto"/>
          <w:color w:val="auto"/>
        </w:rPr>
        <w:t>15.2.2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Insolvency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MSA may be terminated by either Party upon written notice at any time during the MSA if the other Party: (a) files in any court pursuant to any statute a petition in bankruptcy or insolvency or for reorganization or for an arrangement or for the appointment of a receiver or trustee of such Party, or of its assets; (b) proposes a written agreement of composition for extension of its debts; (c) is served with an involuntary petition against it, filed in any insolvency proceeding which is admitted in the court; or (d) makes an assignment for the benefit of its creditors. The Party affected shall immediately notify the other Party in writing of the occurrence of any of the foregoing events.</w:t>
      </w:r>
    </w:p>
    <w:p>
      <w:pPr>
        <w:spacing w:after="0" w:line="121" w:lineRule="exact"/>
        <w:rPr>
          <w:sz w:val="20"/>
          <w:szCs w:val="20"/>
          <w:color w:val="auto"/>
        </w:rPr>
      </w:pPr>
    </w:p>
    <w:p>
      <w:pPr>
        <w:ind w:left="180"/>
        <w:spacing w:after="0" w:line="277" w:lineRule="auto"/>
        <w:rPr>
          <w:sz w:val="20"/>
          <w:szCs w:val="20"/>
          <w:color w:val="auto"/>
        </w:rPr>
      </w:pPr>
      <w:r>
        <w:rPr>
          <w:rFonts w:ascii="Times New Roman" w:cs="Times New Roman" w:eastAsia="Times New Roman" w:hAnsi="Times New Roman"/>
          <w:sz w:val="18"/>
          <w:szCs w:val="18"/>
          <w:u w:val="single" w:color="auto"/>
          <w:color w:val="auto"/>
        </w:rPr>
        <w:t>15.2.3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Either Party may terminate a PSA in accordance with Section 17.3 in the event a Party is unable to perform its obligations pursuant to a PSA due to a Force Majeure Event.</w:t>
      </w:r>
    </w:p>
    <w:p>
      <w:pPr>
        <w:spacing w:after="0" w:line="170" w:lineRule="exact"/>
        <w:rPr>
          <w:sz w:val="20"/>
          <w:szCs w:val="20"/>
          <w:color w:val="auto"/>
        </w:rPr>
      </w:pPr>
    </w:p>
    <w:p>
      <w:pPr>
        <w:ind w:left="180" w:right="60" w:firstLine="34"/>
        <w:spacing w:after="0" w:line="255" w:lineRule="auto"/>
        <w:rPr>
          <w:sz w:val="20"/>
          <w:szCs w:val="20"/>
          <w:color w:val="auto"/>
        </w:rPr>
      </w:pPr>
      <w:r>
        <w:rPr>
          <w:rFonts w:ascii="Times New Roman" w:cs="Times New Roman" w:eastAsia="Times New Roman" w:hAnsi="Times New Roman"/>
          <w:sz w:val="18"/>
          <w:szCs w:val="18"/>
          <w:u w:val="single" w:color="auto"/>
          <w:color w:val="auto"/>
        </w:rPr>
        <w:t>15.2.4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Import Failure</w:t>
      </w:r>
      <w:r>
        <w:rPr>
          <w:rFonts w:ascii="Times New Roman" w:cs="Times New Roman" w:eastAsia="Times New Roman" w:hAnsi="Times New Roman"/>
          <w:sz w:val="18"/>
          <w:szCs w:val="18"/>
          <w:color w:val="auto"/>
        </w:rPr>
        <w:t xml:space="preserve">. Client shall be entitled to terminate a PSA upon twenty (20) Business Days’ notice to SBL, if, despite the efforts of SBL pursuant to Section 5.4.1, Client Material destined for use in connection with the Services have been prohibited from entry into the Republic of South Korea by the Korean Custom Service. Such termination right shall only exist if such Client Materials have been denied entry and shall not be implicated by mere delays in the importation process. If such termination relates to efforts to import into the Republic of Korea Client Materials for the initial Batch of a Product under a PSA, the applicable PSA shall be deemed to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without further cost or expense to either Party; provided, however, the Party’s thereafter shall reasonably cooperate with regard to disposition of such Client Materials at the cost of Client.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15.2.5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Other Specified Events</w:t>
      </w:r>
      <w:r>
        <w:rPr>
          <w:rFonts w:ascii="Times New Roman" w:cs="Times New Roman" w:eastAsia="Times New Roman" w:hAnsi="Times New Roman"/>
          <w:sz w:val="18"/>
          <w:szCs w:val="18"/>
          <w:color w:val="auto"/>
        </w:rPr>
        <w:t>. The Parties may additionally terminate a PSA as set forth in the applicable PSA.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xml:space="preserve">15.3 </w:t>
      </w:r>
      <w:r>
        <w:rPr>
          <w:rFonts w:ascii="Times New Roman" w:cs="Times New Roman" w:eastAsia="Times New Roman" w:hAnsi="Times New Roman"/>
          <w:sz w:val="18"/>
          <w:szCs w:val="18"/>
          <w:b w:val="1"/>
          <w:bCs w:val="1"/>
          <w:u w:val="single" w:color="auto"/>
          <w:color w:val="auto"/>
        </w:rPr>
        <w:t>Effect of Expiration or Termination</w:t>
      </w:r>
      <w:r>
        <w:rPr>
          <w:rFonts w:ascii="Times New Roman" w:cs="Times New Roman" w:eastAsia="Times New Roman" w:hAnsi="Times New Roman"/>
          <w:sz w:val="18"/>
          <w:szCs w:val="18"/>
          <w:u w:val="single" w:color="auto"/>
          <w:color w:val="auto"/>
        </w:rPr>
        <w:t>.</w:t>
      </w:r>
    </w:p>
    <w:p>
      <w:pPr>
        <w:spacing w:after="0" w:line="158" w:lineRule="exact"/>
        <w:rPr>
          <w:sz w:val="20"/>
          <w:szCs w:val="20"/>
          <w:color w:val="auto"/>
        </w:rPr>
      </w:pPr>
    </w:p>
    <w:p>
      <w:pPr>
        <w:ind w:left="180" w:right="20"/>
        <w:spacing w:after="0" w:line="264" w:lineRule="auto"/>
        <w:rPr>
          <w:sz w:val="20"/>
          <w:szCs w:val="20"/>
          <w:color w:val="auto"/>
        </w:rPr>
      </w:pPr>
      <w:r>
        <w:rPr>
          <w:rFonts w:ascii="Times New Roman" w:cs="Times New Roman" w:eastAsia="Times New Roman" w:hAnsi="Times New Roman"/>
          <w:sz w:val="18"/>
          <w:szCs w:val="18"/>
          <w:u w:val="single" w:color="auto"/>
          <w:color w:val="auto"/>
        </w:rPr>
        <w:t>15.3.1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Payment of Amounts Due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Expiration or termination of the MSA or PSA for any reason shall not exempt any Party from paying to any other Party any amounts owing to such Party at the time of such expiration or termination; provided, however, with respect to a termination deemed to be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up-front fee paid to SBL shall not be deemed earned and shall be returned to Client.</w:t>
      </w:r>
    </w:p>
    <w:p>
      <w:pPr>
        <w:spacing w:after="0" w:line="114" w:lineRule="exact"/>
        <w:rPr>
          <w:sz w:val="20"/>
          <w:szCs w:val="20"/>
          <w:color w:val="auto"/>
        </w:rPr>
      </w:pPr>
    </w:p>
    <w:p>
      <w:pPr>
        <w:ind w:left="180" w:right="140"/>
        <w:spacing w:after="0" w:line="264" w:lineRule="auto"/>
        <w:rPr>
          <w:sz w:val="20"/>
          <w:szCs w:val="20"/>
          <w:color w:val="auto"/>
        </w:rPr>
      </w:pPr>
      <w:r>
        <w:rPr>
          <w:rFonts w:ascii="Times New Roman" w:cs="Times New Roman" w:eastAsia="Times New Roman" w:hAnsi="Times New Roman"/>
          <w:sz w:val="18"/>
          <w:szCs w:val="18"/>
          <w:u w:val="single" w:color="auto"/>
          <w:color w:val="auto"/>
        </w:rPr>
        <w:t>15.3.2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Decommissioning</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Upon expiration or termination of a PSA for any reason, SBL shall cease and refrain from the Services described in any applicable PSA (including the Manufacturing and supplying the Product) for Client unless otherwise provided in the following Sections 15.3.2(a) to 15.3.2(d), and both Parties shall pursue decommissioning activities as set forth hereunder.</w:t>
      </w:r>
    </w:p>
    <w:p>
      <w:pPr>
        <w:spacing w:after="0" w:line="181" w:lineRule="exact"/>
        <w:rPr>
          <w:sz w:val="20"/>
          <w:szCs w:val="20"/>
          <w:color w:val="auto"/>
        </w:rPr>
      </w:pPr>
    </w:p>
    <w:p>
      <w:pPr>
        <w:ind w:left="740" w:hanging="246"/>
        <w:spacing w:after="0"/>
        <w:tabs>
          <w:tab w:leader="none" w:pos="7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Fully Manufactured Product.</w:t>
      </w:r>
    </w:p>
    <w:p>
      <w:pPr>
        <w:spacing w:after="0" w:line="159" w:lineRule="exact"/>
        <w:rPr>
          <w:rFonts w:ascii="Times New Roman" w:cs="Times New Roman" w:eastAsia="Times New Roman" w:hAnsi="Times New Roman"/>
          <w:sz w:val="18"/>
          <w:szCs w:val="18"/>
          <w:b w:val="1"/>
          <w:bCs w:val="1"/>
          <w:color w:val="auto"/>
        </w:rPr>
      </w:pPr>
    </w:p>
    <w:p>
      <w:pPr>
        <w:jc w:val="both"/>
        <w:ind w:left="820" w:right="120" w:hanging="2"/>
        <w:spacing w:after="0" w:line="264" w:lineRule="auto"/>
        <w:tabs>
          <w:tab w:leader="none" w:pos="103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Client terminates a PSA pursuant to Section 15.2.1, 15.2.2, 15.2.3, 15.2.4 or 15.2.5, upon Client’s election, SBL shall (i) deliver already fully Manufactured Product to Client in accordance with the terms and conditions of the MSA and applicable PSA or (ii) destroy such Product. If Client elected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above, Client shall pay the Service Fees and any related costs or fees for the Service relating to such Product in accordance with the terms and conditions of the MSA and applicable PSA, and if Client elected (ii) above, SBL shall bear the costs and expenses for such destruction, except in the case of Section 15.2.4 or Section 15.2.5 for which destruction Client shall pay the cost.</w:t>
      </w:r>
    </w:p>
    <w:p>
      <w:pPr>
        <w:spacing w:after="0" w:line="185" w:lineRule="exact"/>
        <w:rPr>
          <w:rFonts w:ascii="Times New Roman" w:cs="Times New Roman" w:eastAsia="Times New Roman" w:hAnsi="Times New Roman"/>
          <w:sz w:val="18"/>
          <w:szCs w:val="18"/>
          <w:color w:val="auto"/>
        </w:rPr>
      </w:pPr>
    </w:p>
    <w:p>
      <w:pPr>
        <w:ind w:left="820" w:right="100" w:hanging="2"/>
        <w:spacing w:after="0" w:line="255" w:lineRule="auto"/>
        <w:tabs>
          <w:tab w:leader="none" w:pos="107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SBL terminates a PSA pursuant to Section 15.2.1, 15.2.2, 15.2.3, or 15.2.5, upon SBL’s election, SBL may (i) deliver the fully Manufactured Product to Client in accordance with the terms and conditions of the MSA and applicable PSA (including the current Firm Period period or Binding Year in the PSA) or (ii) destroy such Product. If SBL elected (i) above, Client shall pay the Service Fee and any related costs or fees for the Service relating to such Product in accordance with the terms and conditions of the MSA and applicable PSA, and if SBL elected (ii) above, Client shall bear the costs and expenses for such destruction and the costs incurred by SBL for the Service; provided, however, such costs and expenses to be borne by Client shall in no event exceed the Service Fee for the Service relating to such Product.</w:t>
      </w:r>
    </w:p>
    <w:p>
      <w:pPr>
        <w:spacing w:after="0" w:line="193"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PSA is naturally expired pursuant to Section 15.1, the provisions of (ii) above shall apply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16" w:name="page117"/>
    <w:bookmarkEnd w:id="116"/>
    <w:p>
      <w:pPr>
        <w:ind w:left="266" w:hanging="266"/>
        <w:spacing w:after="0"/>
        <w:tabs>
          <w:tab w:leader="none" w:pos="266"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Client Materials being used for the Service (Product in Process).</w:t>
      </w:r>
    </w:p>
    <w:p>
      <w:pPr>
        <w:spacing w:after="0" w:line="159" w:lineRule="exact"/>
        <w:rPr>
          <w:rFonts w:ascii="Times New Roman" w:cs="Times New Roman" w:eastAsia="Times New Roman" w:hAnsi="Times New Roman"/>
          <w:sz w:val="18"/>
          <w:szCs w:val="18"/>
          <w:b w:val="1"/>
          <w:bCs w:val="1"/>
          <w:color w:val="auto"/>
        </w:rPr>
      </w:pPr>
    </w:p>
    <w:p>
      <w:pPr>
        <w:ind w:left="326" w:hanging="2"/>
        <w:spacing w:after="0" w:line="287" w:lineRule="auto"/>
        <w:tabs>
          <w:tab w:leader="none" w:pos="535" w:val="left"/>
        </w:tabs>
        <w:numPr>
          <w:ilvl w:val="2"/>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Client terminates a PSA pursuant to Section 15.2.1, 15.2.2, 15.2.3, 15.2.4, or 15.2.5, upon Client’s election, SBL shall (i) continue to use the Client Materials being used for the Manufacturing hereunder (the Product in process) and deliver the fully Manufactured Product to Client in accordance with the terms and conditions of the MSA and applicable PSA, or (ii) deliver to Client or destroy such Product in process. If Client elected</w:t>
      </w:r>
    </w:p>
    <w:p>
      <w:pPr>
        <w:ind w:left="326" w:right="120" w:hanging="2"/>
        <w:spacing w:after="0" w:line="255" w:lineRule="auto"/>
        <w:tabs>
          <w:tab w:leader="none" w:pos="535"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Client shall pay the Service Fee and any related costs or fees for the Service relating to the fully Manufactured Product in accordance with the terms and conditions of the MSA and applicable PSA, and if Client elected (ii) above, SBL shall bear the costs and expenses for such activities except in the case of Section 15.2.4 or Section 15.2.5 for which destruction Client shall pay the cost.</w:t>
      </w:r>
    </w:p>
    <w:p>
      <w:pPr>
        <w:spacing w:after="0" w:line="219" w:lineRule="exact"/>
        <w:rPr>
          <w:rFonts w:ascii="Times New Roman" w:cs="Times New Roman" w:eastAsia="Times New Roman" w:hAnsi="Times New Roman"/>
          <w:sz w:val="18"/>
          <w:szCs w:val="18"/>
          <w:color w:val="auto"/>
        </w:rPr>
      </w:pPr>
    </w:p>
    <w:p>
      <w:pPr>
        <w:ind w:left="326" w:right="40" w:hanging="2"/>
        <w:spacing w:after="0" w:line="264" w:lineRule="auto"/>
        <w:tabs>
          <w:tab w:leader="none" w:pos="584"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SBL terminates a PSA pursuant to Section 15.2.1, 15.2.2, 15.2.3, or 15.2.5, upon SBL’s election, SBL may (i) continue to use the Client Materials being used for the Manufacturing hereunder (the Product in process) and deliver the fully Manufactured Product to Client in accordance with the terms and conditions of the MSA and applicable PSA, or (ii) destroy such Product in process. If SBL elected (i) above, Client shall pay the Service Fee and any related costs or fees for the Service relating to the fully Manufactured Product in accordance with the terms and conditions of the MSA, and if SBL elected (ii) above, Client shall bear the costs and expenses for such activities.</w:t>
      </w:r>
    </w:p>
    <w:p>
      <w:pPr>
        <w:spacing w:after="0" w:line="212" w:lineRule="exact"/>
        <w:rPr>
          <w:rFonts w:ascii="Times New Roman" w:cs="Times New Roman" w:eastAsia="Times New Roman" w:hAnsi="Times New Roman"/>
          <w:sz w:val="18"/>
          <w:szCs w:val="18"/>
          <w:color w:val="auto"/>
        </w:rPr>
      </w:pPr>
    </w:p>
    <w:p>
      <w:pPr>
        <w:ind w:left="626" w:hanging="302"/>
        <w:spacing w:after="0"/>
        <w:tabs>
          <w:tab w:leader="none" w:pos="626"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PSA is naturally expired pursuant to Section 15.1, the provisions of (ii) above shall apply.</w:t>
      </w:r>
    </w:p>
    <w:p>
      <w:pPr>
        <w:spacing w:after="0" w:line="250" w:lineRule="exact"/>
        <w:rPr>
          <w:rFonts w:ascii="Times New Roman" w:cs="Times New Roman" w:eastAsia="Times New Roman" w:hAnsi="Times New Roman"/>
          <w:sz w:val="18"/>
          <w:szCs w:val="18"/>
          <w:color w:val="auto"/>
        </w:rPr>
      </w:pPr>
    </w:p>
    <w:p>
      <w:pPr>
        <w:ind w:left="6" w:right="20" w:firstLine="92"/>
        <w:spacing w:after="0" w:line="264" w:lineRule="auto"/>
        <w:tabs>
          <w:tab w:leader="none" w:pos="342"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Client Materials, Cell Line, and Reference Standards. </w:t>
      </w:r>
      <w:r>
        <w:rPr>
          <w:rFonts w:ascii="Times New Roman" w:cs="Times New Roman" w:eastAsia="Times New Roman" w:hAnsi="Times New Roman"/>
          <w:sz w:val="18"/>
          <w:szCs w:val="18"/>
          <w:color w:val="auto"/>
        </w:rPr>
        <w:t>Upon expiration or termination of a PSA, upon Client’s election, SBL shall deliver to Client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destroy all remaining Client Materials (subject to Sections 15.3.2(a) and 15.3.2(b)), all remaining Cell Line vials, Reference Standards and other materials required for Manufacturing.</w:t>
      </w:r>
    </w:p>
    <w:p>
      <w:pPr>
        <w:spacing w:after="0" w:line="183"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The costs and expenses for such activities shall be borne by the Parties as follows:</w:t>
      </w:r>
    </w:p>
    <w:p>
      <w:pPr>
        <w:spacing w:after="0" w:line="252" w:lineRule="exact"/>
        <w:rPr>
          <w:sz w:val="20"/>
          <w:szCs w:val="20"/>
          <w:color w:val="auto"/>
        </w:rPr>
      </w:pPr>
    </w:p>
    <w:p>
      <w:pPr>
        <w:ind w:left="326" w:right="40" w:hanging="2"/>
        <w:spacing w:after="0" w:line="275" w:lineRule="auto"/>
        <w:tabs>
          <w:tab w:leader="none" w:pos="5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terminates the PSA pursuant to Section 15.2.1, 15.2.2 or 15.2.3, SBL shall deliver or dispose at no additional cost to Client and SBL shall bear such costs and expenses for such activities;</w:t>
      </w:r>
    </w:p>
    <w:p>
      <w:pPr>
        <w:spacing w:after="0" w:line="173" w:lineRule="exact"/>
        <w:rPr>
          <w:rFonts w:ascii="Times New Roman" w:cs="Times New Roman" w:eastAsia="Times New Roman" w:hAnsi="Times New Roman"/>
          <w:sz w:val="18"/>
          <w:szCs w:val="18"/>
          <w:color w:val="auto"/>
        </w:rPr>
      </w:pPr>
    </w:p>
    <w:p>
      <w:pPr>
        <w:ind w:left="326" w:right="60" w:hanging="2"/>
        <w:spacing w:after="0" w:line="275" w:lineRule="auto"/>
        <w:tabs>
          <w:tab w:leader="none" w:pos="58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SBL terminates the PSA pursuant to Section 15.2.1, 15.2.2, 15.2.3, or 15.2.5, or Client terminates the PSA pursuant to Section 15.2.4 or 15.2.5, Client shall bear such costs and expenses for such activities;</w:t>
      </w:r>
    </w:p>
    <w:p>
      <w:pPr>
        <w:spacing w:after="0" w:line="200" w:lineRule="exact"/>
        <w:rPr>
          <w:rFonts w:ascii="Times New Roman" w:cs="Times New Roman" w:eastAsia="Times New Roman" w:hAnsi="Times New Roman"/>
          <w:sz w:val="18"/>
          <w:szCs w:val="18"/>
          <w:color w:val="auto"/>
        </w:rPr>
      </w:pPr>
    </w:p>
    <w:p>
      <w:pPr>
        <w:ind w:left="626" w:hanging="302"/>
        <w:spacing w:after="0"/>
        <w:tabs>
          <w:tab w:leader="none" w:pos="62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PSA is naturally expired pursuant to Section 15.1, the provisions of (ii) above shall reply.</w:t>
      </w:r>
    </w:p>
    <w:p>
      <w:pPr>
        <w:spacing w:after="0" w:line="250" w:lineRule="exact"/>
        <w:rPr>
          <w:rFonts w:ascii="Times New Roman" w:cs="Times New Roman" w:eastAsia="Times New Roman" w:hAnsi="Times New Roman"/>
          <w:sz w:val="18"/>
          <w:szCs w:val="18"/>
          <w:color w:val="auto"/>
        </w:rPr>
      </w:pPr>
    </w:p>
    <w:p>
      <w:pPr>
        <w:ind w:left="266" w:hanging="266"/>
        <w:spacing w:after="0"/>
        <w:tabs>
          <w:tab w:leader="none" w:pos="266"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Raw Materials.</w:t>
      </w:r>
    </w:p>
    <w:p>
      <w:pPr>
        <w:spacing w:after="0" w:line="254" w:lineRule="exact"/>
        <w:rPr>
          <w:rFonts w:ascii="Times New Roman" w:cs="Times New Roman" w:eastAsia="Times New Roman" w:hAnsi="Times New Roman"/>
          <w:sz w:val="18"/>
          <w:szCs w:val="18"/>
          <w:b w:val="1"/>
          <w:bCs w:val="1"/>
          <w:color w:val="auto"/>
        </w:rPr>
      </w:pPr>
    </w:p>
    <w:p>
      <w:pPr>
        <w:ind w:left="326" w:right="260" w:hanging="2"/>
        <w:spacing w:after="0" w:line="262" w:lineRule="auto"/>
        <w:tabs>
          <w:tab w:leader="none" w:pos="53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terminates a PSA pursuant to Section 15.2.1, 15.2.2 or 15.2.3 and if Client so elects, SBL shall deliver the remaining Raw Materials to Client for Client’s payment of SBL’s cost to procure such Raw Materials, or dispose of them at Client’s election. SBL shall bear the costs and expenses for the delivery of the Raw Materials.</w:t>
      </w:r>
    </w:p>
    <w:p>
      <w:pPr>
        <w:spacing w:after="0" w:line="118" w:lineRule="exact"/>
        <w:rPr>
          <w:rFonts w:ascii="Times New Roman" w:cs="Times New Roman" w:eastAsia="Times New Roman" w:hAnsi="Times New Roman"/>
          <w:sz w:val="18"/>
          <w:szCs w:val="18"/>
          <w:color w:val="auto"/>
        </w:rPr>
      </w:pPr>
    </w:p>
    <w:p>
      <w:pPr>
        <w:ind w:left="326" w:right="20" w:hanging="2"/>
        <w:spacing w:after="0" w:line="262" w:lineRule="auto"/>
        <w:tabs>
          <w:tab w:leader="none" w:pos="58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SBL terminates a PSA pursuant to Section 15.2.1, 15.2.2, 15.2.3 or 15.2.5, or Client terminates a PSA pursuant to Section 15.2.4 or 15.4.5, SBL may deliver the remaining Raw Materials to Client or dispose of them at SBL’s election. If so delivered, Client shall pay SBL’s cost to procure such Raw Materials to SBL and bear the costs and expenses for the delivery of such Raw Materials by SBL.</w:t>
      </w:r>
    </w:p>
    <w:p>
      <w:pPr>
        <w:spacing w:after="0" w:line="118" w:lineRule="exact"/>
        <w:rPr>
          <w:rFonts w:ascii="Times New Roman" w:cs="Times New Roman" w:eastAsia="Times New Roman" w:hAnsi="Times New Roman"/>
          <w:sz w:val="18"/>
          <w:szCs w:val="18"/>
          <w:color w:val="auto"/>
        </w:rPr>
      </w:pPr>
    </w:p>
    <w:p>
      <w:pPr>
        <w:ind w:left="626" w:hanging="302"/>
        <w:spacing w:after="0"/>
        <w:tabs>
          <w:tab w:leader="none" w:pos="62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PSA is naturally expired pursuant to Section 15.1, the provisions of (ii) above shall apply.</w:t>
      </w:r>
    </w:p>
    <w:p>
      <w:pPr>
        <w:spacing w:after="0" w:line="387"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6"/>
          </w:cols>
          <w:pgMar w:left="734" w:top="501" w:right="279" w:bottom="1440" w:gutter="0" w:footer="0" w:header="0"/>
        </w:sectPr>
      </w:pPr>
    </w:p>
    <w:bookmarkStart w:id="117" w:name="page118"/>
    <w:bookmarkEnd w:id="117"/>
    <w:p>
      <w:pPr>
        <w:ind w:left="740" w:hanging="246"/>
        <w:spacing w:after="0"/>
        <w:tabs>
          <w:tab w:leader="none" w:pos="7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Obligations Regarding Purchase of Product.</w:t>
      </w:r>
    </w:p>
    <w:p>
      <w:pPr>
        <w:spacing w:after="0" w:line="159" w:lineRule="exact"/>
        <w:rPr>
          <w:rFonts w:ascii="Times New Roman" w:cs="Times New Roman" w:eastAsia="Times New Roman" w:hAnsi="Times New Roman"/>
          <w:sz w:val="18"/>
          <w:szCs w:val="18"/>
          <w:b w:val="1"/>
          <w:bCs w:val="1"/>
          <w:color w:val="auto"/>
        </w:rPr>
      </w:pPr>
    </w:p>
    <w:p>
      <w:pPr>
        <w:jc w:val="both"/>
        <w:ind w:left="820" w:right="120" w:hanging="2"/>
        <w:spacing w:after="0" w:line="258" w:lineRule="auto"/>
        <w:tabs>
          <w:tab w:leader="none" w:pos="103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 terminates a PSA pursuant to Section 15.2.1 or 15.2.2 Client shall be released from any outstanding binding obligations to purchase Product as of the date of notice of termination including but not limited to pursuant to a Firm Period, binding forecast, purchase order, minimum purchase commitment, or otherwise; provided, however, that Client shall purchase Product Manufactured prior to such date of notice, pursuant to the terms of this MSA and PSA.</w:t>
      </w:r>
    </w:p>
    <w:p>
      <w:pPr>
        <w:spacing w:after="0" w:line="190" w:lineRule="exact"/>
        <w:rPr>
          <w:rFonts w:ascii="Times New Roman" w:cs="Times New Roman" w:eastAsia="Times New Roman" w:hAnsi="Times New Roman"/>
          <w:sz w:val="18"/>
          <w:szCs w:val="18"/>
          <w:color w:val="auto"/>
        </w:rPr>
      </w:pPr>
    </w:p>
    <w:p>
      <w:pPr>
        <w:ind w:left="820" w:right="100" w:hanging="2"/>
        <w:spacing w:after="0" w:line="262" w:lineRule="auto"/>
        <w:tabs>
          <w:tab w:leader="none" w:pos="10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SBL terminates a PSA pursuant to Section 15.2.1 or 15.2.2, outstanding binding obligations to purchase Product as of the date of notice of termination shall survive termination of such PSA, including but not limited to pursuant to a Firm Period, binding forecast, purchase order, minimum purchase commitment, or otherwise.</w:t>
      </w:r>
    </w:p>
    <w:p>
      <w:pPr>
        <w:spacing w:after="0" w:line="118"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cases of termination of a PSA, subsection (ii) shall apply.</w:t>
      </w:r>
    </w:p>
    <w:p>
      <w:pPr>
        <w:spacing w:after="0" w:line="277" w:lineRule="exact"/>
        <w:rPr>
          <w:rFonts w:ascii="Times New Roman" w:cs="Times New Roman" w:eastAsia="Times New Roman" w:hAnsi="Times New Roman"/>
          <w:sz w:val="18"/>
          <w:szCs w:val="18"/>
          <w:color w:val="auto"/>
        </w:rPr>
      </w:pPr>
    </w:p>
    <w:p>
      <w:pPr>
        <w:ind w:left="500" w:right="20" w:hanging="6"/>
        <w:spacing w:after="0" w:line="270" w:lineRule="auto"/>
        <w:tabs>
          <w:tab w:leader="none" w:pos="763"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termination or expiration of this MSA shall not affect any outstanding obligations due hereunder prior to such termination or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shall it prejudice any other remedies that the parties may have under this MSA. For greater certainty, except as otherwise expressly provided, termination or expiration of this MSA, irrespective of the cause, shall not affect any rights or obligations which, from the context thereof, are intended to survive termination or expiration of this MSA, including but not limited to Sections 1, 8, 9, 10, 11, 12, 13, 14, 15, 16 and 17.2.</w:t>
      </w:r>
    </w:p>
    <w:p>
      <w:pPr>
        <w:spacing w:after="0" w:line="176" w:lineRule="exact"/>
        <w:rPr>
          <w:sz w:val="20"/>
          <w:szCs w:val="20"/>
          <w:color w:val="auto"/>
        </w:rPr>
      </w:pPr>
    </w:p>
    <w:p>
      <w:pPr>
        <w:ind w:left="180" w:right="40"/>
        <w:spacing w:after="0" w:line="257" w:lineRule="auto"/>
        <w:rPr>
          <w:sz w:val="20"/>
          <w:szCs w:val="20"/>
          <w:color w:val="auto"/>
        </w:rPr>
      </w:pPr>
      <w:r>
        <w:rPr>
          <w:rFonts w:ascii="Times New Roman" w:cs="Times New Roman" w:eastAsia="Times New Roman" w:hAnsi="Times New Roman"/>
          <w:sz w:val="18"/>
          <w:szCs w:val="18"/>
          <w:u w:val="single" w:color="auto"/>
          <w:color w:val="auto"/>
        </w:rPr>
        <w:t>15.3.3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Outbound 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any termination of a PSA or in connection with its expiration, Client shall be entitled to give notice to SBL of a Manufacturing Process Transfer, which shall commence the preparation and effectuation of a Manufacturing Process Transfer Plan for the Product identified therein. In addition, Client shall be entitled to give notice to SBL of a Manufacturing Process Transfer and commence the preparation and effectuation of a Manufacturing Process Transfer Plan in the absence of a termination or expiration of a PSA in order to establish second source Manufacturing. Client shall pay SBL’s reasonable costs of assistance related to effectuation of the Manufacturing Process Transfer Plan.</w:t>
      </w:r>
    </w:p>
    <w:p>
      <w:pPr>
        <w:spacing w:after="0" w:line="14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u w:val="single" w:color="auto"/>
          <w:color w:val="auto"/>
        </w:rPr>
        <w:t>SECTION 16</w:t>
      </w:r>
      <w:r>
        <w:rPr>
          <w:sz w:val="20"/>
          <w:szCs w:val="20"/>
          <w:color w:val="auto"/>
        </w:rPr>
        <w:tab/>
      </w:r>
      <w:r>
        <w:rPr>
          <w:rFonts w:ascii="Times New Roman" w:cs="Times New Roman" w:eastAsia="Times New Roman" w:hAnsi="Times New Roman"/>
          <w:sz w:val="16"/>
          <w:szCs w:val="16"/>
          <w:b w:val="1"/>
          <w:bCs w:val="1"/>
          <w:u w:val="single" w:color="auto"/>
          <w:color w:val="auto"/>
        </w:rPr>
        <w:t>ARBITRATION</w:t>
      </w:r>
    </w:p>
    <w:p>
      <w:pPr>
        <w:spacing w:after="0" w:line="15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u w:val="single" w:color="auto"/>
          <w:color w:val="auto"/>
        </w:rPr>
        <w:t>16.1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Informal Discussions.</w:t>
      </w:r>
      <w:r>
        <w:rPr>
          <w:rFonts w:ascii="Times New Roman" w:cs="Times New Roman" w:eastAsia="Times New Roman" w:hAnsi="Times New Roman"/>
          <w:sz w:val="16"/>
          <w:szCs w:val="16"/>
          <w:color w:val="auto"/>
        </w:rPr>
        <w:t xml:space="preserve"> Except as otherwise provided herein, in the event of any controversy or claim arising out of or relating to this MSA, or the rights or obligations of the Parties hereunder, the Parties shall first try to settle their differences amicably between themselves through the Core Team and then the JSC. Thereafter, either Party may initiate informal dispute resolution on the executive level by sending written notice of the dispute to the other Party, and within thirty</w:t>
      </w:r>
    </w:p>
    <w:p>
      <w:pPr>
        <w:ind w:right="40" w:firstLine="8"/>
        <w:spacing w:after="0" w:line="258" w:lineRule="auto"/>
        <w:tabs>
          <w:tab w:leader="none" w:pos="3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notice appropriate executives of the Parties shall meet for attempted resolution by good faith negotiations. If such representatives are unable to resolve such disputed matter within such thirty (30) day period, either Party may refer the matter by written notice to the Chief Executive Officer of the other Party, or his/her designee, and the Chief Executive Officer of such Party, for discussion and resolution. If such individuals or their designees are unable to resolve such dispute within thirty (30) days of such written notice, and such dispute relates to a claimed breach of this MSA, a PSA or a QAG, either Party may initiate binding arbitration proceedings in accordance with the provisions of this Article 16. For the avoidance of doubt, no claim other than a claim of a breach of this Agreement shall be subject to arbitration.</w:t>
      </w:r>
    </w:p>
    <w:p>
      <w:pPr>
        <w:spacing w:after="0" w:line="1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color w:val="auto"/>
        </w:rPr>
        <w:t xml:space="preserve"> If the Parties do not fully settle a claimed breach of this MSA, a PSA or a QAG pursuant to Section 16.1, and a Party wishes to pursue the matter, each such claim shall be finally resolved by binding arbitration in accordance with the Commercial Arbitration Rules of the International Chamber of Commerce (“ICC”), and judgment on the arbitration award may be entered in any court having jurisdiction thereof to enforce the arbitration award. The arbitration shall be conducted by a panel of three neutral persons experienced in the pharmaceutical business, and within thirty (30) days after initiation of arbitration, each Party shall select one person to act as arbitrator and the two Party-selected arbitrators shall select a third arbitrator within thirty (30) days of their appointment. If the arbitrators selected by the Parties are unable or fail to agree upon the third arbitrator, the third arbitrator shall be appointed by the ICC. The place of arbitration shall be New York, New York, United States and all proceedings and communications shall be in English. 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arbitrators shall have no authority to award punitive or any other type of damages not measured by a Party’s direct compensatory damages, and in all cases, any decision or determination by the arbitrators shall comply with Article 14, as applicable. The Parties agree that, in the event of a good faith dispute over the nature or quality of performance under this Agreement, neither Party may terminate this Agreement until final resolution of the dispute through arbitration or other judicial determination. The Parties further agree that any payments made pursuant to this Agreement pending resolution of the dispute shall be refunded if an arbitrator or court determines that such payments are not due.</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34" w:right="259" w:bottom="1440" w:gutter="0" w:footer="0" w:header="0"/>
        </w:sectPr>
      </w:pPr>
    </w:p>
    <w:bookmarkStart w:id="118" w:name="page119"/>
    <w:bookmarkEnd w:id="118"/>
    <w:p>
      <w:pPr>
        <w:spacing w:after="0" w:line="264" w:lineRule="auto"/>
        <w:rPr>
          <w:sz w:val="20"/>
          <w:szCs w:val="20"/>
          <w:color w:val="auto"/>
        </w:rPr>
      </w:pPr>
      <w:r>
        <w:rPr>
          <w:rFonts w:ascii="Times New Roman" w:cs="Times New Roman" w:eastAsia="Times New Roman" w:hAnsi="Times New Roman"/>
          <w:sz w:val="18"/>
          <w:szCs w:val="18"/>
          <w:u w:val="single" w:color="auto"/>
          <w:color w:val="auto"/>
        </w:rPr>
        <w:t>16.3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Costs and Fees.</w:t>
      </w:r>
      <w:r>
        <w:rPr>
          <w:rFonts w:ascii="Times New Roman" w:cs="Times New Roman" w:eastAsia="Times New Roman" w:hAnsi="Times New Roman"/>
          <w:sz w:val="18"/>
          <w:szCs w:val="18"/>
          <w:color w:val="auto"/>
        </w:rPr>
        <w:t xml:space="preserve"> Each Party shall bear its own attorneys’ fees, costs, and disbursements arising out of the arbitration, and shall pay an equal share of the fees and costs of the arbitrators. Absent the filing of an application to correct or vacate the arbitration award as permitted by Applicable Law, each Party shall fully perform and satisfy the arbitration award within fifteen (15) days after the service of the award on such Party.</w:t>
      </w:r>
    </w:p>
    <w:p>
      <w:pPr>
        <w:spacing w:after="0" w:line="11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SECTION 17</w:t>
      </w:r>
      <w:r>
        <w:rPr>
          <w:sz w:val="20"/>
          <w:szCs w:val="20"/>
          <w:color w:val="auto"/>
        </w:rPr>
        <w:tab/>
      </w:r>
      <w:r>
        <w:rPr>
          <w:rFonts w:ascii="Times New Roman" w:cs="Times New Roman" w:eastAsia="Times New Roman" w:hAnsi="Times New Roman"/>
          <w:sz w:val="16"/>
          <w:szCs w:val="16"/>
          <w:b w:val="1"/>
          <w:bCs w:val="1"/>
          <w:u w:val="single" w:color="auto"/>
          <w:color w:val="auto"/>
        </w:rPr>
        <w:t>MISCELLANEOUS</w:t>
      </w:r>
    </w:p>
    <w:p>
      <w:pPr>
        <w:spacing w:after="0" w:line="252"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8"/>
          <w:szCs w:val="18"/>
          <w:u w:val="single" w:color="auto"/>
          <w:color w:val="auto"/>
        </w:rPr>
        <w:t>17.1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Any notice required or permitted under the MSA shall be in writing with duly authorized signature and made to the following addresses or facsimile numbers:</w:t>
      </w:r>
    </w:p>
    <w:p>
      <w:pPr>
        <w:spacing w:after="0" w:line="1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If to Client: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TG Therapeutics, Inc.</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 Gansevoort St., 9</w:t>
      </w:r>
      <w:r>
        <w:rPr>
          <w:rFonts w:ascii="Times New Roman" w:cs="Times New Roman" w:eastAsia="Times New Roman" w:hAnsi="Times New Roman"/>
          <w:sz w:val="18"/>
          <w:szCs w:val="18"/>
          <w:u w:val="single" w:color="auto"/>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New York, NY 10014</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Attention: Senior Vice President Operations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Facsimile:</w:t>
      </w:r>
    </w:p>
    <w:p>
      <w:pPr>
        <w:spacing w:after="0" w:line="24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If to SBL:</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Samsung BioLogics Co., Ltd.</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300, Songdo bio-daero, Yeonsu-gu</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Incheon 21987, South Korea</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Attention: Head of Corporate Business Operations</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Facsimile: +82-32-455-3242</w:t>
      </w:r>
    </w:p>
    <w:p>
      <w:pPr>
        <w:spacing w:after="0" w:line="2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With copy to: SBL Legal &amp; Compliance Department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Either Party may change its designated address and facsimile number by notice to the other Party in the manner provided in this Section 17.1.</w:t>
      </w:r>
    </w:p>
    <w:p>
      <w:pPr>
        <w:spacing w:after="0" w:line="252" w:lineRule="exact"/>
        <w:rPr>
          <w:sz w:val="20"/>
          <w:szCs w:val="20"/>
          <w:color w:val="auto"/>
        </w:rPr>
      </w:pPr>
    </w:p>
    <w:p>
      <w:pPr>
        <w:ind w:left="820" w:right="160"/>
        <w:spacing w:after="0" w:line="306" w:lineRule="auto"/>
        <w:rPr>
          <w:sz w:val="20"/>
          <w:szCs w:val="20"/>
          <w:color w:val="auto"/>
        </w:rPr>
      </w:pPr>
      <w:r>
        <w:rPr>
          <w:rFonts w:ascii="Times New Roman" w:cs="Times New Roman" w:eastAsia="Times New Roman" w:hAnsi="Times New Roman"/>
          <w:sz w:val="18"/>
          <w:szCs w:val="18"/>
          <w:color w:val="auto"/>
        </w:rPr>
        <w:t>Any notice shall be deemed to have been delivered on the date of delivery of delivered personally, or on the next day of sending if sent by facsimile, or on the fifth day of posting if sent by registered or certified mail with return receipt requested and postage prepaid.</w:t>
      </w:r>
    </w:p>
    <w:p>
      <w:pPr>
        <w:spacing w:after="0" w:line="17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xml:space="preserve"> This MSA shall be construed and interpreted in accordance with the laws of State of New York, United States and all rights and remedies shall be governed by such laws without regard to principles of conflicts of law. The United Nations Convention on Contracts for the International Sale of Goods shall not apply to the transactions contemplated by the MSA.</w:t>
      </w:r>
    </w:p>
    <w:p>
      <w:pPr>
        <w:spacing w:after="0" w:line="20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u w:val="single" w:color="auto"/>
          <w:color w:val="auto"/>
        </w:rPr>
        <w:t>17.3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Effect of Force Majeure Event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Neither Party (the “</w:t>
      </w:r>
      <w:r>
        <w:rPr>
          <w:rFonts w:ascii="Times New Roman" w:cs="Times New Roman" w:eastAsia="Times New Roman" w:hAnsi="Times New Roman"/>
          <w:sz w:val="18"/>
          <w:szCs w:val="18"/>
          <w:b w:val="1"/>
          <w:bCs w:val="1"/>
          <w:color w:val="auto"/>
        </w:rPr>
        <w:t>Affected Party</w:t>
      </w:r>
      <w:r>
        <w:rPr>
          <w:rFonts w:ascii="Times New Roman" w:cs="Times New Roman" w:eastAsia="Times New Roman" w:hAnsi="Times New Roman"/>
          <w:sz w:val="18"/>
          <w:szCs w:val="18"/>
          <w:color w:val="auto"/>
        </w:rPr>
        <w:t>”) shall be liable to the other Party (the “</w:t>
      </w:r>
      <w:r>
        <w:rPr>
          <w:rFonts w:ascii="Times New Roman" w:cs="Times New Roman" w:eastAsia="Times New Roman" w:hAnsi="Times New Roman"/>
          <w:sz w:val="18"/>
          <w:szCs w:val="18"/>
          <w:b w:val="1"/>
          <w:bCs w:val="1"/>
          <w:color w:val="auto"/>
        </w:rPr>
        <w:t>Non-Affected Party</w:t>
      </w:r>
      <w:r>
        <w:rPr>
          <w:rFonts w:ascii="Times New Roman" w:cs="Times New Roman" w:eastAsia="Times New Roman" w:hAnsi="Times New Roman"/>
          <w:sz w:val="18"/>
          <w:szCs w:val="18"/>
          <w:color w:val="auto"/>
        </w:rPr>
        <w:t>”) for failure or delay to perform its obligation under the MSA or any applicable PSA when such failure or delay is due to riots, storms, fires, explosions, floods, earthquakes, war, embargoes, blockades, insurrections, terrorism, an act of God or any other cause similar thereto which is beyond the control of the Affected Party including those affected upstream suppliers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Party agrees to give the other Party prompt written notice of the occurrence of any Force Majeure Event, the nature thereof, and the extent to which the affected Party will be unable fully to perform its obligations under the MSA. If a condition constituting Force Majeure Event as defined herein exists for more than one hundred eighty (180) consecutive days, or it is reasonably foreseeable that such Force Majeure Event will persist for more than one hundred eighty (180) days consecutive days, the Parties shall endeavor in good faith to negotiate a mutually satisfactory solution to the problem, if practicable, including use of a third party to fulfill the obligations hereunder of the party invoking Force Majeure Event, at the expense of the party invoking Force Majeure Event. If after good faith efforts to negotiate a mutually satisfactory solution for at least sixty (60) days the Parties have failed to reach agreement, the Non-Affected Party shall have the right to terminate this MSA upon thirty (30) days’ written failure.</w:t>
      </w:r>
    </w:p>
    <w:p>
      <w:pPr>
        <w:spacing w:after="0" w:line="12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u w:val="single" w:color="auto"/>
          <w:color w:val="auto"/>
        </w:rPr>
        <w:t>17.4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Neither Party shall assign, in whole or in part, the MSA without the prior written consent of the other Party, such approval not to be unreasonably withheld, conditioned or delayed. Notwithstanding the above, Client may, without such consent, assign the MSA to (i) its Affiliate or (ii) any purchaser of Client’s rights relating to the Product or all or substantially all of the assets of Client, or of all of its capital stock, or to any successor corporation or entity resulting from any merger or consolidation of such Party with or into such corporation or entity. Notwithstanding the above, SBL may, without such consent, assign the MSA to (i) its Affiliate or (ii) any purchaser of substantially all of the assets of SBL, or of all of its capital stock, or to any successor corporation or entity resulting from any merger or consolidation of such Party with or into such corporation or entity.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19" w:name="page120"/>
    <w:bookmarkEnd w:id="119"/>
    <w:p>
      <w:pPr>
        <w:spacing w:after="0" w:line="277" w:lineRule="auto"/>
        <w:rPr>
          <w:sz w:val="20"/>
          <w:szCs w:val="20"/>
          <w:color w:val="auto"/>
        </w:rPr>
      </w:pPr>
      <w:r>
        <w:rPr>
          <w:rFonts w:ascii="Times New Roman" w:cs="Times New Roman" w:eastAsia="Times New Roman" w:hAnsi="Times New Roman"/>
          <w:sz w:val="18"/>
          <w:szCs w:val="18"/>
          <w:u w:val="single" w:color="auto"/>
          <w:color w:val="auto"/>
        </w:rPr>
        <w:t>17.5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 Grant of License.</w:t>
      </w:r>
      <w:r>
        <w:rPr>
          <w:rFonts w:ascii="Times New Roman" w:cs="Times New Roman" w:eastAsia="Times New Roman" w:hAnsi="Times New Roman"/>
          <w:sz w:val="18"/>
          <w:szCs w:val="18"/>
          <w:color w:val="auto"/>
        </w:rPr>
        <w:t xml:space="preserve"> Nothing in the MSA shall affect, or grant any right to, patents, know-how or other intellectual property owned by either Party prior to the commencement of the MSA unless otherwise expressly provided in the MSA.</w:t>
      </w:r>
    </w:p>
    <w:p>
      <w:pPr>
        <w:spacing w:after="0" w:line="103" w:lineRule="exact"/>
        <w:rPr>
          <w:sz w:val="20"/>
          <w:szCs w:val="20"/>
          <w:color w:val="auto"/>
        </w:rPr>
      </w:pPr>
    </w:p>
    <w:p>
      <w:pPr>
        <w:jc w:val="both"/>
        <w:ind w:right="400"/>
        <w:spacing w:after="0" w:line="264" w:lineRule="auto"/>
        <w:rPr>
          <w:sz w:val="20"/>
          <w:szCs w:val="20"/>
          <w:color w:val="auto"/>
        </w:rPr>
      </w:pPr>
      <w:r>
        <w:rPr>
          <w:rFonts w:ascii="Times New Roman" w:cs="Times New Roman" w:eastAsia="Times New Roman" w:hAnsi="Times New Roman"/>
          <w:sz w:val="18"/>
          <w:szCs w:val="18"/>
          <w:u w:val="single" w:color="auto"/>
          <w:color w:val="auto"/>
        </w:rPr>
        <w:t>17.6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No Right to Use Names.</w:t>
      </w:r>
      <w:r>
        <w:rPr>
          <w:rFonts w:ascii="Times New Roman" w:cs="Times New Roman" w:eastAsia="Times New Roman" w:hAnsi="Times New Roman"/>
          <w:sz w:val="18"/>
          <w:szCs w:val="18"/>
          <w:color w:val="auto"/>
        </w:rPr>
        <w:t xml:space="preserve"> Except as expressly provided herein, no right, expressed or implied, is granted by the MSA to use in any manner the name of either of the Parties or any other trade name, symbol, logo or trademark of the other Party in connection with the performance of the MSA, without the prior written consent of the other Party.</w:t>
      </w:r>
    </w:p>
    <w:p>
      <w:pPr>
        <w:spacing w:after="0" w:line="20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u w:val="single" w:color="auto"/>
          <w:color w:val="auto"/>
        </w:rPr>
        <w:t>17.7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Independent Contractors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Parties hereto are independent contractors and nothing contained in the MSA shall be deemed or construed to create a partnership, joint venture, employment, franchise, agency or fiduciary relationship between the Parties.</w:t>
      </w:r>
    </w:p>
    <w:p>
      <w:pPr>
        <w:spacing w:after="0" w:line="197"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u w:val="single" w:color="auto"/>
          <w:color w:val="auto"/>
        </w:rPr>
        <w:t>17.8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MSA constitutes the entire agreement between the Parties relating to the subject matter of the MSA and supersedes all previous oral and written communications between the Parties with respect to the subject matter of the MSA.</w:t>
      </w:r>
    </w:p>
    <w:p>
      <w:pPr>
        <w:spacing w:after="0" w:line="197"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6"/>
          <w:szCs w:val="16"/>
          <w:u w:val="single" w:color="auto"/>
          <w:color w:val="auto"/>
        </w:rPr>
        <w:t>17.9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Except as otherwise expressly provided herein, no alteration of or modification to the MSA shall be effective unless made in writing and executed by an authorized representative of both Parties. No course of dealing or failing of either Party to strictly enforce any term, right or condition of the MSA in any instance shall be construed as a general waiver or relinquishment of such term, right or condition. The observance of any provision of the MSA may be waived (either generally or any given instance and either retroactively or prospectively) only with the written consent of the Party granting such waiver.</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u w:val="single" w:color="auto"/>
          <w:color w:val="auto"/>
        </w:rPr>
        <w:t>17.10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Parties do not intend to violate any Applicable Law. However, if any sentence, paragraph, clause or combination of the MSA is in violation of any law or is found to be otherwise unenforceable, such sentence, paragraph, clause or combination of the same shall be deleted and the remainder of the MSA shall remain binding, provided that such deletion does not alter the basic purpose and structure of the MSA.</w:t>
      </w:r>
    </w:p>
    <w:p>
      <w:pPr>
        <w:spacing w:after="0" w:line="208" w:lineRule="exact"/>
        <w:rPr>
          <w:sz w:val="20"/>
          <w:szCs w:val="20"/>
          <w:color w:val="auto"/>
        </w:rPr>
      </w:pPr>
    </w:p>
    <w:p>
      <w:pPr>
        <w:ind w:right="300"/>
        <w:spacing w:after="0" w:line="342" w:lineRule="auto"/>
        <w:rPr>
          <w:sz w:val="20"/>
          <w:szCs w:val="20"/>
          <w:color w:val="auto"/>
        </w:rPr>
      </w:pPr>
      <w:r>
        <w:rPr>
          <w:rFonts w:ascii="Times New Roman" w:cs="Times New Roman" w:eastAsia="Times New Roman" w:hAnsi="Times New Roman"/>
          <w:sz w:val="16"/>
          <w:szCs w:val="16"/>
          <w:u w:val="single" w:color="auto"/>
          <w:color w:val="auto"/>
        </w:rPr>
        <w:t>17.11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Construction</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The Parties mutually acknowledge that they have participated in the negotiation and preparation of the MSA. Ambiguities, if any, in the MSA shall not be construed against any Party, irrespective of which Party may be deemed to have drafted the MSA or authorized the ambiguous provision.</w:t>
      </w:r>
    </w:p>
    <w:p>
      <w:pPr>
        <w:spacing w:after="0" w:line="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17.12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captions and headings to the MSA are for convenience only, and are to be of no force or effect in construing or interpreting any of the provisions of the MSA. Unless context otherwise clearly requires, whenever used in the MSA: (a) the words “include” or “including” shall be construed as incorporating, also, “but not limited to” or “without limitation”; (b) the words “hereof,” “herein,” “hereby” and derivative or similar words refer to the MSA; (c) the word “law” or “laws” shall mean any applicable, legally binding statute, ordinance, resolution, regulation, code, guideline, rule, order, decree, judgment, injunction, mandate or other legally binding requirement of a governmental authority (including a court, tribunal, agency, legislative body or other instrumentality of any (i) government or country or territory, (ii) any state, province, county, city or other political subdivision thereof, or (iii) any supranational body); and (d) all references to the word “will” are interchangeable with the word “shall” and shall be understood to be imperative or mandatory in nature. All references to days, months, quarters or years are references to calendar days, calendar months, calendar quarters, or calendar years. Whenever any matter hereunder requires consent or approval, such consent or approval shall not be unreasonably withheld or delayed.</w:t>
      </w:r>
    </w:p>
    <w:p>
      <w:pPr>
        <w:spacing w:after="0" w:line="19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u w:val="single" w:color="auto"/>
          <w:color w:val="auto"/>
        </w:rPr>
        <w:t>17.13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MSA may be executed in two or more counterparts, each of which will be deemed an original, but all of which together will constitute one and the same instrument.</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color w:val="auto"/>
        </w:rPr>
        <w:t>IN WITNESS WHEREOF, the Parties have executed the MSA as of the date first above written.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TG THERAPEUTICS,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-10160</wp:posOffset>
            </wp:positionV>
            <wp:extent cx="1548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876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S. Weiss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-10160</wp:posOffset>
            </wp:positionV>
            <wp:extent cx="17678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67840" cy="889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SAMSUNG BIOLOGICS CO., LTD.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Dr. Tae Han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-10160</wp:posOffset>
            </wp:positionV>
            <wp:extent cx="16243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2433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Tae Han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Representative Director and President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-10160</wp:posOffset>
            </wp:positionV>
            <wp:extent cx="17957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95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03"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240" w:right="280" w:hanging="232"/>
        <w:spacing w:after="0" w:line="275" w:lineRule="auto"/>
        <w:tabs>
          <w:tab w:leader="none" w:pos="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240" w:right="80" w:hanging="232"/>
        <w:spacing w:after="0" w:line="262" w:lineRule="auto"/>
        <w:tabs>
          <w:tab w:leader="none" w:pos="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820" w:right="140" w:hanging="592"/>
        <w:spacing w:after="0" w:line="262" w:lineRule="auto"/>
        <w:tabs>
          <w:tab w:leader="none" w:pos="8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820" w:right="120" w:hanging="592"/>
        <w:spacing w:after="0" w:line="262" w:lineRule="auto"/>
        <w:tabs>
          <w:tab w:leader="none" w:pos="8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20" w:right="180" w:hanging="592"/>
        <w:spacing w:after="0" w:line="275" w:lineRule="auto"/>
        <w:tabs>
          <w:tab w:leader="none" w:pos="8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left="820" w:right="40" w:hanging="592"/>
        <w:spacing w:after="0" w:line="262" w:lineRule="auto"/>
        <w:tabs>
          <w:tab w:leader="none" w:pos="8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240" w:right="40" w:hanging="232"/>
        <w:spacing w:after="0" w:line="275" w:lineRule="auto"/>
        <w:tabs>
          <w:tab w:leader="none" w:pos="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820" w:right="100" w:hanging="592"/>
        <w:spacing w:after="0" w:line="275" w:lineRule="auto"/>
        <w:tabs>
          <w:tab w:leader="none" w:pos="8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820" w:right="140" w:hanging="592"/>
        <w:spacing w:after="0" w:line="275" w:lineRule="auto"/>
        <w:tabs>
          <w:tab w:leader="none" w:pos="8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6"/>
          <w:szCs w:val="16"/>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41249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Michael S. Weiss</w:t>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55"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ind w:left="240" w:hanging="232"/>
        <w:spacing w:after="0" w:line="275" w:lineRule="auto"/>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240" w:right="280" w:hanging="232"/>
        <w:spacing w:after="0" w:line="275" w:lineRule="auto"/>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240" w:right="80" w:hanging="232"/>
        <w:spacing w:after="0" w:line="262" w:lineRule="auto"/>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Times New Roman" w:cs="Times New Roman" w:eastAsia="Times New Roman" w:hAnsi="Times New Roman"/>
          <w:sz w:val="18"/>
          <w:szCs w:val="18"/>
          <w:color w:val="auto"/>
        </w:rPr>
      </w:pPr>
    </w:p>
    <w:p>
      <w:pPr>
        <w:ind w:left="820" w:right="140" w:hanging="592"/>
        <w:spacing w:after="0" w:line="262" w:lineRule="auto"/>
        <w:tabs>
          <w:tab w:leader="none" w:pos="8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820" w:right="120" w:hanging="592"/>
        <w:spacing w:after="0" w:line="262" w:lineRule="auto"/>
        <w:tabs>
          <w:tab w:leader="none" w:pos="8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820" w:right="180" w:hanging="592"/>
        <w:spacing w:after="0" w:line="275" w:lineRule="auto"/>
        <w:tabs>
          <w:tab w:leader="none" w:pos="8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left="820" w:right="40" w:hanging="592"/>
        <w:spacing w:after="0" w:line="262" w:lineRule="auto"/>
        <w:tabs>
          <w:tab w:leader="none" w:pos="8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left="240" w:right="40" w:hanging="232"/>
        <w:spacing w:after="0" w:line="275" w:lineRule="auto"/>
        <w:tabs>
          <w:tab w:leader="none" w:pos="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820" w:right="100" w:hanging="592"/>
        <w:spacing w:after="0" w:line="275" w:lineRule="auto"/>
        <w:tabs>
          <w:tab w:leader="none" w:pos="8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820" w:right="140" w:hanging="592"/>
        <w:spacing w:after="0" w:line="275" w:lineRule="auto"/>
        <w:tabs>
          <w:tab w:leader="none" w:pos="8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6"/>
          <w:szCs w:val="16"/>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14605</wp:posOffset>
            </wp:positionV>
            <wp:extent cx="40563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Sean A. Power</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55"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2019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6" w:lineRule="exact"/>
        <w:rPr>
          <w:sz w:val="20"/>
          <w:szCs w:val="20"/>
          <w:color w:val="auto"/>
        </w:rPr>
      </w:pPr>
    </w:p>
    <w:p>
      <w:pPr>
        <w:ind w:left="560" w:hanging="228"/>
        <w:spacing w:after="0"/>
        <w:tabs>
          <w:tab w:leader="none" w:pos="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6"/>
          <w:szCs w:val="16"/>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14605</wp:posOffset>
            </wp:positionV>
            <wp:extent cx="42538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Michael S. Weiss</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39"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June 30, 2019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6" w:lineRule="exact"/>
        <w:rPr>
          <w:sz w:val="20"/>
          <w:szCs w:val="20"/>
          <w:color w:val="auto"/>
        </w:rPr>
      </w:pPr>
    </w:p>
    <w:p>
      <w:pPr>
        <w:ind w:left="520" w:hanging="188"/>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tabs>
          <w:tab w:leader="none" w:pos="4820" w:val="left"/>
        </w:tabs>
        <w:rPr>
          <w:sz w:val="20"/>
          <w:szCs w:val="20"/>
          <w:color w:val="auto"/>
        </w:rPr>
      </w:pPr>
      <w:r>
        <w:rPr>
          <w:rFonts w:ascii="Times New Roman" w:cs="Times New Roman" w:eastAsia="Times New Roman" w:hAnsi="Times New Roman"/>
          <w:sz w:val="18"/>
          <w:szCs w:val="18"/>
          <w:color w:val="auto"/>
        </w:rPr>
        <w:t>Date: August 9, 2019</w:t>
      </w:r>
      <w:r>
        <w:rPr>
          <w:sz w:val="20"/>
          <w:szCs w:val="20"/>
          <w:color w:val="auto"/>
        </w:rPr>
        <w:tab/>
      </w:r>
      <w:r>
        <w:rPr>
          <w:rFonts w:ascii="Times New Roman" w:cs="Times New Roman" w:eastAsia="Times New Roman" w:hAnsi="Times New Roman"/>
          <w:sz w:val="16"/>
          <w:szCs w:val="16"/>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417639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7639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Sean A. Power</w:t>
      </w:r>
    </w:p>
    <w:p>
      <w:pPr>
        <w:spacing w:after="0" w:line="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lvl w:ilvl="1">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0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5"/>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1)"/>
      <w:numFmt w:val="lowerLetter"/>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9"/>
    </w:lvl>
  </w:abstractNum>
  <w:abstractNum w:abstractNumId="45">
    <w:nsid w:val="1381823A"/>
    <w:multiLevelType w:val="hybridMultilevel"/>
    <w:lvl w:ilvl="0">
      <w:lvlJc w:val="left"/>
      <w:lvlText w:val="(%1)"/>
      <w:numFmt w:val="lowerLetter"/>
      <w:start w:val="2"/>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2"/>
    </w:lvl>
  </w:abstractNum>
  <w:abstractNum w:abstractNumId="48">
    <w:nsid w:val="6590700B"/>
    <w:multiLevelType w:val="hybridMultilevel"/>
    <w:lvl w:ilvl="0">
      <w:lvlJc w:val="left"/>
      <w:lvlText w:val="(%1)"/>
      <w:numFmt w:val="lowerLetter"/>
      <w:start w:val="3"/>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2"/>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lowerLetter"/>
      <w:start w:val="2"/>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1"/>
    </w:lvl>
    <w:lvl w:ilvl="1">
      <w:lvlJc w:val="left"/>
      <w:lvlText w:val="(%2)"/>
      <w:numFmt w:val="lowerRoman"/>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decimal"/>
      <w:start w:val="15"/>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4"/>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1"/>
    </w:lvl>
  </w:abstractNum>
  <w:abstractNum w:abstractNumId="63">
    <w:nsid w:val="BF72B14"/>
    <w:multiLevelType w:val="hybridMultilevel"/>
    <w:lvl w:ilvl="0">
      <w:lvlJc w:val="left"/>
      <w:lvlText w:val="(%1)"/>
      <w:numFmt w:val="lowerRoman"/>
      <w:start w:val="9"/>
    </w:lvl>
  </w:abstractNum>
  <w:abstractNum w:abstractNumId="64">
    <w:nsid w:val="11447B73"/>
    <w:multiLevelType w:val="hybridMultilevel"/>
    <w:lvl w:ilvl="0">
      <w:lvlJc w:val="left"/>
      <w:lvlText w:val="(%1)"/>
      <w:numFmt w:val="lowerRoman"/>
      <w:start w:val="3"/>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lowerLetter"/>
      <w:start w:val="1"/>
    </w:lvl>
    <w:lvl w:ilvl="1">
      <w:lvlJc w:val="left"/>
      <w:lvlText w:val="(%2)"/>
      <w:numFmt w:val="lowerLetter"/>
      <w:start w:val="9"/>
    </w:lvl>
  </w:abstractNum>
  <w:abstractNum w:abstractNumId="67">
    <w:nsid w:val="8F2B15E"/>
    <w:multiLevelType w:val="hybridMultilevel"/>
    <w:lvl w:ilvl="0">
      <w:lvlJc w:val="left"/>
      <w:lvlText w:val="%1"/>
      <w:numFmt w:val="lowerLetter"/>
      <w:start w:val="1"/>
    </w:lvl>
    <w:lvl w:ilvl="1">
      <w:lvlJc w:val="left"/>
      <w:lvlText w:val="(%2)"/>
      <w:numFmt w:val="lowerRoman"/>
      <w:start w:val="2"/>
    </w:lvl>
  </w:abstractNum>
  <w:abstractNum w:abstractNumId="68">
    <w:nsid w:val="1A32234B"/>
    <w:multiLevelType w:val="hybridMultilevel"/>
    <w:lvl w:ilvl="0">
      <w:lvlJc w:val="left"/>
      <w:lvlText w:val="(%1)"/>
      <w:numFmt w:val="lowerLetter"/>
      <w:start w:val="2"/>
    </w:lvl>
    <w:lvl w:ilvl="1">
      <w:lvlJc w:val="left"/>
      <w:lvlText w:val="(%2)"/>
      <w:numFmt w:val="lowerRoman"/>
      <w:start w:val="1"/>
    </w:lvl>
  </w:abstractNum>
  <w:abstractNum w:abstractNumId="69">
    <w:nsid w:val="3B0FD379"/>
    <w:multiLevelType w:val="hybridMultilevel"/>
    <w:lvl w:ilvl="0">
      <w:lvlJc w:val="left"/>
      <w:lvlText w:val="(%1)"/>
      <w:numFmt w:val="lowerLetter"/>
      <w:start w:val="3"/>
    </w:lvl>
    <w:lvl w:ilvl="1">
      <w:lvlJc w:val="left"/>
      <w:lvlText w:val="(%2)"/>
      <w:numFmt w:val="lowerRoman"/>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22"/>
    </w:lvl>
  </w:abstractNum>
  <w:abstractNum w:abstractNumId="72">
    <w:nsid w:val="60B6DF70"/>
    <w:multiLevelType w:val="hybridMultilevel"/>
    <w:lvl w:ilvl="0">
      <w:lvlJc w:val="left"/>
      <w:lvlText w:val="(%1)"/>
      <w:numFmt w:val="lowerLetter"/>
      <w:start w:val="2"/>
    </w:lvl>
  </w:abstractNum>
  <w:abstractNum w:abstractNumId="73">
    <w:nsid w:val="6A5EE64"/>
    <w:multiLevelType w:val="hybridMultilevel"/>
    <w:lvl w:ilvl="0">
      <w:lvlJc w:val="left"/>
      <w:lvlText w:val="(%1)"/>
      <w:numFmt w:val="lowerLetter"/>
      <w:start w:val="4"/>
    </w:lvl>
  </w:abstractNum>
  <w:abstractNum w:abstractNumId="74">
    <w:nsid w:val="14330624"/>
    <w:multiLevelType w:val="hybridMultilevel"/>
    <w:lvl w:ilvl="0">
      <w:lvlJc w:val="left"/>
      <w:lvlText w:val="(%1)"/>
      <w:numFmt w:val="lowerLetter"/>
      <w:start w:val="9"/>
    </w:lvl>
  </w:abstractNum>
  <w:abstractNum w:abstractNumId="75">
    <w:nsid w:val="7FFFCA11"/>
    <w:multiLevelType w:val="hybridMultilevel"/>
    <w:lvl w:ilvl="0">
      <w:lvlJc w:val="left"/>
      <w:lvlText w:val="(%1)"/>
      <w:numFmt w:val="decimal"/>
      <w:start w:val="30"/>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1"/>
    </w:lvl>
    <w:lvl w:ilvl="1">
      <w:lvlJc w:val="left"/>
      <w:lvlText w:val="(%2)"/>
      <w:numFmt w:val="lowerRoman"/>
      <w:start w:val="1"/>
    </w:lvl>
  </w:abstractNum>
  <w:abstractNum w:abstractNumId="78">
    <w:nsid w:val="100F59D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79">
    <w:nsid w:val="7FB7E0A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0">
    <w:nsid w:val="6EB5BD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81">
    <w:nsid w:val="6F6DD9AC"/>
    <w:multiLevelType w:val="hybridMultilevel"/>
    <w:lvl w:ilvl="0">
      <w:lvlJc w:val="left"/>
      <w:lvlText w:val="%1"/>
      <w:numFmt w:val="lowerLetter"/>
      <w:start w:val="1"/>
    </w:lvl>
    <w:lvl w:ilvl="1">
      <w:lvlJc w:val="left"/>
      <w:lvlText w:val="(%2)"/>
      <w:numFmt w:val="lowerRoman"/>
      <w:start w:val="1"/>
    </w:lvl>
  </w:abstractNum>
  <w:abstractNum w:abstractNumId="82">
    <w:nsid w:val="94211F2"/>
    <w:multiLevelType w:val="hybridMultilevel"/>
    <w:lvl w:ilvl="0">
      <w:lvlJc w:val="left"/>
      <w:lvlText w:val="(%1)"/>
      <w:numFmt w:val="lowerLetter"/>
      <w:start w:val="4"/>
    </w:lvl>
    <w:lvl w:ilvl="1">
      <w:lvlJc w:val="left"/>
      <w:lvlText w:val="(%2)"/>
      <w:numFmt w:val="lowerRoman"/>
      <w:start w:val="1"/>
    </w:lvl>
  </w:abstractNum>
  <w:abstractNum w:abstractNumId="83">
    <w:nsid w:val="885E1B"/>
    <w:multiLevelType w:val="hybridMultilevel"/>
    <w:lvl w:ilvl="0">
      <w:lvlJc w:val="left"/>
      <w:lvlText w:val="(%1)"/>
      <w:numFmt w:val="lowerLetter"/>
      <w:start w:val="5"/>
    </w:lvl>
    <w:lvl w:ilvl="1">
      <w:lvlJc w:val="left"/>
      <w:lvlText w:val="(%2)"/>
      <w:numFmt w:val="lowerRoman"/>
      <w:start w:val="1"/>
    </w:lvl>
  </w:abstractNum>
  <w:abstractNum w:abstractNumId="84">
    <w:nsid w:val="76272110"/>
    <w:multiLevelType w:val="hybridMultilevel"/>
    <w:lvl w:ilvl="0">
      <w:lvlJc w:val="left"/>
      <w:lvlText w:val="(%1)"/>
      <w:numFmt w:val="decimal"/>
      <w:start w:val="30"/>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2019-12-28T07:32:24Z</dcterms:created>
  <dcterms:modified xsi:type="dcterms:W3CDTF">2019-12-28T07:32:24Z</dcterms:modified>
</cp:coreProperties>
</file>