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6" w:lineRule="exact"/>
        <w:rPr>
          <w:sz w:val="24"/>
          <w:szCs w:val="24"/>
          <w:color w:val="auto"/>
        </w:rPr>
      </w:pPr>
    </w:p>
    <w:p>
      <w:pPr>
        <w:ind w:left="4060" w:right="2720" w:hanging="1338"/>
        <w:spacing w:after="0" w:line="282" w:lineRule="auto"/>
        <w:tabs>
          <w:tab w:leader="none" w:pos="28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3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3604895</wp:posOffset>
            </wp:positionH>
            <wp:positionV relativeFrom="paragraph">
              <wp:posOffset>-7620</wp:posOffset>
            </wp:positionV>
            <wp:extent cx="1552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25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-232410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01"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13-4087132</w:t>
      </w:r>
    </w:p>
    <w:p>
      <w:pPr>
        <w:spacing w:after="0" w:line="71" w:lineRule="exact"/>
        <w:rPr>
          <w:sz w:val="24"/>
          <w:szCs w:val="24"/>
          <w:color w:val="auto"/>
        </w:rPr>
      </w:pPr>
    </w:p>
    <w:p>
      <w:pPr>
        <w:sectPr>
          <w:pgSz w:w="11900" w:h="16838" w:orient="portrait"/>
          <w:cols w:equalWidth="0" w:num="2">
            <w:col w:w="7380" w:space="720"/>
            <w:col w:w="3320"/>
          </w:cols>
          <w:pgMar w:left="240" w:top="206"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06" w:right="2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787 Seventh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MANHATTAN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00" w:type="dxa"/>
            <w:vAlign w:val="bottom"/>
          </w:tcPr>
          <w:p>
            <w:pPr>
              <w:jc w:val="right"/>
              <w:ind w:right="41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852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900" w:type="dxa"/>
            <w:vAlign w:val="bottom"/>
          </w:tcPr>
          <w:p>
            <w:pPr>
              <w:jc w:val="right"/>
              <w:ind w:right="410"/>
              <w:spacing w:after="0" w:line="207" w:lineRule="exact"/>
              <w:rPr>
                <w:sz w:val="20"/>
                <w:szCs w:val="20"/>
                <w:color w:val="auto"/>
              </w:rPr>
            </w:pPr>
            <w:r>
              <w:rPr>
                <w:rFonts w:ascii="Arial" w:cs="Arial" w:eastAsia="Arial" w:hAnsi="Arial"/>
                <w:sz w:val="18"/>
                <w:szCs w:val="18"/>
                <w:color w:val="auto"/>
                <w:w w:val="99"/>
              </w:rPr>
              <w:t xml:space="preserve">Smaller reporting company </w:t>
            </w:r>
            <w:r>
              <w:rPr>
                <w:rFonts w:ascii="MS PGothic" w:cs="MS PGothic" w:eastAsia="MS PGothic" w:hAnsi="MS PGothic"/>
                <w:sz w:val="18"/>
                <w:szCs w:val="18"/>
                <w:color w:val="auto"/>
                <w:w w:val="99"/>
              </w:rPr>
              <w:t>☒</w:t>
            </w:r>
          </w:p>
        </w:tc>
      </w:tr>
      <w:tr>
        <w:trPr>
          <w:trHeight w:val="365"/>
        </w:trPr>
        <w:tc>
          <w:tcPr>
            <w:tcW w:w="8520" w:type="dxa"/>
            <w:vAlign w:val="bottom"/>
          </w:tcPr>
          <w:p>
            <w:pPr>
              <w:spacing w:after="0"/>
              <w:rPr>
                <w:sz w:val="20"/>
                <w:szCs w:val="20"/>
                <w:color w:val="auto"/>
              </w:rPr>
            </w:pPr>
            <w:r>
              <w:rPr>
                <w:rFonts w:ascii="Arial" w:cs="Arial" w:eastAsia="Arial" w:hAnsi="Arial"/>
                <w:sz w:val="18"/>
                <w:szCs w:val="18"/>
                <w:color w:val="auto"/>
                <w:w w:val="95"/>
              </w:rPr>
              <w:t>Indicate by checkmark whether the registrant is a shell company (as defined in Rule 12b-2 of the Exchange Act).</w:t>
            </w:r>
          </w:p>
        </w:tc>
        <w:tc>
          <w:tcPr>
            <w:tcW w:w="2900" w:type="dxa"/>
            <w:vAlign w:val="bottom"/>
          </w:tcPr>
          <w:p>
            <w:pPr>
              <w:spacing w:after="0"/>
              <w:rPr>
                <w:sz w:val="24"/>
                <w:szCs w:val="24"/>
                <w:color w:val="auto"/>
              </w:rPr>
            </w:pPr>
          </w:p>
        </w:tc>
      </w:tr>
      <w:tr>
        <w:trPr>
          <w:trHeight w:val="283"/>
        </w:trPr>
        <w:tc>
          <w:tcPr>
            <w:tcW w:w="852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900" w:type="dxa"/>
            <w:vAlign w:val="bottom"/>
          </w:tcPr>
          <w:p>
            <w:pPr>
              <w:spacing w:after="0"/>
              <w:rPr>
                <w:sz w:val="24"/>
                <w:szCs w:val="24"/>
                <w:color w:val="auto"/>
              </w:rPr>
            </w:pPr>
          </w:p>
        </w:tc>
      </w:tr>
      <w:tr>
        <w:trPr>
          <w:trHeight w:val="412"/>
        </w:trPr>
        <w:tc>
          <w:tcPr>
            <w:tcW w:w="8520" w:type="dxa"/>
            <w:vAlign w:val="bottom"/>
          </w:tcPr>
          <w:p>
            <w:pPr>
              <w:spacing w:after="0"/>
              <w:rPr>
                <w:sz w:val="20"/>
                <w:szCs w:val="20"/>
                <w:color w:val="auto"/>
              </w:rPr>
            </w:pPr>
            <w:r>
              <w:rPr>
                <w:rFonts w:ascii="Arial" w:cs="Arial" w:eastAsia="Arial" w:hAnsi="Arial"/>
                <w:sz w:val="18"/>
                <w:szCs w:val="18"/>
                <w:color w:val="auto"/>
                <w:w w:val="92"/>
              </w:rPr>
              <w:t>There were 14,917,658 shares of the registrant’s common stock, $0.001 par value, outstanding as of May 10, 2012.</w:t>
            </w:r>
          </w:p>
        </w:tc>
        <w:tc>
          <w:tcPr>
            <w:tcW w:w="2900" w:type="dxa"/>
            <w:vAlign w:val="bottom"/>
          </w:tcPr>
          <w:p>
            <w:pPr>
              <w:spacing w:after="0"/>
              <w:rPr>
                <w:sz w:val="24"/>
                <w:szCs w:val="24"/>
                <w:color w:val="auto"/>
              </w:rPr>
            </w:pPr>
          </w:p>
        </w:tc>
      </w:tr>
      <w:tr>
        <w:trPr>
          <w:trHeight w:val="648"/>
        </w:trPr>
        <w:tc>
          <w:tcPr>
            <w:tcW w:w="8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98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FINANCIAL INFORMATION</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Financial Statements: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Balance Sheets as of March 31, 2012 (unaudited) and December 31, 2011</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8980" w:type="dxa"/>
            <w:vAlign w:val="bottom"/>
            <w:shd w:val="clear" w:color="auto" w:fill="CCFFCC"/>
          </w:tcPr>
          <w:p>
            <w:pPr>
              <w:ind w:left="420"/>
              <w:spacing w:after="0" w:line="201" w:lineRule="exact"/>
              <w:rPr>
                <w:sz w:val="20"/>
                <w:szCs w:val="20"/>
                <w:color w:val="auto"/>
              </w:rPr>
            </w:pPr>
            <w:r>
              <w:rPr>
                <w:rFonts w:ascii="Arial" w:cs="Arial" w:eastAsia="Arial" w:hAnsi="Arial"/>
                <w:sz w:val="18"/>
                <w:szCs w:val="18"/>
                <w:color w:val="auto"/>
                <w:w w:val="92"/>
              </w:rPr>
              <w:t>Condensed Consolidated Statements of Operations for the three months ended March 31, 2012 and the Cumulative</w:t>
            </w:r>
          </w:p>
        </w:tc>
        <w:tc>
          <w:tcPr>
            <w:tcW w:w="13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89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Period ended March 31, 2012 (unaudited)</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w w:val="92"/>
              </w:rPr>
              <w:t>Condensed Consolidated Statement of Stockholders’ Equity for the three months ended March 31, 2012 (unaudited)</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8980" w:type="dxa"/>
            <w:vAlign w:val="bottom"/>
            <w:shd w:val="clear" w:color="auto" w:fill="CCFFCC"/>
          </w:tcPr>
          <w:p>
            <w:pPr>
              <w:ind w:left="420"/>
              <w:spacing w:after="0" w:line="201" w:lineRule="exact"/>
              <w:rPr>
                <w:sz w:val="20"/>
                <w:szCs w:val="20"/>
                <w:color w:val="auto"/>
              </w:rPr>
            </w:pPr>
            <w:r>
              <w:rPr>
                <w:rFonts w:ascii="Arial" w:cs="Arial" w:eastAsia="Arial" w:hAnsi="Arial"/>
                <w:sz w:val="18"/>
                <w:szCs w:val="18"/>
                <w:color w:val="auto"/>
                <w:w w:val="91"/>
              </w:rPr>
              <w:t>Condensed Consolidated Statements of Cash Flows for the three months ended March 31, 2012 and the Cumulative</w:t>
            </w:r>
          </w:p>
        </w:tc>
        <w:tc>
          <w:tcPr>
            <w:tcW w:w="13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8980" w:type="dxa"/>
            <w:vAlign w:val="bottom"/>
            <w:shd w:val="clear" w:color="auto" w:fill="CCFFCC"/>
          </w:tcPr>
          <w:p>
            <w:pPr>
              <w:ind w:left="540"/>
              <w:spacing w:after="0"/>
              <w:rPr>
                <w:sz w:val="20"/>
                <w:szCs w:val="20"/>
                <w:color w:val="auto"/>
              </w:rPr>
            </w:pPr>
            <w:r>
              <w:rPr>
                <w:rFonts w:ascii="Arial" w:cs="Arial" w:eastAsia="Arial" w:hAnsi="Arial"/>
                <w:sz w:val="18"/>
                <w:szCs w:val="18"/>
                <w:color w:val="auto"/>
              </w:rPr>
              <w:t>Period ended March 31, 2012 (unaudited)</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Notes to Condensed Consolidated Financial Statements (unaudited)</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Controls and Procedures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OTHER INFORMATION</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Legal Proceedings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Risk Factors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89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Exhibits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In-process research and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 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December 31, 2011</w:t>
            </w:r>
          </w:p>
        </w:tc>
      </w:tr>
      <w:tr>
        <w:trPr>
          <w:trHeight w:val="228"/>
        </w:trPr>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(See Note 1)</w:t>
            </w:r>
          </w:p>
        </w:tc>
        <w:tc>
          <w:tcPr>
            <w:tcW w:w="20" w:type="dxa"/>
            <w:vAlign w:val="bottom"/>
          </w:tcPr>
          <w:p>
            <w:pPr>
              <w:spacing w:after="0"/>
              <w:rPr>
                <w:sz w:val="19"/>
                <w:szCs w:val="19"/>
                <w:color w:val="auto"/>
              </w:rPr>
            </w:pPr>
          </w:p>
        </w:tc>
      </w:tr>
      <w:tr>
        <w:trPr>
          <w:trHeight w:val="629"/>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20,923,750</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9,748,491</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79,030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87,176</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21,002,780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9,835,667</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5,441,839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5,441,839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629,752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629,752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27,074,371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15,907,258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-1165860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-891540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-608330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80" w:space="720"/>
            <w:col w:w="352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Notes payable, current portion</w:t>
            </w:r>
          </w:p>
        </w:tc>
        <w:tc>
          <w:tcPr>
            <w:tcW w:w="6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677,778</w:t>
            </w:r>
          </w:p>
        </w:tc>
        <w:tc>
          <w:tcPr>
            <w:tcW w:w="240" w:type="dxa"/>
            <w:vAlign w:val="bottom"/>
          </w:tcPr>
          <w:p>
            <w:pPr>
              <w:spacing w:after="0"/>
              <w:rPr>
                <w:sz w:val="18"/>
                <w:szCs w:val="18"/>
                <w:color w:val="auto"/>
              </w:rPr>
            </w:pP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877,778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467,524</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666,640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Interest payable, current portion</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76,793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1,222,095</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1,606,359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Notes payable, noncurrent portion, at fair value</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4,664,697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5,886,792</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6,271,056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FFCC"/>
          </w:tcPr>
          <w:p>
            <w:pPr>
              <w:spacing w:after="0"/>
              <w:rPr>
                <w:sz w:val="20"/>
                <w:szCs w:val="20"/>
                <w:color w:val="auto"/>
              </w:rPr>
            </w:pPr>
            <w:r>
              <w:rPr>
                <w:rFonts w:ascii="Arial" w:cs="Arial" w:eastAsia="Arial" w:hAnsi="Arial"/>
                <w:sz w:val="18"/>
                <w:szCs w:val="18"/>
                <w:color w:val="auto"/>
              </w:rPr>
              <w:t>TG Therapeutics, Inc. and subsidiaries</w:t>
            </w: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160"/>
              <w:spacing w:after="0" w:line="201" w:lineRule="exact"/>
              <w:rPr>
                <w:sz w:val="20"/>
                <w:szCs w:val="20"/>
                <w:color w:val="auto"/>
              </w:rPr>
            </w:pPr>
            <w:r>
              <w:rPr>
                <w:rFonts w:ascii="Arial" w:cs="Arial" w:eastAsia="Arial" w:hAnsi="Arial"/>
                <w:sz w:val="18"/>
                <w:szCs w:val="18"/>
                <w:color w:val="auto"/>
                <w:w w:val="93"/>
              </w:rPr>
              <w:t>Preferred stock, $0.001 par value per share (10,000,000 shares authorized, 1,108,816 and 413,388</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w w:val="96"/>
              </w:rPr>
              <w:t>issued and outstanding as of March 31, 2012 and December 31, 2011, respectively, aggregate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w w:val="98"/>
              </w:rPr>
              <w:t>liquidation value of $22,176,320 and $8,267,760 at March 31, 2012 and December 31, 2011,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Common stock, $0.001 par value per share (500,000,000 shares authorized, 5,061,399 shares issued</w:t>
            </w:r>
          </w:p>
        </w:tc>
        <w:tc>
          <w:tcPr>
            <w:tcW w:w="26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and outstanding at March 31, 2012 and December 31, 2011)</w:t>
            </w:r>
          </w:p>
        </w:tc>
        <w:tc>
          <w:tcPr>
            <w:tcW w:w="26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5,061</w:t>
            </w:r>
          </w:p>
        </w:tc>
        <w:tc>
          <w:tcPr>
            <w:tcW w:w="2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Contingently issuable shares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22,841,334</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10,472,115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Deficit accumulated in development stage</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(11,109,164)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TG Therapeutics, Inc. and subsidiaries equity</w:t>
            </w:r>
          </w:p>
        </w:tc>
        <w:tc>
          <w:tcPr>
            <w:tcW w:w="2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11,738,346</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9,624,521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9,449,233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21,187,579</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9,636,202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27,074,371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period 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March 31, 2012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March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Non-cash stock expense associated with in-licensing agreement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16,578,000</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163,353</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193,636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5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16,741,353</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17,068,636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188,509</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275,003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455,492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923,689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5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644,001</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1,198,692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17,385,354</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18,267,328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5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(17,385,354)</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(18,267,328)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(3,668)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220,149</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227,246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Change in fair value of non-current notes payable</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(205,297)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(205,297)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other (income) expense</w:t>
            </w:r>
          </w:p>
        </w:tc>
        <w:tc>
          <w:tcPr>
            <w:tcW w:w="5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11,184</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18,281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(17,396,538)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(18,285,609)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(7,140,448)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(7,176,445)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attributable to TG Therapeutics, Inc. and subsidiaries</w:t>
            </w:r>
          </w:p>
        </w:tc>
        <w:tc>
          <w:tcPr>
            <w:tcW w:w="58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(10,256,090</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(11,109,164</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 per common share</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5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5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w w:val="96"/>
              </w:rPr>
              <w:t>Weighted average shares used in computing basic and diluted net loss per common share</w:t>
            </w:r>
          </w:p>
        </w:tc>
        <w:tc>
          <w:tcPr>
            <w:tcW w:w="5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5,061,399</w:t>
            </w: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5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5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for the three months ended March 31, 2012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Balance at January 1, 2012</w:t>
      </w:r>
    </w:p>
    <w:p>
      <w:pPr>
        <w:spacing w:after="0" w:line="221" w:lineRule="auto"/>
        <w:rPr>
          <w:sz w:val="20"/>
          <w:szCs w:val="20"/>
          <w:color w:val="auto"/>
        </w:rPr>
      </w:pPr>
      <w:r>
        <w:rPr>
          <w:rFonts w:ascii="Arial" w:cs="Arial" w:eastAsia="Arial" w:hAnsi="Arial"/>
          <w:sz w:val="14"/>
          <w:szCs w:val="14"/>
          <w:color w:val="auto"/>
        </w:rPr>
        <w:t>Changes during the period:</w:t>
      </w:r>
    </w:p>
    <w:p>
      <w:pPr>
        <w:ind w:left="160" w:right="180" w:hanging="145"/>
        <w:spacing w:after="0" w:line="221" w:lineRule="auto"/>
        <w:rPr>
          <w:sz w:val="20"/>
          <w:szCs w:val="20"/>
          <w:color w:val="auto"/>
        </w:rPr>
      </w:pPr>
      <w:r>
        <w:rPr>
          <w:rFonts w:ascii="Arial" w:cs="Arial" w:eastAsia="Arial" w:hAnsi="Arial"/>
          <w:sz w:val="14"/>
          <w:szCs w:val="14"/>
          <w:color w:val="auto"/>
        </w:rPr>
        <w:t>Compensation in respect of restricted preferred stock granted to employees</w:t>
      </w:r>
    </w:p>
    <w:p>
      <w:pPr>
        <w:spacing w:after="0" w:line="1" w:lineRule="exact"/>
        <w:rPr>
          <w:sz w:val="20"/>
          <w:szCs w:val="20"/>
          <w:color w:val="auto"/>
        </w:rPr>
      </w:pPr>
    </w:p>
    <w:p>
      <w:pPr>
        <w:ind w:left="160" w:right="420" w:hanging="145"/>
        <w:spacing w:after="0" w:line="221" w:lineRule="auto"/>
        <w:rPr>
          <w:sz w:val="20"/>
          <w:szCs w:val="20"/>
          <w:color w:val="auto"/>
        </w:rPr>
      </w:pPr>
      <w:r>
        <w:rPr>
          <w:rFonts w:ascii="Arial" w:cs="Arial" w:eastAsia="Arial" w:hAnsi="Arial"/>
          <w:sz w:val="14"/>
          <w:szCs w:val="14"/>
          <w:color w:val="auto"/>
        </w:rPr>
        <w:t>Preferred stock issued at $20.00 per share, net of expenses</w:t>
      </w:r>
    </w:p>
    <w:p>
      <w:pPr>
        <w:spacing w:after="0" w:line="1" w:lineRule="exact"/>
        <w:rPr>
          <w:sz w:val="20"/>
          <w:szCs w:val="20"/>
          <w:color w:val="auto"/>
        </w:rPr>
      </w:pPr>
    </w:p>
    <w:p>
      <w:pPr>
        <w:ind w:left="160" w:hanging="145"/>
        <w:spacing w:after="0" w:line="221" w:lineRule="auto"/>
        <w:rPr>
          <w:sz w:val="20"/>
          <w:szCs w:val="20"/>
          <w:color w:val="auto"/>
        </w:rPr>
      </w:pPr>
      <w:r>
        <w:rPr>
          <w:rFonts w:ascii="Arial" w:cs="Arial" w:eastAsia="Arial" w:hAnsi="Arial"/>
          <w:sz w:val="14"/>
          <w:szCs w:val="14"/>
          <w:color w:val="auto"/>
        </w:rPr>
        <w:t>Shares issued in subsidiary to non-controlling interest in connection with in-licensing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Balance at March 31,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Contingently</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accumulated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Preferred stock</w:t>
            </w:r>
          </w:p>
        </w:tc>
        <w:tc>
          <w:tcPr>
            <w:tcW w:w="15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6"/>
              </w:rPr>
              <w:t>in the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gridSpan w:val="5"/>
            <w:vMerge w:val="continue"/>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issuable</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interest in</w:t>
            </w:r>
          </w:p>
        </w:tc>
        <w:tc>
          <w:tcPr>
            <w:tcW w:w="60" w:type="dxa"/>
            <w:vAlign w:val="bottom"/>
          </w:tcPr>
          <w:p>
            <w:pPr>
              <w:spacing w:after="0"/>
              <w:rPr>
                <w:sz w:val="14"/>
                <w:szCs w:val="14"/>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2"/>
              </w:rPr>
              <w:t>development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subsidiary</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stage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413,388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413</w:t>
            </w:r>
          </w:p>
        </w:tc>
        <w:tc>
          <w:tcPr>
            <w:tcW w:w="660" w:type="dxa"/>
            <w:vAlign w:val="bottom"/>
          </w:tcPr>
          <w:p>
            <w:pPr>
              <w:jc w:val="right"/>
              <w:spacing w:after="0"/>
              <w:rPr>
                <w:sz w:val="20"/>
                <w:szCs w:val="20"/>
                <w:color w:val="auto"/>
              </w:rPr>
            </w:pPr>
            <w:r>
              <w:rPr>
                <w:rFonts w:ascii="Arial" w:cs="Arial" w:eastAsia="Arial" w:hAnsi="Arial"/>
                <w:sz w:val="14"/>
                <w:szCs w:val="14"/>
                <w:color w:val="auto"/>
              </w:rPr>
              <w:t>5,061,399</w:t>
            </w:r>
          </w:p>
        </w:tc>
        <w:tc>
          <w:tcPr>
            <w:tcW w:w="34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5,061</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$ 10,472,115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11,681</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(853,074)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9,636,202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188,509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188,509</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695,428</w:t>
            </w: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696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12,180,710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12,181,406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16,578,000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16,578,000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(7,140,448)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w w:val="98"/>
              </w:rPr>
              <w:t>(10,256,090)</w:t>
            </w: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(17,396,538)</w:t>
            </w:r>
          </w:p>
        </w:tc>
        <w:tc>
          <w:tcPr>
            <w:tcW w:w="0" w:type="dxa"/>
            <w:vAlign w:val="bottom"/>
          </w:tcPr>
          <w:p>
            <w:pPr>
              <w:spacing w:after="0"/>
              <w:rPr>
                <w:sz w:val="1"/>
                <w:szCs w:val="1"/>
                <w:color w:val="auto"/>
              </w:rPr>
            </w:pPr>
          </w:p>
        </w:tc>
      </w:tr>
      <w:tr>
        <w:trPr>
          <w:trHeight w:val="162"/>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1,108,816</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2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5,061,399</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w w:val="85"/>
              </w:rPr>
              <w:t>5,061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$ 22,841,334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9,449,233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(11,109,164</w:t>
            </w:r>
          </w:p>
        </w:tc>
        <w:tc>
          <w:tcPr>
            <w:tcW w:w="200" w:type="dxa"/>
            <w:vAlign w:val="bottom"/>
          </w:tcPr>
          <w:p>
            <w:pPr>
              <w:jc w:val="right"/>
              <w:ind w:right="68"/>
              <w:spacing w:after="0" w:line="150"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21,187,579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-994410</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-805180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-427990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-136525</wp:posOffset>
            </wp:positionV>
            <wp:extent cx="72466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100"/>
            <w:col w:w="8040"/>
          </w:cols>
          <w:pgMar w:left="240" w:top="877" w:right="279" w:bottom="1440" w:gutter="0" w:footer="0" w:header="0"/>
          <w:type w:val="continuous"/>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Cumulative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March 31, 2012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ind w:right="22"/>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(17,396,538)</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(18,285,609)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8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188,509</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 issued in connection with in-licensing agreement</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16,578,000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Decrease in other current assets</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8,147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18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(254,604)</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in interest payable</w:t>
            </w:r>
          </w:p>
        </w:tc>
        <w:tc>
          <w:tcPr>
            <w:tcW w:w="1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14,852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(861,634</w:t>
            </w:r>
          </w:p>
        </w:tc>
        <w:tc>
          <w:tcPr>
            <w:tcW w:w="260" w:type="dxa"/>
            <w:vAlign w:val="bottom"/>
            <w:tcBorders>
              <w:top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(948,211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acquired in connection with acquisition</w:t>
            </w:r>
          </w:p>
        </w:tc>
        <w:tc>
          <w:tcPr>
            <w:tcW w:w="180" w:type="dxa"/>
            <w:vAlign w:val="bottom"/>
            <w:shd w:val="clear" w:color="auto" w:fill="CCFFCC"/>
          </w:tcPr>
          <w:p>
            <w:pPr>
              <w:spacing w:after="0"/>
              <w:rPr>
                <w:sz w:val="19"/>
                <w:szCs w:val="19"/>
                <w:color w:val="auto"/>
              </w:rPr>
            </w:pPr>
          </w:p>
        </w:tc>
        <w:tc>
          <w:tcPr>
            <w:tcW w:w="1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Payments of short-term loans</w:t>
            </w: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18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12,257,309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180" w:type="dxa"/>
            <w:vAlign w:val="bottom"/>
            <w:shd w:val="clear" w:color="auto" w:fill="CCFFCC"/>
          </w:tcPr>
          <w:p>
            <w:pPr>
              <w:spacing w:after="0"/>
              <w:rPr>
                <w:sz w:val="19"/>
                <w:szCs w:val="19"/>
                <w:color w:val="auto"/>
              </w:rPr>
            </w:pP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(20,416)</w:t>
            </w:r>
          </w:p>
        </w:tc>
        <w:tc>
          <w:tcPr>
            <w:tcW w:w="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12,036,893</w:t>
            </w:r>
          </w:p>
        </w:tc>
        <w:tc>
          <w:tcPr>
            <w:tcW w:w="26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21,861,575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11,175,259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20,923,750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9,748,491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20,923,750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20,923,750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540" w:type="dxa"/>
            <w:vAlign w:val="bottom"/>
            <w:tcBorders>
              <w:top w:val="single" w:sz="8" w:color="auto"/>
            </w:tcBorders>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6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TRANSACTIONS: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notes payable to preferred stock</w:t>
            </w:r>
          </w:p>
        </w:tc>
        <w:tc>
          <w:tcPr>
            <w:tcW w:w="180" w:type="dxa"/>
            <w:vAlign w:val="bottom"/>
            <w:shd w:val="clear" w:color="auto" w:fill="CCFFCC"/>
          </w:tcPr>
          <w:p>
            <w:pPr>
              <w:jc w:val="right"/>
              <w:ind w:right="22"/>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55,487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116,626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TGTX-1101 (ublituximab), a novel, third generation monoclonal antibody that targets a specific and unique epitope on the CD20 antigen found on mature B-lymphocytes. We also hold the development rights to AST-726, a nasally delivered product for the treatment of Vitamin B</w:t>
      </w:r>
      <w:r>
        <w:rPr>
          <w:rFonts w:ascii="Arial" w:cs="Arial" w:eastAsia="Arial" w:hAnsi="Arial"/>
          <w:sz w:val="28"/>
          <w:szCs w:val="28"/>
          <w:color w:val="auto"/>
          <w:vertAlign w:val="subscript"/>
        </w:rPr>
        <w:t>12</w:t>
      </w:r>
      <w:r>
        <w:rPr>
          <w:rFonts w:ascii="Arial" w:cs="Arial" w:eastAsia="Arial" w:hAnsi="Arial"/>
          <w:sz w:val="17"/>
          <w:szCs w:val="17"/>
          <w:color w:val="auto"/>
        </w:rPr>
        <w:t xml:space="preserve"> deficiency, and AST-915, an orally delivered treatment for essential tremor.</w:t>
      </w:r>
    </w:p>
    <w:p>
      <w:pPr>
        <w:spacing w:after="0" w:line="20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2011. The results of operations for the three months ended March 31, 2012 are not necessarily indicative of the results that may be expected for the entire fiscal year or any other interim period.</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 thus the accompanying consolidated financial statements do not include comparative financial information for the three months ended March 31, 2011.</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March 31, 2012, we have an accumulated deficit of $11,109,164.</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jc w:val="both"/>
        <w:ind w:right="40" w:firstLine="648"/>
        <w:spacing w:after="0" w:line="259" w:lineRule="auto"/>
        <w:rPr>
          <w:sz w:val="20"/>
          <w:szCs w:val="20"/>
          <w:color w:val="auto"/>
        </w:rPr>
      </w:pPr>
      <w:r>
        <w:rPr>
          <w:rFonts w:ascii="Arial" w:cs="Arial" w:eastAsia="Arial" w:hAnsi="Arial"/>
          <w:sz w:val="18"/>
          <w:szCs w:val="18"/>
          <w:color w:val="auto"/>
        </w:rPr>
        <w:t>On December 30, 2011, we completed the first closing of the private placement of our securities, issuing 4,929,523 shares of Company $0.001 par value common stock (“Common Stock “)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Series A preferred stock (“Company Preferred Stock”) at a price per share of $20.00, for total gross proceeds, before placement commissions and expenses, of $13,908,560. Each share of Company Preferred Stock is convertible into 8.89 shares of Common Stock, provided that such conversion rights are subject to sufficient available authorized shares of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OTC Bulletin Board and trades under the symbol “TGTX.OB.”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stockholder authorization. All share amounts and per share prices in this Quarterly Report on Form 10-Q have been retroactively adjusted to reflect the effect of our reverse stock split, on a fifty six and one quarter (56.25) for one (1) basis, unless otherwise indicated. The exercise price for all stock options and warrants and the conversion price for convertible securities in the accompanying condensed consolidated financial statements have been adjusted to reflect the reverse stock split by multiplying the original exercise or conversion price by fifty six and one quarter (56.25).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acquisition. The fair values are assessed annually in the fourth quarter to ascertain if there has been any impairment of the recorded value. If there is an impairment, the asset is written down to its current fair value by the recording of an expense. Impairment testing consists of a comparison of the fair value of the in-process research and development with its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as compensation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Basic net income (loss) per share of Common Stock is calculated by dividing net income (loss) applicable to the Common Stock by the weighted-average number of the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14,154,452 at March 31, 2012. During the three months ended March 31, 2012, the Company incurred a net loss; therefore, all of the dilutive securities are excluded from the computation of diluted earnings per share.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Long 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 for the difference between the carrying value and the estimated fair value.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goodwill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2011 and March 31, 2012, the fair values of cash and cash equivalents, other current assets, notes and interest payable, current portion, accounts payable and accrued expenses, and interest payable, noncurrent approximate their carrying value.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44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$17,089,000 at March 31, 2012. As these notes payable are tied directly to net product cash flows derived from the preexisting products of the Company, this note and accrued interest was recorded at fair value of $4,664,697 as of the date of the Exchange Transaction. No payments have been made on these notes as of March 31, 2012.</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our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March 31,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December 31, 2011 and March 31,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jc w:val="center"/>
              <w:ind w:right="481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4,664,697</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jc w:val="center"/>
              <w:ind w:right="4790"/>
              <w:spacing w:after="0"/>
              <w:rPr>
                <w:sz w:val="20"/>
                <w:szCs w:val="20"/>
                <w:color w:val="auto"/>
              </w:rPr>
            </w:pPr>
            <w:r>
              <w:rPr>
                <w:rFonts w:ascii="Arial" w:cs="Arial" w:eastAsia="Arial" w:hAnsi="Arial"/>
                <w:sz w:val="18"/>
                <w:szCs w:val="18"/>
                <w:color w:val="auto"/>
                <w:w w:val="89"/>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as of March 31, 2012</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jc w:val="center"/>
              <w:ind w:right="481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4,664,697</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jc w:val="center"/>
              <w:ind w:right="4790"/>
              <w:spacing w:after="0"/>
              <w:rPr>
                <w:sz w:val="20"/>
                <w:szCs w:val="20"/>
                <w:color w:val="auto"/>
              </w:rPr>
            </w:pPr>
            <w:r>
              <w:rPr>
                <w:rFonts w:ascii="Arial" w:cs="Arial" w:eastAsia="Arial" w:hAnsi="Arial"/>
                <w:sz w:val="18"/>
                <w:szCs w:val="18"/>
                <w:color w:val="auto"/>
                <w:w w:val="89"/>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2012:</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2011</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4"/>
              </w:rPr>
              <w:t>4,664,697</w:t>
            </w:r>
          </w:p>
        </w:tc>
        <w:tc>
          <w:tcPr>
            <w:tcW w:w="4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205,297</w:t>
            </w:r>
          </w:p>
        </w:tc>
        <w:tc>
          <w:tcPr>
            <w:tcW w:w="40" w:type="dxa"/>
            <w:vAlign w:val="bottom"/>
          </w:tcPr>
          <w:p>
            <w:pPr>
              <w:spacing w:after="0"/>
              <w:rPr>
                <w:sz w:val="18"/>
                <w:szCs w:val="18"/>
                <w:color w:val="auto"/>
              </w:rPr>
            </w:pPr>
          </w:p>
        </w:tc>
      </w:tr>
      <w:tr>
        <w:trPr>
          <w:trHeight w:val="230"/>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(205,297)</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Fair value at March 31, 2012</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4,664,697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On December 29, 2011, the Company completed a reverse acquisition of privately held TG Bio, a Delaware Corporation. The acquisition was effected pursuant to an Exchange Transaction Agreement (the “Agreement”) dated December 29, 2011 by and among the Company, TG Bio and Opus, the largest shareholder of TG Bio.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is convertible into 8.89 shares of the Common Stock provided that such conversion rights are subject to sufficient available authorized shares of Common Stock. The Company Preferred Stock has the same voting rights (on an as-converted basis), and other attributes as Common Stock. The Company Preferred Stock will automatically be exchanged for Common Stock when sufficient authorized shares are available to allow for such conversion.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16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Preferred Stock issued (and the underlying Common Stock once converted) are not registered for resale and, therefore, shall remain subject to the rights and restrictions of Rule 144. All Company Preferred Stock received by the TG Bio shareholders in exchange for their shares of TG Bio common stock will not be registered for resale prior to six (6) months following December 29, 2011 and, therefore, shall remain subject to the rights and restrictions of Rule 144 prior to any such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340" w:firstLine="648"/>
        <w:spacing w:after="0" w:line="259" w:lineRule="auto"/>
        <w:rPr>
          <w:sz w:val="20"/>
          <w:szCs w:val="20"/>
          <w:color w:val="auto"/>
        </w:rPr>
      </w:pPr>
      <w:r>
        <w:rPr>
          <w:rFonts w:ascii="Arial" w:cs="Arial" w:eastAsia="Arial" w:hAnsi="Arial"/>
          <w:sz w:val="18"/>
          <w:szCs w:val="18"/>
          <w:color w:val="auto"/>
        </w:rPr>
        <w:t>The Company Preferred Stock issued in connection with the agreement provided the former TG Bio shareholders with direct and/or indirect ownership of approximately 95% of the Company’s outstanding common stock as of December 29, 2011. Based on fair value of the Company’s Common Stock of $0.04 per share, the purchase price was $295,933, plus the fair value of restricted stock assumed of $82,305. In connection with the Exchange Transaction, the Company incurred $231,580 of acquisition related costs.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 summary of the purchase price calculation is as follows: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Number of shares of Manhattan common stock outstanding at the time of the</w:t>
            </w:r>
          </w:p>
        </w:tc>
        <w:tc>
          <w:tcPr>
            <w:tcW w:w="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transaction</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131,526</w:t>
            </w:r>
          </w:p>
        </w:tc>
        <w:tc>
          <w:tcPr>
            <w:tcW w:w="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Multiplied by Manhattan’s fair value of the Common Stock</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295,933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of restricted stock assumed</w:t>
            </w:r>
          </w:p>
        </w:tc>
        <w:tc>
          <w:tcPr>
            <w:tcW w:w="24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680" w:type="dxa"/>
            <w:vAlign w:val="bottom"/>
            <w:tcBorders>
              <w:top w:val="single" w:sz="8" w:color="auto"/>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spacing w:after="0"/>
              <w:rPr>
                <w:sz w:val="19"/>
                <w:szCs w:val="19"/>
                <w:color w:val="auto"/>
              </w:rPr>
            </w:pPr>
          </w:p>
        </w:tc>
        <w:tc>
          <w:tcPr>
            <w:tcW w:w="2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82,305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Total purchase price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has been allocated as follows based on the fair values of the assets and liabilities acquired: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10,386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90,769</w:t>
            </w:r>
          </w:p>
        </w:tc>
      </w:tr>
      <w:tr>
        <w:trPr>
          <w:trHeight w:val="23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 acquired</w:t>
            </w:r>
          </w:p>
        </w:tc>
        <w:tc>
          <w:tcPr>
            <w:tcW w:w="18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5,441,840</w:t>
            </w:r>
          </w:p>
        </w:tc>
      </w:tr>
      <w:tr>
        <w:trPr>
          <w:trHeight w:val="210"/>
        </w:trPr>
        <w:tc>
          <w:tcPr>
            <w:tcW w:w="518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Total identifiable assets</w:t>
            </w:r>
          </w:p>
        </w:tc>
        <w:tc>
          <w:tcPr>
            <w:tcW w:w="18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5,542,995</w:t>
            </w:r>
          </w:p>
        </w:tc>
        <w:tc>
          <w:tcPr>
            <w:tcW w:w="60" w:type="dxa"/>
            <w:vAlign w:val="bottom"/>
            <w:tcBorders>
              <w:bottom w:val="single" w:sz="8" w:color="CCFFCC"/>
            </w:tcBorders>
          </w:tcPr>
          <w:p>
            <w:pPr>
              <w:spacing w:after="0"/>
              <w:rPr>
                <w:sz w:val="18"/>
                <w:szCs w:val="18"/>
                <w:color w:val="auto"/>
              </w:rPr>
            </w:pPr>
          </w:p>
        </w:tc>
      </w:tr>
      <w:tr>
        <w:trPr>
          <w:trHeight w:val="21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197,191</w:t>
            </w:r>
          </w:p>
        </w:tc>
        <w:tc>
          <w:tcPr>
            <w:tcW w:w="60" w:type="dxa"/>
            <w:vAlign w:val="bottom"/>
            <w:shd w:val="clear" w:color="auto" w:fill="CCFFC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Notes payable (ICON and Swiss Pharma)</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939,718</w:t>
            </w:r>
          </w:p>
        </w:tc>
      </w:tr>
      <w:tr>
        <w:trPr>
          <w:trHeight w:val="23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5% notes payable and accrued interest</w:t>
            </w:r>
          </w:p>
        </w:tc>
        <w:tc>
          <w:tcPr>
            <w:tcW w:w="18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4,657,600</w:t>
            </w:r>
          </w:p>
        </w:tc>
      </w:tr>
      <w:tr>
        <w:trPr>
          <w:trHeight w:val="210"/>
        </w:trPr>
        <w:tc>
          <w:tcPr>
            <w:tcW w:w="518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Total identifiable liabilities</w:t>
            </w:r>
          </w:p>
        </w:tc>
        <w:tc>
          <w:tcPr>
            <w:tcW w:w="18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5,794,509</w:t>
            </w:r>
          </w:p>
        </w:tc>
        <w:tc>
          <w:tcPr>
            <w:tcW w:w="60" w:type="dxa"/>
            <w:vAlign w:val="bottom"/>
            <w:tcBorders>
              <w:bottom w:val="single" w:sz="8" w:color="CCFFCC"/>
            </w:tcBorders>
          </w:tcPr>
          <w:p>
            <w:pPr>
              <w:spacing w:after="0"/>
              <w:rPr>
                <w:sz w:val="18"/>
                <w:szCs w:val="18"/>
                <w:color w:val="auto"/>
              </w:rPr>
            </w:pPr>
          </w:p>
        </w:tc>
      </w:tr>
      <w:tr>
        <w:trPr>
          <w:trHeight w:val="21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Net identifiable liabilities</w:t>
            </w:r>
          </w:p>
        </w:tc>
        <w:tc>
          <w:tcPr>
            <w:tcW w:w="1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8"/>
              </w:rPr>
              <w:t>(251,514)</w:t>
            </w:r>
          </w:p>
        </w:tc>
        <w:tc>
          <w:tcPr>
            <w:tcW w:w="60" w:type="dxa"/>
            <w:vAlign w:val="bottom"/>
            <w:shd w:val="clear" w:color="auto" w:fill="CCFFCC"/>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629,752</w:t>
            </w:r>
          </w:p>
        </w:tc>
      </w:tr>
      <w:tr>
        <w:trPr>
          <w:trHeight w:val="223"/>
        </w:trPr>
        <w:tc>
          <w:tcPr>
            <w:tcW w:w="5180" w:type="dxa"/>
            <w:vAlign w:val="bottom"/>
            <w:tcBorders>
              <w:top w:val="single" w:sz="8" w:color="CCFFCC"/>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378,238</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valuation was performed to determine the fair value of certain identifiable intangible assets of Manhattan.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fair value of certain identifiable intangible assets was determined using the income approach. This method starts with a forecast of the expected future net cash flows. These cash flows are then adjusted to present value by applying an appropriate discount rate that reflects the risk of achieving the asset’s projected cash flows. The present value of the estimated cash flows are then added to the present value equivalent of the residual value of the asset, if any, at the end of the discrete projection period to estimate the fair value.</w:t>
      </w:r>
    </w:p>
    <w:p>
      <w:pPr>
        <w:spacing w:after="0" w:line="18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valuations are based on information that is available as of the acquisition date and the expectations and assumptions that have been deemed reasonable by our management. No assurance can be given, however, that the underlying assumptions or events associated with such assets will occur as projected. For these reasons, among others, the actual results may vary from the projected results.</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following supplemental pro forma information presents the financial results as if the transaction had occurred on January 1, 2011 for the three months ended March 31, 2011. This supplemental pro forma information has been prepared for comparative purposes and does not purport to be indicative of what would have occurred had the acquisition been made on January 1, 2011, nor are they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FFCC"/>
              <w:bottom w:val="single" w:sz="8" w:color="CCFFCC"/>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4080" w:type="dxa"/>
            <w:vAlign w:val="bottom"/>
            <w:tcBorders>
              <w:bottom w:val="single" w:sz="8" w:color="CCFFCC"/>
            </w:tcBorders>
            <w:vMerge w:val="continue"/>
          </w:tcPr>
          <w:p>
            <w:pPr>
              <w:spacing w:after="0"/>
              <w:rPr>
                <w:sz w:val="20"/>
                <w:szCs w:val="20"/>
                <w:color w:val="auto"/>
              </w:rPr>
            </w:pPr>
          </w:p>
        </w:tc>
        <w:tc>
          <w:tcPr>
            <w:tcW w:w="1580" w:type="dxa"/>
            <w:vAlign w:val="bottom"/>
            <w:tcBorders>
              <w:bottom w:val="single" w:sz="8" w:color="CCFFCC"/>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3,832,383</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408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Basic and diluted income per common share</w:t>
            </w:r>
          </w:p>
        </w:tc>
        <w:tc>
          <w:tcPr>
            <w:tcW w:w="15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1.51</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vMerge w:val="restart"/>
          </w:tcPr>
          <w:p>
            <w:pPr>
              <w:jc w:val="right"/>
              <w:ind w:right="43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There were 1,108,816 shares of Company Preferred Stock outstanding as of March 31, 2012. In connection with the Exchange Transaction, the Company filed a Certificate of Designation with respect to its Company Preferred Stock with the Secretary of State of the State of Delaware. The Company Preferred Stock ranks senior to the Common Stock with regard to dividend rights, and has a liquidation preference of $20 per share over the Common Stock and any other junior securities. The Company Preferred Stock is automatically convertible into 8.89 shares of Common Stock provided that, prior to conversion, the Company has sufficient authorized Common Stock to effect such conversion. The Company Preferred Stock also automatically converts upon a change of control of the Company or the sale of substantially all of the assets of the Company. The Company Preferred Stock votes on an as-converted basis with the Common Stock.</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conjunction with the reverse split effected on April 30, 2012 (as discussed in Note 1), our Company Preferred Stock automatically converted to 9,856,259 shares of Common Stock as of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is convertible into 8.89 shares of Common Stock provided that such conversion rights are subject to sufficient available authorized shares of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status of the Company’s stock options as of March 31, 2012 and changes during the period then ended is presented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March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w:t>
            </w:r>
          </w:p>
        </w:tc>
        <w:tc>
          <w:tcPr>
            <w:tcW w:w="1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1,315.62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720.45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Outstanding at March 31, 2012</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2,945.09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FFCC"/>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Vested and expected to vest at March 31, 2012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2,945.09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March 31, 2012</w:t>
            </w: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898</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2,963.46</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2.43</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ind w:left="92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March 31, 2012, the total compensation cost related to unvested option awards not yet recognized is less than $1,000. The weighted average period over which it is expected to be recognized is approximately 1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Certain employees have been awarded restricted Company Preferred Stock. The restricted stock vesting consists of milestone and time-based vesting. The following table summarizes restricted share activity for the three months ended March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2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Number of Shares</w:t>
            </w:r>
          </w:p>
        </w:tc>
        <w:tc>
          <w:tcPr>
            <w:tcW w:w="1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Restricted Series</w:t>
            </w: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3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 Preferred</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Grant Date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4320" w:type="dxa"/>
            <w:vAlign w:val="bottom"/>
          </w:tcPr>
          <w:p>
            <w:pPr>
              <w:spacing w:after="0"/>
              <w:rPr>
                <w:sz w:val="23"/>
                <w:szCs w:val="23"/>
                <w:color w:val="auto"/>
              </w:rPr>
            </w:pPr>
          </w:p>
        </w:tc>
        <w:tc>
          <w:tcPr>
            <w:tcW w:w="1660" w:type="dxa"/>
            <w:vAlign w:val="bottom"/>
            <w:gridSpan w:val="2"/>
          </w:tcPr>
          <w:p>
            <w:pPr>
              <w:jc w:val="center"/>
              <w:ind w:right="200"/>
              <w:spacing w:after="0" w:line="269" w:lineRule="exact"/>
              <w:rPr>
                <w:sz w:val="20"/>
                <w:szCs w:val="20"/>
                <w:color w:val="auto"/>
              </w:rPr>
            </w:pPr>
            <w:r>
              <w:rPr>
                <w:rFonts w:ascii="Arial" w:cs="Arial" w:eastAsia="Arial" w:hAnsi="Arial"/>
                <w:sz w:val="18"/>
                <w:szCs w:val="18"/>
                <w:b w:val="1"/>
                <w:bCs w:val="1"/>
                <w:color w:val="auto"/>
                <w:w w:val="84"/>
              </w:rPr>
              <w:t>Stock</w:t>
            </w:r>
            <w:r>
              <w:rPr>
                <w:rFonts w:ascii="Arial" w:cs="Arial" w:eastAsia="Arial" w:hAnsi="Arial"/>
                <w:sz w:val="30"/>
                <w:szCs w:val="30"/>
                <w:b w:val="1"/>
                <w:bCs w:val="1"/>
                <w:color w:val="auto"/>
                <w:w w:val="84"/>
                <w:vertAlign w:val="superscript"/>
              </w:rPr>
              <w:t>(1)</w:t>
            </w:r>
          </w:p>
        </w:tc>
        <w:tc>
          <w:tcPr>
            <w:tcW w:w="18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3"/>
                <w:szCs w:val="2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129,375</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2012</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129,375</w:t>
            </w:r>
          </w:p>
        </w:tc>
        <w:tc>
          <w:tcPr>
            <w:tcW w:w="20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20.00</w:t>
            </w:r>
          </w:p>
        </w:tc>
        <w:tc>
          <w:tcPr>
            <w:tcW w:w="220" w:type="dxa"/>
            <w:vAlign w:val="bottom"/>
            <w:tcBorders>
              <w:top w:val="single" w:sz="8" w:color="CCFFCC"/>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7,762,500</w:t>
            </w:r>
          </w:p>
        </w:tc>
      </w:tr>
      <w:tr>
        <w:trPr>
          <w:trHeight w:val="20"/>
        </w:trPr>
        <w:tc>
          <w:tcPr>
            <w:tcW w:w="43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42" w:lineRule="exact"/>
        <w:rPr>
          <w:sz w:val="20"/>
          <w:szCs w:val="20"/>
          <w:color w:val="auto"/>
        </w:rPr>
      </w:pPr>
    </w:p>
    <w:p>
      <w:pPr>
        <w:jc w:val="both"/>
        <w:ind w:right="120" w:firstLine="656"/>
        <w:spacing w:after="0" w:line="243" w:lineRule="auto"/>
        <w:tabs>
          <w:tab w:leader="none" w:pos="861" w:val="left"/>
        </w:tabs>
        <w:numPr>
          <w:ilvl w:val="0"/>
          <w:numId w:val="5"/>
        </w:numPr>
        <w:rPr>
          <w:rFonts w:ascii="Arial" w:cs="Arial" w:eastAsia="Arial" w:hAnsi="Arial"/>
          <w:sz w:val="25"/>
          <w:szCs w:val="25"/>
          <w:b w:val="1"/>
          <w:bCs w:val="1"/>
          <w:color w:val="auto"/>
          <w:vertAlign w:val="superscript"/>
        </w:rPr>
      </w:pPr>
      <w:r>
        <w:rPr>
          <w:rFonts w:ascii="Arial" w:cs="Arial" w:eastAsia="Arial" w:hAnsi="Arial"/>
          <w:sz w:val="16"/>
          <w:szCs w:val="16"/>
          <w:color w:val="auto"/>
        </w:rPr>
        <w:t>The restricted Company Preferred Stock listed in the table above was granted in connection with the Exchange Transaction to certain executives as discussed above. Each share of Company Preferred Stock is convertible into 8.89 shares of the Company’s Common Stock, provided that such conversion right is subject to sufficient available authorized shares of the registrant’s common stock.</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expense associated with restricted stock was $188,509 during the three months ended March 31,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660" w:type="dxa"/>
            <w:vAlign w:val="bottom"/>
            <w:tcBorders>
              <w:top w:val="single" w:sz="8" w:color="auto"/>
            </w:tcBorders>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w w:val="94"/>
              </w:rPr>
              <w:t>The following table summarizes warrant activity for the three months ended March 31, 2012: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3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2,118,768</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2,163,555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2,812.50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3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Outstanding at March 31, 2012</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4,280,874</w:t>
            </w:r>
          </w:p>
        </w:tc>
        <w:tc>
          <w:tcPr>
            <w:tcW w:w="2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FFCC"/>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CCFFCC"/>
            </w:tcBorders>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tcBorders>
              <w:top w:val="single" w:sz="8" w:color="CCFFCC"/>
            </w:tcBorders>
          </w:tcPr>
          <w:p>
            <w:pPr>
              <w:spacing w:after="0" w:line="20" w:lineRule="exact"/>
              <w:rPr>
                <w:sz w:val="1"/>
                <w:szCs w:val="1"/>
                <w:color w:val="auto"/>
              </w:rPr>
            </w:pPr>
          </w:p>
        </w:tc>
        <w:tc>
          <w:tcPr>
            <w:tcW w:w="366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months ended March 31, 2011, as part of the 2011 Equity PIPE, we issued warrants to purchase up to 1,545,396 shares of our Company Common Stock to investors in the 2011 Equity PIPE, none of which have been exercised as of March 31, 2012. The warrants have an exercise price of $2.25 per warrant share. In addition, we issued to the placement agent in the transaction warrants to purchase up to 618,159 shares of our Company Common Stock at an exercise price of $2.48 per warrant share, none of which have been exercised as of March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three months ended March 31, 2012.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stock options and restricted stock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188,509</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188,509</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64" w:right="239" w:bottom="1440" w:gutter="0" w:footer="0" w:header="0"/>
        </w:sect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following is a summary of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100"/>
        <w:spacing w:after="0" w:line="256" w:lineRule="auto"/>
        <w:rPr>
          <w:sz w:val="20"/>
          <w:szCs w:val="20"/>
          <w:color w:val="auto"/>
        </w:rPr>
      </w:pPr>
      <w:r>
        <w:rPr>
          <w:rFonts w:ascii="Arial" w:cs="Arial" w:eastAsia="Arial" w:hAnsi="Arial"/>
          <w:sz w:val="18"/>
          <w:szCs w:val="18"/>
          <w:color w:val="auto"/>
        </w:rPr>
        <w:t>Non-interest Bearing Note Payable, Net Convertible 5% Notes Payable ICON Convertible Note</w:t>
      </w: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March 31, 2012</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December 31, 2011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Non-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4"/>
              </w:rPr>
              <w:t>portion, net</w:t>
            </w:r>
          </w:p>
        </w:tc>
        <w:tc>
          <w:tcPr>
            <w:tcW w:w="200" w:type="dxa"/>
            <w:vAlign w:val="bottom"/>
          </w:tcPr>
          <w:p>
            <w:pPr>
              <w:spacing w:after="0"/>
              <w:rPr>
                <w:sz w:val="20"/>
                <w:szCs w:val="20"/>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portion,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portion, net</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portion,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200,000</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4,664,697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4,664,697</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4,664,697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4,664,697</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677,778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677,778</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677,778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677,778</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4,664,697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5,342,475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877,778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4,664,697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5,542,475</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-608330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-325120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64" w:right="239" w:bottom="1440" w:gutter="0" w:footer="0" w:header="0"/>
          <w:type w:val="continuous"/>
        </w:sectPr>
      </w:pPr>
    </w:p>
    <w:p>
      <w:pPr>
        <w:spacing w:after="0" w:line="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assumed the preceding notes payable as the result of the Exchange Transaction. Accordingly, a valuation was performed and these notes have been presented at their fair value on the date of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Bearing Note Payable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October 2009, Manhattan entered into a Settlement Agreement and Mutual Release with Swiss Pharma Contract LTD (“Swiss Pharma”) pursuant to which Manhattan agreed to pay Swiss Pharma $200,000 and issue to Swiss Pharma an interest free promissory note due on October 27, 2011 in the principal amount of $250,000 in full satisfaction of a September 5, 2008 arbitration award. In November 2011, Manhattan renegotiated the $250,000 promissory note due October 27, 2011 in which the amount of the promissory note was reduced to $200,000 and the maturity date was extended to February 15, 2012. This amount was paid on February 14, 2012 in full settlement of this note.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173"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$17,089,000 at March 31, 2012. As these notes payable are tied directly to net product cash flows derived from the preexisting products of the Company, this note and accrued interest was recorded at fair value as of the date of the Exchange Transaction. No payments have been made on these notes as of March 31, 2012. See Note 2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three months ended March 31, 2012, the Company recorded $14,852 of interest expense on the Amended ICON Note. At March 31, 2012, the principal amount of the Amended ICON Note was $677,778, of which the entire balance has been classified as current, and interest payable on the Amended ICON Note was $76,793, and is reflected as notes payable, current portion, net, and interest payable, current portion, net, respectively, in the accompanying balance sheet as of March 31, 2012. This note is currently in default as the Company did not make the balloon payment due on January 31, 2012, or the monthly installment payments due in February 2012 and March 2012. The Company is currently attempting to negotiate a settlement or alternative arrangement in satisfaction of this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LICENSE AGREEMENTS</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 April 2011, TG Bio, acquired from LFB Biotechnologies, a fully owned subsidiary of France based LFB S.A., an option (the “License Option”) for exclusive worldwide rights (except France/Belgium) to develop and market ublituximab (“TGTX-1101”), a monoclonal antibody that targets a specific epitope on the B-cell lymphocyte CD20 antigen. In exchange for the License Option, TG Bio issued 132,000 shares of its common stock to LFB.</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2012, TG Bio exercised the License Option and entered into an exclusive license agreement with LFB Biotechnologies, GTC Biotherapeutics and LFB/GTC LLC, all wholly-owned subsidiaries of LFB Group, relating to the development of ublituximab (the “License Agreement”). Under the License Agreement, we have acquired the exclusive worldwide rights (exclusive of France/Belgium) for the development and commercialization of TGTX-1101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ublituximab. The license will terminate on a country by country basis upon the expiration of the last licensed patent right or 15 years after the first commercial sale of a product in such country, unless the agreement is earlier terminated.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firstLine="648"/>
        <w:spacing w:after="0" w:line="255" w:lineRule="auto"/>
        <w:rPr>
          <w:sz w:val="20"/>
          <w:szCs w:val="20"/>
          <w:color w:val="auto"/>
        </w:rPr>
      </w:pPr>
      <w:r>
        <w:rPr>
          <w:rFonts w:ascii="Arial" w:cs="Arial" w:eastAsia="Arial" w:hAnsi="Arial"/>
          <w:sz w:val="18"/>
          <w:szCs w:val="18"/>
          <w:color w:val="auto"/>
        </w:rPr>
        <w:t>In connection with the license agreement, our subsidiary TG Biologics issued 7,368,000 shares of its common stock to LFB, and the Company agreed to contribute $15 million, less applicable fees and expenses associated with the financing, to TG Bio to fund the development of ublituximab under the License Agreement in exchange for 7,500,000 shares of TG Bio common stock. The Company recognized approximately $16,578,000 of non-cash research and development expense during the three months ended March 31, 2012 in connection with the issuance of these shares. In addition, in connection with the issuance of 7,368,000 shares of TG Bio common stock, the Company and TG Bio provided LFB Group the option to, in its sole discretion, elect to convert all, and not less than all, of the shares of TG Bio common stock into 7,500,000 shares of the Company’s Common Stock. This option may be exercised by LFB Group at any time before May 14, 2012.</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should LFB Group choose to exercise the option for Company Common Stock, the Board of Directors of the Company shall appoint an individual designated by LFB Group to serve as a director of the Company until the next annual meeting of the stockholders and until his or her successor has been duly elected. Thereafter the Board of Directors of the Company shall nominate a designee named by LFB Group for election at each annual meeting of the stockholders until such time as LFB Group owns less than 10% of the outstanding Company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30, 2011, OPN Capital Markets (“OPNCM”) and its affiliated broker-dealer, National Securities Corporation (“NSC” and collectively with OPNCM, “National”), both affiliates of National Holdings Corporation (“National Holdings”), entered into a Placement Agency Agreement (the “PAA”) with the Company in connection with the initial closing of the 2011 Equity PIPE, offering of up to $25 million of stock and warrants of the Company. Pursuant to the PAA, National acted as the Company’s placement agent for 2011 Equity PIPE.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Until April 2012, Michael S. Weiss was a director and Non-Executive Chairman of the Board of Directors of National Holdings. He is also a stockholder of National Holdings and, when combined with his ownership indirectly through Opus and its affiliates, beneficially owns 23.6% of National Holdings, the parent company of NSC. Mr. Weiss disclaims such beneficiary ownership other than to the extent of his pecuniary interest. In addition, at the time, Opus and NSC were parties to a 50/50 joint venture that shared profits from OPNCM, the investment banking division of NSC that was responsible for managing the Offering. This joint venture was dissolved in April 2012.</w:t>
      </w:r>
    </w:p>
    <w:p>
      <w:pPr>
        <w:spacing w:after="0" w:line="18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Company completed the initial closing of the 2011 Equity PIPE on December 30, 2011,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 The Company completed two additional closings of the 2011 Equity PIPE. These closings were held on January 31, 2012 and February 24, 2012. In these closings, the Company issued 695,428 shares of our Company Preferred Stock (“Preferred Stock”) at a price per share of $20.00 for total gross proceeds, before placement commissions and expenses, of $13,908,560. Each share of Company Preferred Stock is convertible into 8.89 shares of Common Stock provided that such conversion rights are subject to sufficient available authorized shares of Common Stock. Investors will also receive warrants to purchase 1,545,396 shares of Common Stock. The warrants have an exercise price of $2.25 per share and are exercisable for five years.</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placement agent, National received cash commissions equal to 10% of the gross proceeds of the 2011 Equity PIPE, five-year warrants to purchase shares of Company Preferred Stock equal to 10% of shares sold in the 2011 Equity PIPE, and a non-accountable expense allowance equal to two percent of the gross proceeds of the 2011 Equity PIPE for National’s expenses (not including up to $80,000 of National’s legal expenses and any blue sky fees, both of which the Company also reimbursed). In addition to acting as placement, National provided advisory services in connection with the Exchange Transaction and received an advisory fee of $150,000 for such services.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shareholder authorization. All share amounts and per share prices in this Quarterly Report on Form 10-Q have been retroactively adjusted to reflect the effect of our reverse stock split, on a fifty six and one quarter (56.25) for one (1) basis, unless otherwise indicated. The exercise price for all stock options and warrants and the conversion price for convertible securities in the accompanying condensed consolidated financial statements have been adjusted to reflect the reverse stock split by multiplying the original exercise or conversion price by fifty six and one quarter (56.25).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ublituximab (TGTX-1101), a novel, third generation monoclonal antibody that targets a specific and unique epitope on the CD20 antigen found on mature B-lymphocytes.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Developed for the treatment of B-cell proliferative disorders, including Non-Hodgkin’s Lymphoma (“NHL”) and Chronic Lymphocytic Leukemia (“CLL”), anti-CD20 antibodies target and aid in the depletion of B-cell lymphocytes. Anti-CD20 antibodies have also been shown to be effective in treating select autoimmune diseases such as Rheumatoid Arthritis (“RA”) and Systemic Lupus Erythematosus (“SLE”), along with the neurological disorder Multiple Sclerosis (“MS”).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product candidates is summarized below:</w:t>
      </w:r>
    </w:p>
    <w:p>
      <w:pPr>
        <w:spacing w:after="0" w:line="2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TGTX-1101 (ublituximab), an anti-CD20 monoclonal antibody for oncology and B-cell related disorders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AST-726, a nasally delivered form of hydroxocobalamin for the treatment of vitamin B12 deficiency</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complimentary products, technologies and companies for in-licensing, parthership, acquisition and/or investment opportunities. To date, we have not received approval for the sale of any of our drug candidates in any market and, therefore, have not generated any product sales from our drug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TGTX-1101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TGTX-1101 (“LFB-R603” or “R603”) is a chimeric murine/human monoclonal antibody with the generic name “ublituximab” that targets the CD20 antigen found on the surface of B-cell lymphocytes and has been developed to aid in the depletion of circulating B-cells. We hold exclusive worldwide rights (excepting France/Belgium) to develop and commercialize ublituximab for all indications, including the treatment of cancer and autoimmune diseases such as Non-Hodgkin’s Lymphoma (“NHL”) and Chronic Lymphocytic Leukemia (“CLL”).</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ublituximab as an efficient and selective B-cell targeting anti-CD20 antibody with the ability to effectively deplete B lymphocytes in both malignant laboratory cell models as well as NHL and CLL patient donor cell lines.</w:t>
      </w:r>
    </w:p>
    <w:p>
      <w:pPr>
        <w:spacing w:after="0" w:line="18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Generally, anti-CD20 antibodies are believed to exert their B-cell depletion effects through three primary mechanisms: direct or programmed cell death (“DCD” or “PCD”), complement dependent cytotoxicity (“CDC”), and antibody dependent cell-mediated cytotoxicity (“ADCC”). Ublituximab has been specifically bio-engineered to enhance the ADCC effects, which we believe enhances its ability to deplete B-cells and may improve its anit-cancer effects as compared to Rituxan®, the leading anti-CD20 monoclonal anti-body, which had worldwide sales in 2011 of $7 billion.</w:t>
      </w:r>
    </w:p>
    <w:p>
      <w:pPr>
        <w:spacing w:after="0" w:line="15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two part dose escalating Phase I clinical trial was recently completed in France in which ublituximab was introduced in relapsed or refractory CLL patients. In Part 1 of the study, 21 CLL patients in escalating dosage cohorts received once weekly infusions of ublituximab over the course of 4 weeks, with an additional 12 patients in Part 2 of the study receiving weekly infusions of ublituximab at a higher flat dose for 8 weeks. According to the investigators, results of Part 2 indicate single agent ublituximab therapy was well tolerated with primary adverse events including infusion related reactions, neutropenia, transient rises in liver enzymes, pyrexia and thrombocytopenia. Though the primary endpoint of this Phase I clinical study was to assess the safety and tolerability of ublituximab in CLL patients, robust B-cell depletion and an encouraging rate of partial responses may suggest preliminary evidence of efficacy.</w:t>
      </w:r>
    </w:p>
    <w:p>
      <w:pPr>
        <w:spacing w:after="0" w:line="5" w:lineRule="exact"/>
        <w:rPr>
          <w:sz w:val="20"/>
          <w:szCs w:val="20"/>
          <w:color w:val="auto"/>
        </w:rPr>
      </w:pPr>
    </w:p>
    <w:p>
      <w:pPr>
        <w:jc w:val="both"/>
        <w:ind w:right="100"/>
        <w:spacing w:after="0" w:line="217" w:lineRule="auto"/>
        <w:rPr>
          <w:sz w:val="20"/>
          <w:szCs w:val="20"/>
          <w:color w:val="auto"/>
        </w:rPr>
      </w:pPr>
      <w:r>
        <w:rPr>
          <w:rFonts w:ascii="Arial" w:cs="Arial" w:eastAsia="Arial" w:hAnsi="Arial"/>
          <w:sz w:val="18"/>
          <w:szCs w:val="18"/>
          <w:color w:val="auto"/>
        </w:rPr>
        <w:t>A portion of the data from Part 2 of this study was 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San Diego, CA. The Company intends to utilize the data generated from patients in the recently completed Phase I clinical trial to design and conduct future Phase I, II and III studies in the United States and internationally.</w:t>
      </w:r>
    </w:p>
    <w:p>
      <w:pPr>
        <w:spacing w:after="0" w:line="204"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Manufacturing of ublituximab is currently performed by our partner, LFB Biotechnologies, using mammalian cells with plans to explore a second manufacturing method utilizing a transgenic animal vector developed by GTC Biotherapeutics, a wholly owned subsidiary of LFB S.A. To date, both LFB and GTC have invested in excess of a combined $60 million in direct expenses related to the development of ublituximab.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to take 6-12 months, but may occur earlier or later.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AST-915</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a sponsored research arrangement for AST-915, an orally delivered treatment for essential tremor, which is currently ongoing and we expect to conclude in June 2012. It is unlikely that the Company will continue the development of AST-915 thereafter, but a final determination will be reserved until development activities have concluded.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TGTX-1101 (ublituximab)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January 30, 2012, TG Bio exercised the License Option and entered into an exclusive license agreement with LFB Biotechnologies, GTC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Biotherapeutics, and LFB/GTC LLC, all wholly-owned subsidiaries of LFB Group, relating to the development of ublituximab. Under the License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Agreement, we have acquired the exclusive worldwide rights (exclusive of France/Belgium) for the development and commercialization of TGTX-1101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(ublituximab). To date, we have made no payments to LFB Group and LFB Group is eligible to receive payments of up to an aggregate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$31.0 million upon our successful achievement of certain clinical development, regulatory and sales milestones, in addition to royalty payments on net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ublituximab. The license will terminate on a country by country basis upon the expiration of the last licensed patent right or 15 years after the first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commercial sale of a product in such country, unless the agreement is earlier terminated.</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2012, the Company submitted to the U.S. Food and Drug Adminstration (“FDA”) an Investigational New Drug Application (“IND”) for TGTX-1101 (ublituximab). The Company received notification of acceptance of this IND in April of 2012, permitting the initiation of clinical trials for TGTX-1101 in oncology patients in the US. Pursuant to the acceptance of this IND, the Company intends to initiate a Phase I/II study with ublituximab in the second quarter of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 or from any other source.</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w:t>
      </w:r>
    </w:p>
    <w:p>
      <w:pPr>
        <w:spacing w:after="0" w:line="229"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i w:val="1"/>
          <w:iCs w:val="1"/>
          <w:color w:val="auto"/>
        </w:rPr>
        <w:t xml:space="preserve">Non-cash Stock Expense Associated with In-licensing Agreement. </w:t>
      </w:r>
      <w:r>
        <w:rPr>
          <w:rFonts w:ascii="Arial" w:cs="Arial" w:eastAsia="Arial" w:hAnsi="Arial"/>
          <w:sz w:val="18"/>
          <w:szCs w:val="18"/>
          <w:color w:val="auto"/>
        </w:rPr>
        <w:t>Non-cash stock expense associated with in-licensing agreement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$16,578,000 for the three months ended March 31, 2012. This expense primarily related to a one-time non-cash expense of $16,578,000 recorded in conjunction with the stock issued to LFB Group for the license to TGTX-1101. We expect these non-cash expenses to decrease substantially over the remainder of 2012.</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totaled $163,353 for the three months ended March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our other research and development costs to increase substantially in 2012 due to the commencement of our clinical development program for TGTX-1101.</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$188,509 for the three months ended March 31, 2012. The non-cash compensation expense was related to the period’s expense for restricted stock grants to our chief executive officer and chief financial officer. We expect non-cash compensation expense (general and administrative) to increase in 2012 as we hire additional personnel.</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totaled $455,492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This expense was primarily related to legal and personnel costs. We expect our other general and administrative expenses to increase in 2012 as we hire additional staff, and build out our organization.</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Other (Income) Expenses</w:t>
      </w:r>
      <w:r>
        <w:rPr>
          <w:rFonts w:ascii="Arial" w:cs="Arial" w:eastAsia="Arial" w:hAnsi="Arial"/>
          <w:sz w:val="16"/>
          <w:szCs w:val="16"/>
          <w:color w:val="auto"/>
        </w:rPr>
        <w:t>. Other (income) expenses totaled $11,184 for the three months ended March 31, 2012. This amount consists of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on our short-term note payable, partially offset by interest income from our bank deposits and the change in fair value of the 5%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March 31, 2012, we had $20,923,750 in cash and cash equivalents. We currently anticipate that our cash and cash equivalents as of March 31, 2012 to be sufficient to fund our anticipated operating cash requirements for approximately 24 months from March 31, 2012.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Cash used in operating activities for the three months ended March 31, 2012 was $861,634, which primarily related to general and administrative and research and development expenses associated with TG commencing operations and development of TGTX-1101.</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the three months ended March 31, 2012, net cash provided by financing activities of $12,036,893, related primarily to net proceeds from the issuance of the Company’s preferred stock, partially offset by the repayment of a short-term loan.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2011 Equity PIPE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is convertible into 8.89 shares of Common Stock provided that such conversion rights are subject to sufficient available authorized shares of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40"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March 31, 2012, there was approximately $630,000 of goodwill on our consolidated balance sheets.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elected the fair value option for valuing our Convertible 5% Notes Payable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$17,089,000 at March 31, 2012. As these notes payable are tied directly to net product cash flows derived from the preexisting products of the Company, this note was recorded at fair value as of the date of the Exchange Transaction. No payments have been made on these notes as of March 31, 2012. The fair value of the 5% Notes Payable was approximately $4,664,697 as of December 31, 2011 and March 31, 2012.</w:t>
      </w:r>
    </w:p>
    <w:p>
      <w:pPr>
        <w:spacing w:after="0" w:line="19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March 31,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2012,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March 31, 2012,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2012, our disclosure controls and procedures were not effective. This conclusion was reached because a lack of segregation of duties exists, as all financial and accounting duties are performed by the Chief Financial Officer. The Company intends to address this deficiency by hiring additional accounting personnel to alleviate the segregation of duties issue.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2012, that have materially affected, or are reasonably likely to materially affect, our internal control over financial reporting.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the Company has in-licensed its product candidates from third parties, any dispute with or non-performance by its licensors will adversely affect its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submit an Investigational New Drug application (“IND”) and Biologics License Application (“BLA”) to the FDA, it is necessary to submit all information on the clinical, non-clinical, chemistry, manufacturing, controls and quality aspects of the product candidate. We rely on our licensing partners and, in some cases, third parties, to provide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ublituximab enabling the conduct of studies in the FDA’s Division of Hematology and Oncology; there can be no assurance given that we will be successful in obtaining an active IND for ublituximab in any other division under whose supervision we may seek to develop ublituximab.</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plan on conducting additional Phase I and II clinical trials for ublituximab. If the results from these trials are different from those found in the completed Phase I clinical trial of ublituximab, we may need to terminate or revise our clinical development plan, which could extend the time for conducting our development program and could have a material adverse effect on our business.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w:t>
      </w:r>
    </w:p>
    <w:p>
      <w:pPr>
        <w:spacing w:after="0" w:line="18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EMA and any of the applicable European and other regulatory bodies can delay, limit or deny approval of a product candidate for many reasons, including:</w:t>
      </w:r>
    </w:p>
    <w:p>
      <w:pPr>
        <w:spacing w:after="0" w:line="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left="980" w:right="26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ind w:left="980" w:right="1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Unacceptable adverse events caused by any of our product candidates that we take into clinical trials could cause either us or regulatory authorities to interrupt, delay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not yet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ublituximab and our other product candidates have demonstrated a toxicity profile that was deemed acceptable by the investigators performing such studies. Such interpretation may not be shared by future investigators or by the FDA and in the case of ublituximab, even if deemed acceptable for oncology applications, like the completed clinical trial, it may not be acceptable for diseases outside the oncology setting, and likewise for any other product candidates we may develop. Additionally, the severity, duration and incidence of adverse events may increase in larger study populations. With respect to ublituximab, the toxicity when manufactured under different conditions is not known, nor is the toxicity of transgenically derived ublituximab, and it is possible that additional and/or different adverse events may appear upon the human use of those formulations and those adverse events may arise with greater frequency, intensity and duration than in the current formulation. If any of our product candidates cause unacceptable adverse events in clinical trials, we may not be able to obtain marketing approval and generate revenues from its sale.</w:t>
      </w:r>
    </w:p>
    <w:p>
      <w:pPr>
        <w:spacing w:after="0" w:line="178"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While we currently maintain an active IND for cell derived ublituximab, we plan to rely on preclinical and clinical trial data from third parties for the IND submissions for transgenically derived ublituximab and any other product candidates we may develop.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the Company and the FDA must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ind w:right="28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to the Company and delay our ability to generate product revenues.</w:t>
      </w:r>
    </w:p>
    <w:p>
      <w:pPr>
        <w:spacing w:after="0" w:line="2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440"/>
        <w:spacing w:after="0" w:line="342" w:lineRule="auto"/>
        <w:rPr>
          <w:sz w:val="20"/>
          <w:szCs w:val="20"/>
          <w:color w:val="auto"/>
        </w:rPr>
      </w:pPr>
      <w:r>
        <w:rPr>
          <w:rFonts w:ascii="Arial" w:cs="Arial" w:eastAsia="Arial" w:hAnsi="Arial"/>
          <w:sz w:val="16"/>
          <w:szCs w:val="16"/>
          <w:b w:val="1"/>
          <w:bCs w:val="1"/>
          <w:i w:val="1"/>
          <w:iCs w:val="1"/>
          <w:color w:val="auto"/>
        </w:rPr>
        <w:t>As the product candidates for which we hold an exclusive license agreement, are still under development; manufacturing and process improvements implemented in the production of ublituximab, or any of our product candidates, may affect their ultimate activity or function.</w:t>
      </w:r>
    </w:p>
    <w:p>
      <w:pPr>
        <w:spacing w:after="0" w:line="12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TGTX-1101 (ublituximab) is in the initial stages of development and is currently manufactured in small batches for use in pre-clinical and clinical studies. Process improvements implemented to date have, and process improvements in the future may change the activity of the antibody, which may affect the safety and efficacy of the product. No assurance can be given that the material manufactured from any of the optimized processes will perform comparably to ublituximab as manufactured to date and used in currently available pre-clinical data and in early clinical trials reported in this or any previous filing. Additionally, future clinical trial results will be subject to the same level of uncertainty if, following such trials, additional process improvements are made, including without limitation, the introduction of transgenically derived ublituximab.</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cancer indications for which we are developing our product, TGTX-1101,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5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If approved, we expect TGTX-1101 to compete directly with Roche Group’s Rituxan® (Rituximab), Spectrum Pharmaceutical’s Zevalin® (Y</w:t>
      </w:r>
      <w:r>
        <w:rPr>
          <w:rFonts w:ascii="Arial" w:cs="Arial" w:eastAsia="Arial" w:hAnsi="Arial"/>
          <w:sz w:val="30"/>
          <w:szCs w:val="30"/>
          <w:color w:val="auto"/>
          <w:vertAlign w:val="superscript"/>
        </w:rPr>
        <w:t>90</w:t>
      </w:r>
      <w:r>
        <w:rPr>
          <w:rFonts w:ascii="Arial" w:cs="Arial" w:eastAsia="Arial" w:hAnsi="Arial"/>
          <w:sz w:val="18"/>
          <w:szCs w:val="18"/>
          <w:color w:val="auto"/>
        </w:rPr>
        <w:t>-Ibritumomab Tiuxetan), GlaxoSmithKline’s Bexxar® (I</w:t>
      </w:r>
      <w:r>
        <w:rPr>
          <w:rFonts w:ascii="Arial" w:cs="Arial" w:eastAsia="Arial" w:hAnsi="Arial"/>
          <w:sz w:val="30"/>
          <w:szCs w:val="30"/>
          <w:color w:val="auto"/>
          <w:vertAlign w:val="superscript"/>
        </w:rPr>
        <w:t>131</w:t>
      </w:r>
      <w:r>
        <w:rPr>
          <w:rFonts w:ascii="Arial" w:cs="Arial" w:eastAsia="Arial" w:hAnsi="Arial"/>
          <w:sz w:val="18"/>
          <w:szCs w:val="18"/>
          <w:color w:val="auto"/>
        </w:rPr>
        <w:t>-Tositumomab), Dr. Reddy’s Laboratories’ Reditux®, and Genmab and GlaxoSmithKline’s Arzerra® (Ofatumomab) among others, each of which is currently approved for the treatment of various diseases including NHL and CLL. New developments, including the development of other pharmaceutical technologies and methods of treating disease, occur in the pharmaceutical and life sciences industries at a rapid pace.</w:t>
      </w:r>
    </w:p>
    <w:p>
      <w:pPr>
        <w:spacing w:after="0" w:line="206"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4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Our partner, LFB, is currently exploring long-term, scalable contract manufacturers for ublituximab and/or the build-out of such capabilities. No assurance can be given that a long-term, scalable manufacturer can be identified or that they can make clinical and commercial supplies of ublituximab at an appropriate scale and cost to make it commercially feasible. If they are unable to do so, it could have a material adverse impact on our business. If that is the case, we may need to rely exclusively on transgenically manufactured material, which may introduce additional risk and uncertainty the extent of which cannot be fully determined today.</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the Company does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Additionally, the proprietary transgenic technology that supports the manufacture of transgenically derived ublituximab is not easily transferrable, if at all, and it is expected that GTC will be the sole supplier of transgenically derived ublituximab at a single site for the foreseeable future. If the Company’s suppliers do not deliver sufficient quantities of ublituximab on a timely basis, or at all, and in accordance with applicable specifications, there could be a significant interruption of our supply of ublituximab, which would adversely affect clinical development and commercialization of the product.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b w:val="1"/>
          <w:bCs w:val="1"/>
          <w:i w:val="1"/>
          <w:iCs w:val="1"/>
          <w:color w:val="auto"/>
        </w:rPr>
        <w:t>Clinical trials of our transgenically produced products may be unsuccessful or delayed, which may prevent us from meeting our anticipated development timeline.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and its collaborators must demonstrate through preclinical and clinical trials that our transgenically produced products are safe and effective for use in humans. Clinical trials are expensive and may take several years. Several factors could prevent or delay completion of these trials, including an inability to enroll the required number of patients or demonstrate adequately the safety or efficacy of the product for humans. If safety concerns develop, regulatory authorities could stop or delay trials of transgenically derived ublituximab or any other product candidate evaluated by the Company. Furthermore, the results from early clinical trials are often not predictive of results in later clinical trials.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our knowledge, Pharming Group N.V. and GTC Biotherapeutics, Inc. are the only other entities to have completed human clinical trials sufficient to support the filing for regulatory approval of a product produced from a transgenic mammal. If we are unable to complete all clinical trials and to satisfy any requirements that may be required by the FDA or the EMA for approval of transgenically derived ublituximab, it could have a material adverse effect on our business and operations.</w:t>
      </w:r>
    </w:p>
    <w:p>
      <w:pPr>
        <w:spacing w:after="0" w:line="1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Any transgenically produced products for which we obtain regulatory approval will be subject to continuing review and extensive regulatory requirements, which could affect their manufacture and marketing.</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and when the FDA or other foreign agencies approve our transgenically produced products under development, the manufacture and marketing of these products will be subject to continuing regulation and product approvals may be withdrawn if problems occur after initial approval. Post-approval regulation includes compliance with current Quality Systems Regulations and Good Manufacturing Practices, (“QSR/GMP”), adverse event reporting requirements and prohibitions on promoting a product for unapproved uses. In addition, the FDA could require us to conduct post-approval clinical trials or studies. We will also be required to obtain additional approvals for any significant alterations in the product’s labeling or manufacturing process. Enforcement actions resulting from failure to comply with QSR/GMP requirements could result in fines, suspensions of approvals, recalls of products, operating restrictions and criminal prosecutions, and affect the manufacture and marketing of our transgenically produced products. The FDA or other regulatory agencies could withdraw a previously approved product from the market upon receipt of newly discovered information, including a failure to comply with regulatory requirements and the occurrence of unanticipated problems with products, including adverse events, manufacturing and quality problems, following approval. Any of these withdrawals could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face public concerns about genetic engineering in animals.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activities of the Company’s development and manufacturing affiliate involve genetic engineering in animals. The success of our potential commercial products will depend in part on public acceptance of the use of genetic engineering. Public attitudes may be influenced by claims and perceptions that these types of activities are unsafe and our products may not gain the acceptance of the public or the medical community. Negative public reaction to genetic engineering activities in general could result in greater restrictive legislation and regulations involving nuclear transfer and other methodologies which could impede our ability to conduct our business efficiently, delay preclinical studies or future clinical trials, or prevent us or our partners from obtaining regulatory approvals or commercializing transgenically produced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transgenically produced products may be subject to technology risks that may restrict or prevent their development and commercialization.</w:t>
      </w:r>
    </w:p>
    <w:p>
      <w:pPr>
        <w:spacing w:after="0" w:line="2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Developing products based on transgenic technology is subject to significant development risks. Each DNA construct is unique and it is possible that it might not be expressed in the transgenic animal’s milk at a level that is commercially viable. Purifying the recombinant protein out of the milk to use as a biotherapeutic may be too difficult to be commercially feasible. In addition, production of the recombinant protein may have negative effects on the health of either the mammary gland or more systematically on the animal as a whole. This would compromise the ability of the animal to produce the recombinant protein. Directing the mammary gland to produce additional proteins in the milk could negatively affect lactation, thereby shutting down milk production. The mammary gland may also modify a protein in such a manner that it is non-functional or harmful in humans. It is also possible that there may be disease agents present in the animals that would prevent the use of products derived from these animals. If an as yet unknown disease was identified that could not be effectively mitigated, government agencies may confiscate or destroy the animals, or prevent the utilization of their milk. Any of these governmental actions would prevent the use of the recombinant proteins and may result in a material adverse effect on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be able to recover from any catastrophic event affecting our suppliers’ animals or facilities.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While our suppliers have measures in place to minimize and recover from catastrophic events that may substantially destroy their animal herd(s), these measures may not be adequate to recover production processes quickly enough to support critical timelines, collaborator needs, or market demands. These catastrophic events may include, but are not limited to, animal diseases that breach biosecurity measures or weather events such as tornadoes, earthquakes or fires. In addition, these catastrophic events may render some or all of the products at the affected facilities unusable.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the Company or its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any product candidate that the Company successfully develops does not achieve broad market acceptance among physicians, patients, healthcare payors, and the medical community, the revenues that we generate from its sales will be limited.</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4" w:name="page35"/>
    <w:bookmarkEnd w:id="34"/>
    <w:p>
      <w:pPr>
        <w:ind w:right="1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we may incur substantial liabilities and may be required to limit commercialization of our product candidates.</w:t>
      </w:r>
    </w:p>
    <w:p>
      <w:pPr>
        <w:spacing w:after="0" w:line="170"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An individual may bring a liability claim against the Company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currently carry product liability insurance. However, we intend to obtain product liability insurance coverage for our clinical trials prior to the commencement of any such trials. Further,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the Company could cause its stock price to decline and, if judgments exceed our insurance coverage, could decrease our cash and adversely affect our business.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5" w:name="page36"/>
    <w:bookmarkEnd w:id="35"/>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The Company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taxes that the Company is required to pay;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March 31, 2012, the Company has 5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the Company is not able to effectively expand its organization by hiring new employees and expanding its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40"/>
        <w:spacing w:after="0" w:line="277" w:lineRule="auto"/>
        <w:rPr>
          <w:sz w:val="20"/>
          <w:szCs w:val="20"/>
          <w:color w:val="auto"/>
        </w:rPr>
      </w:pPr>
      <w:r>
        <w:rPr>
          <w:rFonts w:ascii="Arial" w:cs="Arial" w:eastAsia="Arial" w:hAnsi="Arial"/>
          <w:sz w:val="18"/>
          <w:szCs w:val="18"/>
          <w:b w:val="1"/>
          <w:bCs w:val="1"/>
          <w:i w:val="1"/>
          <w:iCs w:val="1"/>
          <w:color w:val="auto"/>
        </w:rPr>
        <w:t>If the Company fails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the Company continues to expand its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healthcare regulations, it could face substantial penalties and its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 uses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filing are based on the assumption of further financing.</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timelines and projections in this filing are predicated upon the assumption that we will raise additional financing in the future to continue the development of our product candidates. In the event the Company does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We may seek to expand our business through the acquisition of, investments in and strategic alliances with companies, technologies, products, and services, such as the Exchange Transaction between the Company and TG Bio. Acquisitions, investments and strategic alliances involve a number of special problems and risks, including, but not limited to:</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LFB Biotechnologies or any of our other licensors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jc w:val="both"/>
        <w:ind w:right="120"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ublituximab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16, 2013, the U.S. will convert from a “first to invent” to a “first to file” system. After this time if we do not win the filing race, we will not be entitled to inventive priority;</w:t>
      </w:r>
    </w:p>
    <w:p>
      <w:pPr>
        <w:ind w:left="980" w:right="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0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patents are not issued that protect ublituximab, it could have a material adverse effect on our financial condition and results of operations.</w:t>
      </w:r>
    </w:p>
    <w:p>
      <w:pPr>
        <w:spacing w:after="0" w:line="23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the Company or its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ublituximab.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ublituximab, then we will need to either prevail in a litigation to challenge those patents or negotiate a settlement agreement with the patent holders. If we are unable to do so we may be forced to delay the launch of ublituximab or launch at the risk of litigation for patent infringement, which may have a material adverse effect on the Company.</w:t>
      </w:r>
    </w:p>
    <w:p>
      <w:pPr>
        <w:spacing w:after="0" w:line="19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9" w:name="page40"/>
    <w:bookmarkEnd w:id="39"/>
    <w:p>
      <w:pPr>
        <w:ind w:right="66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portionis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the Company has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will need to raise additional capital to continue to operate its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March 31, 2012, we had net cash on hand of approximately $20,924,000. We believe that our cash on hand will sustain our operations for the next 24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the Company’s equity securities, which would have a dilutive effect on your holdings of our capital stock.</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 was incorporated in December 1993. 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The Company’s prospects must be considered in light of the uncertainties, risks, expenses and difficulties frequently encountered by companies in their early stages of operations and the competitive environment in which we operate.</w:t>
      </w:r>
    </w:p>
    <w:p>
      <w:pPr>
        <w:spacing w:after="0" w:line="17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has never been profitable, and, as of March 31, 2012, we had an accumulated deficit of approximately $11,109,000. We have generated operating losses in all periods since the Company was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980" w:right="10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left="980" w:right="3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If the Company is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0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Until the Company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2" w:name="page43"/>
    <w:bookmarkEnd w:id="42"/>
    <w:p>
      <w:pPr>
        <w:ind w:right="20"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Our directors, executive officers and principal stockholders beneficially own approximately 26%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last two fiscal years, our stock price has traded at a low of $0.9844 in the fourth quarter of 2011 to a high of $239.59 in the second quarter of 2010. The volatile price of our stock makes it difficult for investors to predict the value of their investment, to sell shares at a profit at any given time, or to plan purchases and sales in advance. A variety of factors may affect the market price of our common stock. These include, but are not limited to:</w:t>
      </w: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Common Stock is not listed on a national exchange and there is a limited market for the Common Stock which may make it more difficult for you to sell your stock.</w:t>
      </w:r>
    </w:p>
    <w:p>
      <w:pPr>
        <w:spacing w:after="0" w:line="170"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Our Common Stock is quoted on the OTC Bulletin Board under the symbol "TGTX.OB." There is a limited trading market for our Common Stock which negatively impacts the liquidity of our Common Stock not only in terms of the number of shares that can be bought and sold at a given price, but also through delays in the timing of transactions and reduction in security analysts’ and the media’s coverage of us. Accordingly, there can be no assurance as to the liquidity of any markets that may develop for the Common Stock, the ability of holders of our Common Stock to sell the Common Stock, or the prices at which holders may be able to sell the Common Stock.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fact that our common stock is not listed on a national exchange may negatively impact our ability to attract investors and to use our common stock to raise capital to fund our operations.</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order to maintain liquidity in our common stock, we depend upon the continuing availability of a market on which our securities may be traded. We need to raise substantial additional funds in the future to continue our operations and the fact that our common stock is not listed on a national exchange may impact our ability to attract investors and to use our common stock to raise sufficient capital to continue to fund our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If we fail to file periodic reports with the SEC our common stock may be removed from the OTCBB.</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Over-The-Counter Bulletin Board ("OTCBB") rules relating to the timely filing of periodic reports with the SEC, any OTCBB issuer which fails to file a periodic report (Form 10-Q's or 10-K's) by the due date of such report (as extended by the filing of a Form 12b-25), three (3) times during any twenty-four (24) month period is automatically de-listed from the OTCBB. In the event an issuer is de-listed, such issuer would not be eligible to be re-listed on the OTCBB for a period of one-year, during which time any subsequent late filing would reset the one-year period of de-listing. If the Company is late in its filings three (3) times in any twenty-four (24) month period and is de-listed from the OTCBB, the Common Stock would likely be listed for trading only on the “Pink Sheets,” which generally provide an even less liquid market than the OTCBB. In such event, investors may find it more difficult to trade the Common Stock or to obtain accurate, current information concerning market prices for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of market fraud.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OTCBB securities are frequent targets of fraud or market manipulation. Not only because of their generally low price, but also because the OTCBB reporting requirements for these securities are less stringent than for listed or NASDAQ traded securities, and no exchange requirements are imposed. Dealers may dominate the market and set prices that are not based on competitive forces. Individuals or groups may create fraudulent markets and control the sudden, sharp increase of price and trading volume and the equally sudden collapse of market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impose certain restrictions on marketability of our securities.</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9"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Disclosure also must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ind w:left="940"/>
              <w:spacing w:after="0"/>
              <w:rPr>
                <w:sz w:val="20"/>
                <w:szCs w:val="20"/>
                <w:color w:val="auto"/>
              </w:rPr>
            </w:pPr>
            <w:r>
              <w:rPr>
                <w:rFonts w:ascii="Arial" w:cs="Arial" w:eastAsia="Arial" w:hAnsi="Arial"/>
                <w:sz w:val="18"/>
                <w:szCs w:val="18"/>
                <w:color w:val="auto"/>
              </w:rPr>
              <w:t>3.1</w:t>
            </w:r>
          </w:p>
        </w:tc>
        <w:tc>
          <w:tcPr>
            <w:tcW w:w="9880" w:type="dxa"/>
            <w:vAlign w:val="bottom"/>
          </w:tcPr>
          <w:p>
            <w:pPr>
              <w:ind w:left="300"/>
              <w:spacing w:after="0"/>
              <w:rPr>
                <w:sz w:val="20"/>
                <w:szCs w:val="20"/>
                <w:color w:val="auto"/>
              </w:rPr>
            </w:pPr>
            <w:r>
              <w:rPr>
                <w:rFonts w:ascii="Arial" w:cs="Arial" w:eastAsia="Arial" w:hAnsi="Arial"/>
                <w:sz w:val="18"/>
                <w:szCs w:val="18"/>
                <w:color w:val="auto"/>
              </w:rPr>
              <w:t>Amended and Restated Certificate of Incorporation of TG Therapeutics, Inc., dated April 26, 2012.</w:t>
            </w:r>
          </w:p>
        </w:tc>
      </w:tr>
      <w:tr>
        <w:trPr>
          <w:trHeight w:val="432"/>
        </w:trPr>
        <w:tc>
          <w:tcPr>
            <w:tcW w:w="1540" w:type="dxa"/>
            <w:vAlign w:val="bottom"/>
          </w:tcPr>
          <w:p>
            <w:pPr>
              <w:ind w:left="940"/>
              <w:spacing w:after="0"/>
              <w:rPr>
                <w:sz w:val="20"/>
                <w:szCs w:val="20"/>
                <w:color w:val="auto"/>
              </w:rPr>
            </w:pPr>
            <w:r>
              <w:rPr>
                <w:rFonts w:ascii="Arial" w:cs="Arial" w:eastAsia="Arial" w:hAnsi="Arial"/>
                <w:sz w:val="18"/>
                <w:szCs w:val="18"/>
                <w:color w:val="auto"/>
              </w:rPr>
              <w:t>3.2</w:t>
            </w:r>
          </w:p>
        </w:tc>
        <w:tc>
          <w:tcPr>
            <w:tcW w:w="9880" w:type="dxa"/>
            <w:vAlign w:val="bottom"/>
          </w:tcPr>
          <w:p>
            <w:pPr>
              <w:ind w:left="300"/>
              <w:spacing w:after="0"/>
              <w:rPr>
                <w:sz w:val="20"/>
                <w:szCs w:val="20"/>
                <w:color w:val="auto"/>
              </w:rPr>
            </w:pPr>
            <w:r>
              <w:rPr>
                <w:rFonts w:ascii="Arial" w:cs="Arial" w:eastAsia="Arial" w:hAnsi="Arial"/>
                <w:sz w:val="18"/>
                <w:szCs w:val="18"/>
                <w:color w:val="auto"/>
              </w:rPr>
              <w:t>Restated Bylaws of TG Therapeutics, Inc., dated May 14, 2012.</w:t>
            </w:r>
          </w:p>
        </w:tc>
      </w:tr>
      <w:tr>
        <w:trPr>
          <w:trHeight w:val="432"/>
        </w:trPr>
        <w:tc>
          <w:tcPr>
            <w:tcW w:w="1540" w:type="dxa"/>
            <w:vAlign w:val="bottom"/>
          </w:tcPr>
          <w:p>
            <w:pPr>
              <w:ind w:left="940"/>
              <w:spacing w:after="0"/>
              <w:rPr>
                <w:sz w:val="20"/>
                <w:szCs w:val="20"/>
                <w:color w:val="auto"/>
              </w:rPr>
            </w:pPr>
            <w:r>
              <w:rPr>
                <w:rFonts w:ascii="Arial" w:cs="Arial" w:eastAsia="Arial" w:hAnsi="Arial"/>
                <w:sz w:val="18"/>
                <w:szCs w:val="18"/>
                <w:color w:val="auto"/>
              </w:rPr>
              <w:t>10.1</w:t>
            </w:r>
          </w:p>
        </w:tc>
        <w:tc>
          <w:tcPr>
            <w:tcW w:w="9880" w:type="dxa"/>
            <w:vAlign w:val="bottom"/>
          </w:tcPr>
          <w:p>
            <w:pPr>
              <w:ind w:left="300"/>
              <w:spacing w:after="0"/>
              <w:rPr>
                <w:sz w:val="20"/>
                <w:szCs w:val="20"/>
                <w:color w:val="auto"/>
              </w:rPr>
            </w:pPr>
            <w:r>
              <w:rPr>
                <w:rFonts w:ascii="Arial" w:cs="Arial" w:eastAsia="Arial" w:hAnsi="Arial"/>
                <w:sz w:val="18"/>
                <w:szCs w:val="18"/>
                <w:color w:val="auto"/>
              </w:rPr>
              <w:t>Amended and Restated TG Therapeutics, Inc. 2012 Incentive Plan, dated May 14, 2012.</w:t>
            </w:r>
          </w:p>
        </w:tc>
      </w:tr>
      <w:tr>
        <w:trPr>
          <w:trHeight w:val="432"/>
        </w:trPr>
        <w:tc>
          <w:tcPr>
            <w:tcW w:w="1540" w:type="dxa"/>
            <w:vAlign w:val="bottom"/>
          </w:tcPr>
          <w:p>
            <w:pPr>
              <w:ind w:left="940"/>
              <w:spacing w:after="0"/>
              <w:rPr>
                <w:sz w:val="20"/>
                <w:szCs w:val="20"/>
                <w:color w:val="auto"/>
              </w:rPr>
            </w:pPr>
            <w:r>
              <w:rPr>
                <w:rFonts w:ascii="Arial" w:cs="Arial" w:eastAsia="Arial" w:hAnsi="Arial"/>
                <w:sz w:val="18"/>
                <w:szCs w:val="18"/>
                <w:color w:val="auto"/>
              </w:rPr>
              <w:t>24</w:t>
            </w:r>
          </w:p>
        </w:tc>
        <w:tc>
          <w:tcPr>
            <w:tcW w:w="9880" w:type="dxa"/>
            <w:vAlign w:val="bottom"/>
          </w:tcPr>
          <w:p>
            <w:pPr>
              <w:ind w:left="300"/>
              <w:spacing w:after="0"/>
              <w:rPr>
                <w:sz w:val="20"/>
                <w:szCs w:val="20"/>
                <w:color w:val="auto"/>
              </w:rPr>
            </w:pPr>
            <w:r>
              <w:rPr>
                <w:rFonts w:ascii="Arial" w:cs="Arial" w:eastAsia="Arial" w:hAnsi="Arial"/>
                <w:sz w:val="18"/>
                <w:szCs w:val="18"/>
                <w:color w:val="auto"/>
              </w:rPr>
              <w:t>Powers of Attorney for Laurence N. Charney, William J. Kennedy and Mark Schoenebaum.</w:t>
            </w:r>
          </w:p>
        </w:tc>
      </w:tr>
      <w:tr>
        <w:trPr>
          <w:trHeight w:val="418"/>
        </w:trPr>
        <w:tc>
          <w:tcPr>
            <w:tcW w:w="1540" w:type="dxa"/>
            <w:vAlign w:val="bottom"/>
          </w:tcPr>
          <w:p>
            <w:pPr>
              <w:ind w:left="94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May 14, 2012.</w:t>
            </w:r>
          </w:p>
        </w:tc>
      </w:tr>
      <w:tr>
        <w:trPr>
          <w:trHeight w:val="418"/>
        </w:trPr>
        <w:tc>
          <w:tcPr>
            <w:tcW w:w="1540" w:type="dxa"/>
            <w:vAlign w:val="bottom"/>
          </w:tcPr>
          <w:p>
            <w:pPr>
              <w:ind w:left="94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May 14, 2012.</w:t>
            </w:r>
          </w:p>
        </w:tc>
      </w:tr>
      <w:tr>
        <w:trPr>
          <w:trHeight w:val="418"/>
        </w:trPr>
        <w:tc>
          <w:tcPr>
            <w:tcW w:w="1540" w:type="dxa"/>
            <w:vAlign w:val="bottom"/>
          </w:tcPr>
          <w:p>
            <w:pPr>
              <w:ind w:left="94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May 14, 2012.</w:t>
            </w:r>
          </w:p>
        </w:tc>
      </w:tr>
      <w:tr>
        <w:trPr>
          <w:trHeight w:val="418"/>
        </w:trPr>
        <w:tc>
          <w:tcPr>
            <w:tcW w:w="1540" w:type="dxa"/>
            <w:vAlign w:val="bottom"/>
          </w:tcPr>
          <w:p>
            <w:pPr>
              <w:ind w:left="94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May 14, 2012.</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TG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14, 2012</w:t>
            </w: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By:  /s/ Sean A. Power</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46</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32"/>
        </w:trPr>
        <w:tc>
          <w:tcPr>
            <w:tcW w:w="1540" w:type="dxa"/>
            <w:vAlign w:val="bottom"/>
          </w:tcPr>
          <w:p>
            <w:pPr>
              <w:ind w:left="920"/>
              <w:spacing w:after="0"/>
              <w:rPr>
                <w:sz w:val="20"/>
                <w:szCs w:val="20"/>
                <w:color w:val="auto"/>
              </w:rPr>
            </w:pPr>
            <w:r>
              <w:rPr>
                <w:rFonts w:ascii="Arial" w:cs="Arial" w:eastAsia="Arial" w:hAnsi="Arial"/>
                <w:sz w:val="18"/>
                <w:szCs w:val="18"/>
                <w:color w:val="auto"/>
              </w:rPr>
              <w:t>3.1</w:t>
            </w:r>
          </w:p>
        </w:tc>
        <w:tc>
          <w:tcPr>
            <w:tcW w:w="9880" w:type="dxa"/>
            <w:vAlign w:val="bottom"/>
          </w:tcPr>
          <w:p>
            <w:pPr>
              <w:ind w:left="300"/>
              <w:spacing w:after="0"/>
              <w:rPr>
                <w:sz w:val="20"/>
                <w:szCs w:val="20"/>
                <w:color w:val="auto"/>
              </w:rPr>
            </w:pPr>
            <w:r>
              <w:rPr>
                <w:rFonts w:ascii="Arial" w:cs="Arial" w:eastAsia="Arial" w:hAnsi="Arial"/>
                <w:sz w:val="18"/>
                <w:szCs w:val="18"/>
                <w:color w:val="auto"/>
              </w:rPr>
              <w:t>Amended and Restated Certificate of Incorporation of TG Therapeutics, Inc., dated April 26, 2012.</w:t>
            </w:r>
          </w:p>
        </w:tc>
      </w:tr>
      <w:tr>
        <w:trPr>
          <w:trHeight w:val="432"/>
        </w:trPr>
        <w:tc>
          <w:tcPr>
            <w:tcW w:w="1540" w:type="dxa"/>
            <w:vAlign w:val="bottom"/>
          </w:tcPr>
          <w:p>
            <w:pPr>
              <w:ind w:left="920"/>
              <w:spacing w:after="0"/>
              <w:rPr>
                <w:sz w:val="20"/>
                <w:szCs w:val="20"/>
                <w:color w:val="auto"/>
              </w:rPr>
            </w:pPr>
            <w:r>
              <w:rPr>
                <w:rFonts w:ascii="Arial" w:cs="Arial" w:eastAsia="Arial" w:hAnsi="Arial"/>
                <w:sz w:val="18"/>
                <w:szCs w:val="18"/>
                <w:color w:val="auto"/>
              </w:rPr>
              <w:t>3.2</w:t>
            </w:r>
          </w:p>
        </w:tc>
        <w:tc>
          <w:tcPr>
            <w:tcW w:w="9880" w:type="dxa"/>
            <w:vAlign w:val="bottom"/>
          </w:tcPr>
          <w:p>
            <w:pPr>
              <w:ind w:left="300"/>
              <w:spacing w:after="0"/>
              <w:rPr>
                <w:sz w:val="20"/>
                <w:szCs w:val="20"/>
                <w:color w:val="auto"/>
              </w:rPr>
            </w:pPr>
            <w:r>
              <w:rPr>
                <w:rFonts w:ascii="Arial" w:cs="Arial" w:eastAsia="Arial" w:hAnsi="Arial"/>
                <w:sz w:val="18"/>
                <w:szCs w:val="18"/>
                <w:color w:val="auto"/>
              </w:rPr>
              <w:t>Restated Bylaws of TG Therapeutics, Inc., dated May 14, 2012.</w:t>
            </w:r>
          </w:p>
        </w:tc>
      </w:tr>
      <w:tr>
        <w:trPr>
          <w:trHeight w:val="432"/>
        </w:trPr>
        <w:tc>
          <w:tcPr>
            <w:tcW w:w="1540" w:type="dxa"/>
            <w:vAlign w:val="bottom"/>
          </w:tcPr>
          <w:p>
            <w:pPr>
              <w:ind w:left="920"/>
              <w:spacing w:after="0"/>
              <w:rPr>
                <w:sz w:val="20"/>
                <w:szCs w:val="20"/>
                <w:color w:val="auto"/>
              </w:rPr>
            </w:pPr>
            <w:r>
              <w:rPr>
                <w:rFonts w:ascii="Arial" w:cs="Arial" w:eastAsia="Arial" w:hAnsi="Arial"/>
                <w:sz w:val="18"/>
                <w:szCs w:val="18"/>
                <w:color w:val="auto"/>
              </w:rPr>
              <w:t>10.1</w:t>
            </w:r>
          </w:p>
        </w:tc>
        <w:tc>
          <w:tcPr>
            <w:tcW w:w="9880" w:type="dxa"/>
            <w:vAlign w:val="bottom"/>
          </w:tcPr>
          <w:p>
            <w:pPr>
              <w:ind w:left="300"/>
              <w:spacing w:after="0"/>
              <w:rPr>
                <w:sz w:val="20"/>
                <w:szCs w:val="20"/>
                <w:color w:val="auto"/>
              </w:rPr>
            </w:pPr>
            <w:r>
              <w:rPr>
                <w:rFonts w:ascii="Arial" w:cs="Arial" w:eastAsia="Arial" w:hAnsi="Arial"/>
                <w:sz w:val="18"/>
                <w:szCs w:val="18"/>
                <w:color w:val="auto"/>
              </w:rPr>
              <w:t>Amended and Restated TG Therapeutics, Inc. 2012 Incentive Plan, dated May 14, 2012.</w:t>
            </w:r>
          </w:p>
        </w:tc>
      </w:tr>
      <w:tr>
        <w:trPr>
          <w:trHeight w:val="432"/>
        </w:trPr>
        <w:tc>
          <w:tcPr>
            <w:tcW w:w="1540" w:type="dxa"/>
            <w:vAlign w:val="bottom"/>
          </w:tcPr>
          <w:p>
            <w:pPr>
              <w:ind w:left="920"/>
              <w:spacing w:after="0"/>
              <w:rPr>
                <w:sz w:val="20"/>
                <w:szCs w:val="20"/>
                <w:color w:val="auto"/>
              </w:rPr>
            </w:pPr>
            <w:r>
              <w:rPr>
                <w:rFonts w:ascii="Arial" w:cs="Arial" w:eastAsia="Arial" w:hAnsi="Arial"/>
                <w:sz w:val="18"/>
                <w:szCs w:val="18"/>
                <w:color w:val="auto"/>
              </w:rPr>
              <w:t>24</w:t>
            </w:r>
          </w:p>
        </w:tc>
        <w:tc>
          <w:tcPr>
            <w:tcW w:w="9880" w:type="dxa"/>
            <w:vAlign w:val="bottom"/>
          </w:tcPr>
          <w:p>
            <w:pPr>
              <w:ind w:left="300"/>
              <w:spacing w:after="0"/>
              <w:rPr>
                <w:sz w:val="20"/>
                <w:szCs w:val="20"/>
                <w:color w:val="auto"/>
              </w:rPr>
            </w:pPr>
            <w:r>
              <w:rPr>
                <w:rFonts w:ascii="Arial" w:cs="Arial" w:eastAsia="Arial" w:hAnsi="Arial"/>
                <w:sz w:val="18"/>
                <w:szCs w:val="18"/>
                <w:color w:val="auto"/>
              </w:rPr>
              <w:t>Powers of Attorney for Laurence N. Charney, William J. Kennedy and Mark Schoenebaum.</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May 14,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May 14,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May 14,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May 14, 2012.</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878" w:right="2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2491740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color w:val="auto"/>
        </w:rPr>
        <w:t>RESTATED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TG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Section 1.01 REGISTERED OFFICE. The registered office of TG THERAPEUTICS, INC. (hereinafter called the “Corporation”) shall be at such place in the State of Delaware as shall be designated by the Board of Directors (hereinafter called the “Board”).</w:t>
      </w:r>
    </w:p>
    <w:p>
      <w:pPr>
        <w:spacing w:after="0" w:line="14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Section 1.02 PRINCIPAL OFFICE. The principal office for the transaction of the business of the Corporation shall be at such location, within or without the State of Delaware, as shall be designated by the Board.</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Section 1.03 OTHER OFFICES. The Corporation may also have an office or offices at such other place or places, either within or without the State of Delaware, as the Board may from time to time determine or as the business of the Corporation may require.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Section 2.01 ANNUAL MEETINGS. Annual meetings of the stockholders of the Corporation for the purpose of electing directors and for the transaction of such other proper business as may come before such meetings may be held at such time, date and place as the Board shall determine by resolution.</w:t>
      </w:r>
    </w:p>
    <w:p>
      <w:pPr>
        <w:spacing w:after="0" w:line="18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Section 2.02 SPECIAL MEETINGS. Special meetings of the stockholders of the Corporation for any purpose or purposes may be called at any time by the Board, or by a committee of the Board which, or officer of the corporation who, has been duly designated by the Board and whose powers and authority, as provided in a resolution of the Board or in the Bylaws, include the power to call such meetings, but such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(or its successor statute as in effect from time to time hereafter), then such special meeting may also be called by the person or persons, in the manner, at the time and for the purposes so specified.</w:t>
      </w:r>
    </w:p>
    <w:p>
      <w:pPr>
        <w:spacing w:after="0" w:line="17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Section 2.03 PLACE OF MEETINGS. All meetings of the stockholders shall be held at such places, within or without the State of Delaware, as may from time to time be designated by the person or persons calling the respective meetings and specified in the respective notices or waivers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9" w:name="page50"/>
    <w:bookmarkEnd w:id="49"/>
    <w:p>
      <w:pPr>
        <w:ind w:firstLine="1297"/>
        <w:spacing w:after="0" w:line="270" w:lineRule="auto"/>
        <w:rPr>
          <w:sz w:val="20"/>
          <w:szCs w:val="20"/>
          <w:color w:val="auto"/>
        </w:rPr>
      </w:pPr>
      <w:r>
        <w:rPr>
          <w:rFonts w:ascii="Arial" w:cs="Arial" w:eastAsia="Arial" w:hAnsi="Arial"/>
          <w:sz w:val="17"/>
          <w:szCs w:val="17"/>
          <w:color w:val="auto"/>
        </w:rPr>
        <w:t>Section 2.04 NOTICE OF MEETINGS. Except as otherwise required by law, notice of each meeting of the stockholders, whether annual or special, shall be given not less than ten (10) nor more than sixty (60) days before the date of the meeting to each stockholder of record entitled to vote at such meeting by delivering a typewritten or printed notice thereof to him personally, or by depositing such notice in the United States mail or overnight delivery service, in a postage prepaid envelope, or by-hand delivery service, charges prepaid, directed to him at his address furnished by him to the Secretary of the Corporation for such purpose or, if he shall not have furnished to the Secretary his address for such purpose, then at his address last known to the Secretary, or by transmitting a notice thereof to him at such address by telegraph, telecopy, cable or wireless. Except as otherwise expressly required by law, no publication of any notice of a meeting of the stockholders shall be required. Every notice of a meeting of the stockholders shall state the place, date and hour of the meeting, and, in the case of a special meeting shall also state the purpose or purposes for which the meeting is called. Except as otherwise expressly required by law, notice of any adjourned meeting of the stockholders need not be given if the time and place thereof are announced at the meeting at which the adjournment is taken.</w:t>
      </w:r>
    </w:p>
    <w:p>
      <w:pPr>
        <w:spacing w:after="0" w:line="178"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6"/>
          <w:szCs w:val="16"/>
          <w:color w:val="auto"/>
        </w:rPr>
        <w:t>Whenever notice is required to be given to any stockholder to whom (i) notice of two consecutive annual meetings, and all notices of meetings or of the taking of action by written consent without a meeting to such person during the period between such two consecutive annual meetings, or</w:t>
      </w:r>
    </w:p>
    <w:p>
      <w:pPr>
        <w:jc w:val="both"/>
        <w:ind w:right="20" w:firstLine="8"/>
        <w:spacing w:after="0" w:line="253"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and at least two, payments (if sent by first class mail) of dividends or interest on securities during a twelve month period, have been mailed addressed to such person at his address as shown on the records of the Corporation and have been returned undeliverable, the giving of such notice to such person shall not be required. Any action or meeting which shall have been taken or held without notice to such person shall the same force and effect as if such notice had been duly given. If any such person shall deliver to the Corporation a written notice setting forth his then current address, the requirement that notice be given to such person shall be reinstated.</w:t>
      </w:r>
    </w:p>
    <w:p>
      <w:pPr>
        <w:spacing w:after="0" w:line="19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 notice need be given to any person with whom communication is unlawful, nor shall there be any duty to apply for any permit or license to give notice to any such person.</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Section 2.05 QUORUM. Except as provided by law, the holders of record of a majority in voting interest of the shares of stock of the Corporation entitled to be voted, present in person or by proxy, shall constitute a quorum for the transaction of business at any meeting of the stockholders of the Corporation or any adjournment thereof. The stockholders present at a duly called or held meeting at which a quorum is present may continue to do business until adjournment, notwithstanding the withdrawal of enough stockholders to leave less than a quorum. In the absence of a quorum at any meeting or any adjournment thereof, a majority in voting interest of the stockholders present in person or by proxy and entitled to vote thereat or, in the absence therefrom of all the stockholders, any officer entitled to preside at or to act as secretary of such meeting may adjourn such meeting from time to time. At any such adjourned meeting at which a quorum is present any business may be transacted which might have been transacted at the meeting as originally called.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left="1280"/>
        <w:spacing w:after="0"/>
        <w:rPr>
          <w:sz w:val="20"/>
          <w:szCs w:val="20"/>
          <w:color w:val="auto"/>
        </w:rPr>
      </w:pPr>
      <w:r>
        <w:rPr>
          <w:rFonts w:ascii="Arial" w:cs="Arial" w:eastAsia="Arial" w:hAnsi="Arial"/>
          <w:sz w:val="18"/>
          <w:szCs w:val="18"/>
          <w:color w:val="auto"/>
        </w:rPr>
        <w:t>Section 2.06 VOTING.</w:t>
      </w:r>
    </w:p>
    <w:p>
      <w:pPr>
        <w:spacing w:after="0" w:line="225" w:lineRule="exact"/>
        <w:rPr>
          <w:sz w:val="20"/>
          <w:szCs w:val="20"/>
          <w:color w:val="auto"/>
        </w:rPr>
      </w:pPr>
    </w:p>
    <w:p>
      <w:pPr>
        <w:ind w:left="-20" w:firstLine="1305"/>
        <w:spacing w:after="0" w:line="264" w:lineRule="auto"/>
        <w:tabs>
          <w:tab w:leader="none" w:pos="15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each meeting of the stockholders, each stockholder shall be entitled to vote in person or by proxy each share or fractional share of the stock of the Corporation which has voting rights on the matter in question and which shall have been held by him and registered in his name on the books of the Corporation:</w:t>
      </w:r>
    </w:p>
    <w:p>
      <w:pPr>
        <w:spacing w:after="0" w:line="181" w:lineRule="exact"/>
        <w:rPr>
          <w:rFonts w:ascii="Arial" w:cs="Arial" w:eastAsia="Arial" w:hAnsi="Arial"/>
          <w:sz w:val="18"/>
          <w:szCs w:val="18"/>
          <w:color w:val="auto"/>
        </w:rPr>
      </w:pPr>
    </w:p>
    <w:p>
      <w:pPr>
        <w:ind w:left="-20" w:right="220" w:firstLine="1953"/>
        <w:spacing w:after="0" w:line="277" w:lineRule="auto"/>
        <w:tabs>
          <w:tab w:leader="none" w:pos="21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the date fixed pursuant to Section 2.07 of these Bylaws as the record date for the determination of stockholders entitled to notice of and to vote at such meeting, or</w:t>
      </w:r>
    </w:p>
    <w:p>
      <w:pPr>
        <w:spacing w:after="0" w:line="170" w:lineRule="exact"/>
        <w:rPr>
          <w:rFonts w:ascii="Arial" w:cs="Arial" w:eastAsia="Arial" w:hAnsi="Arial"/>
          <w:sz w:val="18"/>
          <w:szCs w:val="18"/>
          <w:color w:val="auto"/>
        </w:rPr>
      </w:pPr>
    </w:p>
    <w:p>
      <w:pPr>
        <w:jc w:val="both"/>
        <w:ind w:left="-20" w:right="240" w:firstLine="1953"/>
        <w:spacing w:after="0" w:line="264" w:lineRule="auto"/>
        <w:tabs>
          <w:tab w:leader="none" w:pos="22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no such record date shall have been so fixed, then (A) at the close of business on the day next preceding the day on which notice of the meeting shall be given or (B) if notice of the meeting shall be waived, at the close of business on the day next preceding the day on which the meeting shall be held.</w:t>
      </w:r>
    </w:p>
    <w:p>
      <w:pPr>
        <w:spacing w:after="0" w:line="181" w:lineRule="exact"/>
        <w:rPr>
          <w:rFonts w:ascii="Arial" w:cs="Arial" w:eastAsia="Arial" w:hAnsi="Arial"/>
          <w:sz w:val="18"/>
          <w:szCs w:val="18"/>
          <w:color w:val="auto"/>
        </w:rPr>
      </w:pPr>
    </w:p>
    <w:p>
      <w:pPr>
        <w:ind w:left="-20" w:right="20" w:firstLine="1305"/>
        <w:spacing w:after="0" w:line="291" w:lineRule="auto"/>
        <w:tabs>
          <w:tab w:leader="none" w:pos="1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 Persons holding stock of the Corporation in a fiduciary capacity shall be entitled to vote such stock. Persons whose stock is pledged shall be entitled to vote, unless in the transfer by the pledgor on the books of the Corporation he shall have expressly empowered the pledgee to vote thereon, in which case only the pledgee, or his proxy, may represent such stock and vote thereon. 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Delaware.</w:t>
      </w:r>
    </w:p>
    <w:p>
      <w:pPr>
        <w:spacing w:after="0" w:line="167" w:lineRule="exact"/>
        <w:rPr>
          <w:rFonts w:ascii="Arial" w:cs="Arial" w:eastAsia="Arial" w:hAnsi="Arial"/>
          <w:sz w:val="16"/>
          <w:szCs w:val="16"/>
          <w:color w:val="auto"/>
        </w:rPr>
      </w:pPr>
    </w:p>
    <w:p>
      <w:pPr>
        <w:ind w:left="-20" w:right="40" w:firstLine="1305"/>
        <w:spacing w:after="0" w:line="270" w:lineRule="auto"/>
        <w:tabs>
          <w:tab w:leader="none" w:pos="15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such voting rights may be exercised by the stockholder entitled thereto in person or by his proxy appointed by an instrument in writing, subscribed by such stockholder or by his attorney thereunto authorized and delivered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any meeting of the stockholders all matters, except as otherwise provided in the Certificate of Incorporation, in these Bylaws or by law, shall be decided by the vote of a majority in voting interest of the stockholders present in person or by proxy and entitled to vote thereat and thereon. The stockholders present at a duly called or held meeting at which a quorum is present may continue to do business until adjournment, notwithstanding the withdrawal of enough stockholders to leave less than a quorum. The vote at any meeting of the stockholders on any question need not be by ballot, unless so directed by the chairman of the meeting. On a vote by ballot, each ballot shall be signed by the stockholder voting, or by his proxy if there be such proxy, and it shall state the number of shares voted.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1" w:name="page52"/>
    <w:bookmarkEnd w:id="51"/>
    <w:p>
      <w:pPr>
        <w:ind w:right="20" w:firstLine="1297"/>
        <w:spacing w:after="0" w:line="255" w:lineRule="auto"/>
        <w:rPr>
          <w:sz w:val="20"/>
          <w:szCs w:val="20"/>
          <w:color w:val="auto"/>
        </w:rPr>
      </w:pPr>
      <w:r>
        <w:rPr>
          <w:rFonts w:ascii="Arial" w:cs="Arial" w:eastAsia="Arial" w:hAnsi="Arial"/>
          <w:sz w:val="18"/>
          <w:szCs w:val="18"/>
          <w:color w:val="auto"/>
        </w:rPr>
        <w:t>Section 2.07 LIST OF STOCKHOLDERS.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entire duration thereof, and may be inspected by any stockholder who is present.</w:t>
      </w:r>
    </w:p>
    <w:p>
      <w:pPr>
        <w:spacing w:after="0" w:line="189"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Section 2.08 STOCK LEDGER. The stock ledger of the Corporation shall be the only evidence as to who are the stockholders entitled to examine the stock ledger, the list required by Section 2.07 of this Article II or the books of the Corporation, or to vote in person or by proxy at any meeting of stockholders.</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Section 2.09 INSPECTOR OF ELECTION. The directors, in advance of any meeting, may, but need not, appoint one or more inspectors of election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directors in advance of the meeting or at the meeting by the person presiding thereat. Each inspector so appointed shall first subscribe an oath faithfully to execute the duties of an inspector at such meeting with strict impartiality and according to the best of his ability. Such inspectors shall decide upon the qualification of the voters and shall report the number of shares represented at the meeting and entitled to vote on such question, shall conduct and accept the votes, and, when the voting is completed, shall ascertain and report the number of shares voted respectively for and against the question. Reports of the inspectors shall be in writing and subscribed and delivered by them to the Secretary of the Corporation. Inspectors need not be stockholders of the Corporation, and any officer of the Corporation may be an inspector on any question other than a vote for or against a proposal in which he shall have a material interest. No director or candidate for the office of director shall act as an inspector of an election of directors.</w:t>
      </w:r>
    </w:p>
    <w:p>
      <w:pPr>
        <w:spacing w:after="0" w:line="169"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Section 2.10 STOCKHOLDER ACTION WITHOUT MEETINGS. Any action required by the General Corporation Law of the State of Delaware to be taken at any annual or special meeting of the stockholders, or any action which may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right="40" w:firstLine="1297"/>
        <w:spacing w:after="0" w:line="267" w:lineRule="auto"/>
        <w:rPr>
          <w:sz w:val="20"/>
          <w:szCs w:val="20"/>
          <w:color w:val="auto"/>
        </w:rPr>
      </w:pPr>
      <w:r>
        <w:rPr>
          <w:rFonts w:ascii="Arial" w:cs="Arial" w:eastAsia="Arial" w:hAnsi="Arial"/>
          <w:sz w:val="17"/>
          <w:szCs w:val="17"/>
          <w:color w:val="auto"/>
        </w:rPr>
        <w:t>Section 2.11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 (i) in the case of determination of stockholders entitled to vote at any meeting of stockholders or adjournment thereof, shall, unless otherwise required by law, not be more than sixty nor less than ten days before the date of such meeting; (ii) in the case of determination of stockholders entitled to express consent to corporate action in writing without a meeting, shall not be more than ten days from the date upon which the resolution fixing the record date is adopted by the Board; and (iii) in the case of any other action, shall not be more than sixty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corporation in accordance with applicable law, or, if prior action by the Board is required by law, shall be at the close of business on the day on which the Board adopts the resolution taking such prior action; and (iii)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may fix a new record date for the adjourned meeting.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Section 3.01 GENERAL POWERS. The property, business and affairs of the Corporation shall be managed by or under the direction of the Board, which may exercise all of the powers of the Corporation, except such as are by the Certificate of Incorporation, by these Bylaws or by law conferred upon or reserved to the stockholders.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Section 3.02 NUMBER AND TERM. The Board shall consist of one or more members, the number of which shall be one until changed thereafter from time to time by resolution of the Board. Directors need not be stockholders of the Corporation. Each director shall hold office until a successor is elected and qualified or until the director resigns or is removed.</w:t>
      </w:r>
    </w:p>
    <w:p>
      <w:pPr>
        <w:spacing w:after="0" w:line="181" w:lineRule="exact"/>
        <w:rPr>
          <w:sz w:val="20"/>
          <w:szCs w:val="20"/>
          <w:color w:val="auto"/>
        </w:rPr>
      </w:pPr>
    </w:p>
    <w:p>
      <w:pPr>
        <w:jc w:val="both"/>
        <w:ind w:right="120" w:firstLine="1297"/>
        <w:spacing w:after="0" w:line="312" w:lineRule="auto"/>
        <w:rPr>
          <w:sz w:val="20"/>
          <w:szCs w:val="20"/>
          <w:color w:val="auto"/>
        </w:rPr>
      </w:pPr>
      <w:r>
        <w:rPr>
          <w:rFonts w:ascii="Arial" w:cs="Arial" w:eastAsia="Arial" w:hAnsi="Arial"/>
          <w:sz w:val="16"/>
          <w:szCs w:val="16"/>
          <w:color w:val="auto"/>
        </w:rPr>
        <w:t>Section 3.03 ELECTION OF DIRECTORS. The directors shall be elected by the stockholders of the Corporation, and at each election the persons receiving the greatest number of votes, up to the number of directors then to be elected, shall be the persons then elected. The election of directors is subject to any provisions contained in the Certificate of Incorporation relating thereto, including any provisions for a classified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jc w:val="both"/>
        <w:ind w:right="240" w:firstLine="1297"/>
        <w:spacing w:after="0" w:line="312" w:lineRule="auto"/>
        <w:rPr>
          <w:sz w:val="20"/>
          <w:szCs w:val="20"/>
          <w:color w:val="auto"/>
        </w:rPr>
      </w:pPr>
      <w:r>
        <w:rPr>
          <w:rFonts w:ascii="Arial" w:cs="Arial" w:eastAsia="Arial" w:hAnsi="Arial"/>
          <w:sz w:val="16"/>
          <w:szCs w:val="16"/>
          <w:color w:val="auto"/>
        </w:rPr>
        <w:t>Section 3.04 RESIGNATION AND REMOVAL. Any director of the Corporation may resign at any time by giving written notice to the Board or to the Secretary of the Corporation. Any such resignation shall take effect at the time specified therein, or, if the time is not specified, it shall take effect immediately upon its receipt; and, unless otherwise specified therein, the acceptance of such resignation shall not be necessary to make it effective.</w:t>
      </w:r>
    </w:p>
    <w:p>
      <w:pPr>
        <w:spacing w:after="0" w:line="147" w:lineRule="exact"/>
        <w:rPr>
          <w:sz w:val="20"/>
          <w:szCs w:val="20"/>
          <w:color w:val="auto"/>
        </w:rPr>
      </w:pPr>
    </w:p>
    <w:p>
      <w:pPr>
        <w:jc w:val="both"/>
        <w:ind w:right="260" w:firstLine="1297"/>
        <w:spacing w:after="0" w:line="277" w:lineRule="auto"/>
        <w:rPr>
          <w:sz w:val="20"/>
          <w:szCs w:val="20"/>
          <w:color w:val="auto"/>
        </w:rPr>
      </w:pPr>
      <w:r>
        <w:rPr>
          <w:rFonts w:ascii="Arial" w:cs="Arial" w:eastAsia="Arial" w:hAnsi="Arial"/>
          <w:sz w:val="18"/>
          <w:szCs w:val="18"/>
          <w:color w:val="auto"/>
        </w:rPr>
        <w:t>Except as otherwise provided by the Certificate of Incorporation or by law, any director or the entire board of directors may be removed, with or without cause, by the holders of a majority of shares then entitled to vote at an election of directors.</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Section 3.05 VACANCIES. Except as otherwise provided in the Certificate of Incorporation, any vacancy in the Board, whether because of death, resignation, disqualification, an increase in the number of directors, or any other cause, may be filled by vote of the majority of the remaining directors, although less than a quorum, or by a sole remaining director. Each director so chosen to fill a vacancy shall hold office until his successor shall have been elected and shall qualify or until he shall resign or shall have been removed. No reduction of the authorized number of directors shall have the effect of removing any director prior to the expiration of his term of office.</w:t>
      </w:r>
    </w:p>
    <w:p>
      <w:pPr>
        <w:spacing w:after="0" w:line="188" w:lineRule="exact"/>
        <w:rPr>
          <w:sz w:val="20"/>
          <w:szCs w:val="20"/>
          <w:color w:val="auto"/>
        </w:rPr>
      </w:pPr>
    </w:p>
    <w:p>
      <w:pPr>
        <w:jc w:val="both"/>
        <w:ind w:right="60" w:firstLine="1297"/>
        <w:spacing w:after="0" w:line="286" w:lineRule="auto"/>
        <w:rPr>
          <w:sz w:val="20"/>
          <w:szCs w:val="20"/>
          <w:color w:val="auto"/>
        </w:rPr>
      </w:pPr>
      <w:r>
        <w:rPr>
          <w:rFonts w:ascii="Arial" w:cs="Arial" w:eastAsia="Arial" w:hAnsi="Arial"/>
          <w:sz w:val="17"/>
          <w:szCs w:val="17"/>
          <w:color w:val="auto"/>
        </w:rPr>
        <w:t>Upon the resignation of one or more directors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hereinabove in the filling of other vacancies.</w:t>
      </w:r>
    </w:p>
    <w:p>
      <w:pPr>
        <w:spacing w:after="0" w:line="166"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Section 3.06 PLACE OF MEETING; TELEPHONE CONFERENCE MEETING. The Board may hold any of its meetings at such place or places within or without the State of Delaware as the Board may from time to time by resolution designate or as shall be designated by the person or persons calling the meeting or in the notice or waiver of notice of any such meeting. Directors may participate in any regular or special meeting of the Board by means of conference telephone or similar communications equipment pursuant to which all persons participating in the meeting of the Board can hear each other, and such participation shall constitute presence in person at such meeting.</w:t>
      </w:r>
    </w:p>
    <w:p>
      <w:pPr>
        <w:spacing w:after="0" w:line="17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Section 3.07 FIRST MEETING. The Board shall meet as soon as practicable after each annual election of directors and notice of such first meeting shall not be required.</w:t>
      </w:r>
    </w:p>
    <w:p>
      <w:pPr>
        <w:spacing w:after="0" w:line="174" w:lineRule="exact"/>
        <w:rPr>
          <w:sz w:val="20"/>
          <w:szCs w:val="20"/>
          <w:color w:val="auto"/>
        </w:rPr>
      </w:pPr>
    </w:p>
    <w:p>
      <w:pPr>
        <w:ind w:right="120" w:firstLine="1297"/>
        <w:spacing w:after="0" w:line="227" w:lineRule="auto"/>
        <w:rPr>
          <w:sz w:val="20"/>
          <w:szCs w:val="20"/>
          <w:color w:val="auto"/>
        </w:rPr>
      </w:pPr>
      <w:r>
        <w:rPr>
          <w:rFonts w:ascii="Arial" w:cs="Arial" w:eastAsia="Arial" w:hAnsi="Arial"/>
          <w:sz w:val="18"/>
          <w:szCs w:val="18"/>
          <w:color w:val="auto"/>
        </w:rPr>
        <w:t>Section 3.08 REGULAR MEETINGS. Regular meetings of the Board may be held at such times as the Board</w:t>
      </w:r>
      <w:r>
        <w:rPr>
          <w:rFonts w:ascii="Arial" w:cs="Arial" w:eastAsia="Arial" w:hAnsi="Arial"/>
          <w:sz w:val="30"/>
          <w:szCs w:val="30"/>
          <w:color w:val="auto"/>
          <w:vertAlign w:val="superscript"/>
        </w:rPr>
        <w:t>-</w:t>
      </w:r>
      <w:r>
        <w:rPr>
          <w:rFonts w:ascii="Arial" w:cs="Arial" w:eastAsia="Arial" w:hAnsi="Arial"/>
          <w:sz w:val="18"/>
          <w:szCs w:val="18"/>
          <w:color w:val="auto"/>
        </w:rPr>
        <w:t>shall from time to time by resolution determine. If any day fixed for a meeting shall be a legal holiday at the place where the meeting is to be held, then the meeting shall be held at the same hour and place on the next succeeding business day which is not a legal holiday. Except as provided by law, notice of regular meetings need not be given.</w:t>
      </w:r>
    </w:p>
    <w:p>
      <w:pPr>
        <w:spacing w:after="0" w:line="204"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Section 3.09 SPECIAL MEETINGS. Special meetings of the Board may be called at any time by the Chairman of the Board or the President or by any two (2) directors, to be held at the principal office of the Corporation, or at such other place or places, within or without the State of Delaware, as the person or persons calling the meeting may designate.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firstLine="1297"/>
        <w:spacing w:after="0" w:line="293" w:lineRule="auto"/>
        <w:rPr>
          <w:sz w:val="20"/>
          <w:szCs w:val="20"/>
          <w:color w:val="auto"/>
        </w:rPr>
      </w:pPr>
      <w:r>
        <w:rPr>
          <w:rFonts w:ascii="Arial" w:cs="Arial" w:eastAsia="Arial" w:hAnsi="Arial"/>
          <w:sz w:val="16"/>
          <w:szCs w:val="16"/>
          <w:color w:val="auto"/>
        </w:rPr>
        <w:t>Notice of the time and place of special meetings shall be given to each director either (i) by depositing such notice in the United States mail or overnight delivery service, in a postage prepaid envelope, or by-hand delivery service, charges prepaid, addressed to him at his address as it is shown upon the records of the Corporation, or if it is not so shown on such records or is not readily ascertainable, at the place in which the meetings of the directors are regularly held, or by transmitting a notice thereof to him at such address by telegraph, telecopy, cable or wireless, at least seventy-two (72) hours prior to the time of the holding of such meeting; or (ii) by orally communicating the time and place of the special meeting to him at least forty-eight (48) hours prior to the time of the holding of such meeting. Either of the notices as above provided shall be due, legal and personal notice to such director.</w:t>
      </w:r>
    </w:p>
    <w:p>
      <w:pPr>
        <w:spacing w:after="0" w:line="165"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Section 3.10 QUORUM AND ACTION. Except as otherwise provided in these Bylaws or by law, the presence of a majority of the authorized number of directors shall be required to constitute a quorum for the transaction of business at any meeting of the Board, and all matters shall be decided at any such meeting, a quorum being present, by the affirmative votes of a majority of the directors present, subject to Section 3.15. In the absence of a quorum, a majority of directors present at any meeting may adjourn the same from time to time until a quorum shall be present. Notice of any adjourned meeting need not be given. The directors shall act only as a Board, and the individual directors shall have no power as such.</w:t>
      </w:r>
    </w:p>
    <w:p>
      <w:pPr>
        <w:spacing w:after="0" w:line="17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Section 3.11 ACTION BY CONSENT. Any action required or permitted to be taken at any meeting of the Board or of any committee thereof may be taken without a meeting if a written consent thereto is signed by all members of the Board or of such committee, as the case may be, and such written consent is filed with the minutes of proceedings of the Board or such committee. Such action by written consent shall have the same force and effect as the unanimous vote of such directors.</w:t>
      </w:r>
    </w:p>
    <w:p>
      <w:pPr>
        <w:spacing w:after="0" w:line="187" w:lineRule="exact"/>
        <w:rPr>
          <w:sz w:val="20"/>
          <w:szCs w:val="20"/>
          <w:color w:val="auto"/>
        </w:rPr>
      </w:pPr>
    </w:p>
    <w:p>
      <w:pPr>
        <w:jc w:val="both"/>
        <w:ind w:right="200" w:firstLine="1297"/>
        <w:spacing w:after="0" w:line="259" w:lineRule="auto"/>
        <w:rPr>
          <w:sz w:val="20"/>
          <w:szCs w:val="20"/>
          <w:color w:val="auto"/>
        </w:rPr>
      </w:pPr>
      <w:r>
        <w:rPr>
          <w:rFonts w:ascii="Arial" w:cs="Arial" w:eastAsia="Arial" w:hAnsi="Arial"/>
          <w:sz w:val="18"/>
          <w:szCs w:val="18"/>
          <w:color w:val="auto"/>
        </w:rPr>
        <w:t>Section 3.12 COMPENSATION. No stated salary need be paid to directors, as such, for their services but, as fixed from time to time by resolution of the Board, the directors may receive directors’ fees, compensation and reimbursement for expenses for attendance at directors’ meetings, for serving on committees and for discharging their duties; provided that nothing herein contained shall be construed to preclude any director from serving the Corporation in any other capacity and receiving compensation therefor.</w:t>
      </w:r>
    </w:p>
    <w:p>
      <w:pPr>
        <w:spacing w:after="0" w:line="187"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Section 3.13 COMMITTEES. The Board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they constitute a quorum, may unanimously appoint another member of the Board of Directors to act at the meeting in place of any such absent or disqualified member. Any such committee, to the extent permitted by law and provided in the resolution of the Board, shall have and may exercise all the powers and authority of the Board in the management of the business and affairs of the Corporation, and may authorize the seal of the Corporation to be affixed to all papers which may require it.</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5" w:name="page56"/>
    <w:bookmarkEnd w:id="55"/>
    <w:p>
      <w:pPr>
        <w:jc w:val="both"/>
        <w:ind w:right="40" w:firstLine="1297"/>
        <w:spacing w:after="0" w:line="286" w:lineRule="auto"/>
        <w:rPr>
          <w:sz w:val="20"/>
          <w:szCs w:val="20"/>
          <w:color w:val="auto"/>
        </w:rPr>
      </w:pPr>
      <w:r>
        <w:rPr>
          <w:rFonts w:ascii="Arial" w:cs="Arial" w:eastAsia="Arial" w:hAnsi="Arial"/>
          <w:sz w:val="17"/>
          <w:szCs w:val="17"/>
          <w:color w:val="auto"/>
        </w:rPr>
        <w:t>Unless the Board otherwise provides, each committee designated by the Board may make, alter and repeal rules for conduct of its business. In the absence of such rules each committee shall conduct its business in the same manner as the Board conducts its business pursuant to these Bylaws. Any such committee shall keep written minutes of its meetings and report the same to the Board when required.</w:t>
      </w:r>
    </w:p>
    <w:p>
      <w:pPr>
        <w:spacing w:after="0" w:line="166"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Section 3.14 OFFICERS OF THE BOARD. A Chairman of the Board or a Vice Chairman may be appointed from time to time by the Board and shall have such powers and duties as shall be designated by the Board.</w:t>
      </w:r>
    </w:p>
    <w:p>
      <w:pPr>
        <w:spacing w:after="0" w:line="170"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Section 3.15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disinterested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73"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Section 3.16 LIMITED DIRECTOR LIABILITY.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involved intentional misconduct or a knowing violation of law, (iii) under Section 174 of the DGCL for unlawful payment of dividends or improper redemption of stock, or (iv) for any transaction from which the director derived an improper benefit. If the DGCL is hereafter amended to authorize the further elimination or limitation of the liability of directors, thus the liability of a director of the Corporation, in addition to the limitation on personal liability provided herein, shall be limited to the fullest extent permitted by the DGCL, as amended. Any repeal or modification of this paragraph by the stockholders of the Corporation shall be prospective only, and shall not adversely affect any limitation on the personal liability of a director of the Corporation existing at the time of such repeal or modification.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Section 4.01 OFFICERS. The officers of the Corporation shall be a President, a Secretary and a Treasurer. The Corporation may also have, at the discretion of the Board, a Chairman of the Board, a Chief Executive Officer, one or more Vice Presidents, one or more Assistant Vice Presidents, one or more Assistant Secretaries, one or more Assistant Treasurers and such other officers as may be appointed in accordance with the provisions of Section 4.03 of these Bylaws. One person may hold two or more offices, except that the Secretary may not also hold the office of President.</w:t>
      </w:r>
    </w:p>
    <w:p>
      <w:pPr>
        <w:spacing w:after="0" w:line="154"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Section 4.02 ELECTION AND TERM. The officers of the Corporation, except such officers as may be appointed in accordance with the provisions of Section 4.03 or Section 4.05 of these Bylaws, shall be chosen annually by the Board, and each shall hold his office until he shall resign or shall be removed or otherwise disqualified to serve, or until his successor shall be elected and qualified.</w:t>
      </w:r>
    </w:p>
    <w:p>
      <w:pPr>
        <w:spacing w:after="0" w:line="181"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Section 4.03 SUBORDINATE OFFICERS. The Board may appoint, or may authorize the Chief Executive Officer to appoint, such other officers as the business of the Corporation may require, each of whom shall have such authority and perform such duties as are provided in these Bylaws or as the Board or the President from time to time may specify, and shall hold office until he shall resign or shall be removed or otherwise disqualified to serve.</w:t>
      </w:r>
    </w:p>
    <w:p>
      <w:pPr>
        <w:spacing w:after="0" w:line="14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Section 4.04 REMOVAL AND RESIGNATION. Any officer may be removed, with or without cause, by a majority of the directors at the time in office, at any regular or special meeting of the Board, or, except in case of an officer chosen by the Board, by the Chief Executive Officer upon whom such power of removal may be conferred by the Board.</w:t>
      </w:r>
    </w:p>
    <w:p>
      <w:pPr>
        <w:spacing w:after="0" w:line="181"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Any officer may resign at any time by giving written notice to the Board, the Chairman of the Board, the President or the Secretary of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Section 4.05 VACANCIES. A vacancy in any office because of death, resignation, removal, disqualification or any other cause shall be filled in the manner prescribed in the Bylaws for the regular appointments to such office.</w:t>
      </w:r>
    </w:p>
    <w:p>
      <w:pPr>
        <w:spacing w:after="0" w:line="170"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Section 4.06 PRESIDENT. The President of the Corporation shall, subject to the control of the Board, have general supervision, direction and control of the business and affairs of the Corporation. He shall preside at all meetings of stockholders and the Board. He shall have the general powers and duties of management usually vested in the chief executive officer of a corporation, and shall have such other powers and duties with respect to the administration of the business and affairs of the Corporation as may from time to time be assigned to him by the Board or as prescribed by the Bylaws.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right="120" w:firstLine="1297"/>
        <w:spacing w:after="0" w:line="264" w:lineRule="auto"/>
        <w:rPr>
          <w:sz w:val="20"/>
          <w:szCs w:val="20"/>
          <w:color w:val="auto"/>
        </w:rPr>
      </w:pPr>
      <w:r>
        <w:rPr>
          <w:rFonts w:ascii="Arial" w:cs="Arial" w:eastAsia="Arial" w:hAnsi="Arial"/>
          <w:sz w:val="18"/>
          <w:szCs w:val="18"/>
          <w:color w:val="auto"/>
        </w:rPr>
        <w:t>Section 4.07 CHAIRMAN OF THE BOARD. The Chairman of the Board, if any, shall preside at all meetings of the stockholders and the Board and exercise and perform such other powers and duties with respect to the administration of the business and affairs of the Corporation as may from time to time be assigned to him by the Board or as is prescribed by the Bylaws.</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Section 4.08 CHIEF EXECUTIVE OFFICER/CHIEF OPERATING OFFICER/OFFICE OF THE CHIEF EXECUTIVE. In the event the Board of Directors elects a Chief Executive Officer and/or a Chief Operating Officer, or establishes an Office of the Chief Executive, the person or persons so elected or the members of such office shall individually or jointly, as the case may be, have general and active management of the property, business and affairs of the Corporation, subject to the supervision and control of the Board. The Chief Executive Officer, the Chief Operating Officer, or members of the Office of the Chief Executive, as the case may be, also shall have such powers and perform such other duties as prescribed from time to time by the Board of Directors.</w:t>
      </w:r>
    </w:p>
    <w:p>
      <w:pPr>
        <w:spacing w:after="0" w:line="193"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Section 4.09 VICE PRESIDENT. The Vice President(s), if any, shall exercise and perform such powers and duties with respect to the administration of the business and affairs of the Corporation as from time to time may be assigned to each of them by the President, by the Chairman of the Board, if any, by the Board or as is prescribed by the Bylaws. In the absence or disability of the President, the Vice Presidents, in order of their rank as fixed by the Board, or if not ranked, the Vice President designated by the Board, shall perform all of the duties of the President and when so acting shall have all of the powers of and be subject to all the restrictions upon the President.</w:t>
      </w:r>
    </w:p>
    <w:p>
      <w:pPr>
        <w:spacing w:after="0" w:line="18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Section 4.10 SECRETARY. The Secretary shall keep, or cause to be kept, a book of minutes at the principal office for the transaction of the business of the Corporation, or such other place as the Board may order, of all meetings of directors and stockholders, with the time and place of holding, whether regular or special, and if special, how authorized and the notice thereof given, the names of those present at directors’ meetings, the number of shares present or represented at stockholders’ meetings and the proceedings thereof.</w:t>
      </w:r>
    </w:p>
    <w:p>
      <w:pPr>
        <w:spacing w:after="0" w:line="18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The Secretary shall keep, or cause to be kept, at the principal office for the transaction of the business of the Corporation or at the office of the Corporation’s transfer agent, a share register, or a duplicate share register, showing the names of the stockholders and their addresses, the number and classes of shares held by each, the number and date of certificates issued for the same, and the number and date of cancellation of every certificate surrendered for cancellation.</w:t>
      </w:r>
    </w:p>
    <w:p>
      <w:pPr>
        <w:spacing w:after="0" w:line="187"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The Secretary shall give, or cause to be given, notice of all the meetings of the stockholders and of the Board required by these Bylaws or by law to be given, and he shall keep the seal of the Corporation in safe custody, and shall have such other powers and perform such other duties as may be prescribed by the Board or these Bylaws. If for any reason the Secretary shall fail to give notice of any special meeting of the Board called by one or more of the persons identified in Section 3.09 of these Bylaws, or if he shall fail to give notice of any special meeting of the stockholders called by one or more of the persons identified in Section 2.02 of these Bylaws, then any such person or persons may give notice of any such special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8" w:name="page59"/>
    <w:bookmarkEnd w:id="58"/>
    <w:p>
      <w:pPr>
        <w:jc w:val="both"/>
        <w:ind w:right="140" w:firstLine="1297"/>
        <w:spacing w:after="0" w:line="302" w:lineRule="auto"/>
        <w:rPr>
          <w:sz w:val="20"/>
          <w:szCs w:val="20"/>
          <w:color w:val="auto"/>
        </w:rPr>
      </w:pPr>
      <w:r>
        <w:rPr>
          <w:rFonts w:ascii="Arial" w:cs="Arial" w:eastAsia="Arial" w:hAnsi="Arial"/>
          <w:sz w:val="16"/>
          <w:szCs w:val="16"/>
          <w:color w:val="auto"/>
        </w:rPr>
        <w:t>Section 4.11 TREASURER. The Treasurer shall keep and maintain or cause to be kept and maintained, adequate and correct accounts of the properties and business transactions of the Corporation, including accounts of its assets, liabilities, receipts, disbursements, gains, losses, capital, surplus and shares. Any surplus, including earned surplus, paid-in surplus and surplus arising from a reduction of capital, shall be classified according to source and shown in a separate account. The books of account at all reasonable times shall be open to inspection by any director.</w:t>
      </w:r>
    </w:p>
    <w:p>
      <w:pPr>
        <w:spacing w:after="0" w:line="154" w:lineRule="exact"/>
        <w:rPr>
          <w:sz w:val="20"/>
          <w:szCs w:val="20"/>
          <w:color w:val="auto"/>
        </w:rPr>
      </w:pPr>
    </w:p>
    <w:p>
      <w:pPr>
        <w:ind w:right="180" w:firstLine="1297"/>
        <w:spacing w:after="0" w:line="279" w:lineRule="auto"/>
        <w:rPr>
          <w:sz w:val="20"/>
          <w:szCs w:val="20"/>
          <w:color w:val="auto"/>
        </w:rPr>
      </w:pPr>
      <w:r>
        <w:rPr>
          <w:rFonts w:ascii="Arial" w:cs="Arial" w:eastAsia="Arial" w:hAnsi="Arial"/>
          <w:sz w:val="17"/>
          <w:szCs w:val="17"/>
          <w:color w:val="auto"/>
        </w:rPr>
        <w:t>The Treasurer shall deposit all moneys and other valuables in the name and to the credit of the Corporation with such depositories as may be designated by the Board. He shall disburse the funds of the Corporation as may be ordered by the Board, shall render to the President, to the Chief Executive Officer and to the directors, whenever they request it, an account of all of his transactions as Treasurer and of the financial condition of the Corporation, and shall have such other powers and perform such other duties as may be prescribed by the Board or these Bylaws.</w:t>
      </w:r>
    </w:p>
    <w:p>
      <w:pPr>
        <w:spacing w:after="0" w:line="171"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Section 4.12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171"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Section 4.13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Section 4.14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Section 4.15 COMPENSATION. The compensation of the officers of the Corporation, if any, shall be fixed from time to time by the Board.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right="80" w:firstLine="1297"/>
        <w:spacing w:after="0" w:line="255" w:lineRule="auto"/>
        <w:rPr>
          <w:sz w:val="20"/>
          <w:szCs w:val="20"/>
          <w:color w:val="auto"/>
        </w:rPr>
      </w:pPr>
      <w:r>
        <w:rPr>
          <w:rFonts w:ascii="Arial" w:cs="Arial" w:eastAsia="Arial" w:hAnsi="Arial"/>
          <w:sz w:val="18"/>
          <w:szCs w:val="18"/>
          <w:color w:val="auto"/>
        </w:rPr>
        <w:t>Section 4.16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CONTRACTS, CHECKS, DRAFTS, BANK ACCOUNTS, ETC.</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Section 5.01 EXECUTION OF CONTRACTS. The Board, except as otherwise provided in these Bylaws, may authorize any officer or officers, agent or agents, to enter into any contract or execute any instrument in the name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w:t>
      </w:r>
    </w:p>
    <w:p>
      <w:pPr>
        <w:spacing w:after="0" w:line="171" w:lineRule="exact"/>
        <w:rPr>
          <w:sz w:val="20"/>
          <w:szCs w:val="20"/>
          <w:color w:val="auto"/>
        </w:rPr>
      </w:pPr>
    </w:p>
    <w:p>
      <w:pPr>
        <w:jc w:val="both"/>
        <w:ind w:right="60" w:firstLine="1297"/>
        <w:spacing w:after="0" w:line="286" w:lineRule="auto"/>
        <w:rPr>
          <w:sz w:val="20"/>
          <w:szCs w:val="20"/>
          <w:color w:val="auto"/>
        </w:rPr>
      </w:pPr>
      <w:r>
        <w:rPr>
          <w:rFonts w:ascii="Arial" w:cs="Arial" w:eastAsia="Arial" w:hAnsi="Arial"/>
          <w:sz w:val="17"/>
          <w:szCs w:val="17"/>
          <w:color w:val="auto"/>
        </w:rPr>
        <w:t>Section 5.02 CHECKS, DRAFTS, ETC. 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person shall give such bond, if any, as the Board may require.</w:t>
      </w:r>
    </w:p>
    <w:p>
      <w:pPr>
        <w:spacing w:after="0" w:line="166"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Section 5.03 DEPOSIT. All funds of the Corporation not otherwise employed shall be deposited from time to time to the credit of the Corporation in such banks, trust companies or other depositories as the Board may select, or as may be selected by any officer or officers, assistant or assistants, agent or agents, attorney or attorneys, of the Corporation to whom such power shall have been delegated by the Board. For the purpose of deposit and for the purpose of collection for the account of the Corporation, the President, the Chief Executive Officer, any Vice President or the Treasurer (or any other officer or officers, assistant or assistants, agent or agents, or attorney or-attorneys of the Corporation who shall be determined by the Board from time to time) may endorse, assign and deliver checks, drafts and other orders for the payment of money which are payable to the order of the Corporation.</w:t>
      </w:r>
    </w:p>
    <w:p>
      <w:pPr>
        <w:spacing w:after="0" w:line="165"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Section 5.04 GENERAL AND SPECIAL BANK ACCOUNTS. The Board from time to time may authorize the opening and keeping of general and special bank accounts with such banks, trust companies or other depositories as the Board may select or as may be selected by an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0" w:name="page61"/>
    <w:bookmarkEnd w:id="60"/>
    <w:p>
      <w:pPr>
        <w:ind w:right="300" w:firstLine="1297"/>
        <w:spacing w:after="0" w:line="277" w:lineRule="auto"/>
        <w:rPr>
          <w:sz w:val="20"/>
          <w:szCs w:val="20"/>
          <w:color w:val="auto"/>
        </w:rPr>
      </w:pPr>
      <w:r>
        <w:rPr>
          <w:rFonts w:ascii="Arial" w:cs="Arial" w:eastAsia="Arial" w:hAnsi="Arial"/>
          <w:sz w:val="18"/>
          <w:szCs w:val="18"/>
          <w:color w:val="auto"/>
        </w:rPr>
        <w:t>Section 5.05 AUDITS, ACCOUNTS AND REPORTS. The books of account of the Company shall be audited at least once during each year by a firm of independent certified accountants. The initial independent auditor of the Company shall be Ernst &amp; Young.</w:t>
      </w:r>
    </w:p>
    <w:p>
      <w:pPr>
        <w:spacing w:after="0" w:line="170"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Section 5.06 ACCESS. All books and records of the Company shall be kept at the principal place of business of the Company. Each shareholder may at its own expense, after giving written notice to the Company, audit, investigate and familiarize itself with the operations of the Company using its own employees or such certified public accounting firm, qualified external auditor or other advisers as it may select. The shareholders’ rights under this Section, which shall include the right to make copies of any relevant documents, shall be exercised such that the actions of the shareholders or their respective agents do not interfere unreasonably with the operation of the Company in its ordinary course of business.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5.07 FISCAL YEAR. The fiscal year of the Company shall end on the last day of each calendar year.</w:t>
      </w:r>
    </w:p>
    <w:p>
      <w:pPr>
        <w:spacing w:after="0" w:line="225"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Section 5.08 ACCOUNTING POLICY. The Company shall maintain accounting records, accounts and related financial statements in accordance with United States generally accepted accounting principles applied on a consistent basis.</w:t>
      </w:r>
    </w:p>
    <w:p>
      <w:pPr>
        <w:spacing w:after="0" w:line="170"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6"/>
          <w:szCs w:val="16"/>
          <w:color w:val="auto"/>
        </w:rPr>
        <w:t>Section 5.09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SHARES AND THEIR TRANSFER</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Section 6.01 CERTIFICATES FOR STOCK. Every owner of stock of the Corporation shall be entitled to have a certificate or certificates, in such form as the Board shall prescribe, certifying the number and class of shares of the stock of the Corporation owned by him. The certificates representing shares of such stock shall be numbered in the order in which they shall be issued and shall be signed in the name of the Corporation by the Chairman of the Board, the President or a Vice President and by the Secretary or an Assistant Secretary or by the Treasurer or an Assistant Treasurer. Any or all of the signatures on the certificates may be a facsimile. In case any officer, transfer agent or registrar who has signed or whose facsimile signature has been placed upon any such certificate shall thereafter have ceased to be such officer, transfer agent or registrar before such certificate is issued, such certificate may nevertheless be issued by the Corporation with the same effect as though the person who signed such certificate, or whose facsimile signature shall have been placed thereupon, were such officer, transfer agent or registrar at the date of issue. A record shall be kept of the respective names of the persons, firms or corporations owning the stock represented by such certificates, the number and class of shares represented by such certificates, respectively, and the respective dates thereof, and in case of cancellation, the respective dates of cancellation. Every certificate surrendered to the Corporation for exchange or transfer shall be cancelled, and no new certificate or certificates shall be issued in exchange for any existing certificate until such existing certificate shall have been so cancelled, except in cases provided for in Section 6.04 of these Bylaws.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20" w:firstLine="1297"/>
        <w:spacing w:after="0" w:line="272" w:lineRule="auto"/>
        <w:rPr>
          <w:sz w:val="20"/>
          <w:szCs w:val="20"/>
          <w:color w:val="auto"/>
        </w:rPr>
      </w:pPr>
      <w:r>
        <w:rPr>
          <w:rFonts w:ascii="Arial" w:cs="Arial" w:eastAsia="Arial" w:hAnsi="Arial"/>
          <w:sz w:val="17"/>
          <w:szCs w:val="17"/>
          <w:color w:val="auto"/>
        </w:rPr>
        <w:t>Section 6.02 TRANSFER OF STOCK. Transfer of shares of stock of the Corporation shall be made only on the books of the Corporation by the registered holder thereof, or by his attorney thereunto authorized by power of attorney duly executed and filed with the Secretary, or with a transfer clerk or a transfer agent appointed as provided in Section 6.03 of these Bylaws, and upon surrender of the certificate or certificates for such shares properly endorsed and the payment of all taxes thereon. The person in whose name shares of stock stand on the books of the Corporation shall be deemed the owner thereof for all purposes as regards the Corporation. Whenever any transfer of shares shall be made for collateral security, and not absolutely, such fact shall be stated expressly in the entry of transfer if, when the certificate or certificates shall be presented to the Corporation for transfer, both the transferor and the transferee request the Corporation to do so.</w:t>
      </w:r>
    </w:p>
    <w:p>
      <w:pPr>
        <w:spacing w:after="0" w:line="17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Section 6.03 REGULATIONS. The Board may make such rules and regulations as it may deem expedient, not inconsistent with these Bylaws, concerning the issue, transfer and registration of certificates for shares of the stock of the Corporation. The Board may appoint, or authorize any officer or officers to appoint, one or more transfer clerks or one or more transfer agents and one or more registrars, and may require all certificates for stock to bear the signature or signatures of any of them.</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Section 6.04 LOST, STOLEN, DESTROYED AND MUTILATED CERTIFICATES. In any case of loss, theft, destruction, or mutilation of any certificate of stock, another may be issued in its place upon proof of such loss, theft, destruction, or mutilation and upon the giving of a bond of indemnity to the Corporation in such form and in such sums as the Board may direct; provided, however, that a new certificate may be issued without requiring any bond when, in the judgment of the Board, it is proper to do so.</w:t>
      </w:r>
    </w:p>
    <w:p>
      <w:pPr>
        <w:spacing w:after="0" w:line="187" w:lineRule="exact"/>
        <w:rPr>
          <w:sz w:val="20"/>
          <w:szCs w:val="20"/>
          <w:color w:val="auto"/>
        </w:rPr>
      </w:pPr>
    </w:p>
    <w:p>
      <w:pPr>
        <w:jc w:val="both"/>
        <w:ind w:right="100" w:firstLine="1297"/>
        <w:spacing w:after="0" w:line="276" w:lineRule="auto"/>
        <w:rPr>
          <w:sz w:val="20"/>
          <w:szCs w:val="20"/>
          <w:color w:val="auto"/>
        </w:rPr>
      </w:pPr>
      <w:r>
        <w:rPr>
          <w:rFonts w:ascii="Arial" w:cs="Arial" w:eastAsia="Arial" w:hAnsi="Arial"/>
          <w:sz w:val="17"/>
          <w:szCs w:val="17"/>
          <w:color w:val="auto"/>
        </w:rPr>
        <w:t>Section 6.05 REPRESENTATION OF SHARES OF OTHER CORPORATIONS. The President or any Vice President and the Secretary or any Assistant Secretary of this Corporation are authorized to vote, represent and exercise on behalf of this Corporation all rights incident to all shares of any other corporation or corporations standing in the name of this Corporation. The authority herein granted to said officers to vote or represent on behalf of this Corporation any and all shares held by this Corporation in any other corporation or corporations may be exercised either by such officers in person or by any person authorized so to do by proxy or power of attorney duly executed by said officers.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Section 7.01 MANDATORY INDEMNIFICATION. Each person who at any time is or was a director of the Corporation, and is threatened to be or is made a party to any threatened, pending or completed action, suit or proceeding, whether civil or criminal, administrative, arbitrative or investigative (a “Proceeding”), by reason of the fact that such person is or was a director of the Corporation, or is or was serving at the request of the Corporation as a director, officer, partner, venturer, proprietor, member, employee, trustee, agent or similar functionary of another domestic or foreign corporation, partnership, joint venture, sole proprietorship, trust, employee benefit plan or other for-profit or non-profit enterprise, whether the basis of a Proceeding is alleged action or inaction in such person’s official capacity or in another capacity while holding such office, shall be indemnified and held harmless by the Corporation to the fullest extent authorized by the DGCL or any other applicable law as may from time to time be in effect (but, in the case of any such amendment or enactment, only to the extent that such amendment or law permits the Corporation to provide broader indemnification rights than such law prior to such amendment or enactment permitted the Corporation to provide), against all expense, liability and loss (including, without limitation, court costs and attorneys’ fees, judgments, fines, excise taxes or penalties, and amounts paid or to be paid in settlement) actually and reasonably incurred or suffered by such person in connection with a Proceeding, and such indemnification shall continue as to a person who has ceased to be director of the Corporation or a director, officer, partner, venturer, proprietor, member, employee, trustee, agent or similar functionary of another domestic or foreign corporation, partnership, joint venture, sole proprietorship, trust, employee benefit plan or other for-profit or non-profit enterprise, and shall inure to the benefit of such person’s heirs, executors and administrators. The Corporation’s obligations under this Section A include, but are not limited to, the convening of any meeting, and the consideration of any matter thereby, required by statutes in order to determine the eligibility of any person for indemnification.</w:t>
      </w:r>
    </w:p>
    <w:p>
      <w:pPr>
        <w:spacing w:after="0" w:line="169"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Section 7.02 PREPAYMENT OF EXPENSES. Expenses incurred by a director of the Corporation in defending a Proceeding shall be paid by the Corporation in advance of the final disposition of such Proceeding to the fullest extent permitted by, and only in compliance with, the DGCL or any other applicable laws as may from time to time be in effect, including, without limitation, any provision of the DGCL which requires, as a condition precedent to such expense advancement, the delivery to the Corporation of an undertaking, by or on behalf of such director, to repay all amounts so advanced if it shall ultimately be determined that such director is not entitled to be indemnified under Section A of this Article B or otherwise. Repayments of all amounts so advanced shall be upon such terms and conditions, if any, as the Corporation’s Board of Directors deems appropriate.</w:t>
      </w:r>
    </w:p>
    <w:p>
      <w:pPr>
        <w:spacing w:after="0" w:line="17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Section 7.03 VESTING. The Corporation’s obligation to indemnify and to prepay expense under Sections A and B of this Article B shall arise, and all rights granted to the Corporation’s directors hereunder shall vest, at the time of the occurrence of the transaction or event to which a Proceeding relates, or at the time that the action or conduct to which such Proceeding relates was first taken or engaged in (or omitted to be taken or engaged in), regardless of when such Proceeding is first threatened, commenced, or completed. Notwithstanding any other provision of this Certificate of Incorporation or the Bylaws of the Corporation or otherwise, shall diminish or adversely affect any rights to indemnification or prepayment of expenses granted under Sections A and B of this Article B which shall have become vested as aforesaid prior to the date that such amendment or other corporate action is effective or taken, whichever is later.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firstLine="1297"/>
        <w:spacing w:after="0" w:line="268" w:lineRule="auto"/>
        <w:rPr>
          <w:sz w:val="20"/>
          <w:szCs w:val="20"/>
          <w:color w:val="auto"/>
        </w:rPr>
      </w:pPr>
      <w:r>
        <w:rPr>
          <w:rFonts w:ascii="Arial" w:cs="Arial" w:eastAsia="Arial" w:hAnsi="Arial"/>
          <w:sz w:val="17"/>
          <w:szCs w:val="17"/>
          <w:color w:val="auto"/>
        </w:rPr>
        <w:t xml:space="preserve">Section 7.04 ENFORCEMENT. If a claim under Section A or Section B or both Sections A and B of this Article B is not paid in full by the Corporation within 30 days after a written claim has been received by the Corporation, the claimant may at any time thereafter bring suit in a court of competent jurisdiction against the Corporation to recover the unpaid amount of the claim and, if successful in whole or in part, the claimant shall also be entitled to be paid the expense of prosecuting such claim. It shall be a defense to any such suit (other than a suit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or other applicable law to indemnify the claimant for the amount claimed, but the burden of proving such defense shall be on the Corporation. The failure of the Corporation (including its Board of Directors, independent ..legal counsel, or stockholders) to have made a determination prior to the commencement of such suit as to whether indemnification is proper in the circumstances based upon the applicable standard of conduct set forth in the-DGCL or other applicable law shall neither be a defense to the action nor create a presumption that the claimant has not met the applicable standard of conduct.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Proceeding, had reasonable cause to believe that his conduct was unlawful.</w:t>
      </w:r>
    </w:p>
    <w:p>
      <w:pPr>
        <w:spacing w:after="0" w:line="18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Section 7.05 NONEXCLUSIVE. The Indemnification and advancement of expenses provided by or granted pursuant to this Article B shall not be deemed exclusive of any other rights to which a person seeking indemnification may be entitled under any statute, bylaw, other provisions of this Certificate of Incorporation,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Section 7.06 PERMISSIVE INDEMNIFICATION. The rights to indemnification and prepayment of expenses which are conferred to the Corporation’s directors by Sections A and B of this Article B may be conferred upon any officer, employee or agent of the Corporation if, and to the extent, authorized by the Board of Directors.</w:t>
      </w:r>
    </w:p>
    <w:p>
      <w:pPr>
        <w:spacing w:after="0" w:line="181"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Section 7.07 INSURANCE. The Corporation shall have power to purchase and maintain insurance, at its expense, on behalf of any person who is or was a director, officer, employee, or agent of the Corporation, or is or was serving at the request of the Corporation as a director, officer, partner, venturer, proprietor, member, employee, trustee, agent or similar functionary of another domestic or foreign corporation, partnership, joint venture, sole proprietorship, trust, employee benefit plan or other for-profit or non-profit enterprise against any expense, liability or loss asserted against such person and incurred by such person in any such capacity, or arising out of such person’s status as such, whether or not the Corporation would have power to indemnify such person against such expense, liability or loss under the Corporation’s Bylaws, the provisions of this Article B, the DGCL or other applicable law.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700" w:firstLine="1297"/>
        <w:spacing w:after="0" w:line="342" w:lineRule="auto"/>
        <w:rPr>
          <w:sz w:val="20"/>
          <w:szCs w:val="20"/>
          <w:color w:val="auto"/>
        </w:rPr>
      </w:pPr>
      <w:r>
        <w:rPr>
          <w:rFonts w:ascii="Arial" w:cs="Arial" w:eastAsia="Arial" w:hAnsi="Arial"/>
          <w:sz w:val="16"/>
          <w:szCs w:val="16"/>
          <w:color w:val="auto"/>
        </w:rPr>
        <w:t>Section 8.01 SEAL. The Board shall provide a corporate seal, which shall be in the form of a circle and shall bear the name of the Corporation and words and figures showing that the Corporation was incorporated in the State of Delaware and showing the year of incorporation.</w:t>
      </w:r>
    </w:p>
    <w:p>
      <w:pPr>
        <w:spacing w:after="0" w:line="124"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Section 8.02 WAIVER OF NOTICES. Whenever notice is required to be given under any provision of these bylaws, the Certificate of Incorporation or by law, a written waiver, signed by the person entitled to notice, whether before or after the time stated therein, shall be deemed equivalent to notice. Attendance of a person at a meeting shall constitute a waiver of notice of such meeting, except when a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required by the Certificate of Incorporation.</w:t>
      </w:r>
    </w:p>
    <w:p>
      <w:pPr>
        <w:spacing w:after="0" w:line="178"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Section 8.03 LOANS AND GUARANTIES. The Corporation may lend money to, or guarantee any obligation of, and otherwise assist any officer or other employee of the Corporation or of its subsidiaries, including any officer who is a director, whenever, in the judgment of the Board, such loan, guaranty or assistance may reasonably be expected to benefit the Corporation. The loan, guaranty, or other assistance may be with or without interest, and may be unsecured or secured in such manner as the Board shall approve, including, without limitation, a pledge of shares of stock of the Corporation.</w:t>
      </w:r>
    </w:p>
    <w:p>
      <w:pPr>
        <w:spacing w:after="0" w:line="154" w:lineRule="exact"/>
        <w:rPr>
          <w:sz w:val="20"/>
          <w:szCs w:val="20"/>
          <w:color w:val="auto"/>
        </w:rPr>
      </w:pPr>
    </w:p>
    <w:p>
      <w:pPr>
        <w:ind w:right="560" w:firstLine="1297"/>
        <w:spacing w:after="0" w:line="308" w:lineRule="auto"/>
        <w:rPr>
          <w:sz w:val="20"/>
          <w:szCs w:val="20"/>
          <w:color w:val="auto"/>
        </w:rPr>
      </w:pPr>
      <w:r>
        <w:rPr>
          <w:rFonts w:ascii="Arial" w:cs="Arial" w:eastAsia="Arial" w:hAnsi="Arial"/>
          <w:sz w:val="17"/>
          <w:szCs w:val="17"/>
          <w:color w:val="auto"/>
        </w:rPr>
        <w:t>Section 8.04 GENDER. All personal pronouns used in these Bylaws shall include the other genders, whether used in the masculine, feminine or neuter gender, and the singular shall include the plural, and vice versa, whenever and as often as may be appropriate.</w:t>
      </w:r>
    </w:p>
    <w:p>
      <w:pPr>
        <w:spacing w:after="0" w:line="147"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8.05 AMENDMENTS. These Bylaws, or any of them, may be rescinded, altered, amended or repealed, and new Bylaws may be made (i) by the Board, by vote of a majority of the number of directors then in office as directors, acting at any meeting of the Board or (ii) by the stockholders, by the vote of a majority of the outstanding shares of voting stock of the Corporation, at an annual meeting of stockholders, without previous notice, or at any special meeting of stockholders, provided that notice of such proposed amendment, modification, repeal or adoption is given in the notice of special meeting; provided, however, that Section 2.02 of these Bylaws can only be amended if that Section as amended would not conflict with the Corporation’s Certificate of Incorporation. Any Bylaw made or altered by the stockholders may </w:t>
      </w:r>
      <w:r>
        <w:rPr>
          <w:rFonts w:ascii="Arial" w:cs="Arial" w:eastAsia="Arial" w:hAnsi="Arial"/>
          <w:sz w:val="18"/>
          <w:szCs w:val="18"/>
          <w:i w:val="1"/>
          <w:iCs w:val="1"/>
          <w:color w:val="auto"/>
        </w:rPr>
        <w:t>be</w:t>
      </w:r>
      <w:r>
        <w:rPr>
          <w:rFonts w:ascii="Arial" w:cs="Arial" w:eastAsia="Arial" w:hAnsi="Arial"/>
          <w:sz w:val="18"/>
          <w:szCs w:val="18"/>
          <w:color w:val="auto"/>
        </w:rPr>
        <w:t xml:space="preserve"> altered or repealed by the Board or may be altered or repealed by the stockholders.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jc w:val="center"/>
        <w:ind w:right="-259"/>
        <w:spacing w:after="0"/>
        <w:rPr>
          <w:sz w:val="20"/>
          <w:szCs w:val="20"/>
          <w:color w:val="auto"/>
        </w:rPr>
      </w:pPr>
      <w:r>
        <w:rPr>
          <w:rFonts w:ascii="Arial" w:cs="Arial" w:eastAsia="Arial" w:hAnsi="Arial"/>
          <w:sz w:val="18"/>
          <w:szCs w:val="18"/>
          <w:color w:val="auto"/>
        </w:rPr>
        <w:t>CERTIFICATE OF SECRETARY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certifies:</w:t>
      </w:r>
    </w:p>
    <w:p>
      <w:pPr>
        <w:spacing w:after="0" w:line="225" w:lineRule="exact"/>
        <w:rPr>
          <w:sz w:val="20"/>
          <w:szCs w:val="20"/>
          <w:color w:val="auto"/>
        </w:rPr>
      </w:pPr>
    </w:p>
    <w:p>
      <w:pPr>
        <w:ind w:left="2200" w:hanging="247"/>
        <w:spacing w:after="0"/>
        <w:tabs>
          <w:tab w:leader="none" w:pos="2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the undersigned is duly elected and acting Secretary of TG THERAPEUTICS, INC., a Delaware corporation; and</w:t>
      </w:r>
    </w:p>
    <w:p>
      <w:pPr>
        <w:spacing w:after="0" w:line="236" w:lineRule="exact"/>
        <w:rPr>
          <w:rFonts w:ascii="Arial" w:cs="Arial" w:eastAsia="Arial" w:hAnsi="Arial"/>
          <w:sz w:val="17"/>
          <w:szCs w:val="17"/>
          <w:color w:val="auto"/>
        </w:rPr>
      </w:pPr>
    </w:p>
    <w:p>
      <w:pPr>
        <w:ind w:firstLine="1953"/>
        <w:spacing w:after="0" w:line="277" w:lineRule="auto"/>
        <w:tabs>
          <w:tab w:leader="none" w:pos="2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foregoing Bylaws constitute the Bylaws of the Corporation as duly adopted by written consent dated the 2nd day of July, 1993 and as restated this 14th day of May, 2012.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I have hereunto subscribed my name and affixed the seal of the Corporation this 14th day of May, 2012.</w:t>
      </w: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Sean A. Power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Sean A. Power,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125" w:right="499" w:bottom="1440" w:gutter="0" w:footer="0" w:header="0"/>
        </w:sectPr>
      </w:pPr>
    </w:p>
    <w:bookmarkStart w:id="66" w:name="page67"/>
    <w:bookmarkEnd w:id="66"/>
    <w:p>
      <w:pPr>
        <w:jc w:val="center"/>
        <w:ind w:right="640"/>
        <w:spacing w:after="0"/>
        <w:rPr>
          <w:sz w:val="20"/>
          <w:szCs w:val="20"/>
          <w:color w:val="auto"/>
        </w:rPr>
      </w:pPr>
      <w:r>
        <w:rPr>
          <w:rFonts w:ascii="Arial" w:cs="Arial" w:eastAsia="Arial" w:hAnsi="Arial"/>
          <w:sz w:val="18"/>
          <w:szCs w:val="18"/>
          <w:color w:val="auto"/>
        </w:rPr>
        <w:t>CERTIFICATE OF AMENDMENT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OF THE BY-LAWS OF</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December 7, 1995, the By-Laws of this corporation were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2, Section 2.02 of the By-Laws of this corporation was amended in its entirety to read as follows: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2.02 SPECIAL MEETINGS. Special meetings of the stockholders of the Corporation for any purpose or purposes may be called at any time by the Board, or by a committee of the Board which, or officer of the corporation who, has been duly designated by the Board and whose powers and authority, as provided in a resolution of the Board or in the Bylaws, include the power to call such meetings or by one or more stockholders holding shares in the aggregate entitled to cast not less than 50% of the votes at that meeting, but such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(or its successor statute as in effect from time to time hereafter), then such special meeting may also be called by the person or persons, in the manner, at the time and for the purposes so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252095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20" w:right="220" w:hanging="212"/>
        <w:spacing w:after="0" w:line="342" w:lineRule="auto"/>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20" w:right="20" w:hanging="212"/>
        <w:spacing w:after="0" w:line="277"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20" w:right="160" w:hanging="212"/>
        <w:spacing w:after="0" w:line="264"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40" w:right="180" w:hanging="316"/>
        <w:spacing w:after="0" w:line="308" w:lineRule="auto"/>
        <w:tabs>
          <w:tab w:leader="none" w:pos="5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40" w:right="40" w:hanging="316"/>
        <w:spacing w:after="0" w:line="264"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20" w:right="620" w:hanging="212"/>
        <w:spacing w:after="0" w:line="308" w:lineRule="auto"/>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40" w:right="100" w:hanging="316"/>
        <w:spacing w:after="0" w:line="277"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right="160" w:hanging="316"/>
        <w:spacing w:after="0" w:line="277"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14, 2012</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20" w:right="220" w:hanging="212"/>
        <w:spacing w:after="0" w:line="342" w:lineRule="auto"/>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20" w:right="20" w:hanging="212"/>
        <w:spacing w:after="0" w:line="277"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20" w:right="160" w:hanging="212"/>
        <w:spacing w:after="0" w:line="264"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40" w:right="180" w:hanging="316"/>
        <w:spacing w:after="0" w:line="308" w:lineRule="auto"/>
        <w:tabs>
          <w:tab w:leader="none" w:pos="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40" w:right="40" w:hanging="316"/>
        <w:spacing w:after="0" w:line="264" w:lineRule="auto"/>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20" w:right="620" w:hanging="212"/>
        <w:spacing w:after="0" w:line="308" w:lineRule="auto"/>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40" w:right="100" w:hanging="316"/>
        <w:spacing w:after="0" w:line="277" w:lineRule="auto"/>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right="160" w:hanging="316"/>
        <w:spacing w:after="0" w:line="277" w:lineRule="auto"/>
        <w:tabs>
          <w:tab w:leader="none" w:pos="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14, 2012</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2012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800" w:hanging="468"/>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May 14, 2012</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2012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800" w:hanging="468"/>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14, 2012</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Roman"/>
      <w:start w:val="2"/>
    </w:lvl>
  </w:abstractNum>
  <w:abstractNum w:abstractNumId="29">
    <w:nsid w:val="22221A70"/>
    <w:multiLevelType w:val="hybridMultilevel"/>
    <w:lvl w:ilvl="0">
      <w:lvlJc w:val="left"/>
      <w:lvlText w:val="(%1)"/>
      <w:numFmt w:val="lowerLetter"/>
      <w:start w:val="1"/>
    </w:lvl>
    <w:lvl w:ilvl="1">
      <w:lvlJc w:val="left"/>
      <w:lvlText w:val="(%2)"/>
      <w:numFmt w:val="lowerRoman"/>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2019-12-09T12:25:51Z</dcterms:created>
  <dcterms:modified xsi:type="dcterms:W3CDTF">2019-12-09T12:25:51Z</dcterms:modified>
</cp:coreProperties>
</file>