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8" w:lineRule="exact"/>
        <w:rPr>
          <w:sz w:val="24"/>
          <w:szCs w:val="24"/>
          <w:color w:val="auto"/>
        </w:rPr>
      </w:pPr>
    </w:p>
    <w:p>
      <w:pPr>
        <w:ind w:left="4140" w:right="2920" w:hanging="1222"/>
        <w:spacing w:after="0" w:line="301" w:lineRule="auto"/>
        <w:tabs>
          <w:tab w:leader="none" w:pos="310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4140" w:right="2900" w:hanging="1226"/>
        <w:spacing w:after="0" w:line="301" w:lineRule="auto"/>
        <w:tabs>
          <w:tab w:leader="none" w:pos="310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TG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36-3898269</w:t>
      </w:r>
    </w:p>
    <w:p>
      <w:pPr>
        <w:spacing w:after="0" w:line="28"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9" w:lineRule="exact"/>
        <w:rPr>
          <w:sz w:val="24"/>
          <w:szCs w:val="24"/>
          <w:color w:val="auto"/>
        </w:rPr>
      </w:pPr>
    </w:p>
    <w:p>
      <w:pPr>
        <w:sectPr>
          <w:pgSz w:w="11900" w:h="16838" w:orient="portrait"/>
          <w:cols w:equalWidth="0" w:num="2">
            <w:col w:w="6540" w:space="720"/>
            <w:col w:w="3980"/>
          </w:cols>
          <w:pgMar w:left="320" w:top="47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3020 Carrington Mill Blvd, Suite 475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Morrisville, North Carolina 27560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of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(877) 575-8489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5"/>
        </w:trPr>
        <w:tc>
          <w:tcPr>
            <w:tcW w:w="39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196"/>
        </w:trPr>
        <w:tc>
          <w:tcPr>
            <w:tcW w:w="39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Title of Class</w:t>
            </w:r>
          </w:p>
        </w:tc>
        <w:tc>
          <w:tcPr>
            <w:tcW w:w="33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Exchange Name</w:t>
            </w:r>
          </w:p>
        </w:tc>
      </w:tr>
      <w:tr>
        <w:trPr>
          <w:trHeight w:val="179"/>
        </w:trPr>
        <w:tc>
          <w:tcPr>
            <w:tcW w:w="39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par value $0.001</w:t>
            </w:r>
          </w:p>
        </w:tc>
        <w:tc>
          <w:tcPr>
            <w:tcW w:w="33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TGTX</w:t>
            </w:r>
          </w:p>
        </w:tc>
        <w:tc>
          <w:tcPr>
            <w:tcW w:w="39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Nasdaq Capital Market</w:t>
            </w:r>
          </w:p>
        </w:tc>
      </w:tr>
    </w:tbl>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2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type w:val="continuous"/>
        </w:sectPr>
      </w:pPr>
    </w:p>
    <w:p>
      <w:pPr>
        <w:spacing w:after="0" w:line="1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240" w:space="720"/>
            <w:col w:w="1280"/>
          </w:cols>
          <w:pgMar w:left="320" w:top="472" w:right="339" w:bottom="1440" w:gutter="0" w:footer="0" w:header="0"/>
          <w:type w:val="continuous"/>
        </w:sectPr>
      </w:pP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60" w:space="720"/>
            <w:col w:w="1960"/>
          </w:cols>
          <w:pgMar w:left="320" w:top="472" w:right="339" w:bottom="1440" w:gutter="0" w:footer="0" w:header="0"/>
          <w:type w:val="continuous"/>
        </w:sectPr>
      </w:pPr>
    </w:p>
    <w:p>
      <w:pPr>
        <w:spacing w:after="0" w:line="21" w:lineRule="exact"/>
        <w:rPr>
          <w:sz w:val="24"/>
          <w:szCs w:val="24"/>
          <w:color w:val="auto"/>
        </w:rPr>
      </w:pPr>
    </w:p>
    <w:p>
      <w:pPr>
        <w:ind w:left="92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72" w:right="339" w:bottom="1440" w:gutter="0" w:footer="0" w:header="0"/>
          <w:type w:val="continuous"/>
        </w:sectPr>
      </w:pPr>
    </w:p>
    <w:p>
      <w:pPr>
        <w:spacing w:after="0" w:line="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158,665,613 shares of the registrant’s common stock, $0.001 par value, outstanding as of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10"/>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2025</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580" w:type="dxa"/>
            <w:vAlign w:val="bottom"/>
            <w:gridSpan w:val="3"/>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20" w:type="dxa"/>
            <w:vAlign w:val="bottom"/>
            <w:gridSpan w:val="10"/>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40" w:type="dxa"/>
            <w:vAlign w:val="bottom"/>
            <w:gridSpan w:val="9"/>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40" w:type="dxa"/>
            <w:vAlign w:val="bottom"/>
            <w:gridSpan w:val="6"/>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2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4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60" w:type="dxa"/>
            <w:vAlign w:val="bottom"/>
            <w:gridSpan w:val="1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Certain matters discussed in this Quarterly Report on Form 10Q contain forward 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All written or oral forward-looking statements attributable to us are expressly qualified in their entirety by these cautionary statements. Such forward-looking statements include, but are not limited to, statements about:</w:t>
      </w:r>
    </w:p>
    <w:p>
      <w:pPr>
        <w:spacing w:after="0" w:line="151" w:lineRule="exact"/>
        <w:rPr>
          <w:sz w:val="20"/>
          <w:szCs w:val="20"/>
          <w:color w:val="auto"/>
        </w:rPr>
      </w:pPr>
    </w:p>
    <w:p>
      <w:pPr>
        <w:jc w:val="both"/>
        <w:ind w:left="460" w:hanging="452"/>
        <w:spacing w:after="0" w:line="280"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regulatory approvals for our product candidates, including azercabtagene zapreleucel (azer-cel), and our ability to maintain regulatory approval of BRIUMVI® (ublituximab-xiiy) 150 mg/6 mL Injection for intravenous therapy for the treatment of relapsing forms of multiple sclerosis (RMS) or any other future indication in the United States (U.S.), the European Union (EU), the United Kingdom (UK), Switzerland, Australia, and other jurisdictions;</w:t>
      </w:r>
    </w:p>
    <w:p>
      <w:pPr>
        <w:spacing w:after="0" w:line="173" w:lineRule="exact"/>
        <w:rPr>
          <w:rFonts w:ascii="Times New Roman" w:cs="Times New Roman" w:eastAsia="Times New Roman" w:hAnsi="Times New Roman"/>
          <w:sz w:val="16"/>
          <w:szCs w:val="16"/>
          <w:color w:val="auto"/>
        </w:rPr>
      </w:pPr>
    </w:p>
    <w:p>
      <w:pPr>
        <w:ind w:left="46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adapt and expand our commercial infrastructure to successfully, or in the timeframe projected, market and sell BRIUMVI and our other product candidates;</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 reliable supply of our products that meets market demand;</w:t>
      </w:r>
    </w:p>
    <w:p>
      <w:pPr>
        <w:spacing w:after="0" w:line="18" w:lineRule="exact"/>
        <w:rPr>
          <w:rFonts w:ascii="Times New Roman" w:cs="Times New Roman" w:eastAsia="Times New Roman" w:hAnsi="Times New Roman"/>
          <w:sz w:val="16"/>
          <w:szCs w:val="16"/>
          <w:color w:val="auto"/>
        </w:rPr>
      </w:pPr>
    </w:p>
    <w:p>
      <w:pPr>
        <w:ind w:left="46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of the ongoing commercialization and availability of BRIUMVI or any future products or combinations of products, including the anticipated rate and degree of market acceptance and pricing and reimbursement;</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timing, progress and results of our preclinical studies and clinical trials;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advance drug candidates into, and successfully complete, clinical trials;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formulate, manufacture and commercialize our product candidates;</w:t>
      </w:r>
    </w:p>
    <w:p>
      <w:pPr>
        <w:spacing w:after="0" w:line="18" w:lineRule="exact"/>
        <w:rPr>
          <w:rFonts w:ascii="Times New Roman" w:cs="Times New Roman" w:eastAsia="Times New Roman" w:hAnsi="Times New Roman"/>
          <w:sz w:val="16"/>
          <w:szCs w:val="16"/>
          <w:color w:val="auto"/>
        </w:rPr>
      </w:pPr>
    </w:p>
    <w:p>
      <w:pPr>
        <w:ind w:left="460" w:right="2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of our business model and strategic plans for our business and drug candidates;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protection we are able to establish and maintain for intellectual property rights covering our product and product candidates;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estimates of our expenses, future revenues, capital requirements and our needs for additional financing;</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establish collaborations and enter into strategic arrangements, if desired;</w:t>
      </w:r>
    </w:p>
    <w:p>
      <w:pPr>
        <w:spacing w:after="0" w:line="18" w:lineRule="exact"/>
        <w:rPr>
          <w:rFonts w:ascii="Times New Roman" w:cs="Times New Roman" w:eastAsia="Times New Roman" w:hAnsi="Times New Roman"/>
          <w:sz w:val="16"/>
          <w:szCs w:val="16"/>
          <w:color w:val="auto"/>
        </w:rPr>
      </w:pPr>
    </w:p>
    <w:p>
      <w:pPr>
        <w:ind w:left="460" w:right="2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meet any of our financial projections or guidance, including without limitation short and long-term revenue and operating expense projections or guidance and changes to the assumptions underlying those projections or guidance;</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sufficient capital to fund our planned operations;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cash burn management;</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or obtain adequate product liability and other insurance coverage;</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w:t>
      </w:r>
    </w:p>
    <w:p>
      <w:pPr>
        <w:spacing w:after="0" w:line="18" w:lineRule="exact"/>
        <w:rPr>
          <w:rFonts w:ascii="Times New Roman" w:cs="Times New Roman" w:eastAsia="Times New Roman" w:hAnsi="Times New Roman"/>
          <w:sz w:val="16"/>
          <w:szCs w:val="16"/>
          <w:color w:val="auto"/>
        </w:rPr>
      </w:pPr>
    </w:p>
    <w:p>
      <w:pPr>
        <w:ind w:left="460" w:right="20" w:hanging="452"/>
        <w:spacing w:after="0" w:line="183" w:lineRule="auto"/>
        <w:tabs>
          <w:tab w:leader="none" w:pos="46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the effects on our company of future regulatory developments or legislative actions, including changes in healthcare, environmental and other laws and regulations to which we are subject, including tariffs that may apply to products that we purchase or sell;</w:t>
      </w:r>
    </w:p>
    <w:p>
      <w:pPr>
        <w:spacing w:after="0" w:line="1" w:lineRule="exact"/>
        <w:rPr>
          <w:rFonts w:ascii="Times New Roman" w:cs="Times New Roman" w:eastAsia="Times New Roman" w:hAnsi="Times New Roman"/>
          <w:sz w:val="30"/>
          <w:szCs w:val="30"/>
          <w:color w:val="auto"/>
          <w:vertAlign w:val="subscript"/>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prevailing economic, market and business conditions;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attract and hire key personnel;</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position;</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trading price of our common stock;</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cash and other resources; and</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strategy.</w:t>
      </w:r>
    </w:p>
    <w:p>
      <w:pPr>
        <w:spacing w:after="0" w:line="2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color w:val="auto"/>
        </w:rPr>
        <w:t>Forward-looking statements are not guarantees of performance. They involve risks, uncertainties and assumptions. You should refer to the “Risk Factors” section in this Quarterly Report on Form 10-Q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w:t>
      </w:r>
    </w:p>
    <w:p>
      <w:pPr>
        <w:spacing w:after="0" w:line="16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These forward-looking statements speak only as of the date of this Quarterly Report on Form 10-Q.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Quarterly Report on Form 10-Q.</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22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our Annual Report on Form 10-K for the fiscal year ended December 31, 2024, and any other risks described in the other reports and documents that we have filed with the Securities and Exchange Commission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w:t>
      </w:r>
    </w:p>
    <w:p>
      <w:pPr>
        <w:spacing w:after="0" w:line="28" w:lineRule="exact"/>
        <w:rPr>
          <w:sz w:val="20"/>
          <w:szCs w:val="20"/>
          <w:color w:val="auto"/>
        </w:rPr>
      </w:pPr>
    </w:p>
    <w:p>
      <w:pPr>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ind w:left="340" w:right="2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ind w:left="340" w:right="2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BRIUMVI, and any of our product candidates for which we in the future obtain approval, may, after approval, be found to cause undesirable side effects that could result in significant negative consequences following commercialization.</w:t>
      </w:r>
    </w:p>
    <w:p>
      <w:pPr>
        <w:jc w:val="both"/>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commercializing drugs before or more successfully than we do, resulting in the reduction or elimination of our commercial opportunity.</w:t>
      </w:r>
    </w:p>
    <w:p>
      <w:pPr>
        <w:ind w:left="340" w:right="20" w:hanging="332"/>
        <w:spacing w:after="0" w:line="183" w:lineRule="auto"/>
        <w:tabs>
          <w:tab w:leader="none" w:pos="340" w:val="left"/>
        </w:tabs>
        <w:numPr>
          <w:ilvl w:val="0"/>
          <w:numId w:val="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 w:lineRule="exact"/>
        <w:rPr>
          <w:rFonts w:ascii="Times New Roman" w:cs="Times New Roman" w:eastAsia="Times New Roman" w:hAnsi="Times New Roman"/>
          <w:sz w:val="30"/>
          <w:szCs w:val="30"/>
          <w:color w:val="auto"/>
          <w:vertAlign w:val="subscript"/>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lawsuits against us could cause us to incur substantial liabilities and could limit commercialization of any drug candidates that we may develop.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2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operating losses since our inception, and we may incur losses in the future.</w:t>
      </w:r>
    </w:p>
    <w:p>
      <w:pPr>
        <w:spacing w:after="0" w:line="18" w:lineRule="exact"/>
        <w:rPr>
          <w:rFonts w:ascii="Times New Roman" w:cs="Times New Roman" w:eastAsia="Times New Roman" w:hAnsi="Times New Roman"/>
          <w:sz w:val="16"/>
          <w:szCs w:val="16"/>
          <w:color w:val="auto"/>
        </w:rPr>
      </w:pPr>
    </w:p>
    <w:p>
      <w:pPr>
        <w:ind w:left="340" w:right="20" w:hanging="332"/>
        <w:spacing w:after="0" w:line="26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 of indebtedness and debt service obligations could adversely affect our financial condition and may make it more difficult for us to fund our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Drug Development and Regulatory Approval</w:t>
      </w:r>
    </w:p>
    <w:p>
      <w:pPr>
        <w:spacing w:after="0" w:line="28" w:lineRule="exact"/>
        <w:rPr>
          <w:sz w:val="20"/>
          <w:szCs w:val="20"/>
          <w:color w:val="auto"/>
        </w:rPr>
      </w:pPr>
    </w:p>
    <w:p>
      <w:pPr>
        <w:ind w:left="34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jc w:val="both"/>
        <w:ind w:left="34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ind w:left="34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or product candidates may cause undesirable side effects that could delay or prevent their regulatory approval or impact their availability and commercial potential after approval.</w:t>
      </w:r>
    </w:p>
    <w:p>
      <w:pPr>
        <w:ind w:left="340" w:hanging="332"/>
        <w:spacing w:after="0" w:line="28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Governmental Regulation of the Pharmaceutical Industry and Legal Compliance Matters</w:t>
      </w:r>
    </w:p>
    <w:p>
      <w:pPr>
        <w:spacing w:after="0" w:line="28" w:lineRule="exact"/>
        <w:rPr>
          <w:sz w:val="20"/>
          <w:szCs w:val="20"/>
          <w:color w:val="auto"/>
        </w:rPr>
      </w:pPr>
    </w:p>
    <w:p>
      <w:pPr>
        <w:ind w:left="340" w:hanging="332"/>
        <w:spacing w:after="0" w:line="264"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new legislation, regulatory proposals and third-party payor initiatives that may increase our costs of compliance and adversely affect our ability to market our products, obtain collaborators and raise capital.</w:t>
      </w:r>
    </w:p>
    <w:p>
      <w:pPr>
        <w:jc w:val="both"/>
        <w:ind w:left="340" w:hanging="332"/>
        <w:spacing w:after="0" w:line="276"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adequately understand and comply with the local laws and customs as we expand into new international markets, these operations may incur losses or otherwise adversely affect our business and results of operations.</w:t>
      </w:r>
    </w:p>
    <w:p>
      <w:pPr>
        <w:ind w:left="340" w:right="20" w:hanging="332"/>
        <w:spacing w:after="0" w:line="28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ind w:left="34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ind w:left="340" w:right="2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jc w:val="both"/>
        <w:ind w:left="340" w:hanging="332"/>
        <w:spacing w:after="0" w:line="272"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28" w:lineRule="exact"/>
        <w:rPr>
          <w:sz w:val="20"/>
          <w:szCs w:val="20"/>
          <w:color w:val="auto"/>
        </w:rPr>
      </w:pPr>
    </w:p>
    <w:p>
      <w:pPr>
        <w:jc w:val="both"/>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enforce our intellectual property rights throughout the world.</w:t>
      </w:r>
    </w:p>
    <w:p>
      <w:pPr>
        <w:spacing w:after="0" w:line="18"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partners are sued for infringing intellectual property rights of third parties, it will be costly and time consuming, and an unfavorable outcome in that litigation would have a material adverse effect on our business.</w:t>
      </w:r>
    </w:p>
    <w:p>
      <w:pPr>
        <w:ind w:left="340" w:right="2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license certain intellectual property from third parties, and such licenses may not be available or may not be available on commercially reasonable terms.</w:t>
      </w:r>
    </w:p>
    <w:p>
      <w:pPr>
        <w:spacing w:after="0" w:line="20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confidentiality of our trade secrets, our business and competitive position may be harmed.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Organization and Governance, Strategy, Employees and Growth Management</w:t>
      </w:r>
    </w:p>
    <w:p>
      <w:pPr>
        <w:spacing w:after="0" w:line="28" w:lineRule="exact"/>
        <w:rPr>
          <w:sz w:val="20"/>
          <w:szCs w:val="20"/>
          <w:color w:val="auto"/>
        </w:rPr>
      </w:pPr>
    </w:p>
    <w:p>
      <w:pPr>
        <w:ind w:left="340" w:hanging="332"/>
        <w:spacing w:after="0" w:line="264"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attract and keep key management, commercial, and clinical development personnel, we may be unable to successfully develop or commercialize our product and product candidates.</w:t>
      </w: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develop and expand our business, and we may encounter difficulties in managing this development and expansion, which could disrupt our operations.</w:t>
      </w:r>
    </w:p>
    <w:p>
      <w:pPr>
        <w:spacing w:after="0" w:line="18"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executive officers, directors, principal stockholders and their affiliates maintain the ability to exercise significant influence over our company and all matters submitted to stockholders for approval.</w:t>
      </w:r>
    </w:p>
    <w:p>
      <w:pPr>
        <w:jc w:val="both"/>
        <w:ind w:left="340" w:hanging="332"/>
        <w:spacing w:after="0" w:line="288"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6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global economic conditions could adversely affect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 and Being a Publicly Traded Company</w:t>
      </w:r>
    </w:p>
    <w:p>
      <w:pPr>
        <w:spacing w:after="0" w:line="2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is, and we expect it to remain, volatile, which could limit investors’ ability to sell our stock at a profit.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 significant increased costs as a result of operating as a public company, and our management is required to devote substantial time to compliance initiatives.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foregoing is only a summary of some of our risks. These and other risks are discussed more fully in the section entitled “Risk Factors” in Part II, Item 1A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elsewhere in this Quarterly Report on Form 10-Q (our Risk Factors).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129,126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131,106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231,516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155,202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110,458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663,962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702,613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577,690</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58,296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244,429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426,181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355,326</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and 175,000,000 shares authorized, 158,786,335</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156,204,159 shares issued, 158,025,237 and 155,836,256 shares outstanding at June 30, 2025 and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1,794,212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1,760,396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761,098 and 367,903 shares at June 30, 2025 and December 31, 2024, respectively</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(1,495,947)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(1,529,194)</w:t>
            </w: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276,432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702,613</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577,690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38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138,843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258,498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123,084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13,855</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141,148</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262,004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27,464</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70,495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45,306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13,848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43,541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82,232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59,522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55,585</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106,305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64,650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218,539</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137,393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34,843</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43,465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30,920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(2,733)</w:t>
            </w: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(3,141)</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28,187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146,739,833</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144,727,482</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146,708,980</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145,464,255</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162,559,404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159,423,571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162,528,551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145,464,255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151,465,598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$ 1,713,162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(1,552,577)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160,502</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3,304,468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(165,514)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(10,707)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154,607,052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1,723,472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(1,563,284)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160,109</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27,250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332,138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(92,593)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10,445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154,873,847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1,734,052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(1,556,405)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177,568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156,204,159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$ 1,760,396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(8,994)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(1,529,194)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222,364</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2,547,179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(20,052)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(6,123)</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15,967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15,967</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158,736,286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1,776,381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(15,117)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(1,524,134)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237,289</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46,650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176,467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(173,068)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(6,875)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(6,875)</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17,399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17,399</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w:t>
            </w: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28,187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158,786,335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1,794,212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(21,992)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(1,495,947)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276,432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33,247</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(3,828)</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stock compensation expense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18,820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premium (discount) on investment securities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(2,619)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(3,470)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1,278</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leasehold interest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Noncash change in lease liability and right of use asset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equity investments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notes payable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inventory</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(42,710)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(39,491)</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(9,887)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2,540</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(102,331)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(32,515)</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accounts payable and accrued expenses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49,181</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lease liabilities</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(1,193)</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in other current liabilities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3,646</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deferred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(21,279)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(2,671)</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maturity of held-to-maturity securities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144,900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held-to-maturity securities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(145,359)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(151,265)</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equity investments</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(16,926)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(7,490)</w:t>
            </w:r>
          </w:p>
        </w:tc>
      </w:tr>
      <w:tr>
        <w:trPr>
          <w:trHeight w:val="196"/>
        </w:trPr>
        <w:tc>
          <w:tcPr>
            <w:tcW w:w="80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of treasury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r>
      <w:tr>
        <w:trPr>
          <w:trHeight w:val="216"/>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(12,998)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2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(50,750)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(10,016)</w:t>
            </w:r>
          </w:p>
        </w:tc>
      </w:tr>
      <w:tr>
        <w:trPr>
          <w:trHeight w:val="203"/>
        </w:trPr>
        <w:tc>
          <w:tcPr>
            <w:tcW w:w="8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94,218</w:t>
            </w:r>
          </w:p>
        </w:tc>
      </w:tr>
      <w:tr>
        <w:trPr>
          <w:trHeight w:val="196"/>
        </w:trPr>
        <w:tc>
          <w:tcPr>
            <w:tcW w:w="80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130,442</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84,202</w:t>
            </w:r>
          </w:p>
        </w:tc>
      </w:tr>
      <w:tr>
        <w:trPr>
          <w:trHeight w:val="183"/>
        </w:trPr>
        <w:tc>
          <w:tcPr>
            <w:tcW w:w="80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to amounts on condensed consolidated balance sheets: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82,910</w:t>
            </w: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130,442</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84,202</w:t>
            </w:r>
          </w:p>
        </w:tc>
      </w:tr>
      <w:tr>
        <w:trPr>
          <w:trHeight w:val="183"/>
        </w:trPr>
        <w:tc>
          <w:tcPr>
            <w:tcW w:w="80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20" w:type="dxa"/>
            <w:vAlign w:val="bottom"/>
          </w:tcPr>
          <w:p>
            <w:pPr>
              <w:spacing w:after="0"/>
              <w:rPr>
                <w:sz w:val="17"/>
                <w:szCs w:val="17"/>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4,936</w:t>
            </w: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TG,</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the Medicines and Healthcare Products Regulatory Agency (MHRA), Swissmedic, and Australia’s Therapeutic Goods Administration (TGA) for BRIUMVI to treat adult patients with RMS who have active disease defined by clinical or imaging features. We also actively evaluate complementary products, technologies and companies for in-licensing, partnership, acquisition and/or investment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2024. The accompanying condensed balance sheet as of December 31, 2024 has been derived from these statements. The results of operations for the three and six months ended June 30, 2025 are not necessarily indicative of the results that may be expected for the entire fiscal year or any other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recently began generating net income, we have incurred significant operating losses since our inception. BRIUMVI first became commercially available in the United States in January of 2023, and ex-US through our partner Neuraxpharm, in February 2024. Even with the commercialization of BRIUMVI and the possible future commercialization of our other drug candidates, we may not realize continued profitability. During the six months ended June 30, 2025, we generated $262.0 million in revenue. Historically, substantially all our operating losses have resulted from costs incurred in connection with our research and development programs and from selling, general and administrative costs associated with our operations, including our commercialization activities to date. Our future operating results, profitability and other financial results may fluctuate from period to period, and we will need to generate significant revenues to maintain profitability and/or positive cash flow on a sustained basis. As of June 30, 2025, we have an accumulated deficit of approximately $1.5 billion.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we had $278.9 million in cash and cash equivalents, and investment securities. We anticipate that our cash, cash equivalents, and investment securities, combined with projected future revenues will provide sufficient liquidity for more than a twelve-month period from the date of filing this Quarterly Report on Form 10-Q.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 Organization and Summary of Significant Accounting Policies to the audited consolidated financial statements included in our Annual Report on Form 10-K for the year ended December 31, 2024, except as updated herein or as it relates to revenue recognition, accounts receivable, inventory, cost of revenue, equity securities, and the adoption of new accounting standards during the six months ended June 30, 2025. Management does not believe that any recently issued, but not yet effective, accounting pronouncements, if currently adopted, would have a material effect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Product Revenue, Net:</w:t>
      </w:r>
      <w:r>
        <w:rPr>
          <w:rFonts w:ascii="Times New Roman" w:cs="Times New Roman" w:eastAsia="Times New Roman" w:hAnsi="Times New Roman"/>
          <w:sz w:val="18"/>
          <w:szCs w:val="18"/>
          <w:color w:val="auto"/>
        </w:rPr>
        <w:t xml:space="preserve">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Chargebacks</w:t>
      </w:r>
      <w:r>
        <w:rPr>
          <w:rFonts w:ascii="Times New Roman" w:cs="Times New Roman" w:eastAsia="Times New Roman" w:hAnsi="Times New Roman"/>
          <w:sz w:val="18"/>
          <w:szCs w:val="18"/>
          <w:color w:val="auto"/>
        </w:rPr>
        <w:t>: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Government Rebates</w:t>
      </w:r>
      <w:r>
        <w:rPr>
          <w:rFonts w:ascii="Times New Roman" w:cs="Times New Roman" w:eastAsia="Times New Roman" w:hAnsi="Times New Roman"/>
          <w:sz w:val="18"/>
          <w:szCs w:val="18"/>
          <w:color w:val="auto"/>
        </w:rPr>
        <w:t>: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Commercial Payer Rebates</w:t>
      </w:r>
      <w:r>
        <w:rPr>
          <w:rFonts w:ascii="Times New Roman" w:cs="Times New Roman" w:eastAsia="Times New Roman" w:hAnsi="Times New Roman"/>
          <w:sz w:val="18"/>
          <w:szCs w:val="18"/>
          <w:color w:val="auto"/>
        </w:rPr>
        <w:t>: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Trade Discounts and Allowances</w:t>
      </w:r>
      <w:r>
        <w:rPr>
          <w:rFonts w:ascii="Times New Roman" w:cs="Times New Roman" w:eastAsia="Times New Roman" w:hAnsi="Times New Roman"/>
          <w:sz w:val="18"/>
          <w:szCs w:val="18"/>
          <w:color w:val="auto"/>
        </w:rPr>
        <w:t>: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Product Returns</w:t>
      </w:r>
      <w:r>
        <w:rPr>
          <w:rFonts w:ascii="Times New Roman" w:cs="Times New Roman" w:eastAsia="Times New Roman" w:hAnsi="Times New Roman"/>
          <w:sz w:val="18"/>
          <w:szCs w:val="18"/>
          <w:color w:val="auto"/>
        </w:rPr>
        <w:t>: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commercial products sold for credit under the following circumstances:</w:t>
      </w:r>
    </w:p>
    <w:p>
      <w:pPr>
        <w:spacing w:after="0" w:line="162" w:lineRule="exact"/>
        <w:rPr>
          <w:sz w:val="20"/>
          <w:szCs w:val="20"/>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left="180" w:right="20" w:firstLine="494"/>
        <w:spacing w:after="0" w:line="282" w:lineRule="auto"/>
        <w:tabs>
          <w:tab w:leader="none" w:pos="8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the Company has experienced an immaterial amount of product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Co-Payment Assistance Programs</w:t>
      </w:r>
      <w:r>
        <w:rPr>
          <w:rFonts w:ascii="Times New Roman" w:cs="Times New Roman" w:eastAsia="Times New Roman" w:hAnsi="Times New Roman"/>
          <w:sz w:val="18"/>
          <w:szCs w:val="18"/>
          <w:color w:val="auto"/>
        </w:rPr>
        <w:t>: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Licenses of intellectual property</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Sales-based royalties:</w:t>
      </w:r>
      <w:r>
        <w:rPr>
          <w:rFonts w:ascii="Times New Roman" w:cs="Times New Roman" w:eastAsia="Times New Roman" w:hAnsi="Times New Roman"/>
          <w:sz w:val="18"/>
          <w:szCs w:val="18"/>
          <w:color w:val="auto"/>
        </w:rPr>
        <w:t xml:space="preserve">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Optional Purchases:</w:t>
      </w:r>
      <w:r>
        <w:rPr>
          <w:rFonts w:ascii="Times New Roman" w:cs="Times New Roman" w:eastAsia="Times New Roman" w:hAnsi="Times New Roman"/>
          <w:sz w:val="18"/>
          <w:szCs w:val="18"/>
          <w:color w:val="auto"/>
        </w:rPr>
        <w:t xml:space="preserve">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June 30, 2025, we determined an allowance for expected credit losses related to outstanding accounts receivable was currently not required as they relate to large established credit worthy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consists primarily of royalties owed to our licensing partner for BRIUMVI sales, third-party manufacturing costs, distribution and overhead. Cost of revenue may 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not reflected in the cost of revenue. Therefore, a portion of costs incurred to produce BRIUMVI that was sold through the middle of the quarter ended March 31, 2025 were previously expensed as research and development and are not reflected in our cost of revenue. Cost as it relates to providing regulatory support and development services to our ex-US commercialization partner Neuraxpharm is included in our cost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We will classify inventory costs as long-term, in other assets in our consolidated balance sheets, when we expect to utilize the inventory beyond our normal operating cycle. 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 Fair Value Measures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share of our common stock is calculated by dividing net income (loss) applicable to the common stock by the weighted-average number of shares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as a result of the Company’s net loss in the condensed consolidated statement of operations during the six months ended June 30, 2024, basic and diluted net loss per share were the same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all other periods presented, the Company reported net income in the condensed consolidated statement of operations and as such presents the dilutive effect of potential common shares in the computation of basic and diluted earnings per share in the table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potentially dilutive securities at June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issuable upon note conversion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r>
      <w:tr>
        <w:trPr>
          <w:trHeight w:val="191"/>
        </w:trPr>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11,270,068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9,872,652</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4,362,316</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4,667,279</w:t>
            </w: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165,214</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312,272</w:t>
            </w:r>
          </w:p>
        </w:tc>
      </w:tr>
      <w:tr>
        <w:trPr>
          <w:trHeight w:val="234"/>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21,973</w:t>
            </w: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21,434</w:t>
            </w: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15,819,571</w:t>
            </w:r>
          </w:p>
        </w:tc>
        <w:tc>
          <w:tcPr>
            <w:tcW w:w="1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14,873,637</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5980" w:type="dxa"/>
            <w:vAlign w:val="bottom"/>
          </w:tcPr>
          <w:p>
            <w:pPr>
              <w:spacing w:after="0"/>
              <w:rPr>
                <w:sz w:val="24"/>
                <w:szCs w:val="24"/>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1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146,739,833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144,727,482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146,708,980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145,464,255</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15,819,571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14,696,089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15,819,571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162,559,404</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159,423,571</w:t>
            </w:r>
          </w:p>
        </w:tc>
        <w:tc>
          <w:tcPr>
            <w:tcW w:w="2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162,528,551</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145,464,255</w:t>
            </w:r>
          </w:p>
        </w:tc>
        <w:tc>
          <w:tcPr>
            <w:tcW w:w="10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that engage in business activities from which it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recognize revenues and incur expenses, and for which discrete financial information is available that is evaluated regularly by the chief operating decision maker (“CODM”) to allocate resources and assess performance.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CODM, which is its chief executive officer, who reviews and evaluates consolidated net income (loss) for purposes of assessing performance, making operating decisions, allocating resources and planning and forecasting for future periods. The measure of segment assets is reported on the condensed consolidated balance sheet as total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Note 1 - Organization and Summary of Significant Accounting Policies, revenues are recognized under guidance within ASC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138,843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13,855</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141,148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262,004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our only source of product revenue has been from U.S. sales of BRIUMVI, which we began shipping to our customers in January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gross-to-net accruals of approximately $16.1 million and $33.3 million are included on the condensed consolidated balance sheets within accounts receivable, net, and accounts payable and accrued expenses,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sells BRIUMVI through specialty distributors. The following table summarizes the customers that represent 10% or greater of gross product revenue for the three and six months ended June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7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8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customers with amounts due that represent 10% or greater of the accounts receivable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product sales as of June 30,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9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Milestone, Royalty and Other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 milestone, royalty and other revenue consist of recognition of consideration received under the ex-U.S. commercialization agreement (the Commercialization Agreement) with Neuraxpharm. Refer to Note 9 - License Agreements for a description of the Commercialization Agreement and for further information of the accounting in accordance with ASC 606.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short-term and long-term investment securities as of June 30, 2025 and December 31, 2024 are classified as held-to-maturity. Held-to-maturity investments are recorded at amortized cost.</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short-term and long-term investment securities at June 30, 2025 and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9"/>
                <w:szCs w:val="19"/>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178"/>
        </w:trPr>
        <w:tc>
          <w:tcPr>
            <w:tcW w:w="59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Short-term obligations of domestic governmental agencies (maturing between</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 and June 2026) (held-to-maturity)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122,744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122,725</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obligations of domestic governmental agencies (maturing between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2026 and May 2027) (held-to-maturity)</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26,990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obligations of domestic governmental agencies (maturing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2025 and December 2025) (held-to-maturity)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short-term investment securities</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r>
      <w:tr>
        <w:trPr>
          <w:trHeight w:val="41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131,106</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131,170</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131,106</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131,170</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20" w:space="360"/>
            <w:col w:w="5260"/>
          </w:cols>
          <w:pgMar w:left="320" w:top="121" w:right="339" w:bottom="1440" w:gutter="0" w:footer="0" w:header="0"/>
          <w:type w:val="continuous"/>
        </w:sectPr>
      </w:pPr>
    </w:p>
    <w:p>
      <w:pPr>
        <w:jc w:val="both"/>
        <w:ind w:right="720" w:firstLine="648"/>
        <w:spacing w:after="0" w:line="266" w:lineRule="auto"/>
        <w:rPr>
          <w:sz w:val="20"/>
          <w:szCs w:val="20"/>
          <w:color w:val="auto"/>
        </w:rPr>
      </w:pPr>
      <w:r>
        <w:rPr>
          <w:rFonts w:ascii="Times New Roman" w:cs="Times New Roman" w:eastAsia="Times New Roman" w:hAnsi="Times New Roman"/>
          <w:sz w:val="18"/>
          <w:szCs w:val="18"/>
          <w:color w:val="auto"/>
        </w:rPr>
        <w:t>Included in long-term investments on the condensed consolidated balance sheet, are equity securities as a result of the Precision License Agreement. See Note 5 - Fair Value Measurements for a description of the Precision License Agreement and for further information on our equity investments.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inventory as of June 30,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68,369</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13,938</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2025, our inventory was solely related to BRIUMVI, which was approved by the FDA in December 2022, at which time we began to capitalize costs to manufacture BRIUMVI. Prior to the FDA approval of BRIUMVI, all costs related to the manufacturing of BRIUMVI and related material were charged to research and development expense in the period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 inventory levels to support BRIUMVI forecasted sales, to ensure appropriate safety stock levels, and meet our commitment to supply BRIUMVI to Neuraxpharm related to the Commercialization Agreement. As a result of being in the early stages of the BRIUMVI product launch, the Company is continuing to evaluate the length of its operating cycle.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our inventory levels for excess quantities and obsolescence (expiration), taking into account factors such as historical and anticipated future sales compared to quantities on hand and the remaining shelf-life. At June 30, 2025, we determined that a reserve related to BRIUMVI inventory for excess quantities and obsolescence is not required. In addition, since FDA approval of BRIUMVI, the Company has not recorded any inventory write downs.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United States and other countries have recently imposed, and may continue to impose, new tariffs. Tariffs are an inventoriable cost, and our sole supplier of bulk drug substance is located outside of the U.S. While the tariffs imposed to date have not resulted in a material impact on our business and the results of operations, we continue to evaluate their impact on our business and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and Forward Contract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azer-cel, for the treatment of autoimmune and other non-oncology diseases and conditions.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execution of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implemented a 30-to-1 reverse stock split in February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7, 2025, the Company made a one-time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thirty (30) trading days preceding the payment date. The Deferred Precision Stock Payment which was classified as a forward contract liability in Other Current Liabilities as of December 31, 2024 was then reclassed to equity investments at its fair market value of $1.4 million on the date the payment was made to Precision.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Precision shares held are recognized at fair market value as of June 30, 2025, and are classified as an equity investment and included within long-term investments on the condensed consolidated balance sheet as of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Precision License Agreement also includes a milestone payment upon the achievement of a clinical and regulatory milestone event (Milestone Event 1). Milestone Event 1 requires the Company to make a one-time payment to Precision equal to $2.3 million (the Milestone 1 Precision Stock Payment). Upon receipt of the payment, Precision will issue to the Company shares of Precision common stock (rounded down to the nearest whole share) calculated by dividing the Milestone 1 Precision Stock Payment by 200% of the weighted average share price of the Precision common stock for the thirty</w:t>
      </w:r>
    </w:p>
    <w:p>
      <w:pPr>
        <w:spacing w:after="0" w:line="3" w:lineRule="exact"/>
        <w:rPr>
          <w:sz w:val="20"/>
          <w:szCs w:val="20"/>
          <w:color w:val="auto"/>
        </w:rPr>
      </w:pPr>
    </w:p>
    <w:p>
      <w:pPr>
        <w:jc w:val="both"/>
        <w:ind w:firstLine="8"/>
        <w:spacing w:after="0" w:line="253" w:lineRule="auto"/>
        <w:tabs>
          <w:tab w:leader="none" w:pos="3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preceding the achievement of Milestone Event 1. While Milestone Event 1 has not been achieved to date, it was recorded to research and development License Fees as part of the cost of executing the Precision License Agreement, and is classified as a forward contract liability recognized at its fair market value of $1.4 million in Other Current Liabilities on the Company’s condensed consolidated balance sheet as of June 30, 2025, in accordance with ASC 321.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 The 5% Notes are recognized in other current liabilities on the Company’s consolidated balance sheet as of June 30,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June 30, 2025 and December 31, 2024, the fair values of cash and cash equivalents, restricted cash, accounts receivable, and loan and interest payable approximate their carrying value. The carrying value of the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investments classified as Level 1 were valued using their respective closing stock price on the Nasdaq Stock Market. We did not experience any transfers of financial instruments between the fair value hierarchy levels during the three months ended June 30, 2025. Our forward contract liabilities classified as Level 2 were valued using Precision’s closing stock price on the Nasdaq Stock Market and our assessment of the probability of achieving Milestone Event 1. Our Level 3 instrument amounts represent the fair value of the 5% Notes and related accrued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gridSpan w:val="11"/>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June 30, 2025</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gridSpan w:val="11"/>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reported in other (income) expense in the accompanying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190,000,000 shares of $0.001 par value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Treasury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2024, we announced that our Board of Directors (the Board) had authorized and approved a share repurchase program for up to $100 million of the currently outstanding shares of the Company’s common stock. Under the share repurchase program, we intend to repurchase shares through open market purchases, privately-negotiated transactions, block purchases or other methods in accordance with applicable federal securities laws, including Rule 10b-18 of the Securities Exchange Act of 1934, as amended (the Exchange Act). For the three months ended June 30, 2025, the Company repurchased 193,500 shares of common stock at a cost of $6.9 million. As of June 30, 2025, 761,098 shares of common stock are being held in Treasury, at a cost of approximately $22.0 million, representing the fair market value on the date the shares were surrendered to the Company, mainly as part of our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June 30, 2025, 3,283,775 shares of restricted stock and 2,099,816 options were outstanding, and no additional shares were available to be issued under the 2012 Incentive Plan.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On June 12, 2025, the 2022 Incentive Plan was amended to increase the shares available to be issued from 17,000,000 to 22,000,000 (the 2022 Incentive Plan Amendment). As of June 30, 2025, 9,486,324 shares of restricted stock and 2,262,500 options were outstanding, and up to an additional 6,567,583 shares were available to be issued under the 2022 Incentive Plan. The 2022 Incentive Plan is currently the Company's only active incentive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$16.4 million and $9.5 million for the three months ended June 30, 2025 and 2024, respectively, and $31.3 million and $18.8 million for the six months ended June 30, 2025 and 2024. The $16.4 million and the $31.3 million for the three and six months ended June 30, 2025, respectively, is net of $1.0 million and $2.0 million of stock-based compensation expense that was capitalized into inventory,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for the six months ended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Restricted Stock</w:t>
            </w:r>
          </w:p>
        </w:tc>
      </w:tr>
      <w:tr>
        <w:trPr>
          <w:trHeight w:val="201"/>
        </w:trPr>
        <w:tc>
          <w:tcPr>
            <w:tcW w:w="8000" w:type="dxa"/>
            <w:vAlign w:val="bottom"/>
          </w:tcPr>
          <w:p>
            <w:pPr>
              <w:spacing w:after="0"/>
              <w:rPr>
                <w:sz w:val="17"/>
                <w:szCs w:val="17"/>
                <w:color w:val="auto"/>
              </w:rPr>
            </w:pPr>
          </w:p>
        </w:tc>
        <w:tc>
          <w:tcPr>
            <w:tcW w:w="1680" w:type="dxa"/>
            <w:vAlign w:val="bottom"/>
            <w:tcBorders>
              <w:top w:val="single" w:sz="8" w:color="auto"/>
            </w:tcBorders>
            <w:gridSpan w:val="2"/>
          </w:tcPr>
          <w:p>
            <w:pPr>
              <w:jc w:val="right"/>
              <w:ind w:right="62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Borders>
              <w:top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11,843,586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9,639,068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2,723,646</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3,636,606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(1,604,013)</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(1,644,884)</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(193,120)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(258,107)</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12,770,099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11,372,683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66"/>
        <w:spacing w:after="0" w:line="252" w:lineRule="auto"/>
        <w:rPr>
          <w:sz w:val="20"/>
          <w:szCs w:val="20"/>
          <w:color w:val="auto"/>
        </w:rPr>
      </w:pPr>
      <w:r>
        <w:rPr>
          <w:rFonts w:ascii="Times New Roman" w:cs="Times New Roman" w:eastAsia="Times New Roman" w:hAnsi="Times New Roman"/>
          <w:sz w:val="18"/>
          <w:szCs w:val="18"/>
          <w:color w:val="auto"/>
        </w:rPr>
        <w:t>Total stock-based compensation expense associated with restricted stock grants was $16.0 million and $8.7 million during the three months ended June 30, 2025 and 2024, respectively, and is net of $1.0 million and $1.0 million of stock-based compensation expense that was capitalized into inventory during each of the respective periods. Total stock-based compensation expense associated with restricted stock grants was $30.5 million and $17.2 million for the six months ended June 30, 2025 and 2024, respectively, and is net of $2.0 million and $1.9 million of stock-based compensation expense that was capitalized into inventory during each of the respective periods. As of June 30, 2025, there was approximately $68.3 million of total unrecognized compensation expense related to unvested time-based restricted stock, which is expected to be recognized over a weighted-average period of 3.0 years. This amount does not include, as of June 30, 2025, 1,050,000 shares of restricted stock outstanding which are milestone-based and vest upon certain corporate milestones, and 3,817,678 shares of restricted stock that vest based on market conditions. Milestone-based noncash compensation expense will be measured and recorded if and when a milestone becomes probable. Equity awards with market conditions are valued using advanced option-pricing models, such as a Monte Carlo simulation. The effect of a market condition is reflected in the award’s fair value on the grant date. Stock-based compensation expense for an award that has a market condition is recognized over the requisite service period derived from the award valuation on the grant date, even if the market condition is never satisfied. As of June 30, 2025, there was approximately $20.4 million of total unrecognized compensation expense related to unvested milestone-based restricted stock. As of June 30, 2025, there was approximately $46.1 million of total unrecognized compensation expense related to restricted stock with market conditions, which is expected to be recognized over a weighted-average period of 2.3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for the six months ended June 30,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spacing w:after="0"/>
              <w:rPr>
                <w:sz w:val="20"/>
                <w:szCs w:val="20"/>
                <w:color w:val="auto"/>
              </w:rPr>
            </w:pPr>
          </w:p>
        </w:tc>
        <w:tc>
          <w:tcPr>
            <w:tcW w:w="3240" w:type="dxa"/>
            <w:vAlign w:val="bottom"/>
            <w:gridSpan w:val="4"/>
            <w:vMerge w:val="restart"/>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80" w:type="dxa"/>
            <w:vAlign w:val="bottom"/>
            <w:tcBorders>
              <w:top w:val="single" w:sz="8" w:color="auto"/>
            </w:tcBorders>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beginning of year</w:t>
            </w:r>
          </w:p>
        </w:tc>
        <w:tc>
          <w:tcPr>
            <w:tcW w:w="5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4,470,216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4,697,029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5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(51,650)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3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(56,250)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36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4,362,316</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4,667,279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stock based compensation expense associated with stock options was approximately $0.4 million and $0.8 million during the three months ended June 30, 2025 and 2024, respectively, and $0.8 million and $1.6 million for the six months ended June 30, 2025 and 2024, respectively. As of June 30, 2025, there was approximately $1.1 million of total unrecognized compensation cost related to unvested time-based stock options, which is expected to be recognized over a weighted-average period of 0.8 years. As of June 30, 2025, stock options outstanding include options granted to both employees and non-employees which are both time-based and milestone-based. Stock-based compensation for milestone-based options will be recorded if and when a milestone becomes probable.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outstanding warrants as of June 30, 2025, are warrants issued to Hercules Capital, Inc. (Hercules) as part of the prior loan agreements to purchase 115,042 and 50,172 shares of our common stock with exercise prices of $17.95 and $14.70, respectively. Please see Note 7 for more information on our loan agreement with Hercules.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LOAN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a term loan facility of $250 million (the Initial Term Loan) with Blue Owl Capital Corporation, as administrative agent (the Administrative Agent), HealthCare Royalty and Blue Owl Capital under the Financing Agreement (as defined below). The Company repaid all outstanding principal and accrued interest and fees under the prior loan agreement with Hercules (such repayment, the Refinancing), which Refinancing was funded with the proceeds of the Initial Term Loan. The agreement with Hercules was effectively terminated, and all guarantees and liens granted thereunder were released upon the consummation of the Refinancing.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(the Financing Agreement), which provides for (i) a single draw of the Initial Term Loan on the New Closing Date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Term Loan is secured by a lien on substantially all of the assets of the Company and certain subsidiaries of the Company as guarantors and contains customary covenants and representations. The events of default under the Financing Agreement are customary for financings of this type. If an event of default occurs, the Administrative Agent is entitled to take enforcement action, including acceleration of amounts due under the Financing Agreement. The Company capitalized third party fees from the Initial Term Loan to debt issuance costs and capitalized the facility fee incurred with the Administrative Agent as part of the Initial Term Loan to debt discount.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$0.6 million and $1.3 million for the six months ended June 30, 2025 and 2024, respectively. At June 30, 2025, the remaining unamortized balance of debt issuance and discount costs was approximately $5.0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payable balance of the Initial Term Loan as of June 30, 2025, is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The Initial Term</w:t>
            </w: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Initial Term</w:t>
            </w:r>
          </w:p>
        </w:tc>
        <w:tc>
          <w:tcPr>
            <w:tcW w:w="0" w:type="dxa"/>
            <w:vAlign w:val="bottom"/>
          </w:tcPr>
          <w:p>
            <w:pPr>
              <w:spacing w:after="0"/>
              <w:rPr>
                <w:sz w:val="1"/>
                <w:szCs w:val="1"/>
                <w:color w:val="auto"/>
              </w:rPr>
            </w:pPr>
          </w:p>
        </w:tc>
      </w:tr>
      <w:tr>
        <w:trPr>
          <w:trHeight w:val="238"/>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0" w:type="dxa"/>
            <w:vAlign w:val="bottom"/>
          </w:tcPr>
          <w:p>
            <w:pPr>
              <w:spacing w:after="0"/>
              <w:rPr>
                <w:sz w:val="1"/>
                <w:szCs w:val="1"/>
                <w:color w:val="auto"/>
              </w:rPr>
            </w:pPr>
          </w:p>
        </w:tc>
      </w:tr>
      <w:tr>
        <w:trPr>
          <w:trHeight w:val="201"/>
        </w:trPr>
        <w:tc>
          <w:tcPr>
            <w:tcW w:w="568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In connection with the Office Agreement, we have pledged $1.3 million to secure a line of credit as a security deposit for the Office Agreement, which has been recorded as restricted cash in the accompanying condensed consolidated balance sheets.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incurred rental expense of less than $0.1 million for the six months ended June 30,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present values of our lease liability and corresponding Right-of-Use (ROU) asset are $8.7 million and $6.7 million, respectively, as of June 30, 2025. Our leases have remaining lease terms of two to six years. One lease has a renewal option to extend the lease for an additional term of two years. The following components of lease expense are included in the Company’s condensed consolidated statements of operations for the three and six months ended June 30,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8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weighted-average remaining operating lease term was 5.2 years and the weighted-average discount rate for operating leases was 10.07%. Cash paid for amounts included in the measurement of operating lease liabilities during the six months ended June 30, 2025 was $1.1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5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4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5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8,679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1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of June 30, 2025, the maturities of lease liabilities were as follows: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2030</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18"/>
                <w:szCs w:val="18"/>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11,573</w:t>
            </w: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(2,894)</w:t>
            </w:r>
          </w:p>
        </w:tc>
      </w:tr>
      <w:tr>
        <w:trPr>
          <w:trHeight w:val="249"/>
        </w:trPr>
        <w:tc>
          <w:tcPr>
            <w:tcW w:w="7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From the inception of the LFB License Agreement, we have incurred expenses of approximately $31.0 million related to the achievement of certain milestones of the LFB License Agreement. No further milestone payments remain payable under the LFB License Agreement. ​</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three and six months ended June 30, 2025, the Company recorded $14.2 million and $26.2 million, respectively, related to the worldwide royalty due under the LFB License Agreement in cost of revenue. As of June 30, 2025, $14.2 million in royalties payable under the LFB License Agreement remain outstanding in accounts payable and accrued expenses.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fifteen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2025 and 2024. At June 30, 2025 and December 31, 2024, we have deferred revenue of approximately $0.1 million and $0.2 million, respectively, associated with this $2.0 million payment.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Neuraxpharm Commercialization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one-time, non-refundable payment of $140.0 million upon contract execution and a $12.5 million milestone payment upon the first key market commercial launch in the EU. The Company is eligible to receive up to an additional $492.5 million in milestone-based payments on achievement of certain launch and commercial milestones. In addition, TG will receive tiered double-digit royalties on net product sales up to 30%. During the three and six months ended June 30, 2025 and 2024, royalty revenue of $1.1 million and $1.7 million, respectively, was recognized.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 The performance obligation related to the Supply of Licensed Product is met when control of the product passes to Neuraxpharm. The consideration received from Neuraxpharm for the supply of BRIUMVI will be recognized by the Company as a component of product revenue, net. As of June 30, 2025, the Company has an unconditional right to receive $1.5 million in consideration from Neuraxpharm related to the performance obligation to supply BRIUMVI, that is recorded as accounts receivable, net. The related performance obligation to supply BRIUMVI has not yet been satisfied, and therefore, as of June 30, 2025, $25.5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Azer-cel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at a price of $0.77 per share. In January 2025, within 12 months of the Precision License Agreement, the Company made a deferred payment of $2.5 million to Precision consisting of an equity investment in Precision’s common stock at a 100% premium to the 30-day volume-weighted average price (the 30-day VWAP) prior to purchase. Upon receipt of such payment, Precision issued to the Company 220,712 shares of Precision common stock.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As of June 30, 2025, none of the near-term clinical milestones have been achieved.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MaxCyte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10, 2025, the Company entered into the Strategic Platform License Agreement with MaxCyte, Inc. which granted a non-exclusive, non-transferable license for the Company to use MaxCyte’s cell loading technology (“licensed technology”) to develop and commercialize products for the treatment of autoimmune and other non-oncology diseases and conditions, including azer-cel, which was licensed by the Company from Precision in January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MaxCyte, Inc. is eligible to receive royalty payments on net sales of approved products developed with the licensed technology at a royalty rate in the low-single digits. Upon the achievement of the first dosing of a human subject in a pivotal trial for a product developed with the licensed technology the Company will make a $1.0 million payment to MaxCyte, Inc. MaxCyte, Inc. will also be eligible to receive up to $13 million in additional milestone payments based on the achievement of certain regulatory marketing approvals. The Company is also required to pay an annual licensing fee of approximately $0.2 million for access to the licensed technology.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Strategic Platform License Agreement will expire on the ten-year anniversary if the Company has not achieved at least one of the milestone events prior to that date. The Company will have the option, at its sole discretion, to extend the term of the Strategic Platform License Agreement beyond the initial ten years for successive renewal terms of five years each, as long as all applicable licensing fees and milestone payments have been paid timely and the Company provides MaxCyte, Inc. at least ninety days written notice prior to the expiration of the then-current term.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$0.8 million and $0.9 million for the six months ended June 30, 2025 and 2024, respectively, primarily related to shared personnel. Mr. Weiss, our Chairman and Chief Executive Officer, also serves as a director and Executive Vice Chairman, Strategic Development of FBIO.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recorded income tax expense of $3.1 million and income tax benefit of $0.3 million, respectively. The effective tax rates for the six months ended June 30, 2025 and 2024 were 8.6% and 7.2%, respectively. For the six months ended June 30, 2025, the effective tax rate differs from the federal statutory rate primarily due state income taxes, research and development tax credit and change in valuation allowance. For the six months ended June 30, 2024, the effective tax rate differs from the federal statutory rate primarily due to state income taxes and research and development credit.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income tax expense of $2.7 million and income tax benefit of $0.3 million, respectively. The effective tax rates for the three months ended June 30, 2025 and 2024 were 8.8% and (5.0)%, respectively. For the three months ended June 30, 2025 and 2024, the effective tax rate differs from the federal statutory rate primarily due state income taxes, research and development tax credit, non-deductible officer compensation and change in valuation allowance.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includes significant changes to federal tax law and other regulatory provisions that may impact the Company. As the legislation was not signed into law until the Company’s third quarter of 2025, the impacts are not included in its operating results for the three and six months ended June 30, 2025. The Company plans to evaluate the impact of the newly enacted tax law, including its impact on the Company’s forecasted annual effective tax rate in subsequent periods as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the Medicines and Healthcare Products Regulatory Agency (MHRA), Swissmedic, and Australia’s Therapeutic Goods Administration (TGA) for BRIUMVI to treat adult patients with RMS who have active disease defined by clinical or imaging features. We also actively evaluate complementary products, technologies and companies for in-licensing, partnership, acquisition and/or investment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July 2025.</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Stage/Status of Development</w:t>
            </w:r>
          </w:p>
        </w:tc>
      </w:tr>
      <w:tr>
        <w:trPr>
          <w:trHeight w:val="255"/>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r>
      <w:tr>
        <w:trPr>
          <w:trHeight w:val="193"/>
        </w:trPr>
        <w:tc>
          <w:tcPr>
            <w:tcW w:w="38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IV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r>
      <w:tr>
        <w:trPr>
          <w:trHeight w:val="191"/>
        </w:trPr>
        <w:tc>
          <w:tcPr>
            <w:tcW w:w="3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Ublituximab Subcutaneous (anti-CD20 mAb)</w:t>
            </w:r>
          </w:p>
        </w:tc>
        <w:tc>
          <w:tcPr>
            <w:tcW w:w="44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Phase 3 pending initiation of</w:t>
            </w:r>
          </w:p>
        </w:tc>
      </w:tr>
      <w:tr>
        <w:trPr>
          <w:trHeight w:val="234"/>
        </w:trPr>
        <w:tc>
          <w:tcPr>
            <w:tcW w:w="3880" w:type="dxa"/>
            <w:vAlign w:val="bottom"/>
            <w:tcBorders>
              <w:left w:val="single" w:sz="8" w:color="auto"/>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patient enrollment</w:t>
            </w: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Azer-cel</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Progressive Forms of Multiple Sclerosis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187"/>
        </w:trPr>
        <w:tc>
          <w:tcPr>
            <w:tcW w:w="38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tc>
        <w:tc>
          <w:tcPr>
            <w:tcW w:w="44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BRIUMVI is an anti-CD20 monoclonal antibody that can be administered to adults with RMS in a one-hour infusion every 24 weeks, following the starting dose. BRIUMVI received approval from the FDA primarily based on results from the ULTIMATE I and ULTIMATE II Phase 3 trials. Each trial was an independent global, randomized, multi-center, double-blinded, double-dummy, active-controlled study comparing the efficacy and safety/tolerability of BRIUMVI (450mg dose administered by one-hour intravenous infusion every 6 months, following a day 1 infusion of 150mg over four hours and a day 15 infusion of 450mg over one hour) versus teriflunomide (14mg oral tablets taken once daily) in subjects with RMS.</w:t>
      </w:r>
    </w:p>
    <w:p>
      <w:pPr>
        <w:spacing w:after="0" w:line="183" w:lineRule="exact"/>
        <w:rPr>
          <w:sz w:val="20"/>
          <w:szCs w:val="20"/>
          <w:color w:val="auto"/>
        </w:rPr>
      </w:pPr>
    </w:p>
    <w:p>
      <w:pPr>
        <w:jc w:val="both"/>
        <w:ind w:left="940" w:hanging="325"/>
        <w:spacing w:after="0" w:line="25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ind w:left="940" w:hanging="32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jc w:val="both"/>
        <w:ind w:left="940" w:hanging="32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data sets from the ULTIMATE I &amp; II Phase 3 trials continue to be presented at major medical meetings, including five year long term data which was presented for the first time at the 2024 ECTRIMS meeting in September 2024, and updated data from the ENHANCE Phase 3b trial evaluating RMS patients who switch from an IV anti-CD20 therapy to BRIUMVI and evaluating a shorter infusion time of as low as 30 minutes for BRIUMVI.</w:t>
      </w:r>
    </w:p>
    <w:p>
      <w:pPr>
        <w:spacing w:after="0" w:line="1" w:lineRule="exact"/>
        <w:rPr>
          <w:rFonts w:ascii="Times New Roman" w:cs="Times New Roman" w:eastAsia="Times New Roman" w:hAnsi="Times New Roman"/>
          <w:sz w:val="18"/>
          <w:szCs w:val="18"/>
          <w:color w:val="auto"/>
        </w:rPr>
      </w:pPr>
    </w:p>
    <w:p>
      <w:pPr>
        <w:ind w:left="940" w:hanging="325"/>
        <w:spacing w:after="0" w:line="26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patient enrollment commenced into a randomized Phase 3 pivotal program to evaluate a consolidated Day 1 and Day 15 dosing regimen for IV BRIUMVI in the ongoing ENHANCE trial.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the Company previously partnered.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2024, we announced the commercial launch of BRIUMVI in the EU by Neuraxpharm, with BRIUMVI made available for commercial sale in Germany, and is now commercially available in several other countries in the European Union, and United Kingdom. BRIUMVI is now also approved in Switzerland and Australia.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Subcutaneous BRIUMVI (ublituximab)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2024, we announced the initiation of a Phase 1 clinical trial evaluating subcutaneous BRIUMVI (ublituximab) in patients with RMS.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2025 we announced the Phase 3 pivotal program will evaluate two dosing schedules, every other month and quarterly, compared to IV BRIUMVI in patients with relapsing forms of MS. The primary endpoint is to demonstrate non-inferior exposure between subcutaneous dosing and our approved IV dosing, and patient enrollment is set to commence in the coming weeks.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2025, we announced the first patients with myasthenia gravis (MG) have been enrolled in a clinical trial evaluating ublituximab.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Azercabtagene Zapreleucel (azer-cel)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Azer-cel is an allogeneic (off-the-shelf) CD19-directed CAR T cell therapy under development by the Company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minimize graft-versus-host disease (GvHD), a significant complication associated with other donor-derived, cell-based therapies. In August 2024, we announced FDA clearance of the IND for azer-cel for the treatment of progressive forms of MS. In August 2025, we announced the first patient with progressive multiple sclerosis has been dosed with azer-cel in a Phase 1 trial.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138,843</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141,148</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73,466</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17,556</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38,790</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106,305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64,650</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$138.8 million for the three months ended June 30,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$72.6 million for the three months ended June 30, 2024. Product revenue, net for both the three months ended June 30, 2025 and June 30, 2024 consisted of net product sales of BRIUMVI in the United States. The increase in product revenue, net is a result of greater market penetration.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$2.3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2025 and $0.9 million for the three months ended June 30, 2024. License, milestone, royalty and other revenue for the three months ended June 30, 2025 is comprised of $1.2 million of consideration received for development and regulatory activities performed on behalf of Neuraxpharm in accordance with the Commercialization Agreement and $1.1 million of royalty revenue recognized under the Commercialization Agreement with Neuraxpharm (see Note 2 - Revenue for more information). License, milestone, royalty and other revenue for the three months ended June 30, 2024 is primarily comprised of consideration received for development and regulatory activities performed on behalf of Neuraxpharm in accordance with the Commercialization Agreement (see Note 2 - Revenue for more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June 30, 2025 was $18.9 million compared to approximately $8.3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2024. Cost of revenue for both the three months ended June 30, 2025 and June 30, 2024 consists primarily of royalties owed to our licensing partner for BRIUMVI sales, third-party manufacturing, distribution and overhead costs. A portion of the manufacturing costs of BRIUMVI sold during the quarter ending June 30, 2024 was expensed as research and development prior to the FDA approval of BRIUMVI and therefore it is not reflected in the cost of revenue. We depleted these inventories during the quarter ending March 31, 2025; therefore, the cost of revenue for BRIUMVI increased modestly in relation to product revenues during the three months ended June 30, 2025.</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$4.3 million for the three months ended June 30, 2025, as compared to $2.5 million during the comparable period ended June 30, 2024. The modest increase in noncash compensation expense was primarily due to an increase in headcount and stock price at which equity awards were granted during the three months ended June 30, 2025, as compared to the three months ended June 30, 2024.</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was $27.5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as compared to $15.0 million during the three months ended June 30, 2024. The increase in research and development expense during the three months ended June 30, 2025 was primarily due to an increase in manufacturing expense in connection with our ublituximab subcutaneous development work during the period ended June 30, 2025, as well as increased clinical trial related expenses pertaining to our clinical pipeline, and increased personnel costs.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$12.0 million for the three months ended June 30, 2025, as compared to $7.0 million during the comparable period ended June 30, 2024. The increase in noncash compensation expense was primarily due to greater recognition of noncash compensation expense for market-based awards during the three months ended June 30, 2025.</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$43.5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2025, as compared to $31.8 million during the comparable period ended June 30, 2024. The increase was primarily due to other selling, general and administrative costs, including marketing personnel and external costs associated with the commercialization of BRIUMVI during the three months ended June 30, 2025.</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totaled $6.7 million for the three months ended June 30, 2025, as compared to $4.0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 The increase is mainly due to increased interest expense pertaining to the Initial Term Loan with Blue Owl during the period ended June 30, 2025 (see Note 7 - Loan Payable for more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totaled $2.8 million for the three months ended June 30, 2025, as compared to $1.7 million during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June 30, 2024. The increase is mainly due to higher interest income received from our investments during the period.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six months ended June 30, 2025 and 2024: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123,084</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46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13,855</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34,479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13,745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4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4,972</w:t>
            </w:r>
          </w:p>
        </w:tc>
      </w:tr>
      <w:tr>
        <w:trPr>
          <w:trHeight w:val="23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70,495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45,306</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13,848</w:t>
            </w:r>
          </w:p>
        </w:tc>
      </w:tr>
      <w:tr>
        <w:trPr>
          <w:trHeight w:val="22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46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82,232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59,522</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218,539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137,393</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6,265</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36,388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$258.5 million for the six months ended June 30, 2025, compared to $123.1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six months ended June 30, 2024. Product revenue, net for both the six months ended June 30, 2025 and June 30, 2024 consisted of net product sales of BRIUMVI in the United States. The increase in product revenue, net is a result of greater market penetration.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$3.5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2025 and $13.9 million for the six months ended June 30, 2024. License, milestone, royalty and other revenue for the six months ended June 30, 2025 is primarily comprised $1.8 million of consideration received for development and regulatory activities performed on behalf of Neuraxpharm in accordance with the Commercialization Agreement and $1.7 million of royalty revenue recognized under the Commercialization Agreement with Neuraxpharm (see Note 2 - Revenue for more information). License, milestone, royalty and other revenue for the six months ended June 30, 2024 is predominantly comprised of recognition of the one-time $12.5 million milestone payment under the Commercialization Agreement for the first key market commercial launch of BRIUMVI in the EU.</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six months ended June 30, 2025 was $34.5 million compared to approximately $13.7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Cost of revenue for both the six months ended June 30, 2025 and June 30, 2024 consists primarily of royalties owed to our licensing partner for BRIUMVI sales, third-party manufacturing, distribution and overhead costs. A portion of the manufacturing costs of BRIUMVI sold through the middle of the quarter ending March 31, 2025 was expensed as research and development prior to the FDA approval of BRIUMVI and therefore it is not reflected in the cost of revenue. We depleted these inventories during the quarter ending March 31, 2025; therefore, the cost of revenue for BRIUMVI increased modestly in relation to product revenues during the six months ended June 30, 2025.</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$7.6 million for the six months ended June 30, 2025, as compared to $5.0 million during the comparable period ended June 30, 2024. The modest increase in noncash compensation expense was primarily due to an increase in headcount and stock price at which equity awards were granted during the six months ended June 30, 2025, as compared to the six months ended June 30,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was $70.5 million for the six months ended June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compared to $45.3 million during the six months ended June 30, 2024. The increase in research and development expense during the six months ended June 30, 2025 was primarily due to an increase in manufacturing expense in connection with our ublituximab subcutaneous development work during the period ended June 30, 2025.</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$23.7 million for the six months ended June 30, 2025, as compared to $13.8 million during the comparable period ended June 30, 2024. The increase in noncash compensation expense was primarily due to greater recognition of noncash compensation expense for market-based awards during the six months ended June 30, 2025.</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$82.2 million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 as compared to $59.5 million during the comparable period ended June 30, 2024. The increase was primarily due to other selling, general and administrative costs, including marketing personnel and external costs associated with the commercialization of BRIUMVI during the six months ended June 30, 2025.</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totaled $13.5 million for the six months ended June 30, 2025, as compared to $6.3 million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2024. The increase is mainly due to increased interest expense pertaining to the Initial Term Loan with Blue Owl during the period ended June 30, 2025 (see Note 7 - Loan Payable for more information).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totaled $6.4 million for the six months ended June 30, 2025, as compared to $2.6 million during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June 30, 2024. The increase is mainly due to higher interest income received from our investments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recently began generating net income, we have incurred significant operating losses since our inception. BRIUMVI first became commercially available in the United States in January of 2023, and ex-US through our partner Neuraxpharm, in February 2024. Even with the commercialization of BRIUMVI and the possible future commercialization of our other drug candidates, we may not realize continued profitability. During the six months ended June 30, 2025, we generated $262.0 million in revenue. Historically, substantially all our operating losses have resulted from costs incurred in connection with our research and development programs and from selling, general and administrative costs associated with our operations, including our commercialization activities to date. Our future operating results, profitability and other financial results may fluctuate from period to period, and we will need to generate significant revenues to maintain profitability and/or positive cash flow on a sustained basis. As of June 30, 2025, we have an accumulated deficit of approximately $1.5 billion.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we had $278.9 million in cash and cash equivalents, and investment securities. We anticipate that our cash, cash equivalents, and investment securities, combined with projected future revenues will provide sufficient liquidity for more than a twelve-month period from the date of filing this Quarterly Report on Form 10-Q. The actual amount of cash that we will need to operate is subject to many factors, including, but not limited to, our commercialization efforts for BRIUMVI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(21,279)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(12,545)</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2025 was $21.3 million as compared to cash used in operating activities of $2.7 million for the six months ended June 30, 2024. The increase in net cash used in operating activities was due to an increase in accounts receivable during the six months ended June 30, 2025 and inventory purchases during the same period, partially offset by increase in accounts payable.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$16.9 million as compared to $7.5 million used in investing activities for the six months ended June 30, 2024. The increase in net cash used in investing activities was primarily due to lower maturities of short-term securities during the six months ended June 30,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was approximately $12.5 million as compared to net cash provided by financing activities of $0.1 million for the six months ended June 30, 2024. The increase in net cash used in financing activities during the six months ended June 30, 2025 is mainly due to the repurchase of stock under our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2024, and refer to Note 1 - Organization and Summary of Significant Accounting Policies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condensed consolidated financial statements as they require the application of the most difficult, subjective and complex judgments: revenue recognition and stock-based compensation expenses. Refer to Note 2 – Revenue and Note 6 – Stockholders’ Equity respectively, in this Quarterly Report on Form 10-Q for more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2025, our disclosure controls and procedures were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2025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on Form 10-Q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Quarterly Report on Form 10-Q, including our financial statements and related notes, and our other filings from time to 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On September 18, 2024, we announced updated and long-term data from the Open-Label Extension of our ULTIMATE I &amp; II Phase 3 studies demonstrating a consistent safety profile, but the ultimate outcome of these and other studies remains uncertain.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(certain educational and scientific exchange), and with regard to potential competitor actions under federal law (such as the Lanham Act) and congruous state law, which protect businesses against the unfair competition of misleading advertising or labeling.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 See Risk Factors – Risks Related to Governmental Regulation of the Pharmaceutical Industry and Legal Compliance Matters – We are subject to new legislation, regulatory proposals and third-party payor initiatives that may increase our costs of compliance and adversely affect our ability to market our products, obtain collaborators and raise capital.</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have developed and expanded our processes and systems to support the ongoing commercialization of BRIUMVI following its commercial launch in the U.S. on January 26,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support the ongoing commercialization of BRIUMVI and our other product candidates on our own, or through partnership, and generate product revenues include:</w:t>
      </w:r>
    </w:p>
    <w:p>
      <w:pPr>
        <w:spacing w:after="0" w:line="162"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660" w:right="2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BRIUMVI was first made available in the European market by Neuraxpharm in Germany and is now commercially available in several other countries in the European Union and the United Kingdom.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the U.S. and outside the U.S. This transition involves a wide variety of risks, and we may not be successful in such transition.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 Our prior losses have had and will continue to have an adverse effect on our stockholders’ deficit and working capital should we be unable to maintain profitability in future periods.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MHRA, EMA and other global approvals of BRIUMVI for RMS;</w:t>
      </w: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develop, maintain, protect, and defend our intellectual property portfolio;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also continuing to generate additional clinical data for BRIUMVI to support and potentially expand commercial adoption, including assessing long-term tolerability in our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we expect to continue to incur significant research and development expenses, as well as significant commercialization and outsourced manufacturing expenses as we continue to commercialize BRIUMVI and continue to advance our clinical trials to improve our self-administered BRIUMVI product, optimize intravenous BRIUMVI for patients with RMS, and evaluate BRIUMVI in other autoimmune diseases and azer-cel for the treatment of primary progressive 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ongoing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$250 million pursuant to the financing agreement, dated August 2, 2024, that we entered into with Blue Owl Capital Corporation, as administrative agent, HealthCare Royalty and Blue Owl Capital (the Financing Agreement)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 Loan Payable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2024, the Company entered into a term loan facility of $250 million (the Initial Term Loan) with Blue Owl Capital Corporation, as administrative agent, HealthCare Royalty and Blue Owl Capital. The Initial Term Loan is governed by the Financing Agreement, which provides for (i) a single draw of the Initial Term Loan on the Closing Date and (ii) an uncommitted additional facility in an aggregate principal amount of $100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 Loan Payable to our consolidated financial statements for more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obligations under the Financing Agreement are secured by a lien on substantially all of assets of the Company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 including in the ways described below:</w:t>
      </w:r>
    </w:p>
    <w:p>
      <w:pPr>
        <w:spacing w:after="0" w:line="225"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Financing Agreement imposes operating and other restrictions on the Company. Such restrictions will affect, and in many respects limit or prohibit, our ability and the ability of any future subsidiary to, among other things (subject to the exceptions provided for in the Financing Agreement):</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joint ventures or consolidations;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(INDs) and clinical trial applications (CTAs), being cleared/issued/approved such that our product candidates can commence clinical trials;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shifts in the regulatory focus of the U.S. government as a reflection of changing administrations;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and the Middle East, economic instability, or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(including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identify issues related to the manufacturing processes or facilities of third-party manufacturers with which we or our collaborators currently contract for clinical supplies and 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foreign regulatory authorities may significantly change in a manner rendering our clinical data insufficient for approval; or</w:t>
      </w:r>
    </w:p>
    <w:p>
      <w:pPr>
        <w:jc w:val="both"/>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crises, inadequate government funding, political conditions or economic crises, international conflict, or natural disasters may negatively impact review, inspection, and approval timelines.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focusing the majority of our efforts on maintaining approval, improving and commercializing BRIUMVI and developing azer-cel for particular indications. As a result, we may fail to capitalize on other indications or product candidates that may ultimately have proven to be more profitable.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focusing the majority of our resources and efforts on maintaining approval, improving and commercializing BRIUMVI and developing azer-cel for particular indications. As a result, we may forego or delay the pursuit of opportunities for other indications or with other product candidates that may have greater commercial potential. Our resource allocation decisions may cause us to fail to capitalize on viable commercial drugs or profitable market opportunities. If we do not accurately evaluate the commercial potential or target markets for BRIUMVI and azer-cel,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including in Russia and Ukraine and in the Middle East. The conflict in Russia and Ukraine and its impact on neighboring countries may adversely affect clinical trial sites for our programs. While no clinical trials are currently enrolling patients in Russia or Ukraine,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other countries have imposed sanctions against Russia and other restrictions from doing business with certain Russian companies and financial institutions. Our ability to conduct clinical trials in Russia, Ukraine and elsewhere in the region may also become restricted under applicable sanctions laws. Geopolitical conflicts and related government responses have resulted in global economic instability, which could affect our supply chain and commercialization efforts. While we currently do not believe such conflicts will have a material impact on product development or our overall business, given the evolving situation and the related geopolitical and economic uncertainties, the full impact of the conflict remains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respective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conducting, and may continue to conduct, clinical trials globally. The acceptance of study data by the FDA, EMA or other comparable foreign regulatory authorities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and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the next several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All of these occurrences would be beyond our control.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obtain regulatory approval for, or commercialize a subcutaneous formulation of our approved intravenous product, which could limit our ability to expand our market opportunity and patient reach.</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currently developing a subcutaneous (SubQ) formulation of BRIUMVI, which is approved in its intravenous (IV) form for the treatment of relapsing forms of multiple sclerosis. While IV BRIUMVI has demonstrated clinical benefit and gained commercial traction, development and commercialization of a SubQ version of BRIUMVI presents unique scientific, formulation, clinical, pharmacologic, manufacturing, regulatory, and operational challenges.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to rely on the benefit and risk profile established for IV BRIUMVI in previously conducted pivotal clinical trials, the SubQ form of BRIUMVI requires optimization of pharmacokinetics to attain equivalent exposure to ensure that efficacy and safety are maintained at levels comparable to the approved IV formulation. Pharmacokinetic (PK) and pharmacodynamic (PD) effects may be reduced or altered when administered SubQ, which could create significant challenges in the development of a SubQ formulation of BRIUMVI. There is also a risk that systemic exposure, tissue distribution or tissue reactions differ in ways that lead to unforeseen efficacy issues, such as reduced clinical benefit or safety or tolerability issues, including injection site reactions or immunogenicity. Clinical development of a new formulation often takes place alongside process and formulation development, such that the form of the product evaluated in early-stage testing may not be the final form of the product evaluated in late-stage testing or intended to be commercialized, as is the case for the SubQ BRIUMVI development. Furthermore, while early phase clinical trials can provide a general understanding of the bioavailability and tolerability of a SubQ product, they are limited in patient number and duration of follow-up, with the pivotal regimen determined through PK/PD modeling and projections. Such differences in safety, efficacy or PK/PD may not be observed until later stage clinical studies with the final formulation of SubQ BRIUMVI.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Furthermore, the development of a SubQ formulation, including SubQ BRIUMVI, typically requires additional clinical studies, including bridging studies and the use of delivery devices (e.g., auto-injectors or prefilled syringes), which may introduce new technical, supply chain, or regulatory challenges. Regulatory agencies may not consider bioequivalence sufficient for approval or may require additional data to demonstrate comparable effectiveness or safety, especially if the SubQ formulations have analytical differences. While the primary outcome of the pivotal clinical trial is to establish equivalent exposure, differences in other clinical properties including but not limited to PD effect, safety, tolerability, and immunogenicity may occur. In such cases, while the primary outcome of the clinical study may be met, regulatory agencies may still consider such a product not pharmaceutically equivalent.</w:t>
      </w:r>
    </w:p>
    <w:p>
      <w:pPr>
        <w:spacing w:after="0" w:line="189"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SubQ formulation may involve higher concentration of the existing IV product, as in the case of SubQ BRIUMVI, which presents technical and analytical challenges. Concentrated products will have increased viscosity, which will result in decreased yield in the manufacturing process and may increase the cost of goods compared to that of IV BRIUMVI. The high concentration formulations currently under evaluation may not prove to be as stable as the IV BRIUMVI product. If the SubQ formulation is determined to have a shorter shelf life, we may require more inventory or reassess the commercial feasibility for distribution. and if a shorter shelf life is determined that may require either more inventory or even worse, may not be commercially feasible for distribution. Additionally, new supply chains have been and will continue to need to be developed, which adds complexity and magnifies the concerns around reliance on third parties, including establishing new vendors, their timeliness and quality of performance and potential for future supply constraints, and other limitations. Furthermore, the altered physical properties of the subcutaneous material have resulted in certain analytical differences from IV BRIUMVI that may require the development of new analytical methods for product characterization and release, if the current analytical methods used for IV BRIUMVI prove to be inadequate to characterize SubQ BRIUMVI. Analytical method development is a complex task that has both technical and regulatory implications, and there can be no assurances given that such development will be successful or be completed in a timely manner.</w:t>
      </w:r>
    </w:p>
    <w:p>
      <w:pPr>
        <w:spacing w:after="0" w:line="18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Even if approved, we cannot guarantee that the SubQ formulation of BRIUMVI will be successfully commercialized or achieve the same level of adoption as the IV formulation. Development, approval, and commercialization of the SubQ formulation of BRIUMVI will take considerable time and will be subject to completion with existing therapies and new therapies that may become available in the future. Failure to develop or obtain regulatory approval for a SubQ formulation, or to successfully commercialize it if approved, could materially limit our growth in markets that favor self-administration and reduce our competitive positioning relative to other self-administered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federal and state legislatures, health agencies and third-party payors continue to focus on containing the cost of healthcare and addressing public concern over access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is expected to result in less coverage in the ACA’s health insurance marketplace (Marketplace) over the next few years. The ACA premium tax credits will expire at the end of 2025, which is expected to result in an additional loss of coverage for approximately 24 million people currently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the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Individual states are experiencing significant economic pressure within their respective Medicaid programs and responding to public concern over the cost of healthcare. Several states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also a great degree of uncertainty regarding how the recent U.S. Supreme Court decisions, including Loper Bright Enterprises v. Raimondo and Corner Post, Inc. v. Board of Governors of the Federal Reserve System, will impact FDA’s enforcement and decision-making authority of regulatory agencies, including those of the FDA. Loper Bright explicitly overturned Chevron deference, which previously gave judicial deference to administrative action by agencies in the executive branch. Further, the Supreme Court’s decision in Corner Post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discount program, recent legislative proposals, as well as judicial challenges to policies of the Department of Health and Human Services (HHS),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It is not possible at this time to determine whether changes in the administration may change the regulatory focus and/or implementation of any regulations, policies or reforms.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extend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had to furlough critical employees and stop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w:t>
      </w: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660" w:hanging="328"/>
        <w:spacing w:after="0" w:line="25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2" w:lineRule="exact"/>
        <w:rPr>
          <w:sz w:val="20"/>
          <w:szCs w:val="20"/>
          <w:color w:val="auto"/>
        </w:rPr>
      </w:pP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660" w:hanging="328"/>
        <w:spacing w:after="0" w:line="25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marketing restrictions and state laws governing the privacy and security of health information in certain circumstances, many of which differ from each other in significant ways and often are not preempted by federal laws, thus complicating compliance efforts.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of 2018 (CCPA) created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Rights Act of 2020 (CPRA) significantly expanded the CCPA to grant additional rights to California residents and established a new California data protection agency authorized to issue substantive regulations and could result in increased privacy and information security enforcement. Data privacy and cybersecurity are also areas of increasing state legislative focus. Among other things, these state-specific laws create new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to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 data. For example, the processing of personal data in the European Economic Area (EEA), is subject to the General Data Protection Regulation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experience a reportable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directly or through our third-party service providers, may adopt, use or incorporate artificial intelligence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Several governmental agencies in the U.S. and non-U.S. jurisdictions have proposed or enacted laws regulating AI technologies by setting out principles intended to guide AI design and deployment for the public and private sectors and signaling the increase in governmental involvement and regulation over AI technologies. While there is currently no comprehensive federal legislation in the U.S. that regulates the development or use of AI, the U.S. House of Representatives had narrowly passed its version of the reconciliation bill that would have placed a 10-year moratorium on state AI laws, which was struck down by the U.S. Senate and was ultimately removed from the OBBBA. The significant increase in companies that have incorporated the use of AI in their businesses has also increased the SEC’s focus on AI-washing as a key enforcement priority. In May 2024, the European Union legislators approved the EU Artificial Intelligence Act (EU AI Act), which establishes a comprehensive, risk-based governance framework for AI in the EU market.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(focusing on national security-related technologies, including biotechnology),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within certain timeframes. Failure to do so can result in fines, adverse publicity and civil and criminal sanctions.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BRIUMVI was first made available in the European market by Neuraxpharm in Germany and is now commercially available in several other countries in the European Union and the United Kingdom. In addition to the Commercialization Agreement, we may enter into collaboration arrangements with other collaboration and commercialization partners.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660" w:right="2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660" w:right="2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including failure to comply with regulatory requirements which may disrupt its performance of its obligations under the agreement with us;</w:t>
      </w:r>
    </w:p>
    <w:p>
      <w:pPr>
        <w:jc w:val="both"/>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66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660" w:right="2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660" w:hanging="328"/>
        <w:spacing w:after="0" w:line="253"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may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August 4, 2025, we had 370 employees. 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unauthorized access, security breach or incidents, natural disasters, terrorism, war and telecommunication and electrical failures. Security breaches include, but are not limited to, deployment of harmful malware, ransomware, denial-of-service attacks, social engineering and other means to affect service reliability and threaten the confidentiality, integrity and availability of our and our third-party service providers’ systems and the information on such systems. Security breaches can also include phishing attempts or e-mail fraud to cause unauthorized payments or information to be transmitted to an unintended recipient, or to permit unauthorized access to systems. Although we have experienced security breaches in the past, the impact on our operations and financial condition has not been material. We expect such cybersecurity threats to continue and become more sophisticated. Threat actors, including nation state attackers, could also use AI for malicious purposes, increasing the frequency and complexity of their attacks. A significant security breach or incident could cause our systems to fail, compromise confidential information, or cause significant business interruptions, which could result in a material disruption of our operations, financial loss, or reputational harm. For example, the loss of clinical trial data for our drug candidates could result in delays in our regulatory approval efforts, violate healthcare privacy laws and regulations and significantly increase the cost of remediation.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geopolitical conflicts and global sanctions imposed in response thereto. Other international events such as trade disputes, increased tariffs and countermeasures by affected countries, leadership changes and political and military conflicts could also adversely affect global financial activity and markets and could negatively affect the U.S. economy. The U.S. has imposed increased tariffs on certain countries, focusing on those with which it has the largest trade deficits. Other countries have responded, and may continue to respond, by announcing retaliatory tariffs on U.S. imports. The tariffs have disrupted, and may continue to disrupt, the global markets and escalate tensions between the U.S. and other countries. The extent of the impact of geopolitical conflicts, sanctions and increased tariffs on our business specifically, or on the U.S. market and global economy generally, are uncertain and unpredictable, and could adversely affect our business, financial condition and results of operations as well as impact our ability to raise capital. 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Further,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changes in regulations or policies related to taxation and importation, including as a result of increased tariffs,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our stock at a profit.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German market and the anticipated launch of BRIUMVI in additional European markets;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or other crises and other external factors such as the disruptions in the global economy caused by global health crises and geopolitical conflicts in Russia and Ukraine and the Middle East;</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 of shares of our common stock pursuant to our share repurchase program;</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occurrences of any of the other risks described in this Quarterly Report on Form 10-Q.</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ESG matters, sentiments toward the Company or our products could be negatively impacted, and our financial results could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if any, are limited, and our stockholders may not receive any return on investment unless they sell their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2024, we announced that our Board of Directors had authorized a share repurchase program of up to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2024, see the section entitled “Purchases of Equity Securities by the Issuer and Affiliated Purchasers” in Part II, Item 5.</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w:t>
            </w:r>
          </w:p>
        </w:tc>
        <w:tc>
          <w:tcPr>
            <w:tcW w:w="170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(b)</w:t>
            </w:r>
          </w:p>
        </w:tc>
        <w:tc>
          <w:tcPr>
            <w:tcW w:w="166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w:t>
            </w:r>
          </w:p>
        </w:tc>
        <w:tc>
          <w:tcPr>
            <w:tcW w:w="33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 Number (or Approximate</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3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60" w:type="dxa"/>
            <w:vAlign w:val="bottom"/>
            <w:tcBorders>
              <w:right w:val="single" w:sz="8" w:color="auto"/>
            </w:tcBorders>
            <w:vMerge w:val="continue"/>
          </w:tcPr>
          <w:p>
            <w:pPr>
              <w:spacing w:after="0"/>
              <w:rPr>
                <w:sz w:val="9"/>
                <w:szCs w:val="9"/>
                <w:color w:val="auto"/>
              </w:rPr>
            </w:pP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Dollar Value) of Shares (or Units) that May</w:t>
            </w:r>
          </w:p>
        </w:tc>
        <w:tc>
          <w:tcPr>
            <w:tcW w:w="0" w:type="dxa"/>
            <w:vAlign w:val="bottom"/>
          </w:tcPr>
          <w:p>
            <w:pPr>
              <w:spacing w:after="0"/>
              <w:rPr>
                <w:sz w:val="1"/>
                <w:szCs w:val="1"/>
                <w:color w:val="auto"/>
              </w:rPr>
            </w:pPr>
          </w:p>
        </w:tc>
      </w:tr>
      <w:tr>
        <w:trPr>
          <w:trHeight w:val="184"/>
        </w:trPr>
        <w:tc>
          <w:tcPr>
            <w:tcW w:w="28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1700" w:type="dxa"/>
            <w:vAlign w:val="bottom"/>
            <w:tcBorders>
              <w:right w:val="single" w:sz="8" w:color="auto"/>
            </w:tcBorders>
            <w:vMerge w:val="continue"/>
          </w:tcPr>
          <w:p>
            <w:pPr>
              <w:spacing w:after="0"/>
              <w:rPr>
                <w:sz w:val="16"/>
                <w:szCs w:val="16"/>
                <w:color w:val="auto"/>
              </w:rPr>
            </w:pPr>
          </w:p>
        </w:tc>
        <w:tc>
          <w:tcPr>
            <w:tcW w:w="16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33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700" w:type="dxa"/>
            <w:vAlign w:val="bottom"/>
            <w:tcBorders>
              <w:right w:val="single" w:sz="8" w:color="auto"/>
            </w:tcBorders>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per Share (or Unit)</w:t>
            </w: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3380" w:type="dxa"/>
            <w:vAlign w:val="bottom"/>
            <w:tcBorders>
              <w:right w:val="single" w:sz="8" w:color="auto"/>
            </w:tcBorders>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Yet Be Purchased Under the Plans or</w:t>
            </w:r>
          </w:p>
        </w:tc>
        <w:tc>
          <w:tcPr>
            <w:tcW w:w="0" w:type="dxa"/>
            <w:vAlign w:val="bottom"/>
          </w:tcPr>
          <w:p>
            <w:pPr>
              <w:spacing w:after="0"/>
              <w:rPr>
                <w:sz w:val="1"/>
                <w:szCs w:val="1"/>
                <w:color w:val="auto"/>
              </w:rPr>
            </w:pPr>
          </w:p>
        </w:tc>
      </w:tr>
      <w:tr>
        <w:trPr>
          <w:trHeight w:val="184"/>
        </w:trPr>
        <w:tc>
          <w:tcPr>
            <w:tcW w:w="28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vMerge w:val="continue"/>
          </w:tcPr>
          <w:p>
            <w:pPr>
              <w:spacing w:after="0"/>
              <w:rPr>
                <w:sz w:val="16"/>
                <w:szCs w:val="16"/>
                <w:color w:val="auto"/>
              </w:rPr>
            </w:pPr>
          </w:p>
        </w:tc>
        <w:tc>
          <w:tcPr>
            <w:tcW w:w="33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Plans or Programs</w:t>
            </w:r>
          </w:p>
        </w:tc>
        <w:tc>
          <w:tcPr>
            <w:tcW w:w="3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April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$85,117,780</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1st to April 30th,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May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103,500</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$34.43</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103,500</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$81,568,031</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1st to May 31st,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June 2025</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90,000</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$37.07</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90,000</w:t>
            </w:r>
          </w:p>
        </w:tc>
        <w:tc>
          <w:tcPr>
            <w:tcW w:w="3380" w:type="dxa"/>
            <w:vAlign w:val="bottom"/>
            <w:tcBorders>
              <w:right w:val="single" w:sz="8" w:color="auto"/>
            </w:tcBorders>
          </w:tcPr>
          <w:p>
            <w:pPr>
              <w:ind w:left="1220"/>
              <w:spacing w:after="0" w:line="191" w:lineRule="exact"/>
              <w:rPr>
                <w:sz w:val="20"/>
                <w:szCs w:val="20"/>
                <w:color w:val="auto"/>
              </w:rPr>
            </w:pPr>
            <w:r>
              <w:rPr>
                <w:rFonts w:ascii="Times New Roman" w:cs="Times New Roman" w:eastAsia="Times New Roman" w:hAnsi="Times New Roman"/>
                <w:sz w:val="18"/>
                <w:szCs w:val="18"/>
                <w:color w:val="auto"/>
              </w:rPr>
              <w:t>$78,241,866</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1st to June 30th, 2025)</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$35.75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193,500</w:t>
            </w:r>
          </w:p>
        </w:tc>
        <w:tc>
          <w:tcPr>
            <w:tcW w:w="338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$78,241,866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fees are excluded.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 2024, the Company announced that its Board of Directors had authorized and approved a share repurchase program for up to $100 million of the currently outstanding shares of the Company’s common stock. Repurchases under the program may be made using open market purchases, privately negotiated transactions, block purchases or other methods in accordance with applicable federal securities laws, including Rule 10b-18 of the Exchange Act. The share repurchase program does not have a fixed expiration date, may be suspended or discontinued at any time, and does not obligate us to acquire any particular amount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tbl>
      <w:tblPr>
        <w:tblLayout w:type="fixed"/>
        <w:tblInd w:w="600" w:type="dxa"/>
        <w:tblCellMar>
          <w:top w:w="0" w:type="dxa"/>
          <w:left w:w="0" w:type="dxa"/>
          <w:bottom w:w="0" w:type="dxa"/>
          <w:right w:w="0" w:type="dxa"/>
        </w:tblCellMar>
      </w:tblPr>
      <w:tr>
        <w:trPr>
          <w:trHeight w:val="185"/>
        </w:trPr>
        <w:tc>
          <w:tcPr>
            <w:tcW w:w="1100" w:type="dxa"/>
            <w:vAlign w:val="bottom"/>
          </w:tcPr>
          <w:p>
            <w:pPr>
              <w:jc w:val="center"/>
              <w:ind w:right="51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0000EE"/>
              </w:rPr>
              <w:t>Amendment No. 2 to the TG Therapeutics, Inc. 2022 Incentive Plan, dated April 11, 2025.</w:t>
            </w:r>
          </w:p>
        </w:tc>
      </w:tr>
      <w:tr>
        <w:trPr>
          <w:trHeight w:val="20"/>
        </w:trPr>
        <w:tc>
          <w:tcPr>
            <w:tcW w:w="11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w:t>
            </w:r>
          </w:p>
        </w:tc>
      </w:tr>
      <w:tr>
        <w:trPr>
          <w:trHeight w:val="196"/>
        </w:trPr>
        <w:tc>
          <w:tcPr>
            <w:tcW w:w="1100" w:type="dxa"/>
            <w:vAlign w:val="bottom"/>
          </w:tcPr>
          <w:p>
            <w:pPr>
              <w:spacing w:after="0"/>
              <w:rPr>
                <w:sz w:val="17"/>
                <w:szCs w:val="17"/>
                <w:color w:val="auto"/>
              </w:rPr>
            </w:pPr>
          </w:p>
        </w:tc>
        <w:tc>
          <w:tcPr>
            <w:tcW w:w="30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August 8, 2025.</w:t>
            </w:r>
          </w:p>
        </w:tc>
        <w:tc>
          <w:tcPr>
            <w:tcW w:w="6520" w:type="dxa"/>
            <w:vAlign w:val="bottom"/>
            <w:gridSpan w:val="2"/>
          </w:tcPr>
          <w:p>
            <w:pPr>
              <w:spacing w:after="0"/>
              <w:rPr>
                <w:sz w:val="17"/>
                <w:szCs w:val="17"/>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 pursuant to Section 302 of the Sarbanes-</w:t>
            </w:r>
          </w:p>
        </w:tc>
      </w:tr>
      <w:tr>
        <w:trPr>
          <w:trHeight w:val="196"/>
        </w:trPr>
        <w:tc>
          <w:tcPr>
            <w:tcW w:w="1100" w:type="dxa"/>
            <w:vAlign w:val="bottom"/>
          </w:tcPr>
          <w:p>
            <w:pPr>
              <w:spacing w:after="0"/>
              <w:rPr>
                <w:sz w:val="17"/>
                <w:szCs w:val="17"/>
                <w:color w:val="auto"/>
              </w:rPr>
            </w:pPr>
          </w:p>
        </w:tc>
        <w:tc>
          <w:tcPr>
            <w:tcW w:w="30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August 8, 2025.</w:t>
            </w:r>
          </w:p>
        </w:tc>
        <w:tc>
          <w:tcPr>
            <w:tcW w:w="6520" w:type="dxa"/>
            <w:vAlign w:val="bottom"/>
            <w:gridSpan w:val="2"/>
          </w:tcPr>
          <w:p>
            <w:pPr>
              <w:spacing w:after="0"/>
              <w:rPr>
                <w:sz w:val="17"/>
                <w:szCs w:val="17"/>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 to Section 906 of the Sarbanes-Oxley Act</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dated August 8, 2025.</w:t>
            </w:r>
          </w:p>
        </w:tc>
      </w:tr>
      <w:tr>
        <w:trPr>
          <w:trHeight w:val="20"/>
        </w:trPr>
        <w:tc>
          <w:tcPr>
            <w:tcW w:w="11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1350, as adopted pursuant to Section 906 of the Sarbanes-Oxley Act</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dated August 8, 2025.</w:t>
            </w:r>
          </w:p>
        </w:tc>
      </w:tr>
      <w:tr>
        <w:trPr>
          <w:trHeight w:val="20"/>
        </w:trPr>
        <w:tc>
          <w:tcPr>
            <w:tcW w:w="11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r>
      <w:tr>
        <w:trPr>
          <w:trHeight w:val="218"/>
        </w:trPr>
        <w:tc>
          <w:tcPr>
            <w:tcW w:w="1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101*</w:t>
            </w: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2025,</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r>
      <w:tr>
        <w:trPr>
          <w:trHeight w:val="234"/>
        </w:trPr>
        <w:tc>
          <w:tcPr>
            <w:tcW w:w="1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w:t>
            </w: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40" w:hanging="232"/>
        <w:spacing w:after="0"/>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2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 2022 INCENTIVE PLAN</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2 (the “Amendment”) to the TG Therapeutics, Inc. 2022 Incentive Plan (the “Plan”) is adopted as of April 11, 2025, subject to and effective upon the approval of the shareholders at the 2025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TG Therapeutics, Inc. (the “Company”) maintains the Plan, and the Plan is currently in effect; and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15.1 of the Plan authorizes the Board or the Committee (as defined in the Plan) to amend the Plan for certain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shareholder approval as required under applicable laws, policies or regulations or the applicable listing or other requirements of an Exchange (as defined in the Plan); and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increase the aggregate number of shares authorized for issuance in connection with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awards granted under the 2022 Incentive Plan from 17,000,000 to 22,000,000 shares of Common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amended as follows, subject to and effective upon the approval of the shareholders at the 2025 annual meeting: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 is amended by replacing the current provisions therein in total with the following: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NUMBER OF SHARES. Subject to adjustment as provided in Sections 5.2 and Section 14.1, the aggregate number of Shares reserved and available for issuance pursuant to Awards granted under the Plan shall be 22,000,000. The maximum number of Shares that may be issued upon exercise of Incentive Stock Options granted under the Plan shall be 22,000,000. If our stockholders approve the 2022 Incentive Plan, beginning at the Effective Date, all future equity grants to the Company’s employees, officers, directors and consultants will be made from the 2022 Incentive Plan, and the Company will not grant any additional awards under the Prior Plan. If the Stockholders do not approve the 2022 Incentive Plan, the Company will continue granting awards under the Prior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to the Plan shall be effective as of the date indicated above. The Plan, as modified by the terms of this Amendment, shall continue in full force and effect from and after the date of the adoption of this Amendment.</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8,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2025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2025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8,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30"/>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2025-08-08T15:51:00Z</dcterms:created>
  <dcterms:modified xsi:type="dcterms:W3CDTF">2025-08-08T15:51:00Z</dcterms:modified>
</cp:coreProperties>
</file>