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980" w:right="2620" w:hanging="1360"/>
        <w:spacing w:after="0" w:line="286" w:lineRule="auto"/>
        <w:tabs>
          <w:tab w:leader="none" w:pos="283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80" w:right="2600" w:hanging="1365"/>
        <w:spacing w:after="0" w:line="286" w:lineRule="auto"/>
        <w:tabs>
          <w:tab w:leader="none" w:pos="28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88" w:right="339" w:bottom="1440" w:gutter="0" w:footer="0" w:header="0"/>
        </w:sectPr>
      </w:pPr>
    </w:p>
    <w:p>
      <w:pPr>
        <w:spacing w:after="0" w:line="1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2">
            <w:col w:w="6400" w:space="720"/>
            <w:col w:w="4120"/>
          </w:cols>
          <w:pgMar w:left="320" w:top="68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38"/>
        </w:trPr>
        <w:tc>
          <w:tcPr>
            <w:tcW w:w="3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spacing w:after="0"/>
              <w:rPr>
                <w:sz w:val="12"/>
                <w:szCs w:val="12"/>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56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center"/>
              <w:ind w:right="5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w:t>
            </w:r>
          </w:p>
        </w:tc>
        <w:tc>
          <w:tcPr>
            <w:tcW w:w="560" w:type="dxa"/>
            <w:vAlign w:val="bottom"/>
            <w:tcBorders>
              <w:bottom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ind w:right="470"/>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100" w:space="720"/>
            <w:col w:w="1420"/>
          </w:cols>
          <w:pgMar w:left="320" w:top="688"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40" w:space="720"/>
            <w:col w:w="2180"/>
          </w:cols>
          <w:pgMar w:left="320" w:top="688" w:right="339" w:bottom="1440" w:gutter="0" w:footer="0" w:header="0"/>
          <w:type w:val="continuous"/>
        </w:sectPr>
      </w:pPr>
    </w:p>
    <w:p>
      <w:pPr>
        <w:spacing w:after="0" w:line="3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440" w:gutter="0" w:footer="0" w:header="0"/>
          <w:type w:val="continuous"/>
        </w:sectPr>
      </w:pPr>
    </w:p>
    <w:p>
      <w:pPr>
        <w:spacing w:after="0" w:line="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154,542,945 shares of the registrant’s common stock, $0.001 par value, outstanding as of May 2, 2024.</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10"/>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2024</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580" w:type="dxa"/>
            <w:vAlign w:val="bottom"/>
            <w:gridSpan w:val="3"/>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20" w:type="dxa"/>
            <w:vAlign w:val="bottom"/>
            <w:gridSpan w:val="10"/>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40" w:type="dxa"/>
            <w:vAlign w:val="bottom"/>
            <w:gridSpan w:val="9"/>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40" w:type="dxa"/>
            <w:vAlign w:val="bottom"/>
            <w:gridSpan w:val="6"/>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2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4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60" w:type="dxa"/>
            <w:vAlign w:val="bottom"/>
            <w:gridSpan w:val="1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“Risk Factors”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76" w:lineRule="exact"/>
        <w:rPr>
          <w:sz w:val="20"/>
          <w:szCs w:val="20"/>
          <w:color w:val="auto"/>
        </w:rPr>
      </w:pPr>
    </w:p>
    <w:p>
      <w:pPr>
        <w:jc w:val="both"/>
        <w:ind w:left="900" w:hanging="447"/>
        <w:spacing w:after="0" w:line="25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 candidates, including TG-1701, TG-1801, and azercabtagene zapreleucel (azer-cel), as well as any other product candidates, and our ability to maintain regulatory approval of BRIUMVI® (ublituximab) for the treatment of relapsing forms of multiple sclerosis (RMS) in the United States (U.S.), the European Union (EU) and the United Kingdom (UK);</w:t>
      </w:r>
    </w:p>
    <w:p>
      <w:pPr>
        <w:spacing w:after="0" w:line="2"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commercial infrastructure to successfully launch, market and sell BRIUMVI and our other product candidates;</w:t>
      </w: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w:t>
      </w:r>
    </w:p>
    <w:p>
      <w:pPr>
        <w:spacing w:after="0" w:line="9" w:lineRule="exact"/>
        <w:rPr>
          <w:rFonts w:ascii="Times New Roman" w:cs="Times New Roman" w:eastAsia="Times New Roman" w:hAnsi="Times New Roman"/>
          <w:sz w:val="18"/>
          <w:szCs w:val="18"/>
          <w:color w:val="auto"/>
        </w:rPr>
      </w:pPr>
    </w:p>
    <w:p>
      <w:pPr>
        <w:ind w:left="900" w:right="2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ongoing commercialization of BRIUMVI or any future products or combinations of products, including the anticipated rate and degree of market acceptance and pricing and reimbursement;</w:t>
      </w: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formulate, manufacture and commercialize our product candidates;</w:t>
      </w:r>
    </w:p>
    <w:p>
      <w:pPr>
        <w:spacing w:after="0" w:line="9" w:lineRule="exact"/>
        <w:rPr>
          <w:rFonts w:ascii="Times New Roman" w:cs="Times New Roman" w:eastAsia="Times New Roman" w:hAnsi="Times New Roman"/>
          <w:sz w:val="18"/>
          <w:szCs w:val="18"/>
          <w:color w:val="auto"/>
        </w:rPr>
      </w:pPr>
    </w:p>
    <w:p>
      <w:pPr>
        <w:jc w:val="both"/>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spacing w:after="0" w:line="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drug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fund our planned operations;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obtain adequate product liability and other insurance coverage;</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900" w:hanging="44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company of future regulatory developments or legislative actions, including changes in healthcare, environmental and other laws and regulations to which we are subject;</w:t>
      </w: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market and business conditions;</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 and</w:t>
      </w:r>
    </w:p>
    <w:p>
      <w:pPr>
        <w:spacing w:after="0" w:line="9"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1A, and the other reports and documents that we have filed with the Securities and Exchange Commission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3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current approval of BRIUMVI, our business will be materially harmed.</w:t>
      </w:r>
    </w:p>
    <w:p>
      <w:pPr>
        <w:spacing w:after="0" w:line="9" w:lineRule="exact"/>
        <w:rPr>
          <w:rFonts w:ascii="Times New Roman" w:cs="Times New Roman" w:eastAsia="Times New Roman" w:hAnsi="Times New Roman"/>
          <w:sz w:val="18"/>
          <w:szCs w:val="18"/>
          <w:color w:val="auto"/>
        </w:rPr>
      </w:pPr>
    </w:p>
    <w:p>
      <w:pPr>
        <w:ind w:left="500" w:hanging="492"/>
        <w:spacing w:after="0" w:line="180" w:lineRule="auto"/>
        <w:tabs>
          <w:tab w:leader="none" w:pos="500" w:val="left"/>
        </w:tabs>
        <w:numPr>
          <w:ilvl w:val="0"/>
          <w:numId w:val="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cannot predict when or if we will obtain regulatory approval to commercialize our product candidates, including TG-1701 and TG-1801 in B-cell disorders or azer-cel in non-oncology indications.</w:t>
      </w:r>
    </w:p>
    <w:p>
      <w:pPr>
        <w:ind w:left="500" w:hanging="492"/>
        <w:spacing w:after="0" w:line="180" w:lineRule="auto"/>
        <w:tabs>
          <w:tab w:leader="none" w:pos="500" w:val="left"/>
        </w:tabs>
        <w:numPr>
          <w:ilvl w:val="0"/>
          <w:numId w:val="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have limited experience operating as a commercial company, and, as a result, the marketing and sale of BRIUMVI for the treatment of RMS may be less successful than anticipated.</w:t>
      </w:r>
    </w:p>
    <w:p>
      <w:pPr>
        <w:ind w:left="500" w:hanging="492"/>
        <w:spacing w:after="0" w:line="180" w:lineRule="auto"/>
        <w:tabs>
          <w:tab w:leader="none" w:pos="500" w:val="left"/>
        </w:tabs>
        <w:numPr>
          <w:ilvl w:val="0"/>
          <w:numId w:val="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BRIUMVI or any of our future product candidates (if approved) do not achieve broad market acceptance among physicians, patients, payors or the medical community, the revenues that we generate from product sales will be limited.</w:t>
      </w:r>
    </w:p>
    <w:p>
      <w:pPr>
        <w:ind w:left="500"/>
        <w:spacing w:after="0"/>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8"/>
          <w:szCs w:val="18"/>
          <w:color w:val="auto"/>
        </w:rPr>
        <w:t>If the market opportunities for BRIUMVI and any future products for which we may receive approval, including TG-1701 or TG-1801 in B-cell</w:t>
      </w:r>
    </w:p>
    <w:p>
      <w:pPr>
        <w:spacing w:after="0" w:line="9" w:lineRule="exact"/>
        <w:rPr>
          <w:rFonts w:ascii="Times New Roman" w:cs="Times New Roman" w:eastAsia="Times New Roman" w:hAnsi="Times New Roman"/>
          <w:sz w:val="33"/>
          <w:szCs w:val="33"/>
          <w:color w:val="auto"/>
          <w:vertAlign w:val="subscript"/>
        </w:rPr>
      </w:pPr>
    </w:p>
    <w:p>
      <w:pPr>
        <w:jc w:val="both"/>
        <w:ind w:left="500" w:hanging="492"/>
        <w:spacing w:after="0" w:line="187" w:lineRule="auto"/>
        <w:tabs>
          <w:tab w:leader="none" w:pos="50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disorders or azer-cel in non-oncology indications, are smaller than we estimate or if any approval we obtain is based on a narrower patient population or the labeling includes warnings or limitations that are not acceptable to patients or healthcare providers, our revenue will be adversely affected.</w:t>
      </w:r>
    </w:p>
    <w:p>
      <w:pPr>
        <w:spacing w:after="0" w:line="2" w:lineRule="exact"/>
        <w:rPr>
          <w:rFonts w:ascii="Times New Roman" w:cs="Times New Roman" w:eastAsia="Times New Roman" w:hAnsi="Times New Roman"/>
          <w:sz w:val="36"/>
          <w:szCs w:val="36"/>
          <w:color w:val="auto"/>
          <w:vertAlign w:val="subscript"/>
        </w:rPr>
      </w:pPr>
    </w:p>
    <w:p>
      <w:pPr>
        <w:ind w:left="50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We face substantial competition for treatments for our target indications, including from companies with greater resources than we have, which may</w:t>
      </w:r>
    </w:p>
    <w:p>
      <w:pPr>
        <w:spacing w:after="0" w:line="9" w:lineRule="exact"/>
        <w:rPr>
          <w:rFonts w:ascii="Times New Roman" w:cs="Times New Roman" w:eastAsia="Times New Roman" w:hAnsi="Times New Roman"/>
          <w:sz w:val="36"/>
          <w:szCs w:val="36"/>
          <w:color w:val="auto"/>
          <w:vertAlign w:val="subscript"/>
        </w:rPr>
      </w:pPr>
    </w:p>
    <w:p>
      <w:pPr>
        <w:ind w:left="500" w:right="20" w:hanging="492"/>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others commercializing drugs before or more successfully than we do, which could result in the reduction or elimination of our commercial opportunity.</w:t>
      </w: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sufficient revenue, we may need to raise substantial additional capital to sustain our business.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could cause us to incur substantial liabilities and limit product commercialization.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31" w:lineRule="exact"/>
        <w:rPr>
          <w:sz w:val="20"/>
          <w:szCs w:val="20"/>
          <w:color w:val="auto"/>
        </w:rPr>
      </w:pPr>
    </w:p>
    <w:p>
      <w:pPr>
        <w:ind w:left="460" w:hanging="452"/>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maintain regulatory approval for our product or product candidates and ultimately cannot commercialize one or more of them, or if we experience significant delays in doing so, our business will be materially harmed.</w:t>
      </w:r>
    </w:p>
    <w:p>
      <w:pPr>
        <w:ind w:left="460" w:hanging="452"/>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jc w:val="both"/>
        <w:ind w:left="460" w:hanging="452"/>
        <w:spacing w:after="0" w:line="25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Times New Roman" w:cs="Times New Roman" w:eastAsia="Times New Roman" w:hAnsi="Times New Roman"/>
          <w:sz w:val="18"/>
          <w:szCs w:val="18"/>
          <w:color w:val="auto"/>
        </w:rPr>
      </w:pPr>
    </w:p>
    <w:p>
      <w:pPr>
        <w:ind w:left="460" w:right="20" w:hanging="452"/>
        <w:spacing w:after="0" w:line="260"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of the Pharmaceutical Industry</w:t>
      </w:r>
    </w:p>
    <w:p>
      <w:pPr>
        <w:spacing w:after="0" w:line="31" w:lineRule="exact"/>
        <w:rPr>
          <w:sz w:val="20"/>
          <w:szCs w:val="20"/>
          <w:color w:val="auto"/>
        </w:rPr>
      </w:pPr>
    </w:p>
    <w:p>
      <w:pPr>
        <w:ind w:left="46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including new legislative and regulatory proposals, including efforts to control, set or cap pricing for approved drugs, which may increase our costs and adversely affect our ability to market our products, obtain collaborators and raise capital.</w:t>
      </w: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various healthcare laws and regulations, we may incur losses or be subject to liability.</w:t>
      </w:r>
    </w:p>
    <w:p>
      <w:pPr>
        <w:spacing w:after="0" w:line="9"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jc w:val="both"/>
        <w:ind w:left="46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commercial and clinical supply of raw materials and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success depends upon our ability to obtain and protect our intellectual property, and if the scope of our patent protection obtained is not</w:t>
      </w:r>
    </w:p>
    <w:p>
      <w:pPr>
        <w:spacing w:after="0" w:line="9" w:lineRule="exact"/>
        <w:rPr>
          <w:sz w:val="20"/>
          <w:szCs w:val="20"/>
          <w:color w:val="auto"/>
        </w:rPr>
      </w:pPr>
    </w:p>
    <w:p>
      <w:pPr>
        <w:ind w:left="440" w:hanging="432"/>
        <w:spacing w:after="0" w:line="25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sufficiently broad, our competitors could develop and commercialize products similar or identical to ours, and our ability to successfully commercialize our products may be impaired.</w:t>
      </w:r>
    </w:p>
    <w:p>
      <w:pPr>
        <w:ind w:left="440" w:hanging="432"/>
        <w:spacing w:after="0" w:line="180" w:lineRule="auto"/>
        <w:tabs>
          <w:tab w:leader="none" w:pos="440" w:val="left"/>
        </w:tabs>
        <w:numPr>
          <w:ilvl w:val="0"/>
          <w:numId w:val="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patent protection could be reduced or eliminated for non-compliance with various procedural and other requirements imposed by governmental patent agencies.</w:t>
      </w:r>
    </w:p>
    <w:p>
      <w:pPr>
        <w:ind w:left="440" w:hanging="432"/>
        <w:spacing w:after="0" w:line="180" w:lineRule="auto"/>
        <w:tabs>
          <w:tab w:leader="none" w:pos="440" w:val="left"/>
        </w:tabs>
        <w:numPr>
          <w:ilvl w:val="0"/>
          <w:numId w:val="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We may need to license certain intellectual property from third parties, and such licenses may not be available or may not be available on commercially reasonable terms.</w:t>
      </w:r>
    </w:p>
    <w:p>
      <w:pPr>
        <w:ind w:left="440" w:hanging="432"/>
        <w:spacing w:after="0" w:line="180" w:lineRule="auto"/>
        <w:tabs>
          <w:tab w:leader="none" w:pos="440" w:val="left"/>
        </w:tabs>
        <w:numPr>
          <w:ilvl w:val="0"/>
          <w:numId w:val="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our business may be significantly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we may incur losses in the future.</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460" w:hanging="452"/>
        <w:spacing w:after="0" w:line="26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ind w:left="44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Public health issues including an epidemic or global pandemic, including the pandemic caused by COVID-19, could have an adverse impact on our financial condition and results of operations and other aspects of our business.</w:t>
      </w:r>
    </w:p>
    <w:p>
      <w:pPr>
        <w:jc w:val="both"/>
        <w:ind w:left="440" w:hanging="432"/>
        <w:spacing w:after="0" w:line="250"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develop and expand our business, and we may encounter difficulties in managing this development and expansion.</w:t>
      </w:r>
    </w:p>
    <w:p>
      <w:pPr>
        <w:spacing w:after="0" w:line="9" w:lineRule="exact"/>
        <w:rPr>
          <w:rFonts w:ascii="Times New Roman" w:cs="Times New Roman" w:eastAsia="Times New Roman" w:hAnsi="Times New Roman"/>
          <w:sz w:val="18"/>
          <w:szCs w:val="18"/>
          <w:color w:val="auto"/>
        </w:rPr>
      </w:pPr>
    </w:p>
    <w:p>
      <w:pPr>
        <w:ind w:left="44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ability to continue our clinical development and commercialization activities will depend on our ability to attract and maintain key management and other personnel.</w:t>
      </w:r>
    </w:p>
    <w:p>
      <w:pPr>
        <w:ind w:left="440" w:right="2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Certain of our executive officers, directors and other stockholders own more than 5% of our outstanding common stock and may be able to influence our management and the outcome of matters submitted to shareholders for approval.</w:t>
      </w:r>
    </w:p>
    <w:p>
      <w:pPr>
        <w:ind w:left="44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Certain anti-takeover provisions in our charter documents and Delaware law could make a third-party acquisition more difficult, which could limit the price investors might be willing to pay for our common stock.</w:t>
      </w:r>
    </w:p>
    <w:p>
      <w:pPr>
        <w:ind w:left="44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Our stock price is, and we expect it to remain, volatile, which could limit investors’ ability to sell stock at a profit and could subject us to securities and shareholder derivative litigation.</w:t>
      </w:r>
    </w:p>
    <w:p>
      <w:pPr>
        <w:ind w:left="440" w:right="20" w:hanging="432"/>
        <w:spacing w:after="0" w:line="180" w:lineRule="auto"/>
        <w:tabs>
          <w:tab w:leader="none" w:pos="440" w:val="left"/>
        </w:tabs>
        <w:numPr>
          <w:ilvl w:val="0"/>
          <w:numId w:val="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Significant disruptions of information technology systems, breaches of data security or unauthorized disclosures of sensitive data could harm our business and subject us to liability or reputational damage.</w:t>
      </w:r>
    </w:p>
    <w:p>
      <w:pPr>
        <w:spacing w:after="0" w:line="198"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The foregoing is only a summary of some of our risks. These and other risks are discussed more fully in the section entitled “Risk Factors” in Part II, Item 1A and elsewhere in this Quarterly Report on Form 10-Q (our Risk Factors).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75,477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92,933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and other current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360,581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interest, net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25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373,323</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87,266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213,214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169,085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(175,000,000 shares authorized, 154,607,052 and 151,465,598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154,565,743 and 151,424,289 shares outstanding at March 31, 2024 and December 31, 2023,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1,685,256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1,674,946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41,309 shares at March 31, 2024 and December 31, 2023</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(1,525,068)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(1,514,361)</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373,323</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50,488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63,474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7,803</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28,068</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44,795</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(36,992)</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(10,678)</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(39,232)</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common share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146,209,213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140,312,269</w:t>
            </w:r>
          </w:p>
        </w:tc>
      </w:tr>
      <w:tr>
        <w:trPr>
          <w:trHeight w:val="432"/>
        </w:trPr>
        <w:tc>
          <w:tcPr>
            <w:tcW w:w="1280" w:type="dxa"/>
            <w:vAlign w:val="bottom"/>
          </w:tcPr>
          <w:p>
            <w:pPr>
              <w:spacing w:after="0"/>
              <w:rPr>
                <w:sz w:val="24"/>
                <w:szCs w:val="24"/>
                <w:color w:val="auto"/>
              </w:rPr>
            </w:pPr>
          </w:p>
        </w:tc>
        <w:tc>
          <w:tcPr>
            <w:tcW w:w="8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7</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146,426,697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$ 1,585,708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(1,527,033)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58,587</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3,017,736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 with debt financing</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(73,787)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7,120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(39,232)</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149,437,347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1,593,783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(1,566,265)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27,433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151,465,598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$ 1,674,946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(1,514,361)</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160,502</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3,304,468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(165,514)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10,304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(10,707)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154,607,052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1,685,256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(1,525,068)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160,109</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(10,707)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(discount) on investment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leasehold interest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change in lease liability and right of use asset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equity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(36,931)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(13,889)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(59,902)</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(81,531)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long-term securities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(6,168)</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financings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 paid</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25,238</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(17,452)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(40,832)</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103,577</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76,766</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62,745</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to amounts on condensed consolidated balance sheets: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75,477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61,469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76,766</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62,745</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United States Food and Drug Administration (FDA) for BRIUMVI (ublituximab-xiiy) for the treatment of adult patients with relapsing forms of multiple sclerosis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2023. The accompanying condensed December 31, 2023 balance sheet has been derived from these statements. The results of operations for the three months ended March 31, 2024 are not necessarily indicative of the results that may be expected for the entire fiscal year or any other interim period.</w:t>
      </w:r>
    </w:p>
    <w:p>
      <w:pPr>
        <w:spacing w:after="0" w:line="194"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incurred operating losses since our inception; however, the Company experienced a net profit during the twelve months ended December 31, 2023 due to a $140.0 million non-refundable upfront payment recognized as license revenue in the third quarter of 2023 as part of our ex-U.S. commercialization agreement (the Commercialization Agreement) with Neuraxpharm Pharmaceuticals, S.L. (Neuraxpharm) (see Note 2 for more information). We expect to continue to incur operating losses in the near term and may never become profitable. As of March 31, 2024, we have an accumulated deficit of $1.5 billion.</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from our loan and security agreements executed with Hercules Capital, Inc.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During the three months ended March 31, 2024, we generated $50.5 million in product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March 31, 2024, we had $209.8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jc w:val="both"/>
        <w:ind w:right="20" w:firstLine="504"/>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Notes to Consolidated Financial Statements included in our 2023 Annual Report on Form 10-K, except as updated herein or as it relates to revenue recognition, accounts receivable, inventory, cost of revenue, equity securities, and the adoption of new accounting standards during the three months ended March 31, 2024. Management does not believe that any recently issued, but not yet effective, accounting pronouncements, if currently adopted, would have a material effect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8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Commercial Payer Rebates: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Trade Discounts and Allowances: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BRIUMVI for credit under the following circumstances:</w:t>
      </w:r>
    </w:p>
    <w:p>
      <w:pPr>
        <w:spacing w:after="0" w:line="225" w:lineRule="exact"/>
        <w:rPr>
          <w:sz w:val="20"/>
          <w:szCs w:val="20"/>
          <w:color w:val="auto"/>
        </w:rPr>
      </w:pPr>
    </w:p>
    <w:p>
      <w:pPr>
        <w:ind w:left="660" w:hanging="14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right="20" w:firstLine="512"/>
        <w:spacing w:after="0" w:line="282" w:lineRule="auto"/>
        <w:tabs>
          <w:tab w:leader="none" w:pos="71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the Company has not received any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Licenses of intellectual property: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Milestone payments: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Sales-based 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Optional Purchases: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March 31, 2024, we determined an allowance for expected credit losses related to outstanding accounts receivable was currently not required based upon our review of contractual payment terms and individual customer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third-party manufacturing costs, distribution, overhead and royalties owed to our licensing partner for BRIUMVI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revenue. Our cost of revenue also relates to providing regulatory support &amp; development services to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76"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of our common stock is calculated by dividing net income (loss) applicable to the common stock by the weighted-average number of shares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income (loss) per share were the same for all periods presented in the unaudited condensed consolidated statement of operations.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potentially dilutive securities at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issuable upon note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r>
      <w:tr>
        <w:trPr>
          <w:trHeight w:val="191"/>
        </w:trPr>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9,898,448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9,000,857</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4,694,529</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4,876,484</w:t>
            </w: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312,272</w:t>
            </w: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312,272</w:t>
            </w:r>
          </w:p>
        </w:tc>
      </w:tr>
      <w:tr>
        <w:trPr>
          <w:trHeight w:val="234"/>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21,167</w:t>
            </w: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20,136</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14,926,416</w:t>
            </w:r>
          </w:p>
        </w:tc>
        <w:tc>
          <w:tcPr>
            <w:tcW w:w="1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14,209,749</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660"/>
            <w:col w:w="3240"/>
          </w:cols>
          <w:pgMar w:left="320" w:top="12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revenues are recognized under guidance within ASC 606. The following table presents our disaggregated revenue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30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50,488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63,474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2024 and March 31, 2023, our only source of product revenue has been from U.S. sales of BRIUMVI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began shipping to our customers in January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As of March 31, 2024, approximately $15.0 million of gross-to-net accruals have been recorded as a reduction of accounts receivable, net and within accounts payable and accrued expenses on the condensed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Neuraxpharm Commercialization Agreement</w:t>
      </w:r>
    </w:p>
    <w:p>
      <w:pPr>
        <w:spacing w:after="0" w:line="227"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On July 28, 2023, the Company entered into an ex-U.S. commercialization agreement (the Commercialization Agreement) with Neuraxpharm. The Company granted Neuraxpharm the exclusive right to commercialize BRIUMVI in territories outside the United States, Canada, and Mexico, which are retained by the Company, and excluding certain Asian countries of which the Company previously partnered (the Territory). In addition, the Company will perform certain development and regulatory activities for Neuraxpharm to support its obligations under the Commercialization Agreement to secure and maintain the regulatory approvals required to sell BRIUMVI in the Territory. As part of the overall arrangement, the Company has agreed to supply BRIUMVI to Neuraxpharm throughout the term of the Commercialization Agreement.</w:t>
      </w:r>
    </w:p>
    <w:p>
      <w:pPr>
        <w:spacing w:after="0" w:line="187"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In consideration for entering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$492.5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spacing w:after="0" w:line="180"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The License to the Company’s intellectual property represents a distinct performance obligation, therefore, the $140.0 million non-refundable upfront payment related to this performance obligation was recognized as License Revenue in the third quarter of 2023.</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Development and Regulatory Activities performance obligation is satisfied over time because Neuraxpharm simultaneously receives and consumes the benefits provided by the Company’s performance of the services. Therefore, revenue is recognized as the activities are completed by the Company. For the three months ended March 31, 2024, the Company recognized Other Revenue of $0.4 million related to the Development and Regulatory Activities.</w:t>
      </w:r>
    </w:p>
    <w:p>
      <w:pPr>
        <w:spacing w:after="0" w:line="18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w:t>
      </w:r>
    </w:p>
    <w:p>
      <w:pPr>
        <w:spacing w:after="0" w:line="176"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The performance obligation related to the Supply of Licensed Product is met when control of the product passes to Neuraxpharm. The consideration received from Neuraxpharm for the supply of BRIUMVI will be recognized by the Company as a component of product revenue, net. As of March 31, 2024, the Company has an unconditional right to receive $0.4 million in consideration from Neuraxpharm related to the performance obligation to supply BRIUMVI, that is recorded as accounts receivable, net. The related performance obligation to supply BRIUMVI has not yet been satisfied, and therefore, as of March 31, 2024, $6.5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remaining forms of consideration are variable because they are dependent on the achievement of sales-based or other milestones.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evaluated the constraint on variable consideration and concluded that the milestone payments are highly dependent on factors outside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control. Therefore, at contract inception, the milestones are not included in the transaction price as it is not probable that a significant reversal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revenue would not occur. Sales-based milestones will be recognized as revenue in the period when the related sales threshold is met.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will be recognized as revenue immediately in the period the achievement of the underlying milestone is probable.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2024 the Company received a $12.5 million milestone payment for the first key market commercial launch of BRIUMVI in the EU.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related to sales-based royalties will be recognized when the related sales occur. Royalty revenue of less than $0.1 million was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ind w:right="540" w:firstLine="504"/>
        <w:spacing w:after="0" w:line="282" w:lineRule="auto"/>
        <w:rPr>
          <w:sz w:val="20"/>
          <w:szCs w:val="20"/>
          <w:color w:val="auto"/>
        </w:rPr>
      </w:pPr>
      <w:r>
        <w:rPr>
          <w:rFonts w:ascii="Times New Roman" w:cs="Times New Roman" w:eastAsia="Times New Roman" w:hAnsi="Times New Roman"/>
          <w:sz w:val="18"/>
          <w:szCs w:val="18"/>
          <w:color w:val="auto"/>
        </w:rPr>
        <w:t>Our short-term investments as of March 31, 2024 and December 31, 2023 are classified as held-to-maturity. Held-to-maturity investments are recorded at amortized cost.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short-term investment securities at March 31, 2024 and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Obligations of domestic governmental agencies (maturing between April 2024 and September 2024)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r>
      <w:tr>
        <w:trPr>
          <w:trHeight w:val="62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134,308</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134,280</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134,308</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28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134,280</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660" w:space="32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 January 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and June 2024) (held-to-maturity)</w:t>
            </w:r>
          </w:p>
        </w:tc>
        <w:tc>
          <w:tcPr>
            <w:tcW w:w="1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long-term investments as of March 31, 2024 include shares of common stock of Precision. The fair market value of these equity securities as of March 31, 2024 was $1.3 million. For the three months ended March 31, 2024, we recorded an unrealized gain of $0.2 million based on the change in fair value of Precision’s common stock during the period. See Note 5 for further details.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our inventory as of March 31, 2024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9"/>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74,104</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77,719</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At March 31, 2024, all our inventory was solely related to BRIUMVI, which was approved by the FDA on December 28, 2022, at which time we began to capitalize costs to manufacture BRIUMVI. Prior to the FDA approval of BRIUMVI, all costs related to the manufacturing of BRIUMVI and related material were charged to research and development expense in the period incurred. Inventory that is used for clinical development purposes is expensed to research and development expense when consumed.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buildup inventory in support of BRIUMVI forecasted sales, to ensure appropriate safety stock levels, and meet our commitment to supply BRIUMVI to Neuraxpharm related to the Commercialization Agreement. As a result of being in the early stages of the BRIUMVI product launch, the Company is continuing to evaluate the length of its operating cycle.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our inventory levels for excess quantities and obsolescence (expiration), taking into account factors such as historical and anticipated future sales compared to quantities on hand and the remaining shelf-life. At March 31, 2024, we determined that a reserve related to BRIUMVI inventory for excess quantities and obsolescence is not required. In addition, since FDA approval of BRIUMVI, the Company has not recorded any inventory write downs.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 and Forward Contract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7, 2024, (the Precision Effective Date)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had a 30-to-1 reverse stock split in February 2024. The shares purchased with the Upfront Precision Stock Payment are classified as an equity investment and are recognized at fair market value as of March 31,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12 months following the Precision Effective Date, the Company will make a one-time payment to Precision equal to $2.5 million (the Deferred Precision Stock Payment). Upon receipt of such payment, Precision shall issue to the Company the number of shares of Precision common stock (the Precision Shares) (rounded down to the nearest whole share) obtained by dividing the Deferred Precision Stock Payment by 200% of the weighted average share price of the Precision common stock (the Precision Share Price) for the thirty (30) trading days preceding the date on which Precision receives the payment. The Deferred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March 31, 2024, in accordance with ASC 321.</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achievement of a clinical and regulatory milestone event (Milestone Event 1), the Company will make a one-time payment to Precision equal to $2.3 million (the Milestone 1 Precision Stock Payment). Upon receipt of such payment, Precision shall issue to the Company the Precision Shares (rounded down to the nearest whole share) obtained by dividing the Milestone 1 Precision Stock Payment by 200% of the weighted average share price of the Precision common stock (the Precision Share Price) for the thirty (30) trading days preceding the achievement of Milestone Event 1. The Milestone 1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March 31, 2024, in accordance with ASC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Notes</w:t>
      </w:r>
    </w:p>
    <w:p>
      <w:pPr>
        <w:spacing w:after="0" w:line="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8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March 31, 2024 and December 31, 2023,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and liabilities at fair value as of March 31, 2024</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197"/>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322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2,471</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322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r>
      <w:tr>
        <w:trPr>
          <w:trHeight w:val="197"/>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20" w:type="dxa"/>
            <w:vAlign w:val="bottom"/>
            <w:gridSpan w:val="11"/>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investments classified as Level 1 were valued using their respective closing stock price on the Nasdaq Stock Market. We did not experience any transfers of financial instruments between the fair value hierarchy levels during the three months ended March 31, 2024. Our forward contract liabilities classified as Level 2 were valued using Precision's closing stock price on the Nasdaq Stock Market. Our Level 3 instrument amounts represent the fair value of the 5% Notes and related accrued interest.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reported in other (income) expense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175,000,000 shares of $0.001 par value common stock.</w:t>
      </w:r>
    </w:p>
    <w:p>
      <w:pPr>
        <w:spacing w:after="0" w:line="225"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activity on the 2022 ATM during the three months ended March 31, 2024 and 2023.</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of which not more than 10,000,000 shares may be issued pursuant to “full-value awards.” Full-value awards include any award other than an option or stock appreciation right and which is settled by the issuance of stock. As of March 31, 2024, 7,181,941 shares of restricted stock and 2,272,500 options were outstanding and up to an additional 5,582,801 shares were available to be issued under the 2022 Incentive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March 31, 2024, 4,216,538 shares of restricted stock and 2,422,029 options were outstanding, and no additional shares were available to be issued under the 2012 Incentive Plan as the 2022 Incentive Plan is currently the Company's only active incentive plan.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$9.3 million and $6.8 million for the three months ended March 31, 2024 and 2023, respectively. The $9.3 million and the $6.8 million for the three months ended March 31, 2024 and 2023, respectively, is net of $1.0 million and $0.3 million of stock-based compensation expense that was capitalized into inventory,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and Restricted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and restricted stock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4,697,029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9,639,068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3,304,468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 or 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(1,379,543)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(165,514)</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awards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4,694,529</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11,398,479</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total compensation cost related to unvested awards not yet recognized and the weighted-average periods over which the awards are expected to be recognized were as follows:</w:t>
      </w:r>
    </w:p>
    <w:tbl>
      <w:tblPr>
        <w:tblLayout w:type="fixed"/>
        <w:tblInd w:w="0" w:type="dxa"/>
        <w:tblCellMar>
          <w:top w:w="0" w:type="dxa"/>
          <w:left w:w="0" w:type="dxa"/>
          <w:bottom w:w="0" w:type="dxa"/>
          <w:right w:w="0" w:type="dxa"/>
        </w:tblCellMar>
      </w:tblPr>
      <w:tr>
        <w:trPr>
          <w:trHeight w:val="211"/>
        </w:trPr>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4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$3,309</w:t>
            </w:r>
          </w:p>
        </w:tc>
        <w:tc>
          <w:tcPr>
            <w:tcW w:w="1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600" w:type="dxa"/>
            <w:vAlign w:val="bottom"/>
          </w:tcPr>
          <w:p>
            <w:pPr>
              <w:spacing w:after="0"/>
              <w:rPr>
                <w:sz w:val="20"/>
                <w:szCs w:val="20"/>
                <w:color w:val="auto"/>
              </w:rPr>
            </w:pP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2.3</w:t>
            </w:r>
          </w:p>
        </w:tc>
        <w:tc>
          <w:tcPr>
            <w:tcW w:w="18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Company’s only outstanding warrants are the warrants issued to Hercules as part of the Loan Agreement, the Amended Loan Agreement and the First Amendment (please refer to Note 7 – Loan Payable) to purchase 147,058, 115,042 and 50,172 shares of our common stock with exercise prices of $4.08, $17.95 and $14.70, respectively. See Note 7 for further details. There will not be any ongoing stock compensation expense volatility associated with these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LOAN PAYABLE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On February 28, 2019 (the Closing Date), we entered into a term loan facility with Hercules Capital, Inc. (Hercules or Lender), which provided us with the capacity to borrow up to an aggregate principal amount of $60.0 million (Term Loan).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83"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On December 30, 2021 (the Amended Loan Agreement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In addition to the cash interest rate, the principal balance accrues paid-in-kind interest at a rate of 3.45%, which amount will be capitalized and added to the outstanding principal balance of the Amended Term Loan and payable at the maturity date of the Amended Loan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color w:val="auto"/>
        </w:rPr>
        <w:t>On March 31, 2023 (the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3A Advance), (ii) formal expiration of Tranche 2,</w:t>
      </w:r>
    </w:p>
    <w:p>
      <w:pPr>
        <w:spacing w:after="0" w:line="1" w:lineRule="exact"/>
        <w:rPr>
          <w:sz w:val="20"/>
          <w:szCs w:val="20"/>
          <w:color w:val="auto"/>
        </w:rPr>
      </w:pPr>
    </w:p>
    <w:p>
      <w:pPr>
        <w:jc w:val="both"/>
        <w:ind w:firstLine="8"/>
        <w:spacing w:after="0" w:line="251" w:lineRule="auto"/>
        <w:tabs>
          <w:tab w:leader="none" w:pos="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draw amounts and dates available under subsequent tranches, including splitting the remaining balance of Tranche 3 into two additional advances in an aggregate principal amount of up to $20.0 million, in increments of $10.0 million (the Tranche 3B Advance and the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The First Amendment contains financial covenants that require the Company to maintain certain levels of unrestricted cash and additional financial covenants related to market capitalization. As of March 31, 2024, we are in compliance with all financial covenants.</w:t>
      </w:r>
    </w:p>
    <w:p>
      <w:pPr>
        <w:spacing w:after="0" w:line="193"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First Amendment also contains warrant coverage of 2.95% of each advance amount funded.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80"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In addition, the Company is required to pay a final payment fee equal to 5.95% of the aggregate principal amount of the Term Loan Advances (as defined in the Loan Agreement) plus 4.95% of the aggregate principal amount of all other advances.</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spacing w:after="0" w:line="176" w:lineRule="exact"/>
        <w:rPr>
          <w:sz w:val="20"/>
          <w:szCs w:val="20"/>
          <w:color w:val="auto"/>
        </w:rPr>
      </w:pPr>
    </w:p>
    <w:p>
      <w:pPr>
        <w:jc w:val="both"/>
        <w:ind w:firstLine="504"/>
        <w:spacing w:after="0" w:line="281" w:lineRule="auto"/>
        <w:rPr>
          <w:sz w:val="20"/>
          <w:szCs w:val="20"/>
          <w:color w:val="auto"/>
        </w:rPr>
      </w:pPr>
      <w:r>
        <w:rPr>
          <w:rFonts w:ascii="Times New Roman" w:cs="Times New Roman" w:eastAsia="Times New Roman" w:hAnsi="Times New Roman"/>
          <w:sz w:val="17"/>
          <w:szCs w:val="17"/>
          <w:color w:val="auto"/>
        </w:rPr>
        <w:t>The Company evaluated whether the First Amendment represented a debt modification or extinguishment of the Term Loan in accordance with ASC 470-50, Debt – Modifications and Extinguishments. As a result of the modification of terms and no repayment or retirement of the Term Loan, the Term Loan was accounted for by the Company under the modification accounting model. The Company capitalized the facility charge from the First Amendment advance to debt issuance costs and expensed third party fees in the Company’s statement of operations for the three months ended March 31, 2023.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estimated the fair value of the First Amendment Warrant using the Black-Scholes model based on the following key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Amended Term Loan</w:t>
            </w:r>
          </w:p>
        </w:tc>
        <w:tc>
          <w:tcPr>
            <w:tcW w:w="160" w:type="dxa"/>
            <w:vAlign w:val="bottom"/>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5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r>
      <w:tr>
        <w:trPr>
          <w:trHeight w:val="414"/>
        </w:trPr>
        <w:tc>
          <w:tcPr>
            <w:tcW w:w="4240" w:type="dxa"/>
            <w:vAlign w:val="bottom"/>
          </w:tcPr>
          <w:p>
            <w:pPr>
              <w:spacing w:after="0"/>
              <w:rPr>
                <w:sz w:val="24"/>
                <w:szCs w:val="24"/>
                <w:color w:val="auto"/>
              </w:rPr>
            </w:pPr>
          </w:p>
        </w:tc>
        <w:tc>
          <w:tcPr>
            <w:tcW w:w="494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The Company incurred financing expenses of $2.0 million (including the fair value of the First Amendment Warrant) related to the First Amendment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$0.6 million and $0.5 million for the three months ended March 31, 2024, and 2023, respectively. At March 31, 2024, the remaining unamortized balance of debt issuance costs was $4.5 million. ​</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payable as of March 31, 2024 and December 31, 2023,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105,799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(5,112)</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payments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payable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101,326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non-current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$0.1 million for the three months ended March 31, 2024.</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$0.1 million for the three months ended March 31, 2024.</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$10.3 million and $7.9 million, respectively, as of March 31, 2024. Our leases have remaining lease terms of 9 months to 7 years. One lease has a renewal option to extend the lease for an additional term of two years. The following components of lease expense are included in the Company’s condensed consolidated statements of operations for the three months ended March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4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5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March 31, 2024, the weighted-average remaining operating lease term was 5.8 years and the weighted-average discount rate for operating leases was 10.01%. Cash paid for amounts included in the measurement of operating lease liabilities during the three months ended March 31, 2024 was $0.6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As of March 31, 2024, the maturities of lease liabilities were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After 2029</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420" w:hanging="412"/>
        <w:spacing w:after="0" w:line="261"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subsidiaries of LFB Group, relating to the development of ublituximab (the LFB License Agreement). Under the terms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we have acquired the exclusive worldwide rights (exclusive of France/Belgium) for the development and commercialization of ublituximab.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March 31, 2024, we have incurred approximately $31.0 million in expense related to the achievement of certain milestones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digits. The license will terminate on a country-by-country basis upon the expiration of the last licensed patent right or 15 years after the first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a product in such country, unless the agreement is earlier terminated (i) by LFB if the Company challenges any of the licensed patent rights, (ii)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due to a breach of the agreement, or (iii) by either party in the event of the insolvency of the other party. During the three months ended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the Company recorded $4.9 million related to the worldwide royalty due under the LFB License Agreement in cost of revenue based on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BRIUMVI in the U.S. and the EU, compared to $0.8 million during the three months ended March 31, 2023 related to the worldwide royalty due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LFB License Agreement in cost of revenue based on U.S. sales of BRIUMVI. As of March 31, 2024, $4.9 million in royalties were payable under the LFB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2024 and 2023. At March 31, 2024 and December 31, 2023, we have deferred revenue of approximately $0.3 million and $0.5 million, respectively, associated with this $2 million payment (approximately $0.2 million of which has been classified in current liabilities at March 31, 2024 and December 31, 2023).</w:t>
      </w:r>
    </w:p>
    <w:p>
      <w:pPr>
        <w:spacing w:after="0" w:line="18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territories outside the United States, Canada, and Mexico, which are retained by TG, and excluding certain Asian countries previously partnered. Under the terms of the Commercialization Agreement, the Company received a one-time, non-refundable payment of $140.0 million upon contract execution (please refer to Note 2 – Revenue). In March 2024, the Company received a $12.5 million milestone payment upon the first key market commercial launch in the EU. The Company is eligible to receive up to an additional $492.5 million in milestone-based payments on achievement of certain launch and commercial milestones. In addition, TG will receive tiered double-digit royalties on net product sales up to 30%. Royalty revenue of less than $0.1 million was recognized during the three months ended March 31, 2024. In the event of a change of control of the Company (as defined in the Commercialization Agreement), the Company retains an option to buy back all rights under the Commercialization Agreement for a period of two years thereafter.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Azer-cel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7,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at a price of $0.77 per share. Within 12 months of the Precision License Agreement, the Company will make a deferred payment of $2.5 million to Precision, consisting of an equity investment in Precision’s common stock at a 100% premium to the 30-day volume-weighted average price (the 30-day VWAP) prior to purchase.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$293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The Company has also agreed to make certain payments to Precision’s licensors during the term of the Precision License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$0.6 million and $0.2 million for the three months ended March 31, 2024 and 2023, respectively, primarily related to shared personnel. Mr. Weiss, our Chairman and Chief Executive Officer, also serves as a director and Executive Vice Chairman, Strategic Development of FBIO.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are based on a number of assumptions and estimates that are inherently subject to significant risks and uncertainties,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could differ materially from the results anticipated by our forward-looking statements as a result of many known or unknown factors, including,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limited to, those factors discussed in Risk Factors. See also the Special Cautionary Notice Regarding Forward-Looking Statements set forth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of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Expansion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9, 2024, we entered into an agreement with Precision BioSciences, Inc. (Precision) to acquire a worldwide license to Precision’s azercabtagene zapreleucel (azer-cel), an allogeneic CD19 CAR T cell therapy program for autoimmune diseases and all other non-oncology indications. Azer-cel is an allogeneic (off the shelf) CAR T program, and the Company has near term plans to evaluate the program in multiple autoimmune indications.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Ex-US Launch</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26, 2024, we announced the commercial launch of BRIUMVI in the EU by Neuraxpharm, with BRIUMVI made available for commercial sale in Germany, with additional EU markets expected to follow.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Patents</w:t>
      </w:r>
    </w:p>
    <w:p>
      <w:pPr>
        <w:spacing w:after="0" w:line="229"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April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 of Development</w:t>
            </w:r>
          </w:p>
        </w:tc>
      </w:tr>
      <w:tr>
        <w:trPr>
          <w:trHeight w:val="255"/>
        </w:trPr>
        <w:tc>
          <w:tcPr>
            <w:tcW w:w="38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(trial name)</w:t>
            </w:r>
          </w:p>
        </w:tc>
      </w:tr>
      <w:tr>
        <w:trPr>
          <w:trHeight w:val="193"/>
        </w:trPr>
        <w:tc>
          <w:tcPr>
            <w:tcW w:w="3880" w:type="dxa"/>
            <w:vAlign w:val="bottom"/>
            <w:tcBorders>
              <w:left w:val="single" w:sz="8" w:color="auto"/>
              <w:bottom w:val="single" w:sz="8" w:color="auto"/>
              <w:right w:val="single" w:sz="8" w:color="auto"/>
            </w:tcBorders>
            <w:gridSpan w:val="2"/>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Relapsing Forms of Multiple Sclerosis (RMS) </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r>
      <w:tr>
        <w:trPr>
          <w:trHeight w:val="210"/>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TG-1701</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(BTK inhibitor)</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disorders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09"/>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TG-1801</w:t>
            </w:r>
          </w:p>
        </w:tc>
        <w:tc>
          <w:tcPr>
            <w:tcW w:w="3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(anti-CD47/CD19 bispecific mAb)</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disorders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11"/>
        </w:trPr>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BRIUMVI approvals were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 Pediatrics, and Genetics at Stanford University. Full enrollment was completed in October 2018, with approximately 1,100 subjects enrolled in both studies combined.</w:t>
      </w:r>
    </w:p>
    <w:p>
      <w:pPr>
        <w:spacing w:after="0" w:line="189" w:lineRule="exact"/>
        <w:rPr>
          <w:sz w:val="20"/>
          <w:szCs w:val="20"/>
          <w:color w:val="auto"/>
        </w:rPr>
      </w:pPr>
    </w:p>
    <w:p>
      <w:pPr>
        <w:jc w:val="both"/>
        <w:ind w:left="1040" w:hanging="290"/>
        <w:spacing w:after="0" w:line="255"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1040" w:hanging="290"/>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jc w:val="both"/>
        <w:ind w:left="1020" w:hanging="270"/>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exploratory data sets from the ULTIMATE I &amp; II Phase 3 trials continue to be presented at major medical meetings. BRIUMVI is also being studied in the ENHANCE Phase 3b trial evaluating RMS patients who switch from a IV anti-CD20 therapy to BRIUMVI and data from the ENHANCE trial was most recently presented at the 2024 Americas Committee for Treatment and Research in Multiple Sclerosis Annual Meeting held in February 2024.</w:t>
      </w:r>
    </w:p>
    <w:p>
      <w:pPr>
        <w:spacing w:after="0" w:line="1" w:lineRule="exact"/>
        <w:rPr>
          <w:rFonts w:ascii="Times New Roman" w:cs="Times New Roman" w:eastAsia="Times New Roman" w:hAnsi="Times New Roman"/>
          <w:sz w:val="18"/>
          <w:szCs w:val="18"/>
          <w:color w:val="auto"/>
        </w:rPr>
      </w:pPr>
    </w:p>
    <w:p>
      <w:pPr>
        <w:ind w:left="1020" w:hanging="270"/>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w:t>
      </w:r>
    </w:p>
    <w:p>
      <w:pPr>
        <w:spacing w:after="0" w:line="176" w:lineRule="exact"/>
        <w:rPr>
          <w:sz w:val="20"/>
          <w:szCs w:val="20"/>
          <w:color w:val="auto"/>
        </w:rPr>
      </w:pPr>
    </w:p>
    <w:p>
      <w:pPr>
        <w:jc w:val="both"/>
        <w:ind w:left="1380" w:hanging="333"/>
        <w:spacing w:after="0" w:line="26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efforts focused on engaging targeted neurology accounts with multi-channel promotional programming, sales engagements, infusion training and education. We also worked closely with payers to begin to secure insurance coverage for BRIUMVI. The first patient received a BRIUMVI infusion on February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2023, we announced an agreement with Neuraxpharm, a leading European specialty pharmaceutical company focused on the treatment of CNS disorders, for the Ex-U.S. commercialization of BRIUMVI (Commercialization Agreement). Under the terms of the Commercialization Agreement, we received an upfront payment of $140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the Company previously partnered. We retain an option to buy back all rights under the Commercialization Agreement for a period of two years in the event of a change in control of TG.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 2023, we announced that we also received approval by the MHRA for BRIUMVI to treat adult patients with RMS with active disease defined by clinical or imaging features in the UK.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26, 2024, we announced the commercial launch of BRIUMVI in the EU by Neuraxpharm, with BRIUMVI made available for commercial sale in Germany, with additional EU markets expected to follow.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50,488</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63,474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7,803</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15,870</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28,068</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72,744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44,795</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(39,232)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$50.5 million for the three months ended March 31, 2024, compared to $7.8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2023. Product revenue, net for the both the three months ended March 31, 2024 and March 31, 2023, consisted of net product sales of BRIUMVI in the United States. In January 2023, we began commercial sales of BRIUMVI within the U.S. following FDA approval. The increase in product revenue, net is driven by an increase in product shipments for BRIUMVI as a result of greater market penetration.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$12.5 million and less than $0.1 million for the three months ended March 31, 2024 and March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License revenue for the three months ended March 31, 2024 is predominantly comprised of a milestone payment under the Neuraxpharm Commercialization Agreement for the first key market commercial launch of BRIUMVI in the EU. License revenue for the three months ended March 31, 2023 is comprised of recognition of a portion of the upfront payment from the Ublituximab sublicense agreement with Ildong.</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Revenue</w:t>
      </w:r>
      <w:r>
        <w:rPr>
          <w:rFonts w:ascii="Times New Roman" w:cs="Times New Roman" w:eastAsia="Times New Roman" w:hAnsi="Times New Roman"/>
          <w:sz w:val="18"/>
          <w:szCs w:val="18"/>
          <w:color w:val="auto"/>
        </w:rPr>
        <w:t>. Other revenue was approximately $0.5 million and zero for the three months ended March 31, 2024 and March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Other revenue for the three months ended March 31, 2024 is comprised of consideration received for development and regulatory activities performed on behalf of Neuraxpharm in accordance with the Commercialization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March 31, 2024 was $5.4 million compared to approximately $0.9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2023. Cost of revenue for both the three months ended March 31, 2024 and March 31,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As a result, our initial product gross margin is higher as our pre-launch inventory costs are not included in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A portion of the cost of revenue for the three months ended March 31, 2023 includes costs related to delivering regulatory support &amp; development services to Neuraxpharm in accordance with the Commercialization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$2.5 million for the three months ended March 31, 2024, as compared to $1.6 million during the comparable period ended March 31, 2023. The increase in noncash compensation expense was primarily due to greater vesting of equity grants during the three months ended March 31, 2024, as compared to the three months ended March 31,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increased for the three months ended March 31, 2024,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$16.0 million to $30.3 million as compared to the comparable period ended March 31, 2023. The increase in research and development expense during the three months ended March 31, 2024 was primarily attributable to the Precision License Agreement, as well as manufacturing related expenses during the period.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$6.9 million for the three months ended March 31, 2024, as compared to $5.2 million during the comparable period ended March 31, 2023. The increase in noncash compensation expense was primarily due to greater vesting of equity grants during the three months ended March 31, 2024, as compared to the three months ended March 31,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w:t>
      </w:r>
      <w:r>
        <w:rPr>
          <w:rFonts w:ascii="Times New Roman" w:cs="Times New Roman" w:eastAsia="Times New Roman" w:hAnsi="Times New Roman"/>
          <w:sz w:val="18"/>
          <w:szCs w:val="18"/>
          <w:color w:val="auto"/>
        </w:rPr>
        <w:t>. Other selling, general and administrative expenses totaled $27.7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as compared to $22.8 million during the comparable period ended March 31, 2023. The increase was primarily due to other selling, general and administrative costs, including personnel and consultants, associated with the commercialization of BRIUMVI, during the three months ended March 31,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decreased by $0.5 million to $2.3 million for the three months ended March 31,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 million for the three months ended March 31, 2023.</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increased by $0.3 million to $0.9 million for the three months ended March 31, 2024 as compared to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2023. The increase is mainly due to higher interest income received from our money market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incurred operating losses since our inception; however, the Company experienced a net profit during the twelve months ended December 31, 2023 due to a $140.0 million non-refundable upfront payment recognized as license revenue in the third quarter of 2023 as part of our Commercialization Agreement with Neuraxpharm (see Note 2 for more information). We expect to continue to incur operating losses in the near term and may never become profitable. As of March 31, 2024, we have an accumulated deficit of $1.5 billion.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our loan and security agreements executed with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During the three months ended March 31, 2024, we generated $50.5 million in product revenue from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2024, we had $209.8 million in cash and cash equivalents, and investment securities. The Company believes its existing cash, cash equivalents, and investment securities, combined with projected revenues associated with the sale of BRIUMVI in the U.S. and ex-U.S., will be sufficient to fund its anticipated operating cash requirements for at least twelve months following the date of this filing.</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(8,207)</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(59,902)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(9,255)</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25,238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$8.2 million as compared to cash used in operating activities of $59.9 million for the three months ended March 31, 2023. The decrease in net cash used in operating activities was due to a lower net loss during the three months ended March 31, 2024, offset by an increase in inventory of $50.5 million during the same period. This inventory balance increase was due to the buildup of inventory in support of BRIUMVI forecasted sales, to ensure appropriate safety stock levels, and meet our commitment to supply BRIUMVI to Neuraxpharm in relation to the Commercialization Agreement.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$9.3 million as compared to $6.2 million for the three months ended March 31, 2023. The increase in net cash used in investing activities was primarily due to increased investment in short-term and long-term securities during the three months ended March 31,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approximately zero as compared to net cash provided by financing activities of $25.2 million for the three months ended March 31, 2023. The increase in net cash provided by financing activities during the three months ended March 31, 2023 included an advance of $25.0 million drawn as part of the First Amendment entered into with Hercules.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2023 Annual Report on Form 10-K for the year ended December 31, 2023 and refer to Note 1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–Revenue”, “Note 5 - Fair Value Measurements” and “Note 6 – Stockholders’ Equity” respectively, for more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As of March 31, 2024,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2024, our disclosure controls and procedures were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2024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8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such as the COVID-19 pandemic could impact commercialization of BRIUMVI. Patients and healthcare providers have raised concerns that immunosuppressive products like anti-CD20 antibodies and other B-cell targeted agents may increase the risk of acquiring viruses such as COVID-19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for potentially costly post-marketing testing, including Phase 4 clinical trials, and surveillance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8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TG-1701 and TG-1801 in B-cell disorders and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On April 27, 2023, we received a product-specific J-Code for BRIUMVI (J2329), which became effective July 1, 2023 and is expected to help reduce reluctance by physicians to prescribe BRIUMVI based on reimbursement concerns. However, some third-party payors may nevertheless still require documented proof that patients meet certain eligibility criteria in order to be reimbursed for BRIUMVI.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built processes and systems to support the commercialization of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commercialize BRIUMVI and our other product candidates on our own, or through partnership, and generate product revenues include:</w:t>
      </w:r>
    </w:p>
    <w:p>
      <w:pPr>
        <w:spacing w:after="0" w:line="162" w:lineRule="exact"/>
        <w:rPr>
          <w:sz w:val="20"/>
          <w:szCs w:val="20"/>
          <w:color w:val="auto"/>
        </w:rPr>
      </w:pPr>
    </w:p>
    <w:p>
      <w:pPr>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980" w:right="2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our partner commercially launched BRIUMVI in Germany, the first European market in which BRIUMVI has launched.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typically are subject to procurement laws that include socio-economic, employment practices, environmental protection, recordkeeping and accounting, and other requirements. These contractual and legal requirements could complicate our business and increase our compliance burden. The occurrence of any of these risks could harm our reputation and might have a materially adverse impact on our business operations and our financial position 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 well as significant commercialization and outsourced-manufacturing expenses as we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our products or product candidates that generate significant revenue.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product and product candidates. Our ability to generate sustained revenue depends on a number of factors, including, but not limited to, our ability to:</w:t>
      </w:r>
    </w:p>
    <w:p>
      <w:pPr>
        <w:spacing w:after="0" w:line="187"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MHRA and EMA approvals of BRIUMVI for RMS;</w:t>
      </w: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 and</w:t>
      </w:r>
    </w:p>
    <w:p>
      <w:pPr>
        <w:spacing w:after="0" w:line="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also continuing to generate additional clinical data for BRIUMVI to support and potentially expand commercial adoption, including assessing long-term tolerability in an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now that we have launched BRIUMVI, we will need to expend substantial resources on maintaining approvals and continuing commercialization, manufacturing and distribution over the foreseeable future. Additionally, we expect to commence a trial evaluating azer-cel in autoimmune disease in 2024. We are also currently advancing our early-stage drug candidates, TG-1701 and TG-1801 in ongoing Phase 1 studies to identify tolerable and efficacious doses.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loan and security agreement that we entered into with Hercules in February 2019, amended and restated in December 2021 and amended on March 31, 2023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condensed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with Hercules Capital, Inc., a Maryland corporation (Hercules), and on December 30, 2021 (the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On March 31, 2023 (the First Amendment Effective Date), the Company entered into a First Amendment to the Amended Loan Agreement (the First Amendment) with Hercules. An advance of $25.0 million was drawn at the First Amendment Effective Date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condensed consolidated financial statements for more information). We have the option to request additional loan advances in an aggregate principal amount of up to $60.0 million under the First Amendment.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obligations under the Amended Loan Agreement, as amended,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ind w:left="980" w:hanging="324"/>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hanging="324"/>
        <w:spacing w:after="0" w:line="255"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Amended Loan Agreement, as amended, could result in an event of default that, if not cured or waived, would accelerate our obligation to repay this indebtedness, and Hercules could seek to enforce its security interest in the assets securing such indebtedness.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Amended Loan Agreement, as amended, or the breach of any of its covenants, subject to specified cure periods with respect to certain breaches, could result in an event of default and, as a result, Hercules could accelerate all the amounts due. In the event of an acceleration of amounts due under the Amended Loan Agreement, as amended,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Amended Loan Agreement, as amended, imposes operating and other restrictions on the Company. Such restrictions will affect, and in many respects limit or prohibit, our ability and the ability of any future subsidiary to, among other things:</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did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regulatory approval for our product and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Drugs (INDs) and clinical trial applications (CTAs), being cleared/approved such that our product candidates can commence clinical trials;</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or the Israel-Hamas war, economic instability, or natural disasters;</w:t>
      </w:r>
    </w:p>
    <w:p>
      <w:pPr>
        <w:spacing w:after="0" w:line="2"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jc w:val="both"/>
        <w:ind w:left="980" w:hanging="324"/>
        <w:spacing w:after="0" w:line="255"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For example, in December 2022, with the passage of Food and Drug Omnibus Reform Act,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If we are not able to adhere to these new requirements, our ability to conduct clinical trials may be delayed or halted.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have complete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9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980" w:right="2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right="1900" w:hanging="324"/>
        <w:spacing w:after="0" w:line="265"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identify issues related to the manufacturing processes or facilities of third-party manufacturers with which we or our collaborators currently contract for clinical supplies and</w:t>
      </w:r>
    </w:p>
    <w:p>
      <w:pPr>
        <w:jc w:val="both"/>
        <w:ind w:left="9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spacing w:after="0" w:line="1" w:lineRule="exact"/>
        <w:rPr>
          <w:rFonts w:ascii="Times New Roman" w:cs="Times New Roman" w:eastAsia="Times New Roman" w:hAnsi="Times New Roman"/>
          <w:sz w:val="17"/>
          <w:szCs w:val="17"/>
          <w:color w:val="auto"/>
        </w:rPr>
      </w:pPr>
    </w:p>
    <w:p>
      <w:pPr>
        <w:ind w:left="980" w:hanging="324"/>
        <w:spacing w:after="0" w:line="250"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foreign regulatory authorities may significantly change in a manner rendering our clinical data insufficient for approval; or</w:t>
      </w:r>
    </w:p>
    <w:p>
      <w:pPr>
        <w:jc w:val="both"/>
        <w:ind w:left="980" w:hanging="324"/>
        <w:spacing w:after="0" w:line="255"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inadequate government funding, or economic crises, such as the COVID-19 pandemic, international conflict, or national disasters may negatively impact review, inspection, and approval timelines.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(DHHS) to set drug price caps for certain high-cost Medicare Part B and Part D qualified drugs, with the initial list of drugs selected on August 29, 2023, and the first year of maximum price applicability to begin in 2026. On October 3, 2023, the Centers for Medicare</w:t>
      </w:r>
    </w:p>
    <w:p>
      <w:pPr>
        <w:spacing w:after="0" w:line="3" w:lineRule="exact"/>
        <w:rPr>
          <w:sz w:val="20"/>
          <w:szCs w:val="20"/>
          <w:color w:val="auto"/>
        </w:rPr>
      </w:pPr>
    </w:p>
    <w:p>
      <w:pPr>
        <w:jc w:val="both"/>
        <w:ind w:firstLine="8"/>
        <w:spacing w:after="0" w:line="253" w:lineRule="auto"/>
        <w:tabs>
          <w:tab w:leader="none" w:pos="1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announced that all manufacturers of the initially selected drugs opted to participate.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relationships with customers and third-party payors </w:t>
      </w:r>
      <w:r>
        <w:rPr>
          <w:rFonts w:ascii="Times New Roman" w:cs="Times New Roman" w:eastAsia="Times New Roman" w:hAnsi="Times New Roman"/>
          <w:sz w:val="18"/>
          <w:szCs w:val="18"/>
          <w:b w:val="1"/>
          <w:bCs w:val="1"/>
          <w:i w:val="1"/>
          <w:iCs w:val="1"/>
          <w:u w:val="single" w:color="auto"/>
          <w:color w:val="auto"/>
        </w:rPr>
        <w:t>are</w:t>
      </w:r>
      <w:r>
        <w:rPr>
          <w:rFonts w:ascii="Times New Roman" w:cs="Times New Roman" w:eastAsia="Times New Roman" w:hAnsi="Times New Roman"/>
          <w:sz w:val="18"/>
          <w:szCs w:val="18"/>
          <w:b w:val="1"/>
          <w:bCs w:val="1"/>
          <w:i w:val="1"/>
          <w:iCs w:val="1"/>
          <w:color w:val="auto"/>
        </w:rPr>
        <w:t xml:space="preserv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980" w:hanging="324"/>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980" w:right="2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980" w:hanging="324"/>
        <w:spacing w:after="0" w:line="253"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(CCPA), went into effect in January 2020 creating data privacy obligations for covered companies and providing privacy rights to California residents, including the right to opt out of certain disclosures of their information. Colorado, Connecticut, Utah, Virginia and Iowa have also enacted data privacy statutes, and both California and Colorado are also undergoing or have undergone rulemaking procedures to finalize regulatory regimes to supplement their privacy statutes.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personally identifiable data. For example, the processing of personal data in the European Economic Area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authorities in the EU, including applicable export control regulations,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including the Nasdaq Stock Market, for violations of the FCPA’s accounting provisions. Likewise, any investigation of any potential violations of the FCPA, other anti-corruption laws or Trade Control Laws by U.S., or other authorities could also have an adverse impact on our reputation, our business, results of operations and financial condition.</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 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Neuraxpharm announced the commercial launch of BRIUMVI in Germany and expects to launch BRIUMVI in additional international markets as well. In addition to the Commercialization Agreement, we may enter into collaboration arrangements with other collaboration and commercialization partners.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980" w:right="20" w:hanging="324"/>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98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980" w:right="20" w:hanging="324"/>
        <w:spacing w:after="0" w:line="25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980" w:hanging="324"/>
        <w:spacing w:after="0" w:line="253"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May 3, 2024, we had 284 full-time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$1.4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closures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the conflicts between Russia and Ukraine and Israel and Hamas, the possibility of wider European, Middle Eastern or global conflicts, and the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another example, in August 2022, the Inflation Reduction Act of 2022 was enacted, and, among other things, included a new 15% alternative minimum tax on the adjusted financial statement income of certain large corporations for tax years beginning after December 31, 2022. To the extent that such changes have a negative impact on us, including as a result of related uncertainty, these changes could adversely impact our business,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stock at a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German market and the anticipated launch of BRIUMVI in additional European markets;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 such as the disruptions in the global economy caused by the COVID-19 pandemic, the conflict between Russia and Ukraine, and the Israel-Hamas war;</w:t>
      </w: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if we fail, or are perceived to have failed, to effectively respond to changes in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likely be the sole source of gain for our stockholders.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However, any future determination relating to the use of our future earnings,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Amended Loan Agreement, as amended,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likely the sole source of gain for our stockholders for the foreseeable future.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 ​</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tbl>
      <w:tblPr>
        <w:tblLayout w:type="fixed"/>
        <w:tblInd w:w="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94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13a-14(a)/15d-14(a), as adopted pursuant to Section 302 of the Sarbanes-</w:t>
            </w:r>
          </w:p>
        </w:tc>
      </w:tr>
      <w:tr>
        <w:trPr>
          <w:trHeight w:val="196"/>
        </w:trPr>
        <w:tc>
          <w:tcPr>
            <w:tcW w:w="1640" w:type="dxa"/>
            <w:vAlign w:val="bottom"/>
          </w:tcPr>
          <w:p>
            <w:pPr>
              <w:spacing w:after="0"/>
              <w:rPr>
                <w:sz w:val="17"/>
                <w:szCs w:val="17"/>
                <w:color w:val="auto"/>
              </w:rPr>
            </w:pPr>
          </w:p>
        </w:tc>
        <w:tc>
          <w:tcPr>
            <w:tcW w:w="9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6, 2024.</w:t>
            </w:r>
          </w:p>
        </w:tc>
        <w:tc>
          <w:tcPr>
            <w:tcW w:w="20" w:type="dxa"/>
            <w:vAlign w:val="bottom"/>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3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 Section 302 of the Sarbanes-</w:t>
            </w:r>
          </w:p>
        </w:tc>
        <w:tc>
          <w:tcPr>
            <w:tcW w:w="60" w:type="dxa"/>
            <w:vAlign w:val="bottom"/>
            <w:gridSpan w:val="3"/>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6, 2024.</w:t>
            </w:r>
          </w:p>
        </w:tc>
      </w:tr>
      <w:tr>
        <w:trPr>
          <w:trHeight w:val="20"/>
        </w:trPr>
        <w:tc>
          <w:tcPr>
            <w:tcW w:w="16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4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1350, as adopted pursuant to Section 906 of the Sarbanes-Oxley Act</w:t>
            </w:r>
          </w:p>
        </w:tc>
      </w:tr>
      <w:tr>
        <w:trPr>
          <w:trHeight w:val="196"/>
        </w:trPr>
        <w:tc>
          <w:tcPr>
            <w:tcW w:w="16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2002, dated May 6, 2024.</w:t>
            </w:r>
          </w:p>
        </w:tc>
        <w:tc>
          <w:tcPr>
            <w:tcW w:w="7400" w:type="dxa"/>
            <w:vAlign w:val="bottom"/>
            <w:gridSpan w:val="5"/>
          </w:tcPr>
          <w:p>
            <w:pPr>
              <w:spacing w:after="0"/>
              <w:rPr>
                <w:sz w:val="17"/>
                <w:szCs w:val="17"/>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1350, as adopted pursuant to Section 906 of the Sarbanes-Oxley Act</w:t>
            </w:r>
          </w:p>
        </w:tc>
        <w:tc>
          <w:tcPr>
            <w:tcW w:w="40" w:type="dxa"/>
            <w:vAlign w:val="bottom"/>
            <w:gridSpan w:val="2"/>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 2002, dated May 6 2024.</w:t>
            </w:r>
          </w:p>
        </w:tc>
      </w:tr>
      <w:tr>
        <w:trPr>
          <w:trHeight w:val="20"/>
        </w:trPr>
        <w:tc>
          <w:tcPr>
            <w:tcW w:w="164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r>
      <w:tr>
        <w:trPr>
          <w:trHeight w:val="21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March 31, 2024,</w:t>
            </w:r>
          </w:p>
        </w:tc>
      </w:tr>
      <w:tr>
        <w:trPr>
          <w:trHeight w:val="216"/>
        </w:trPr>
        <w:tc>
          <w:tcPr>
            <w:tcW w:w="164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r>
      <w:tr>
        <w:trPr>
          <w:trHeight w:val="216"/>
        </w:trPr>
        <w:tc>
          <w:tcPr>
            <w:tcW w:w="164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r>
      <w:tr>
        <w:trPr>
          <w:trHeight w:val="216"/>
        </w:trPr>
        <w:tc>
          <w:tcPr>
            <w:tcW w:w="164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r>
      <w:tr>
        <w:trPr>
          <w:trHeight w:val="216"/>
        </w:trPr>
        <w:tc>
          <w:tcPr>
            <w:tcW w:w="1640" w:type="dxa"/>
            <w:vAlign w:val="bottom"/>
          </w:tcPr>
          <w:p>
            <w:pPr>
              <w:spacing w:after="0"/>
              <w:rPr>
                <w:sz w:val="18"/>
                <w:szCs w:val="18"/>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26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83</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2024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2024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Roman"/>
      <w:start w:val="3"/>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amp;"/>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2024-05-06T16:07:51Z</dcterms:created>
  <dcterms:modified xsi:type="dcterms:W3CDTF">2024-05-06T16:07:51Z</dcterms:modified>
</cp:coreProperties>
</file>