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1350010</wp:posOffset>
            </wp:positionH>
            <wp:positionV relativeFrom="paragraph">
              <wp:posOffset>-281940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1346200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There were 131,490,195 shares of the registrant’s common stock, $0.001 par value, outstanding as of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280" w:type="dxa"/>
            <w:vAlign w:val="bottom"/>
          </w:tcPr>
          <w:p>
            <w:pPr>
              <w:ind w:left="280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405"/>
        </w:trPr>
        <w:tc>
          <w:tcPr>
            <w:tcW w:w="79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9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 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72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72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Operations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Stockholders’ (Deficit) Equity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w:t>
              </w:r>
            </w:hyperlink>
          </w:p>
        </w:tc>
        <w:tc>
          <w:tcPr>
            <w:tcW w:w="7280" w:type="dxa"/>
            <w:vAlign w:val="bottom"/>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w:t>
              </w:r>
            </w:hyperlink>
          </w:p>
        </w:tc>
        <w:tc>
          <w:tcPr>
            <w:tcW w:w="728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PART II</w:t>
              </w:r>
            </w:hyperlink>
          </w:p>
        </w:tc>
        <w:tc>
          <w:tcPr>
            <w:tcW w:w="728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w:t>
              </w:r>
            </w:hyperlink>
          </w:p>
        </w:tc>
        <w:tc>
          <w:tcPr>
            <w:tcW w:w="728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1A</w:t>
              </w:r>
            </w:hyperlink>
          </w:p>
        </w:tc>
        <w:tc>
          <w:tcPr>
            <w:tcW w:w="728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6</w:t>
              </w:r>
            </w:hyperlink>
          </w:p>
        </w:tc>
        <w:tc>
          <w:tcPr>
            <w:tcW w:w="7280" w:type="dxa"/>
            <w:vAlign w:val="bottom"/>
          </w:tcPr>
          <w:p>
            <w:pPr>
              <w:ind w:left="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294"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being accepted by doctors, patients or payors;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the sufficiency of our existing cash and cash equivalents and investments to finance our operating requirements, including expectations regarding the value and liquidity of our investments;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impact of the coronavirus (“COVID-19”) pandemic and government measures to control it.</w:t>
      </w:r>
    </w:p>
    <w:p>
      <w:pPr>
        <w:spacing w:after="0" w:line="319"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74"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You should read this report and the documents that we have filed as exhibits to this report completely and with the understanding that our actual future results, performance or achievements may be materially different from what we expect. Any forward-looking statements contained in this report reflect our current views with respect to future events 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This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include the following:</w:t>
      </w:r>
    </w:p>
    <w:p>
      <w:pPr>
        <w:spacing w:after="0" w:line="170" w:lineRule="exact"/>
        <w:rPr>
          <w:sz w:val="20"/>
          <w:szCs w:val="20"/>
          <w:color w:val="auto"/>
        </w:rPr>
      </w:pPr>
    </w:p>
    <w:p>
      <w:pPr>
        <w:ind w:left="720" w:right="259" w:hanging="319"/>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2" w:lineRule="exact"/>
        <w:rPr>
          <w:rFonts w:ascii="Arial" w:cs="Arial" w:eastAsia="Arial" w:hAnsi="Arial"/>
          <w:sz w:val="18"/>
          <w:szCs w:val="18"/>
          <w:color w:val="auto"/>
        </w:rPr>
      </w:pPr>
    </w:p>
    <w:p>
      <w:pPr>
        <w:ind w:left="720" w:right="19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regulatory approval for our most advanced drug candidates or other drug candidates and ultimately cannot commercialize our most advanced drug candidates or other drug candidates, or experience significant delays in doing so, our business will be materially harmed.</w:t>
      </w:r>
    </w:p>
    <w:p>
      <w:pPr>
        <w:spacing w:after="0" w:line="1" w:lineRule="exact"/>
        <w:rPr>
          <w:rFonts w:ascii="Arial" w:cs="Arial" w:eastAsia="Arial" w:hAnsi="Arial"/>
          <w:sz w:val="18"/>
          <w:szCs w:val="18"/>
          <w:color w:val="auto"/>
        </w:rPr>
      </w:pPr>
    </w:p>
    <w:p>
      <w:pPr>
        <w:ind w:left="720" w:right="239" w:hanging="319"/>
        <w:spacing w:after="0" w:line="281"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raise substantial additional funding. If we are unable to raise capital when needed, we would be forced to delay, reduce or eliminate some of our drug development programs or commercialization efforts.</w:t>
      </w:r>
    </w:p>
    <w:p>
      <w:pPr>
        <w:spacing w:after="0" w:line="1" w:lineRule="exact"/>
        <w:rPr>
          <w:rFonts w:ascii="Arial" w:cs="Arial" w:eastAsia="Arial" w:hAnsi="Arial"/>
          <w:sz w:val="16"/>
          <w:szCs w:val="16"/>
          <w:color w:val="auto"/>
        </w:rPr>
      </w:pPr>
    </w:p>
    <w:p>
      <w:pPr>
        <w:ind w:left="720" w:right="3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jc w:val="both"/>
        <w:ind w:left="720" w:right="79" w:hanging="319"/>
        <w:spacing w:after="0" w:line="281"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 Moreover, 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 w:lineRule="exact"/>
        <w:rPr>
          <w:rFonts w:ascii="Arial" w:cs="Arial" w:eastAsia="Arial" w:hAnsi="Arial"/>
          <w:sz w:val="16"/>
          <w:szCs w:val="16"/>
          <w:color w:val="auto"/>
        </w:rPr>
      </w:pP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 w:lineRule="exact"/>
        <w:rPr>
          <w:rFonts w:ascii="Arial" w:cs="Arial" w:eastAsia="Arial" w:hAnsi="Arial"/>
          <w:sz w:val="18"/>
          <w:szCs w:val="18"/>
          <w:color w:val="auto"/>
        </w:rPr>
      </w:pPr>
    </w:p>
    <w:p>
      <w:pPr>
        <w:ind w:left="720" w:right="499" w:hanging="319"/>
        <w:spacing w:after="0" w:line="265"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seek accelerated approval for some of our product candidates but may not be able to obtain it as the sufficiency of our clinical trial results for accelerated approval are subject to the FDA’s discretion.</w:t>
      </w:r>
    </w:p>
    <w:p>
      <w:pPr>
        <w:ind w:left="720" w:right="45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fast track or breakthrough therapy designation by the FDA may not actually lead to a faster development or regulatory review or approval process.</w:t>
      </w: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received orphan drug designation for some of our drug candidates for specified indications, and we may seek orphan drug designation for additional indications and some other of our drug candidates. However, we may be unsuccessful in obtaining or may be unable to maintain the benefits associated with orphan drug designation, including the potential for market exclusivity.</w:t>
      </w:r>
    </w:p>
    <w:p>
      <w:pPr>
        <w:spacing w:after="0" w:line="1" w:lineRule="exact"/>
        <w:rPr>
          <w:rFonts w:ascii="Arial" w:cs="Arial" w:eastAsia="Arial" w:hAnsi="Arial"/>
          <w:sz w:val="18"/>
          <w:szCs w:val="18"/>
          <w:color w:val="auto"/>
        </w:rPr>
      </w:pPr>
    </w:p>
    <w:p>
      <w:pPr>
        <w:jc w:val="both"/>
        <w:ind w:left="720" w:right="79" w:hanging="319"/>
        <w:spacing w:after="0" w:line="323"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incidence and prevalence for the target patient populations of our drug candidates have not been established with precision. If the market opportunities for our drug candidates are smaller than we estimate or if any approval</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58" w:lineRule="auto"/>
        <w:rPr>
          <w:sz w:val="20"/>
          <w:szCs w:val="20"/>
          <w:color w:val="auto"/>
        </w:rPr>
      </w:pPr>
      <w:r>
        <w:rPr>
          <w:rFonts w:ascii="Arial" w:cs="Arial" w:eastAsia="Arial" w:hAnsi="Arial"/>
          <w:sz w:val="18"/>
          <w:szCs w:val="18"/>
          <w:color w:val="auto"/>
        </w:rPr>
        <w:t>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jc w:val="both"/>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 and could limit commercialization of any drug candidates that we may develop.</w:t>
      </w:r>
    </w:p>
    <w:p>
      <w:pPr>
        <w:ind w:left="720" w:right="7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 public health issues, and specifically the pandemic caused by COVID-19, could have an adverse impact on our financial condition and results of operations and other aspects of our business.</w:t>
      </w:r>
    </w:p>
    <w:p>
      <w:pPr>
        <w:jc w:val="both"/>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1" w:lineRule="exact"/>
        <w:rPr>
          <w:rFonts w:ascii="Arial" w:cs="Arial" w:eastAsia="Arial" w:hAnsi="Arial"/>
          <w:sz w:val="18"/>
          <w:szCs w:val="18"/>
          <w:color w:val="auto"/>
        </w:rPr>
      </w:pPr>
    </w:p>
    <w:p>
      <w:pPr>
        <w:ind w:left="720" w:right="19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third parties to generate clinical, preclinical and other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2" w:lineRule="exact"/>
        <w:rPr>
          <w:rFonts w:ascii="Arial" w:cs="Arial" w:eastAsia="Arial" w:hAnsi="Arial"/>
          <w:sz w:val="16"/>
          <w:szCs w:val="16"/>
          <w:color w:val="auto"/>
        </w:rPr>
      </w:pPr>
    </w:p>
    <w:p>
      <w:pPr>
        <w:ind w:left="720" w:right="23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such quantities at an acceptable cost or quality, which could delay, prevent or impair our development or commercialization efforts.</w:t>
      </w:r>
    </w:p>
    <w:p>
      <w:pPr>
        <w:spacing w:after="0" w:line="2" w:lineRule="exact"/>
        <w:rPr>
          <w:rFonts w:ascii="Arial" w:cs="Arial" w:eastAsia="Arial" w:hAnsi="Arial"/>
          <w:sz w:val="16"/>
          <w:szCs w:val="16"/>
          <w:color w:val="auto"/>
        </w:rPr>
      </w:pPr>
    </w:p>
    <w:p>
      <w:pPr>
        <w:ind w:left="720" w:right="1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 w:lineRule="exact"/>
        <w:rPr>
          <w:rFonts w:ascii="Arial" w:cs="Arial" w:eastAsia="Arial" w:hAnsi="Arial"/>
          <w:sz w:val="18"/>
          <w:szCs w:val="18"/>
          <w:color w:val="auto"/>
        </w:rPr>
      </w:pPr>
    </w:p>
    <w:p>
      <w:pPr>
        <w:ind w:left="720" w:right="25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 w:lineRule="exact"/>
        <w:rPr>
          <w:rFonts w:ascii="Arial" w:cs="Arial" w:eastAsia="Arial" w:hAnsi="Arial"/>
          <w:sz w:val="16"/>
          <w:szCs w:val="16"/>
          <w:color w:val="auto"/>
        </w:rPr>
      </w:pPr>
    </w:p>
    <w:p>
      <w:pPr>
        <w:ind w:left="720" w:right="61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720" w:right="79" w:hanging="319"/>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and competitive position may be harmed.</w:t>
      </w:r>
    </w:p>
    <w:p>
      <w:pPr>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to develop and expand our business, and we may encounter difficulties in managing this development and expansion, which could disrupt our operations.</w:t>
      </w:r>
    </w:p>
    <w:p>
      <w:pPr>
        <w:ind w:left="720" w:hanging="319"/>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stock price is, and we expect it to remain, volatile, which could limit investors ability to sell stock at a profit.</w:t>
      </w:r>
    </w:p>
    <w:p>
      <w:pPr>
        <w:spacing w:after="0" w:line="23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156"/>
        </w:trPr>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w w:val="92"/>
              </w:rPr>
              <w:t>(Unaudited)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w w:val="99"/>
              </w:rPr>
              <w:t>(Note 1)</w:t>
            </w:r>
          </w:p>
        </w:tc>
        <w:tc>
          <w:tcPr>
            <w:tcW w:w="200" w:type="dxa"/>
            <w:vAlign w:val="bottom"/>
          </w:tcPr>
          <w:p>
            <w:pPr>
              <w:spacing w:after="0"/>
              <w:rPr>
                <w:sz w:val="13"/>
                <w:szCs w:val="13"/>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27,798</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CCEEFF"/>
            </w:tcBorders>
          </w:tcPr>
          <w:p>
            <w:pPr>
              <w:spacing w:after="0"/>
              <w:rPr>
                <w:sz w:val="18"/>
                <w:szCs w:val="18"/>
                <w:color w:val="auto"/>
              </w:rPr>
            </w:pPr>
          </w:p>
        </w:tc>
      </w:tr>
      <w:tr>
        <w:trPr>
          <w:trHeight w:val="209"/>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149,151</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interest, net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r>
      <w:tr>
        <w:trPr>
          <w:trHeight w:val="209"/>
        </w:trPr>
        <w:tc>
          <w:tcPr>
            <w:tcW w:w="6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273,856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48,994</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payable – current portion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1,616</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00" w:type="dxa"/>
            <w:vAlign w:val="bottom"/>
            <w:shd w:val="clear" w:color="auto" w:fill="CCEEFF"/>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84,449</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28,970</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200" w:type="dxa"/>
            <w:vAlign w:val="bottom"/>
            <w:shd w:val="clear" w:color="auto" w:fill="CCEEFF"/>
          </w:tcPr>
          <w:p>
            <w:pPr>
              <w:spacing w:after="0"/>
              <w:rPr>
                <w:sz w:val="18"/>
                <w:szCs w:val="18"/>
                <w:color w:val="auto"/>
              </w:rPr>
            </w:pPr>
          </w:p>
        </w:tc>
      </w:tr>
      <w:tr>
        <w:trPr>
          <w:trHeight w:val="210"/>
        </w:trPr>
        <w:tc>
          <w:tcPr>
            <w:tcW w:w="6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124,399</w:t>
            </w:r>
          </w:p>
        </w:tc>
        <w:tc>
          <w:tcPr>
            <w:tcW w:w="20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6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Common stock, $0.001 par value per share (150,000,000 shares authorized,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128,959,861 and 109,425,243 shares issued, 128,918,552 and 109,383,934 shares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20"/>
                <w:szCs w:val="20"/>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1,063,142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739,956</w:t>
            </w:r>
          </w:p>
        </w:tc>
        <w:tc>
          <w:tcPr>
            <w:tcW w:w="200" w:type="dxa"/>
            <w:vAlign w:val="bottom"/>
          </w:tcPr>
          <w:p>
            <w:pPr>
              <w:spacing w:after="0"/>
              <w:rPr>
                <w:sz w:val="18"/>
                <w:szCs w:val="18"/>
                <w:color w:val="auto"/>
              </w:rPr>
            </w:pPr>
          </w:p>
        </w:tc>
      </w:tr>
      <w:tr>
        <w:trPr>
          <w:trHeight w:val="202"/>
        </w:trPr>
        <w:tc>
          <w:tcPr>
            <w:tcW w:w="66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6"/>
              </w:rPr>
              <w:t>Treasury stock, at cost, 41,309 shares at September 30, 2020 and December 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(892,379)</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(701,216)</w:t>
            </w:r>
          </w:p>
        </w:tc>
      </w:tr>
      <w:tr>
        <w:trPr>
          <w:trHeight w:val="210"/>
        </w:trPr>
        <w:tc>
          <w:tcPr>
            <w:tcW w:w="66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200" w:type="dxa"/>
            <w:vAlign w:val="bottom"/>
            <w:tcBorders>
              <w:top w:val="single" w:sz="8" w:color="CCEEFF"/>
            </w:tcBorders>
            <w:shd w:val="clear" w:color="auto" w:fill="CCEEFF"/>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273,856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Noncash stock expense associated with in-licensing</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122,935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(85,722)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(186,812)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(87,163)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(61,930)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(191,163)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(133,299)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shares used in computing basic and</w:t>
            </w: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119,176,336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89,667,979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112,380,784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85,911,878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diluted net loss per common share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Stockholders’ (Deficit)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400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paid-in</w:t>
            </w:r>
          </w:p>
        </w:tc>
        <w:tc>
          <w:tcPr>
            <w:tcW w:w="1260" w:type="dxa"/>
            <w:vAlign w:val="bottom"/>
            <w:gridSpan w:val="5"/>
          </w:tcPr>
          <w:p>
            <w:pPr>
              <w:ind w:left="120"/>
              <w:spacing w:after="0"/>
              <w:rPr>
                <w:sz w:val="20"/>
                <w:szCs w:val="20"/>
                <w:color w:val="auto"/>
              </w:rPr>
            </w:pPr>
            <w:r>
              <w:rPr>
                <w:rFonts w:ascii="Arial" w:cs="Arial" w:eastAsia="Arial" w:hAnsi="Arial"/>
                <w:sz w:val="13"/>
                <w:szCs w:val="13"/>
                <w:b w:val="1"/>
                <w:bCs w:val="1"/>
                <w:color w:val="auto"/>
              </w:rPr>
              <w:t>Treasury Stock</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28"/>
        </w:trPr>
        <w:tc>
          <w:tcPr>
            <w:tcW w:w="4000" w:type="dxa"/>
            <w:vAlign w:val="bottom"/>
          </w:tcPr>
          <w:p>
            <w:pPr>
              <w:spacing w:after="0"/>
              <w:rPr>
                <w:sz w:val="11"/>
                <w:szCs w:val="11"/>
                <w:color w:val="auto"/>
              </w:rPr>
            </w:pPr>
          </w:p>
        </w:tc>
        <w:tc>
          <w:tcPr>
            <w:tcW w:w="8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6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8"/>
        </w:trPr>
        <w:tc>
          <w:tcPr>
            <w:tcW w:w="4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2019</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83,911,855</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552,531</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(528,345)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24,036</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23,000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(67,628)</w:t>
            </w:r>
          </w:p>
        </w:tc>
        <w:tc>
          <w:tcPr>
            <w:tcW w:w="3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Issuance of common stock in At-the-Market offerings (net of offering costs</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$0.2 million)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4,715,000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27,494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27,499</w:t>
            </w:r>
          </w:p>
        </w:tc>
      </w:tr>
      <w:tr>
        <w:trPr>
          <w:trHeight w:val="121"/>
        </w:trPr>
        <w:tc>
          <w:tcPr>
            <w:tcW w:w="4000" w:type="dxa"/>
            <w:vAlign w:val="bottom"/>
          </w:tcPr>
          <w:p>
            <w:pPr>
              <w:ind w:left="20"/>
              <w:spacing w:after="0" w:line="121" w:lineRule="exact"/>
              <w:rPr>
                <w:sz w:val="20"/>
                <w:szCs w:val="20"/>
                <w:color w:val="auto"/>
              </w:rPr>
            </w:pPr>
            <w:r>
              <w:rPr>
                <w:rFonts w:ascii="Arial" w:cs="Arial" w:eastAsia="Arial" w:hAnsi="Arial"/>
                <w:sz w:val="13"/>
                <w:szCs w:val="13"/>
                <w:color w:val="auto"/>
                <w:w w:val="91"/>
              </w:rPr>
              <w:t>Compensation in respect of restricted stock granted to employees, directors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9"/>
        </w:trPr>
        <w:tc>
          <w:tcPr>
            <w:tcW w:w="4000" w:type="dxa"/>
            <w:vAlign w:val="bottom"/>
          </w:tcPr>
          <w:p>
            <w:pPr>
              <w:ind w:left="20"/>
              <w:spacing w:after="0"/>
              <w:rPr>
                <w:sz w:val="20"/>
                <w:szCs w:val="20"/>
                <w:color w:val="auto"/>
              </w:rPr>
            </w:pPr>
            <w:r>
              <w:rPr>
                <w:rFonts w:ascii="Arial" w:cs="Arial" w:eastAsia="Arial" w:hAnsi="Arial"/>
                <w:sz w:val="13"/>
                <w:szCs w:val="13"/>
                <w:color w:val="auto"/>
              </w:rPr>
              <w:t>and consultants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1,882</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1,882</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(35,156)</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(35,156)</w:t>
            </w:r>
          </w:p>
        </w:tc>
      </w:tr>
      <w:tr>
        <w:trPr>
          <w:trHeight w:val="129"/>
        </w:trPr>
        <w:tc>
          <w:tcPr>
            <w:tcW w:w="4000" w:type="dxa"/>
            <w:vAlign w:val="bottom"/>
          </w:tcPr>
          <w:p>
            <w:pPr>
              <w:ind w:left="20"/>
              <w:spacing w:after="0" w:line="129" w:lineRule="exact"/>
              <w:rPr>
                <w:sz w:val="20"/>
                <w:szCs w:val="20"/>
                <w:color w:val="auto"/>
              </w:rPr>
            </w:pPr>
            <w:r>
              <w:rPr>
                <w:rFonts w:ascii="Arial" w:cs="Arial" w:eastAsia="Arial" w:hAnsi="Arial"/>
                <w:sz w:val="13"/>
                <w:szCs w:val="13"/>
                <w:color w:val="auto"/>
              </w:rPr>
              <w:t>Balance at March 31, 2019</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88,582,227</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89</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582,900</w:t>
            </w: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(563,501)</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19,254</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1,245,080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(38,418)</w:t>
            </w:r>
          </w:p>
        </w:tc>
        <w:tc>
          <w:tcPr>
            <w:tcW w:w="3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public offering</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r>
      <w:tr>
        <w:trPr>
          <w:trHeight w:val="121"/>
        </w:trPr>
        <w:tc>
          <w:tcPr>
            <w:tcW w:w="4000" w:type="dxa"/>
            <w:vAlign w:val="bottom"/>
          </w:tcPr>
          <w:p>
            <w:pPr>
              <w:ind w:left="20"/>
              <w:spacing w:after="0" w:line="121" w:lineRule="exact"/>
              <w:rPr>
                <w:sz w:val="20"/>
                <w:szCs w:val="20"/>
                <w:color w:val="auto"/>
              </w:rPr>
            </w:pPr>
            <w:r>
              <w:rPr>
                <w:rFonts w:ascii="Arial" w:cs="Arial" w:eastAsia="Arial" w:hAnsi="Arial"/>
                <w:sz w:val="13"/>
                <w:szCs w:val="13"/>
                <w:color w:val="auto"/>
                <w:w w:val="93"/>
              </w:rPr>
              <w:t>Issuance of common stock in At-the-Market offerings (net of offering costs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9"/>
        </w:trPr>
        <w:tc>
          <w:tcPr>
            <w:tcW w:w="4000" w:type="dxa"/>
            <w:vAlign w:val="bottom"/>
          </w:tcPr>
          <w:p>
            <w:pPr>
              <w:ind w:left="20"/>
              <w:spacing w:after="0"/>
              <w:rPr>
                <w:sz w:val="20"/>
                <w:szCs w:val="20"/>
                <w:color w:val="auto"/>
              </w:rPr>
            </w:pPr>
            <w:r>
              <w:rPr>
                <w:rFonts w:ascii="Arial" w:cs="Arial" w:eastAsia="Arial" w:hAnsi="Arial"/>
                <w:sz w:val="13"/>
                <w:szCs w:val="13"/>
                <w:color w:val="auto"/>
              </w:rPr>
              <w:t>of $0.5 million)</w:t>
            </w:r>
          </w:p>
        </w:tc>
        <w:tc>
          <w:tcPr>
            <w:tcW w:w="700" w:type="dxa"/>
            <w:vAlign w:val="bottom"/>
          </w:tcPr>
          <w:p>
            <w:pPr>
              <w:jc w:val="right"/>
              <w:spacing w:after="0"/>
              <w:rPr>
                <w:sz w:val="20"/>
                <w:szCs w:val="20"/>
                <w:color w:val="auto"/>
              </w:rPr>
            </w:pPr>
            <w:r>
              <w:rPr>
                <w:rFonts w:ascii="Arial" w:cs="Arial" w:eastAsia="Arial" w:hAnsi="Arial"/>
                <w:sz w:val="13"/>
                <w:szCs w:val="13"/>
                <w:color w:val="auto"/>
              </w:rPr>
              <w:t>3,616,359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28,392</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28,395</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1"/>
              </w:rPr>
              <w:t>Compensation in respect of restricted stock granted to employees, directors</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consultants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Shares issued in connection with in-licensing agreements</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(36,212)</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(36,212)</w:t>
            </w:r>
          </w:p>
        </w:tc>
      </w:tr>
      <w:tr>
        <w:trPr>
          <w:trHeight w:val="129"/>
        </w:trPr>
        <w:tc>
          <w:tcPr>
            <w:tcW w:w="4000" w:type="dxa"/>
            <w:vAlign w:val="bottom"/>
          </w:tcPr>
          <w:p>
            <w:pPr>
              <w:ind w:left="20"/>
              <w:spacing w:after="0" w:line="129" w:lineRule="exact"/>
              <w:rPr>
                <w:sz w:val="20"/>
                <w:szCs w:val="20"/>
                <w:color w:val="auto"/>
              </w:rPr>
            </w:pPr>
            <w:r>
              <w:rPr>
                <w:rFonts w:ascii="Arial" w:cs="Arial" w:eastAsia="Arial" w:hAnsi="Arial"/>
                <w:sz w:val="13"/>
                <w:szCs w:val="13"/>
                <w:color w:val="auto"/>
              </w:rPr>
              <w:t>Balance at June 30, 2019</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93,405,248</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613,059</w:t>
            </w: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(599,713)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13,205</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318,440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(5,334)</w:t>
            </w:r>
          </w:p>
        </w:tc>
        <w:tc>
          <w:tcPr>
            <w:tcW w:w="30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Issuance of common stock in At-the-Market offerings (net of offering costs</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$0.4 million)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2,943,460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20,759</w:t>
            </w:r>
          </w:p>
        </w:tc>
      </w:tr>
      <w:tr>
        <w:trPr>
          <w:trHeight w:val="121"/>
        </w:trPr>
        <w:tc>
          <w:tcPr>
            <w:tcW w:w="4000" w:type="dxa"/>
            <w:vAlign w:val="bottom"/>
          </w:tcPr>
          <w:p>
            <w:pPr>
              <w:ind w:left="20"/>
              <w:spacing w:after="0" w:line="121" w:lineRule="exact"/>
              <w:rPr>
                <w:sz w:val="20"/>
                <w:szCs w:val="20"/>
                <w:color w:val="auto"/>
              </w:rPr>
            </w:pPr>
            <w:r>
              <w:rPr>
                <w:rFonts w:ascii="Arial" w:cs="Arial" w:eastAsia="Arial" w:hAnsi="Arial"/>
                <w:sz w:val="13"/>
                <w:szCs w:val="13"/>
                <w:color w:val="auto"/>
                <w:w w:val="91"/>
              </w:rPr>
              <w:t>Compensation in respect of restricted stock granted to employees, directors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9"/>
        </w:trPr>
        <w:tc>
          <w:tcPr>
            <w:tcW w:w="4000" w:type="dxa"/>
            <w:vAlign w:val="bottom"/>
          </w:tcPr>
          <w:p>
            <w:pPr>
              <w:ind w:left="20"/>
              <w:spacing w:after="0"/>
              <w:rPr>
                <w:sz w:val="20"/>
                <w:szCs w:val="20"/>
                <w:color w:val="auto"/>
              </w:rPr>
            </w:pPr>
            <w:r>
              <w:rPr>
                <w:rFonts w:ascii="Arial" w:cs="Arial" w:eastAsia="Arial" w:hAnsi="Arial"/>
                <w:sz w:val="13"/>
                <w:szCs w:val="13"/>
                <w:color w:val="auto"/>
              </w:rPr>
              <w:t>and consultants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2,075</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2,075</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Shares issued in connection with in-licensing agreements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8,383</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(61,930)</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90"/>
              </w:rPr>
              <w:t>(61,930)</w:t>
            </w:r>
          </w:p>
        </w:tc>
      </w:tr>
      <w:tr>
        <w:trPr>
          <w:trHeight w:val="128"/>
        </w:trPr>
        <w:tc>
          <w:tcPr>
            <w:tcW w:w="40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September 30, 2019</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96,670,197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635,989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(661,643)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(25,791)</w:t>
            </w:r>
          </w:p>
        </w:tc>
      </w:tr>
      <w:tr>
        <w:trPr>
          <w:trHeight w:val="20"/>
        </w:trPr>
        <w:tc>
          <w:tcPr>
            <w:tcW w:w="4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Additional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40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paid-in</w:t>
            </w:r>
          </w:p>
        </w:tc>
        <w:tc>
          <w:tcPr>
            <w:tcW w:w="1260" w:type="dxa"/>
            <w:vAlign w:val="bottom"/>
            <w:gridSpan w:val="5"/>
          </w:tcPr>
          <w:p>
            <w:pPr>
              <w:ind w:left="120"/>
              <w:spacing w:after="0"/>
              <w:rPr>
                <w:sz w:val="20"/>
                <w:szCs w:val="20"/>
                <w:color w:val="auto"/>
              </w:rPr>
            </w:pPr>
            <w:r>
              <w:rPr>
                <w:rFonts w:ascii="Arial" w:cs="Arial" w:eastAsia="Arial" w:hAnsi="Arial"/>
                <w:sz w:val="13"/>
                <w:szCs w:val="13"/>
                <w:b w:val="1"/>
                <w:bCs w:val="1"/>
                <w:color w:val="auto"/>
              </w:rPr>
              <w:t>Treasury Stock</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7"/>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6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8"/>
        </w:trPr>
        <w:tc>
          <w:tcPr>
            <w:tcW w:w="4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2020</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109,425,243</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109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739,956</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(701,216)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38,615</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19,750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774,300</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w:t>
            </w:r>
          </w:p>
        </w:tc>
        <w:tc>
          <w:tcPr>
            <w:tcW w:w="2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1"/>
              </w:rPr>
              <w:t>Compensation in respect of restricted stock granted to employees, directors</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consultants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(51,116)</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90"/>
              </w:rPr>
              <w:t>(51,116)</w:t>
            </w:r>
          </w:p>
        </w:tc>
      </w:tr>
      <w:tr>
        <w:trPr>
          <w:trHeight w:val="128"/>
        </w:trPr>
        <w:tc>
          <w:tcPr>
            <w:tcW w:w="4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March 31, 2020</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110,209,293</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110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751,103</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(752,332)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(1,353)</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3,750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2,208,529</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(41,666)</w:t>
            </w:r>
          </w:p>
        </w:tc>
        <w:tc>
          <w:tcPr>
            <w:tcW w:w="2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Issuance of common stock in public offering (net of offering costs of $10.9</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million)</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9,775,000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165,032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165,042</w:t>
            </w:r>
          </w:p>
        </w:tc>
      </w:tr>
      <w:tr>
        <w:trPr>
          <w:trHeight w:val="121"/>
        </w:trPr>
        <w:tc>
          <w:tcPr>
            <w:tcW w:w="4000" w:type="dxa"/>
            <w:vAlign w:val="bottom"/>
          </w:tcPr>
          <w:p>
            <w:pPr>
              <w:ind w:left="20"/>
              <w:spacing w:after="0" w:line="121" w:lineRule="exact"/>
              <w:rPr>
                <w:sz w:val="20"/>
                <w:szCs w:val="20"/>
                <w:color w:val="auto"/>
              </w:rPr>
            </w:pPr>
            <w:r>
              <w:rPr>
                <w:rFonts w:ascii="Arial" w:cs="Arial" w:eastAsia="Arial" w:hAnsi="Arial"/>
                <w:sz w:val="13"/>
                <w:szCs w:val="13"/>
                <w:color w:val="auto"/>
                <w:w w:val="93"/>
              </w:rPr>
              <w:t>Issuance of common stock in At-the-Market offerings (net of offering costs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9"/>
        </w:trPr>
        <w:tc>
          <w:tcPr>
            <w:tcW w:w="4000" w:type="dxa"/>
            <w:vAlign w:val="bottom"/>
          </w:tcPr>
          <w:p>
            <w:pPr>
              <w:ind w:left="20"/>
              <w:spacing w:after="0"/>
              <w:rPr>
                <w:sz w:val="20"/>
                <w:szCs w:val="20"/>
                <w:color w:val="auto"/>
              </w:rPr>
            </w:pPr>
            <w:r>
              <w:rPr>
                <w:rFonts w:ascii="Arial" w:cs="Arial" w:eastAsia="Arial" w:hAnsi="Arial"/>
                <w:sz w:val="13"/>
                <w:szCs w:val="13"/>
                <w:color w:val="auto"/>
              </w:rPr>
              <w:t>of $1.4 million)</w:t>
            </w:r>
          </w:p>
        </w:tc>
        <w:tc>
          <w:tcPr>
            <w:tcW w:w="700" w:type="dxa"/>
            <w:vAlign w:val="bottom"/>
          </w:tcPr>
          <w:p>
            <w:pPr>
              <w:jc w:val="right"/>
              <w:spacing w:after="0"/>
              <w:rPr>
                <w:sz w:val="20"/>
                <w:szCs w:val="20"/>
                <w:color w:val="auto"/>
              </w:rPr>
            </w:pPr>
            <w:r>
              <w:rPr>
                <w:rFonts w:ascii="Arial" w:cs="Arial" w:eastAsia="Arial" w:hAnsi="Arial"/>
                <w:sz w:val="13"/>
                <w:szCs w:val="13"/>
                <w:color w:val="auto"/>
              </w:rPr>
              <w:t>4,535,608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76,031</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76,036</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1"/>
              </w:rPr>
              <w:t>Compensation in respect of restricted stock granted to employees, directors</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consultants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7,370</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(52,884)</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90"/>
              </w:rPr>
              <w:t>(52,884)</w:t>
            </w:r>
          </w:p>
        </w:tc>
      </w:tr>
      <w:tr>
        <w:trPr>
          <w:trHeight w:val="129"/>
        </w:trPr>
        <w:tc>
          <w:tcPr>
            <w:tcW w:w="4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June 30, 2020</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126,690,514</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127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999,550</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(805,216)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194,227</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9,347</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r>
      <w:tr>
        <w:trPr>
          <w:trHeight w:val="135"/>
        </w:trPr>
        <w:tc>
          <w:tcPr>
            <w:tcW w:w="40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915,000</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(65,000)</w:t>
            </w:r>
          </w:p>
        </w:tc>
        <w:tc>
          <w:tcPr>
            <w:tcW w:w="2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Issuance of common stock in offerings (net of offering costs of $10.9</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million)</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21"/>
        </w:trPr>
        <w:tc>
          <w:tcPr>
            <w:tcW w:w="4000" w:type="dxa"/>
            <w:vAlign w:val="bottom"/>
          </w:tcPr>
          <w:p>
            <w:pPr>
              <w:ind w:left="20"/>
              <w:spacing w:after="0" w:line="121" w:lineRule="exact"/>
              <w:rPr>
                <w:sz w:val="20"/>
                <w:szCs w:val="20"/>
                <w:color w:val="auto"/>
              </w:rPr>
            </w:pPr>
            <w:r>
              <w:rPr>
                <w:rFonts w:ascii="Arial" w:cs="Arial" w:eastAsia="Arial" w:hAnsi="Arial"/>
                <w:sz w:val="13"/>
                <w:szCs w:val="13"/>
                <w:color w:val="auto"/>
                <w:w w:val="94"/>
              </w:rPr>
              <w:t>Issuance of common stock in At the Market offering (net of offering costs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9"/>
        </w:trPr>
        <w:tc>
          <w:tcPr>
            <w:tcW w:w="4000" w:type="dxa"/>
            <w:vAlign w:val="bottom"/>
          </w:tcPr>
          <w:p>
            <w:pPr>
              <w:ind w:left="20"/>
              <w:spacing w:after="0"/>
              <w:rPr>
                <w:sz w:val="20"/>
                <w:szCs w:val="20"/>
                <w:color w:val="auto"/>
              </w:rPr>
            </w:pPr>
            <w:r>
              <w:rPr>
                <w:rFonts w:ascii="Arial" w:cs="Arial" w:eastAsia="Arial" w:hAnsi="Arial"/>
                <w:sz w:val="13"/>
                <w:szCs w:val="13"/>
                <w:color w:val="auto"/>
              </w:rPr>
              <w:t>of $2.0 million)</w:t>
            </w:r>
          </w:p>
        </w:tc>
        <w:tc>
          <w:tcPr>
            <w:tcW w:w="700" w:type="dxa"/>
            <w:vAlign w:val="bottom"/>
          </w:tcPr>
          <w:p>
            <w:pPr>
              <w:jc w:val="right"/>
              <w:spacing w:after="0"/>
              <w:rPr>
                <w:sz w:val="20"/>
                <w:szCs w:val="20"/>
                <w:color w:val="auto"/>
              </w:rPr>
            </w:pPr>
            <w:r>
              <w:rPr>
                <w:rFonts w:ascii="Arial" w:cs="Arial" w:eastAsia="Arial" w:hAnsi="Arial"/>
                <w:sz w:val="13"/>
                <w:szCs w:val="13"/>
                <w:color w:val="auto"/>
              </w:rPr>
              <w:t>1,410,000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35,226</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35,227</w:t>
            </w:r>
          </w:p>
        </w:tc>
      </w:tr>
      <w:tr>
        <w:trPr>
          <w:trHeight w:val="121"/>
        </w:trPr>
        <w:tc>
          <w:tcPr>
            <w:tcW w:w="40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Compensation in respect of restricted stock and options granted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r>
      <w:tr>
        <w:trPr>
          <w:trHeight w:val="149"/>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 directors and consultants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28,330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28,330</w:t>
            </w:r>
          </w:p>
        </w:tc>
      </w:tr>
      <w:tr>
        <w:trPr>
          <w:trHeight w:val="135"/>
        </w:trPr>
        <w:tc>
          <w:tcPr>
            <w:tcW w:w="40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(87,163)</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90"/>
              </w:rPr>
              <w:t>(87,163)</w:t>
            </w:r>
          </w:p>
        </w:tc>
      </w:tr>
      <w:tr>
        <w:trPr>
          <w:trHeight w:val="129"/>
        </w:trPr>
        <w:tc>
          <w:tcPr>
            <w:tcW w:w="40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September 30, 2020</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128,959,861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129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1,063,142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(892,379)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170,658</w:t>
            </w:r>
          </w:p>
        </w:tc>
      </w:tr>
      <w:tr>
        <w:trPr>
          <w:trHeight w:val="20"/>
        </w:trPr>
        <w:tc>
          <w:tcPr>
            <w:tcW w:w="4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1"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Nine months ended</w:t>
      </w:r>
    </w:p>
    <w:p>
      <w:pPr>
        <w:ind w:left="73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(191,163)</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(133,299)</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46,768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5,714</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licensing expense</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w:t>
            </w: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change in lease liability and right-of-use asset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1,921</w:t>
            </w: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other current assets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2,226</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accrued interest receivable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(3,837)</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(1,129)</w:t>
            </w:r>
          </w:p>
        </w:tc>
      </w:tr>
      <w:tr>
        <w:trPr>
          <w:trHeight w:val="149"/>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Increase in interest payable</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other liabilities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(27,783)</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24,651</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w:t>
            </w:r>
          </w:p>
        </w:tc>
      </w:tr>
      <w:tr>
        <w:trPr>
          <w:trHeight w:val="142"/>
        </w:trPr>
        <w:tc>
          <w:tcPr>
            <w:tcW w:w="6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(162,481)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(102,413)</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35,250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22,500</w:t>
            </w: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in short-term securities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(23,125)</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(7,482)</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equipment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(202)</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w:t>
            </w: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27,566</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(722)</w:t>
            </w:r>
          </w:p>
        </w:tc>
        <w:tc>
          <w:tcPr>
            <w:tcW w:w="20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common stock, net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276,303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76,664</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debt financings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29,675</w:t>
            </w: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Financing costs paid</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(480)</w:t>
            </w:r>
          </w:p>
        </w:tc>
      </w:tr>
      <w:tr>
        <w:trPr>
          <w:trHeight w:val="142"/>
        </w:trPr>
        <w:tc>
          <w:tcPr>
            <w:tcW w:w="6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276,438</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105,859</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2,724</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113,888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43,199</w:t>
            </w:r>
          </w:p>
        </w:tc>
        <w:tc>
          <w:tcPr>
            <w:tcW w:w="200" w:type="dxa"/>
            <w:vAlign w:val="bottom"/>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7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255,411</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45,923</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Reconciliation to amounts on condensed consolidated balance sheets: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44,675</w:t>
            </w: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1,248</w:t>
            </w:r>
          </w:p>
        </w:tc>
        <w:tc>
          <w:tcPr>
            <w:tcW w:w="200" w:type="dxa"/>
            <w:vAlign w:val="bottom"/>
            <w:tcBorders>
              <w:bottom w:val="single" w:sz="8" w:color="CCEEFF"/>
            </w:tcBorders>
          </w:tcPr>
          <w:p>
            <w:pPr>
              <w:spacing w:after="0"/>
              <w:rPr>
                <w:sz w:val="12"/>
                <w:szCs w:val="12"/>
                <w:color w:val="auto"/>
              </w:rPr>
            </w:pPr>
          </w:p>
        </w:tc>
      </w:tr>
      <w:tr>
        <w:trPr>
          <w:trHeight w:val="142"/>
        </w:trPr>
        <w:tc>
          <w:tcPr>
            <w:tcW w:w="678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255,411</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45,923</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78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3,447</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1,837</w:t>
            </w:r>
          </w:p>
        </w:tc>
        <w:tc>
          <w:tcPr>
            <w:tcW w:w="200" w:type="dxa"/>
            <w:vAlign w:val="bottom"/>
          </w:tcPr>
          <w:p>
            <w:pPr>
              <w:spacing w:after="0"/>
              <w:rPr>
                <w:sz w:val="12"/>
                <w:szCs w:val="12"/>
                <w:color w:val="auto"/>
              </w:rPr>
            </w:pPr>
          </w:p>
        </w:tc>
      </w:tr>
      <w:tr>
        <w:trPr>
          <w:trHeight w:val="148"/>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TRANSACTIONS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financing costs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20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Warrants issued with debt financing</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20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in connection with in-licensing</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34"/>
        <w:spacing w:after="0" w:line="269" w:lineRule="auto"/>
        <w:rPr>
          <w:sz w:val="20"/>
          <w:szCs w:val="20"/>
          <w:color w:val="auto"/>
        </w:rPr>
      </w:pPr>
      <w:r>
        <w:rPr>
          <w:rFonts w:ascii="Arial" w:cs="Arial" w:eastAsia="Arial" w:hAnsi="Arial"/>
          <w:sz w:val="17"/>
          <w:szCs w:val="17"/>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two lead therapies, ublituximab (TG-1101) and umbralisib (TGR-1202), in pivotal trials for CLL and NHL, with ublituximab also in pivotal trials for MS. Ublituximab is a novel anti-CD20 monoclonal antibody (mAb) that has been glycoengineered for enhanced potency. Umbralisib is an oral, once daily, dual inhibitor of PI3K-delta and CK1-epsilon. When used together in combination therapy, ublituximab and umbralisib are referred to as “U2”. Additionally, in early clinical development we have an anti-PD-L1 monoclonal antibody cosibelimab (TG-1501), an oral Bruton’s Tyrosine Kinase (BTK) inhibitor referred to as TG-1701, and an anti-CD47/CD19 bispecific antibody referred to as TG-1801.</w:t>
      </w:r>
    </w:p>
    <w:p>
      <w:pPr>
        <w:spacing w:after="0" w:line="141" w:lineRule="exact"/>
        <w:rPr>
          <w:sz w:val="20"/>
          <w:szCs w:val="20"/>
          <w:color w:val="auto"/>
        </w:rPr>
      </w:pPr>
    </w:p>
    <w:p>
      <w:pPr>
        <w:jc w:val="both"/>
        <w:ind w:left="60" w:right="59" w:firstLine="634"/>
        <w:spacing w:after="0" w:line="286" w:lineRule="auto"/>
        <w:rPr>
          <w:sz w:val="20"/>
          <w:szCs w:val="20"/>
          <w:color w:val="auto"/>
        </w:rPr>
      </w:pPr>
      <w:r>
        <w:rPr>
          <w:rFonts w:ascii="Arial" w:cs="Arial" w:eastAsia="Arial" w:hAnsi="Arial"/>
          <w:sz w:val="17"/>
          <w:szCs w:val="17"/>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25"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2019. The accompanying condensed December 31, 2019 balance sheet has been derived from these statements. The results of operations for the three and nine months ended September 30, 2020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become profitable. As of September 30, 2020, we have an accumulated deficit of approximately $892.4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Our major sources of cash have been proceeds from the private placement and public offering of equity securities, as well as debt financings.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20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 of September 30, 2020, we had $254.2 million in cash and cash equivalents. The Company believes its cash and cash equivalents on hand as of September 30, 2020, along with the additional capital raised in the fourth quarter of 2020 (see Note 5),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68" w:lineRule="exact"/>
        <w:rPr>
          <w:sz w:val="20"/>
          <w:szCs w:val="20"/>
          <w:color w:val="auto"/>
        </w:rPr>
      </w:pPr>
    </w:p>
    <w:p>
      <w:pPr>
        <w:ind w:left="60" w:right="1659" w:firstLine="492"/>
        <w:spacing w:after="0" w:line="453" w:lineRule="auto"/>
        <w:rPr>
          <w:sz w:val="20"/>
          <w:szCs w:val="20"/>
          <w:color w:val="auto"/>
        </w:rPr>
      </w:pPr>
      <w:r>
        <w:rPr>
          <w:rFonts w:ascii="Arial" w:cs="Arial" w:eastAsia="Arial" w:hAnsi="Arial"/>
          <w:sz w:val="18"/>
          <w:szCs w:val="18"/>
          <w:color w:val="auto"/>
        </w:rPr>
        <w:t xml:space="preserve">Our common stock is listed on the Nasdaq Capital Market and trades under the symbol TGTX. </w:t>
      </w:r>
      <w:r>
        <w:rPr>
          <w:rFonts w:ascii="Arial" w:cs="Arial" w:eastAsia="Arial" w:hAnsi="Arial"/>
          <w:sz w:val="18"/>
          <w:szCs w:val="18"/>
          <w:b w:val="1"/>
          <w:bCs w:val="1"/>
          <w:i w:val="1"/>
          <w:iCs w:val="1"/>
          <w:color w:val="auto"/>
        </w:rPr>
        <w:t>Recently Issued Accounting Standards</w:t>
      </w:r>
    </w:p>
    <w:p>
      <w:pPr>
        <w:spacing w:after="0" w:line="2"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5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Accounting Standard Codification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51"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ASU 2018-11 was effective for public business entities for fiscal years beginning after December 15, 2018, and interim periods within those fiscal years, with earlier adoption permitted. The Company adopted ASU 2018-11 on January 1, 2019 using a modified retrospective method and has not restated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54"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ASU 2018-07 was effective for public business entities for fiscal years beginning after December 15, 2018, including interim periods within that fiscal year. Early adoption was permitted, but no earlier than an entity’s adoption date of ASC Topic 606, “Revenue from Contracts with Customers” (“ASC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5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record cash pledged or held in trust as restricted cash. As of both September 30, 2020 and December 31, 2019, we have approximately $1.3 million of restricted cash pledged to secure a line of credit as a security deposit for an Office Agreement (see Note 8).</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Investment securities at December 31, 2019 consisted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4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 recognizes revenue under ASC 606.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79"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2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46" w:lineRule="exact"/>
        <w:rPr>
          <w:sz w:val="20"/>
          <w:szCs w:val="20"/>
          <w:color w:val="auto"/>
        </w:rPr>
      </w:pPr>
    </w:p>
    <w:p>
      <w:pPr>
        <w:ind w:left="1040" w:right="79" w:hanging="315"/>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either on its own or together with other resources that are readily available to the customer (i.e., the good or service is capable of being distinct); and</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4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8"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3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Prepaid research and development in our condensed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September 30, 2020 and December 31, 2019, we recorded approximately $5.5 million and $8.1 million, respectively, in prepaid research and development related to such advance agreements.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2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We, and our subsidiaries, file income tax returns in the U.S. Federal jurisdiction and in various states, as well as in Australia.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Aid, Relief and Economic Security Act (“CARES Act”)</w:t>
      </w:r>
    </w:p>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At this time, the Company does not believe that the CARES Act will have a material impact on the Company’s income tax provision for 2020. The Company will continue to evaluate the impact of the CARES Act on its financial position, results of operations and cash flows.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1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11,103,701 securities and 8,060,758 securities for the three and nine month periods ended September 30, 2020 and 2019, respectively.</w:t>
      </w:r>
    </w:p>
    <w:p>
      <w:pPr>
        <w:spacing w:after="0" w:line="15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Three and Nine Months Ended</w:t>
            </w:r>
          </w:p>
        </w:tc>
      </w:tr>
      <w:tr>
        <w:trPr>
          <w:trHeight w:val="171"/>
        </w:trPr>
        <w:tc>
          <w:tcPr>
            <w:tcW w:w="6460" w:type="dxa"/>
            <w:vAlign w:val="bottom"/>
          </w:tcPr>
          <w:p>
            <w:pPr>
              <w:spacing w:after="0"/>
              <w:rPr>
                <w:sz w:val="14"/>
                <w:szCs w:val="14"/>
                <w:color w:val="auto"/>
              </w:rPr>
            </w:pPr>
          </w:p>
        </w:tc>
        <w:tc>
          <w:tcPr>
            <w:tcW w:w="2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64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8,409,696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5,357,204</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Pr>
          <w:p>
            <w:pPr>
              <w:ind w:left="40"/>
              <w:spacing w:after="0"/>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2,529,133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2,539,540</w:t>
            </w:r>
          </w:p>
        </w:tc>
        <w:tc>
          <w:tcPr>
            <w:tcW w:w="2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issuable upon note conversion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17,814</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200" w:type="dxa"/>
            <w:vAlign w:val="bottom"/>
            <w:tcBorders>
              <w:bottom w:val="single" w:sz="8" w:color="CCEEFF"/>
            </w:tcBorders>
          </w:tcPr>
          <w:p>
            <w:pPr>
              <w:spacing w:after="0"/>
              <w:rPr>
                <w:sz w:val="18"/>
                <w:szCs w:val="18"/>
                <w:color w:val="auto"/>
              </w:rPr>
            </w:pPr>
          </w:p>
        </w:tc>
      </w:tr>
      <w:tr>
        <w:trPr>
          <w:trHeight w:val="21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11,103,701</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8,060,758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jc w:val="both"/>
        <w:ind w:left="60" w:right="59" w:firstLine="492"/>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CASH AND CASH EQUIVALENTS</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following tables summarize our cash and cash equivalents at September 30, 2020 and December 31,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10"/>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Checking and bank deposits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r>
      <w:tr>
        <w:trPr>
          <w:trHeight w:val="21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254,154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112,637</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Our investments as of December 31, 2019 are classified as held-to-maturity. We had no investment securities as of September 30, 2020. Held-to-maturity investments are recorded at amortized cost.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 our investment securities at December 31, 2019:</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2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January 2020 and September 2020) (held-to-maturity)</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$ 27,798</w:t>
            </w:r>
          </w:p>
        </w:tc>
        <w:tc>
          <w:tcPr>
            <w:tcW w:w="1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60"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0"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 of September 30, 2020 and December 31, 2019, the fair values of cash and cash equivalents, restricted cash, and notes and interest payable, approximate their carrying values.</w:t>
      </w:r>
    </w:p>
    <w:p>
      <w:pPr>
        <w:spacing w:after="0" w:line="130"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2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cumulative liability to the Ariston subsidiary including accrued and unpaid interest of the 5% Notes was approximately $20.0 million at September 30, 2020 and $19.3 million at December 31, 2019. No payments have been made on the 5% Notes since the merger and through September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1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September 30, 2020 and December 31, 2019.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9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tables provide the fair value measurements of applicable financial liabilities as of September 30, 2020 and December 31, 2019:</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5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2"/>
              </w:rPr>
              <w:t>Financial liabilities at fair value as of September 30, 2020</w:t>
            </w: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5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r>
      <w:tr>
        <w:trPr>
          <w:trHeight w:val="359"/>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w w:val="92"/>
              </w:rPr>
              <w:t>Financial liabilities at fair value as of December 31, 2019</w:t>
            </w:r>
          </w:p>
        </w:tc>
      </w:tr>
      <w:tr>
        <w:trPr>
          <w:trHeight w:val="142"/>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19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changes in Level 3 instruments during the nine months ended September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w:t>
      </w:r>
    </w:p>
    <w:p>
      <w:pPr>
        <w:spacing w:after="0" w:line="13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FBR, Inc. (each a “2020 Agent” and collectively, the “2020 Agents”), relating to the sale of shares of our common stock. Under the 2020 ATM, we pay the 2020 Agents a commission rate of up to 3.0% of the gross proceeds from the sale of any shares of common stock.</w:t>
      </w:r>
    </w:p>
    <w:p>
      <w:pPr>
        <w:spacing w:after="0" w:line="12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During the nine months ended September 30, 2020, we sold an aggregate of 5,945,608 shares of common stock pursuant to the 2020 ATM for total gross proceeds of approximately $113.3 million at an average selling price of $19.06 per share, resulting in net proceeds of approximately $111.3 million after deducting commissions and other transactions costs.</w:t>
      </w:r>
    </w:p>
    <w:p>
      <w:pPr>
        <w:spacing w:after="0" w:line="16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Subsequent to the end of the third quarter, from October 1, 2020 through November 5, 2020, we sold an aggregate of 2,582,678 shares of common stock pursuant to the 2020 ATM for aggregate total gross proceeds of approximately $74.2 million at an average selling price of $28.73 per share, resulting in net proceeds of approximately $72.9 million after deducting commissions and other transactions costs</w:t>
      </w:r>
    </w:p>
    <w:p>
      <w:pPr>
        <w:spacing w:after="0" w:line="146"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71"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TG Therapeutics, Inc. Amended and Restated 2012 Incentive Plan (the “2012 Incentive Plan”) was approved by stockholders in June 2020. As of September 30, 2020, 9,909,709 shares of restricted stock and 2,529,133 options were outstanding and up to an additional 5,054,913 shares may be issued under the 2012 Incentive Plan.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2,605,730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11,706,110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(118,750)</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gridSpan w:val="2"/>
          </w:tcPr>
          <w:p>
            <w:pPr>
              <w:spacing w:after="0"/>
              <w:rPr>
                <w:sz w:val="20"/>
                <w:szCs w:val="20"/>
                <w:color w:val="auto"/>
              </w:rPr>
            </w:pPr>
            <w:r>
              <w:rPr>
                <w:rFonts w:ascii="Arial" w:cs="Arial" w:eastAsia="Arial" w:hAnsi="Arial"/>
                <w:sz w:val="18"/>
                <w:szCs w:val="18"/>
                <w:color w:val="auto"/>
              </w:rPr>
              <w:t>Outstanding at September 30, 2020</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2,529,133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8.35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50,757,217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Total expense associated with the stock options was approximately $0.8 million during each of the three months ended September 30, 2020 and 2019, respectively, and $5.2 million and $2.3 million during the nine months ended September 30, 2020 and 2019, respectively. As of September 30, 2020, there was approximately $2.4 million of total unrecognized compensation cost related to unvested time-based stock options, which is expected to be recognized over a weighted-average period of 1.3 years. As of September 30, 2020, the stock options outstanding include options granted to both employees and non-employees which are both time-based and milestone-based. Stock-based compensation for milestone-based options will be recorded if and when a milestone occurs.</w:t>
      </w:r>
    </w:p>
    <w:p>
      <w:pPr>
        <w:spacing w:after="0" w:line="137"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color w:val="auto"/>
        </w:rPr>
        <w:t>The fair value of the Company’s option awards granted during the nine months ended September 30, 2020 and 2019 were estimated on the grant date using the Black-Scholes option-pricing model using the assumptions below:</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20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vMerge w:val="restart"/>
          </w:tcPr>
          <w:p>
            <w:pPr>
              <w:spacing w:after="0"/>
              <w:rPr>
                <w:sz w:val="20"/>
                <w:szCs w:val="20"/>
                <w:color w:val="auto"/>
              </w:rPr>
            </w:pPr>
            <w:r>
              <w:rPr>
                <w:rFonts w:ascii="Arial" w:cs="Arial" w:eastAsia="Arial" w:hAnsi="Arial"/>
                <w:sz w:val="18"/>
                <w:szCs w:val="18"/>
                <w:color w:val="auto"/>
              </w:rPr>
              <w:t>Volatility</w:t>
            </w:r>
          </w:p>
        </w:tc>
        <w:tc>
          <w:tcPr>
            <w:tcW w:w="1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September 30, 2020</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6"/>
              </w:rPr>
              <w:t>September 30, 2019</w:t>
            </w:r>
          </w:p>
        </w:tc>
        <w:tc>
          <w:tcPr>
            <w:tcW w:w="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186.91-191.05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172.99-291.61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0"/>
              </w:rPr>
              <w:t>5.0-6.25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Risk-free rate</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0.34-0.54 %</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1.96-2.49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Restricted Stock</w:t>
      </w:r>
    </w:p>
    <w:p>
      <w:pPr>
        <w:spacing w:after="0" w:line="18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restricted share activity for the nine months ended September 30, 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 Shares</w:t>
            </w: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2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Granted</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3,897,829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(963,243)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4260" w:type="dxa"/>
            <w:vAlign w:val="bottom"/>
            <w:gridSpan w:val="3"/>
          </w:tcPr>
          <w:p>
            <w:pPr>
              <w:jc w:val="right"/>
              <w:ind w:right="140"/>
              <w:spacing w:after="0"/>
              <w:rPr>
                <w:sz w:val="20"/>
                <w:szCs w:val="20"/>
                <w:color w:val="auto"/>
              </w:rPr>
            </w:pPr>
            <w:r>
              <w:rPr>
                <w:rFonts w:ascii="Arial" w:cs="Arial" w:eastAsia="Arial" w:hAnsi="Arial"/>
                <w:sz w:val="18"/>
                <w:szCs w:val="18"/>
                <w:color w:val="auto"/>
              </w:rPr>
              <w:t>(116,666)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980" w:type="dxa"/>
            <w:vAlign w:val="bottom"/>
            <w:vMerge w:val="restart"/>
          </w:tcPr>
          <w:p>
            <w:pPr>
              <w:jc w:val="right"/>
              <w:ind w:right="1790"/>
              <w:spacing w:after="0"/>
              <w:rPr>
                <w:sz w:val="20"/>
                <w:szCs w:val="20"/>
                <w:color w:val="auto"/>
              </w:rPr>
            </w:pPr>
            <w:r>
              <w:rPr>
                <w:rFonts w:ascii="Arial" w:cs="Arial" w:eastAsia="Arial" w:hAnsi="Arial"/>
                <w:sz w:val="18"/>
                <w:szCs w:val="18"/>
                <w:color w:val="auto"/>
              </w:rPr>
              <w:t>19</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0" w:lineRule="auto"/>
        <w:rPr>
          <w:sz w:val="20"/>
          <w:szCs w:val="20"/>
          <w:color w:val="auto"/>
        </w:rPr>
      </w:pPr>
      <w:r>
        <w:rPr>
          <w:rFonts w:ascii="Arial" w:cs="Arial" w:eastAsia="Arial" w:hAnsi="Arial"/>
          <w:sz w:val="16"/>
          <w:szCs w:val="16"/>
          <w:color w:val="auto"/>
        </w:rPr>
        <w:t>Total expense associated with restricted stock grants was approximately $27.5 million and $1.3 million during the three months ended September 30, 2020 and 2019, respectively, and $41.6 million and $3.4 million during the nine months ended September 30, 2020 and 2019, respectively. As of September 30, 2020, there was approximately $55.0 million of total unrecognized compensation cost related to unvested time-based restricted stock, which is expected to be recognized over a weighted-average period of 1.0 year. This amount does not include, as of September 30, 2020, 2,860,511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and nine months ended September 30, 2020:</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gridSpan w:val="10"/>
          </w:tcPr>
          <w:p>
            <w:pPr>
              <w:ind w:left="20"/>
              <w:spacing w:after="0"/>
              <w:rPr>
                <w:sz w:val="20"/>
                <w:szCs w:val="20"/>
                <w:color w:val="auto"/>
              </w:rPr>
            </w:pPr>
            <w:r>
              <w:rPr>
                <w:rFonts w:ascii="Arial" w:cs="Arial" w:eastAsia="Arial" w:hAnsi="Arial"/>
                <w:sz w:val="14"/>
                <w:szCs w:val="14"/>
                <w:b w:val="1"/>
                <w:bCs w:val="1"/>
                <w:color w:val="auto"/>
                <w:w w:val="91"/>
              </w:rPr>
              <w:t>Three months and 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jc w:val="right"/>
              <w:ind w:right="16"/>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gridSpan w:val="3"/>
          </w:tcPr>
          <w:p>
            <w:pPr>
              <w:ind w:left="20"/>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Stock-based compensation expense associated with restricted stock</w:t>
            </w:r>
          </w:p>
        </w:tc>
        <w:tc>
          <w:tcPr>
            <w:tcW w:w="6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associated with option grants</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8"/>
                <w:szCs w:val="18"/>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ind w:left="20"/>
              <w:spacing w:after="0"/>
              <w:rPr>
                <w:sz w:val="20"/>
                <w:szCs w:val="20"/>
                <w:color w:val="auto"/>
              </w:rPr>
            </w:pPr>
            <w:r>
              <w:rPr>
                <w:rFonts w:ascii="Arial" w:cs="Arial" w:eastAsia="Arial" w:hAnsi="Arial"/>
                <w:sz w:val="18"/>
                <w:szCs w:val="18"/>
                <w:color w:val="auto"/>
              </w:rPr>
              <w:t>Warrants</w:t>
            </w: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20" w:type="dxa"/>
            <w:vAlign w:val="bottom"/>
            <w:gridSpan w:val="10"/>
          </w:tcPr>
          <w:p>
            <w:pPr>
              <w:ind w:left="480"/>
              <w:spacing w:after="0"/>
              <w:rPr>
                <w:sz w:val="20"/>
                <w:szCs w:val="20"/>
                <w:color w:val="auto"/>
              </w:rPr>
            </w:pPr>
            <w:r>
              <w:rPr>
                <w:rFonts w:ascii="Arial" w:cs="Arial" w:eastAsia="Arial" w:hAnsi="Arial"/>
                <w:sz w:val="18"/>
                <w:szCs w:val="18"/>
                <w:color w:val="auto"/>
                <w:w w:val="95"/>
              </w:rPr>
              <w:t>The following table summarizes warrant activity for the nine months ended September 30, 2020: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average exercise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price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intrinsic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147,058</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$ 1,032,347</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147,058</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$ 3,335,275</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There was no stock compensation expense related to warrants during the nine months ended September 30, 2020 and 2019.</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OTHER LIABILITIES</w:t>
      </w:r>
    </w:p>
    <w:p>
      <w:pPr>
        <w:spacing w:after="0" w:line="20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is a summary of notes payable included in other current liabilities on the Company’s condensed consolidated balance sheets: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 2020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0"/>
                <w:szCs w:val="10"/>
                <w:color w:val="auto"/>
              </w:rPr>
            </w:pPr>
          </w:p>
        </w:tc>
        <w:tc>
          <w:tcPr>
            <w:tcW w:w="6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0"/>
                <w:szCs w:val="10"/>
                <w:color w:val="auto"/>
              </w:rPr>
            </w:pPr>
          </w:p>
        </w:tc>
        <w:tc>
          <w:tcPr>
            <w:tcW w:w="6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current</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current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portion,</w:t>
            </w: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portion,</w:t>
            </w:r>
          </w:p>
        </w:tc>
        <w:tc>
          <w:tcPr>
            <w:tcW w:w="16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portion,</w:t>
            </w: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portion,</w:t>
            </w:r>
          </w:p>
        </w:tc>
        <w:tc>
          <w:tcPr>
            <w:tcW w:w="14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5% Notes Payable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100"/>
              <w:spacing w:after="0"/>
              <w:rPr>
                <w:sz w:val="20"/>
                <w:szCs w:val="20"/>
                <w:color w:val="auto"/>
              </w:rPr>
            </w:pPr>
            <w:r>
              <w:rPr>
                <w:rFonts w:ascii="Arial" w:cs="Arial" w:eastAsia="Arial" w:hAnsi="Arial"/>
                <w:sz w:val="18"/>
                <w:szCs w:val="18"/>
                <w:color w:val="auto"/>
              </w:rPr>
              <w:t>Totals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77"/>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198"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47"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The cumulative liability including accrued and unpaid interest of these notes was approximately $20.0 million at September 30, 2020 and $19.3 million at December 31, 2019. No payments have been made on the 5% Notes as of September 30, 2020.</w:t>
      </w:r>
    </w:p>
    <w:p>
      <w:pPr>
        <w:spacing w:after="0" w:line="14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85"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agreed to defer payment of certain costs and expenses under the agreement in exchange for the payment of an administrative fee. We have incurred expenses related to this agreement of approximately $53.4 million as of September 30, 2020, which include service fees, raw material costs and administrative fees. Payments of $33.2 million have been made to the contract manufacturer as of September 30, 2020. Accordingly, as of September 30, 2020, $19.4 million is included in other current liabilities in the Company’s unaudited condensed consolidated balance sheet. As of September 30, 2020, there are no long-term liabilities in the Company’s unaudited condensed consolidated balance sheet related to this agreement. We will incur an administrative fee of six percent (6%) per year starting from the date of invoice issuance. For the nine months ended September 30, 2020, we have accrued $2.6 million in administrative fees in connection with these costs, which has been included in interest expense in the Company’s unaudited condensed consolidated statements of operations.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LONG-TERM DEBT</w:t>
      </w:r>
    </w:p>
    <w:p>
      <w:pPr>
        <w:spacing w:after="0" w:line="202"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our option, but are subject to the clinical trial milestones identified in the Term Loan, and the fourth advance of $10.0 million, available in minimum increments of $5.0 million, is available through December 15, 2020 subject to the approval of Hercules’ investment committee.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4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September 30, 2020 and through the filing date of this report, the Company has been in compliance with all covenants.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events of default under the Loan Agreement include, without limitation, and subject to customary grace periods,</w:t>
      </w:r>
    </w:p>
    <w:p>
      <w:pPr>
        <w:spacing w:after="0" w:line="46" w:lineRule="exact"/>
        <w:rPr>
          <w:sz w:val="20"/>
          <w:szCs w:val="20"/>
          <w:color w:val="auto"/>
        </w:rPr>
      </w:pPr>
    </w:p>
    <w:p>
      <w:pPr>
        <w:jc w:val="both"/>
        <w:ind w:left="60" w:right="59" w:hanging="10"/>
        <w:spacing w:after="0" w:line="290"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our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123"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(deficit)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5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7.00 years</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The Company incurred financing expenses of $2.8 million (including the fair value of the Hercules Warrant) related to the Hercules Loan Agreement which are recorded as debt issuance costs and as an offset to long-term debt on the Company’s unaudited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$0.2 million and $0.7 million for the three and nine months ended September 30, 2020, respectively. At September 30, 2020, the remaining unamortized balance of debt issuance costs was $1.3 million.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Long-term debt as of September 30, 2020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September 30,</w:t>
            </w:r>
          </w:p>
        </w:tc>
      </w:tr>
      <w:tr>
        <w:trPr>
          <w:trHeight w:val="171"/>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r>
      <w:tr>
        <w:trPr>
          <w:trHeight w:val="209"/>
        </w:trPr>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29,664</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(14,590)</w:t>
            </w: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non-current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15,074</w:t>
            </w: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LEASES</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w:t>
      </w:r>
    </w:p>
    <w:p>
      <w:pPr>
        <w:spacing w:after="0" w:line="165"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September 30, 2020, the allocation rate is 65% and will be evaluated again in August 2021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3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$0.2 million for the nine months ended September 30, 2020.</w:t>
      </w:r>
    </w:p>
    <w:p>
      <w:pPr>
        <w:spacing w:after="0" w:line="14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present values of our lease liability and corresponding ROU asset are $11.4 million and $9.0 million, respectively, as of September 30, 2020. Our leases have remaining lease terms of less than 1 year to 11 years. One lease has a renewal option to extend the lease for an additional term of 1 year. The following components of lease expense are included in the Company’s condensed consolidated statements of operations for the three and nine months ended September 30, 2020:</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Three months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6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68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6840" w:val="left"/>
          <w:tab w:leader="none" w:pos="7440" w:val="left"/>
          <w:tab w:leader="none" w:pos="7980" w:val="left"/>
          <w:tab w:leader="none" w:pos="8460" w:val="left"/>
        </w:tabs>
        <w:rPr>
          <w:sz w:val="20"/>
          <w:szCs w:val="20"/>
          <w:color w:val="auto"/>
        </w:rPr>
      </w:pPr>
      <w:r>
        <w:rPr>
          <w:rFonts w:ascii="Arial" w:cs="Arial" w:eastAsia="Arial" w:hAnsi="Arial"/>
          <w:sz w:val="18"/>
          <w:szCs w:val="18"/>
          <w:color w:val="auto"/>
        </w:rPr>
        <w:t>Net lease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534</w:t>
        <w:tab/>
        <w:t>$</w:t>
      </w:r>
      <w:r>
        <w:rPr>
          <w:sz w:val="20"/>
          <w:szCs w:val="20"/>
          <w:color w:val="auto"/>
        </w:rPr>
        <w:tab/>
      </w:r>
      <w:r>
        <w:rPr>
          <w:rFonts w:ascii="Arial" w:cs="Arial" w:eastAsia="Arial" w:hAnsi="Arial"/>
          <w:sz w:val="15"/>
          <w:szCs w:val="15"/>
          <w:color w:val="auto"/>
        </w:rPr>
        <w:t>1,611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13201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 of September 30, 2020, the weighted-average remaining operating lease term was 7.8 years and the weighted-average discount rate for operating leases was 10.25%. Cash paid for amounts included in the measurement of operating lease liabilities during the nine months ended September 30, 2020 was $1.4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-431165</wp:posOffset>
            </wp:positionV>
            <wp:extent cx="1320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09"/>
        </w:trPr>
        <w:tc>
          <w:tcPr>
            <w:tcW w:w="782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September 30, 2020, the maturities of lease liabilities were as follows: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2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2021</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2024</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39" w:hanging="330"/>
        <w:spacing w:after="0" w:line="25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LICENSE AGREEMENTS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2020 and 2019, and approximately $114,000 for each of the nine months ended September 30, 2020 and 2019, and at September 30, 2020 and December 31, 2019, have deferred revenue of approximately $0.8 million and $0.9 million, respectively, associated with this $2 million payment (approximately $152,000 of which has been classified in current liabilities at September 30, 2020 and December 31, 2019).</w:t>
      </w:r>
    </w:p>
    <w:p>
      <w:pPr>
        <w:spacing w:after="0" w:line="14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TGR-1202 (Umbralisib)</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w:t>
      </w:r>
    </w:p>
    <w:p>
      <w:pPr>
        <w:spacing w:after="0" w:line="146"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During the three months ended September 30, 2020, we paid Rhizen $12.0 million as part of a milestone in accordance with the terms of the Umbralisib License. Rhizen will be eligible to receive additional approval and sales-based milestone payments in the aggregate of approximately $165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will be entitled to tiered royalties that escalate from high single digits to low double digits on our future net sales of umbralisib and any New Product.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left="60" w:right="59" w:firstLine="558"/>
        <w:spacing w:after="0" w:line="257"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Therapeutics, Inc. (“Checkpoint”) for the development and commercialization of anti-PD-L1 and anti-GITR antibody research programs in the field of hematological malignancies. The Collaboration Agreement was amended in June 2019 and in March of 2020 achieved the first Milestone event for which we incurred expenses of zero and approximately $0.9 million for the three and nine months ended September 30,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TG-1601: BET</w:t>
      </w:r>
    </w:p>
    <w:p>
      <w:pPr>
        <w:spacing w:after="0" w:line="19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(see Note 10), for the development and commercialization of Jubilant’s novel BET inhibitor program in the field of hematological malignancies.</w:t>
      </w:r>
    </w:p>
    <w:p>
      <w:pPr>
        <w:spacing w:after="0" w:line="143"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TG-1701: BTK</w:t>
      </w:r>
    </w:p>
    <w:p>
      <w:pPr>
        <w:spacing w:after="0" w:line="198"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condensed consolidated statement of operations. In July 2019, we paid Hengrui the first milestone of $0.1 million in our common stock recorded to noncash stock expense associated with in-licensing agreements in our consolidated statement of operations. During the three months ended September 30, 2020, we paid Hengrui $2.0 million as part of a milestone in accordance with the license agreement.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We incurred expenses of approximately $0.3 million and $0.6 million for the three months ended September 30, 2020 and 2019, respectively, and $2.1 million and $0.6 million for</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nine months ended September 30, 2020 and 2019, respectively, the majority of which relates to manufacturing expenses of BTK. The relevant expenses are recorded in other research and development in the accompanying unaudited condensed consolidated statement of operations.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171" w:lineRule="exact"/>
        <w:rPr>
          <w:sz w:val="20"/>
          <w:szCs w:val="20"/>
          <w:color w:val="auto"/>
        </w:rPr>
      </w:pPr>
    </w:p>
    <w:p>
      <w:pPr>
        <w:jc w:val="both"/>
        <w:ind w:left="60" w:right="59" w:firstLine="492"/>
        <w:spacing w:after="0" w:line="251"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0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October 2014, we entered into the Office Agreement with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51"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Under the Office Agreement, we agreed to pay FBIO our portion of the build out costs, which have been allocated to us at the 45% rate mentioned above. The allocated build-out costs have been recorded in Leasehold Interest, net on the Company's condensed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September 30, 2020, the allocation rate is 65% and will be evaluated again in August 2021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45"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$0.6 million for shared services for each of the nine months ended September 30, 2020 and 2019, and expenses of approximately $0.2 million for each of the three months ended September 30, 2020 and 2019, primarily related to shared personnel.</w:t>
      </w:r>
    </w:p>
    <w:p>
      <w:pPr>
        <w:spacing w:after="0" w:line="151"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$1.0 million and $4.0 million for the nine months ended September 30, 2020 and 2019, respectively, and expenses of approximately $30,000 and $2.7 million for the three months ended September 30, 2020 and 2019, respectively.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39" w:firstLine="634"/>
        <w:spacing w:after="0" w:line="269" w:lineRule="auto"/>
        <w:rPr>
          <w:sz w:val="20"/>
          <w:szCs w:val="20"/>
          <w:color w:val="auto"/>
        </w:rPr>
      </w:pPr>
      <w:r>
        <w:rPr>
          <w:rFonts w:ascii="Arial" w:cs="Arial" w:eastAsia="Arial" w:hAnsi="Arial"/>
          <w:sz w:val="17"/>
          <w:szCs w:val="17"/>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two lead therapies, ublituximab (TG-1101) and umbralisib (TGR-1202), in pivotal trials for CLL and NHL, with ublituximab also in pivotal trials for MS. Ublituximab is a novel anti-CD20 monoclonal antibody (mAb) that has been glycoengineered for enhanced potency. Umbralisib is an oral, once daily, dual inhibitor of PI3K-delta and CK1-epsilon. When used together in combination therapy, ublituximab and umbralisib are referred to as “U2”. Additionally, in early clinical development we have an anti-PD-L1 monoclonal antibody cosibelimab (TG-1501), an oral Bruton’s Tyrosine Kinase (BTK) inhibitor referred to as TG-1701, and an anti-CD47/CD19 bispecific antibody referred to as TG-1801.</w:t>
      </w:r>
    </w:p>
    <w:p>
      <w:pPr>
        <w:spacing w:after="0" w:line="141" w:lineRule="exact"/>
        <w:rPr>
          <w:sz w:val="20"/>
          <w:szCs w:val="20"/>
          <w:color w:val="auto"/>
        </w:rPr>
      </w:pPr>
    </w:p>
    <w:p>
      <w:pPr>
        <w:ind w:left="60" w:right="459" w:firstLine="634"/>
        <w:spacing w:after="0" w:line="311" w:lineRule="auto"/>
        <w:rPr>
          <w:sz w:val="20"/>
          <w:szCs w:val="20"/>
          <w:color w:val="auto"/>
        </w:rPr>
      </w:pPr>
      <w:r>
        <w:rPr>
          <w:rFonts w:ascii="Arial" w:cs="Arial" w:eastAsia="Arial" w:hAnsi="Arial"/>
          <w:sz w:val="16"/>
          <w:szCs w:val="16"/>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Products Under Development</w:t>
      </w:r>
    </w:p>
    <w:p>
      <w:pPr>
        <w:spacing w:after="0" w:line="198" w:lineRule="exact"/>
        <w:rPr>
          <w:sz w:val="20"/>
          <w:szCs w:val="20"/>
          <w:color w:val="auto"/>
        </w:rPr>
      </w:pPr>
    </w:p>
    <w:p>
      <w:pPr>
        <w:ind w:left="60" w:right="199" w:firstLine="634"/>
        <w:spacing w:after="0" w:line="257" w:lineRule="auto"/>
        <w:rPr>
          <w:sz w:val="20"/>
          <w:szCs w:val="20"/>
          <w:color w:val="auto"/>
        </w:rPr>
      </w:pPr>
      <w:r>
        <w:rPr>
          <w:rFonts w:ascii="Arial" w:cs="Arial" w:eastAsia="Arial" w:hAnsi="Arial"/>
          <w:sz w:val="18"/>
          <w:szCs w:val="18"/>
          <w:color w:val="auto"/>
        </w:rPr>
        <w:t>We have leveraged our B-cell platform to develop a robust drug pipeline of targeted orally available, potent and selective small molecule kinase inhibitors and intravenously delivered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w:t>
      </w:r>
    </w:p>
    <w:p>
      <w:pPr>
        <w:spacing w:after="0" w:line="142"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3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2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94"/>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Ublituximab (anti-CD20 mAb)</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Chronic Lymphocytic Leukemia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 trial (ULTRA-V)</w:t>
            </w:r>
          </w:p>
        </w:tc>
      </w:tr>
      <w:tr>
        <w:trPr>
          <w:trHeight w:val="95"/>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Relapsing Multiple Sclerosis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Phase 3 trials (ULTIMATE I and II)</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Umbralisib (PI3K-delta inhibitor)</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Chronic Lymphocytic Leukemia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 trial (ULTRA-V)</w:t>
            </w:r>
          </w:p>
        </w:tc>
      </w:tr>
      <w:tr>
        <w:trPr>
          <w:trHeight w:val="95"/>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80"/>
        </w:trPr>
        <w:tc>
          <w:tcPr>
            <w:tcW w:w="3240" w:type="dxa"/>
            <w:vAlign w:val="bottom"/>
            <w:tcBorders>
              <w:left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324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Follicular Lymphoma/Small</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2b trial (UNITY-NHL)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Lymphocytic Lymphoma</w:t>
            </w:r>
          </w:p>
        </w:tc>
        <w:tc>
          <w:tcPr>
            <w:tcW w:w="2740" w:type="dxa"/>
            <w:vAlign w:val="bottom"/>
            <w:tcBorders>
              <w:right w:val="single" w:sz="8" w:color="auto"/>
            </w:tcBorders>
          </w:tcPr>
          <w:p>
            <w:pPr>
              <w:spacing w:after="0"/>
              <w:rPr>
                <w:sz w:val="20"/>
                <w:szCs w:val="20"/>
                <w:color w:val="auto"/>
              </w:rPr>
            </w:pPr>
          </w:p>
        </w:tc>
      </w:tr>
      <w:tr>
        <w:trPr>
          <w:trHeight w:val="95"/>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0" w:type="dxa"/>
        <w:tblCellMar>
          <w:top w:w="0" w:type="dxa"/>
          <w:left w:w="0" w:type="dxa"/>
          <w:bottom w:w="0" w:type="dxa"/>
          <w:right w:w="0" w:type="dxa"/>
        </w:tblCellMar>
      </w:tblPr>
      <w:tr>
        <w:trPr>
          <w:trHeight w:val="244"/>
        </w:trPr>
        <w:tc>
          <w:tcPr>
            <w:tcW w:w="32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Cosibelimab/TG-1501 (anti-PDL1 mAb)</w:t>
            </w:r>
          </w:p>
        </w:tc>
        <w:tc>
          <w:tcPr>
            <w:tcW w:w="2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2"/>
              </w:rPr>
              <w:t>TG-1701</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(BTK inhibitor)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2"/>
              </w:rPr>
              <w:t>TG-1801</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(anti-CD47/CD19 bispecific Ab)</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bl>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3 and Registration-Directed Clinical Trial Highlights</w:t>
      </w:r>
    </w:p>
    <w:p>
      <w:pPr>
        <w:spacing w:after="0" w:line="185" w:lineRule="exact"/>
        <w:rPr>
          <w:sz w:val="20"/>
          <w:szCs w:val="20"/>
          <w:color w:val="auto"/>
        </w:rPr>
      </w:pPr>
    </w:p>
    <w:p>
      <w:pPr>
        <w:ind w:left="60" w:right="159" w:firstLine="492"/>
        <w:spacing w:after="0" w:line="254" w:lineRule="auto"/>
        <w:rPr>
          <w:sz w:val="20"/>
          <w:szCs w:val="20"/>
          <w:color w:val="auto"/>
        </w:rPr>
      </w:pPr>
      <w:r>
        <w:rPr>
          <w:rFonts w:ascii="Arial" w:cs="Arial" w:eastAsia="Arial" w:hAnsi="Arial"/>
          <w:sz w:val="18"/>
          <w:szCs w:val="18"/>
          <w:color w:val="auto"/>
        </w:rPr>
        <w:t>We have several Phase 3 and registration-directed Phase 2b clinical trials ongoing that may support marketing applications for approval. Our most advanced trials, UNITY-NHL MZL &amp; FL single agent cohorts, UNITY-CLL, and the ULTIMATE I &amp; II trials, have all completed enrollment and have either completed their primary analysis or are nearing completion. Accordingly, we would expect to see minimal impact on the conduct and our proposed timelines for these three trials related to the COVID-19 pandemic. However, as the pandemic evolves, we will continue to evaluate each trial, monitor potential implications, and work closely with our investigational sites, CROs, and vendors to develop continuity plans.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are highlights from our current Phase 3 trials and registration-directed Phase 2b clinical trials:</w:t>
      </w:r>
    </w:p>
    <w:p>
      <w:pPr>
        <w:spacing w:after="0" w:line="206" w:lineRule="exact"/>
        <w:rPr>
          <w:sz w:val="20"/>
          <w:szCs w:val="20"/>
          <w:color w:val="auto"/>
        </w:rPr>
      </w:pPr>
    </w:p>
    <w:p>
      <w:pPr>
        <w:jc w:val="both"/>
        <w:ind w:left="1040" w:right="79" w:hanging="315"/>
        <w:spacing w:after="0" w:line="25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UNITY-NHL Phase 2b Trial: </w:t>
      </w:r>
      <w:r>
        <w:rPr>
          <w:rFonts w:ascii="Arial" w:cs="Arial" w:eastAsia="Arial" w:hAnsi="Arial"/>
          <w:sz w:val="18"/>
          <w:szCs w:val="18"/>
          <w:color w:val="auto"/>
        </w:rPr>
        <w:t>UNITY-NHL is a global Phase 2b registration-directed clinical trial designed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evaluate the efficacy and safety of single-agent umbralisib and U2 combinations in patients with previously treated NHL. The marginal zone lymphoma (MZL), follicular lymphoma (FL), and small lymphocytic lymphoma (SLL) single agent umbralisib cohorts of this trial are fully enrolled. The primary objective of these cohorts is to assess the efficacy of single agent umbralisib as measured by Overall Response Rate (ORR).</w:t>
      </w:r>
    </w:p>
    <w:p>
      <w:pPr>
        <w:spacing w:after="0" w:line="187" w:lineRule="exact"/>
        <w:rPr>
          <w:rFonts w:ascii="Arial" w:cs="Arial" w:eastAsia="Arial" w:hAnsi="Arial"/>
          <w:sz w:val="18"/>
          <w:szCs w:val="18"/>
          <w:color w:val="auto"/>
        </w:rPr>
      </w:pPr>
    </w:p>
    <w:p>
      <w:pPr>
        <w:jc w:val="both"/>
        <w:ind w:left="1380" w:right="79" w:hanging="331"/>
        <w:spacing w:after="0" w:line="282" w:lineRule="auto"/>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UNITY-NHL MZL and FL Single Agent Umbralisib Cohorts: </w:t>
      </w:r>
      <w:r>
        <w:rPr>
          <w:rFonts w:ascii="Arial" w:cs="Arial" w:eastAsia="Arial" w:hAnsi="Arial"/>
          <w:sz w:val="16"/>
          <w:szCs w:val="16"/>
          <w:color w:val="auto"/>
        </w:rPr>
        <w:t>The MZL cohort enrolled adult</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who had at least one prior line of therapy that included an anti-CD20 monoclonal antibody. In February 2019, we announced that the MZL cohort met the primary endpoint of ORR as determined by an Independent Review Committee (IRC) for all treated patients (n=69). The results met our target guidance of 40-50% ORR. Previously, in January 2019, the U.S. Food and Drug Administration (FDA) granted Breakthrough Therapy Designation (BTD) to umbralisib for the treatment of adult patients with MZL who have received at least one prior anti-CD20 regimen. In April 2019, the FDA granted orphan drug designation to umbralisib for the treatment of patients with any of the three types of marginal zone lymphoma: nodal, extranodal, and splenic MZL. The FL/SLL cohort enrolled adult patients who had two or more prior lines of therapy that included an anti-CD20 monoclonal antibody and an alkylating agent. In October 2019, we announced that the FL patients within this cohort met the primary endpoint of ORR as determined by IRC for all treated FL patients (n=118). The results met our target guidance of 40-50% ORR. In January of 2020, we received guidance from the FDA allowing submission of a single New Drug Application (NDA) for MZL and FL indications, and we initiated a rolling submission of an NDA to the FDA for umbralisib in MZL and FL. In March 2020, we announced that the FDA granted orphan drug designation to umbralisib for the treatment of FL. In June 2020, we announced the completion of the rolling NDA submission for MZL and FL, and in August 2020 we announced the FDA accepted the NDA. The MZL indication, under BTD, has been accepted for Priority Review and has a Prescription Drug User Fee Act (PDUFA) goal date of February 15, 2021. The FL indication has been accepted for standard review with a PDUFA goal date of June 15, 2021. On November 4, 2020, accepted abstracts for the 2020 American Society of Hematology Virtual Conference were released with the final data from the UNITY-NHL, MZL and FL cohorts, which we previously announced top-line results for in February and October 2019, respectively. Highlights from the abstract are as follows:</w:t>
      </w:r>
    </w:p>
    <w:p>
      <w:pPr>
        <w:spacing w:after="0" w:line="14" w:lineRule="exact"/>
        <w:rPr>
          <w:rFonts w:ascii="Arial" w:cs="Arial" w:eastAsia="Arial" w:hAnsi="Arial"/>
          <w:sz w:val="16"/>
          <w:szCs w:val="16"/>
          <w:color w:val="auto"/>
        </w:rPr>
      </w:pPr>
    </w:p>
    <w:p>
      <w:pPr>
        <w:jc w:val="both"/>
        <w:ind w:left="2020" w:right="79" w:hanging="323"/>
        <w:spacing w:after="0" w:line="250" w:lineRule="auto"/>
        <w:tabs>
          <w:tab w:leader="none" w:pos="20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 total of 208 patients with iNHL received at least 1 dose of umbralisib, including 69 marginal zone lymphoma (MZL), 117 follicular lymphoma (FL), and 22 small lymphocytic lymphoma (SLL) patients</w:t>
      </w:r>
    </w:p>
    <w:p>
      <w:pPr>
        <w:spacing w:after="0" w:line="1" w:lineRule="exact"/>
        <w:rPr>
          <w:rFonts w:ascii="Arial" w:cs="Arial" w:eastAsia="Arial" w:hAnsi="Arial"/>
          <w:sz w:val="18"/>
          <w:szCs w:val="18"/>
          <w:color w:val="auto"/>
        </w:rPr>
      </w:pPr>
    </w:p>
    <w:p>
      <w:pPr>
        <w:ind w:left="2020" w:right="79" w:hanging="323"/>
        <w:spacing w:after="0" w:line="250" w:lineRule="auto"/>
        <w:tabs>
          <w:tab w:leader="none" w:pos="20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MZL patients were relapsed/refractory to ≥1 prior lines of treatment, including an anti-CD20. At a median follow up of 27.8 months, the following was observed:</w:t>
      </w:r>
    </w:p>
    <w:p>
      <w:pPr>
        <w:ind w:left="234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49.3% ORR with 15.9% Complete response (CR) 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60" w:right="79" w:hanging="315"/>
        <w:spacing w:after="0" w:line="249" w:lineRule="auto"/>
        <w:tabs>
          <w:tab w:leader="none" w:pos="2660" w:val="left"/>
        </w:tabs>
        <w:numPr>
          <w:ilvl w:val="4"/>
          <w:numId w:val="13"/>
        </w:numPr>
        <w:rPr>
          <w:rFonts w:ascii="Courier New" w:cs="Courier New" w:eastAsia="Courier New" w:hAnsi="Courier New"/>
          <w:sz w:val="18"/>
          <w:szCs w:val="18"/>
          <w:color w:val="auto"/>
        </w:rPr>
      </w:pPr>
      <w:r>
        <w:rPr>
          <w:rFonts w:ascii="Arial" w:cs="Arial" w:eastAsia="Arial" w:hAnsi="Arial"/>
          <w:sz w:val="18"/>
          <w:szCs w:val="18"/>
          <w:color w:val="auto"/>
        </w:rPr>
        <w:t>Median PFS was not reached, with an estimated 12-month PFS rate of 64.2%; no patients who achieved a CR have experienced disease progression to date</w:t>
      </w:r>
    </w:p>
    <w:p>
      <w:pPr>
        <w:ind w:left="2020" w:right="79" w:hanging="323"/>
        <w:spacing w:after="0" w:line="250" w:lineRule="auto"/>
        <w:tabs>
          <w:tab w:leader="none" w:pos="2020" w:val="left"/>
        </w:tabs>
        <w:numPr>
          <w:ilvl w:val="3"/>
          <w:numId w:val="13"/>
        </w:numPr>
        <w:rPr>
          <w:rFonts w:ascii="Arial" w:cs="Arial" w:eastAsia="Arial" w:hAnsi="Arial"/>
          <w:sz w:val="18"/>
          <w:szCs w:val="18"/>
          <w:color w:val="auto"/>
        </w:rPr>
      </w:pPr>
      <w:r>
        <w:rPr>
          <w:rFonts w:ascii="Arial" w:cs="Arial" w:eastAsia="Arial" w:hAnsi="Arial"/>
          <w:sz w:val="18"/>
          <w:szCs w:val="18"/>
          <w:color w:val="auto"/>
        </w:rPr>
        <w:t>FL patients were relapsed or refractory to ≥2 prior lines, including an anti-CD20 and an alkylating agent. At a median follow up of 27.5 months the following was observed:</w:t>
      </w:r>
    </w:p>
    <w:p>
      <w:pPr>
        <w:ind w:left="266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45.3% ORR with 5.1% achieving a CR</w:t>
      </w:r>
    </w:p>
    <w:p>
      <w:pPr>
        <w:ind w:left="2660"/>
        <w:spacing w:after="0"/>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Median PFS was 10.6 months, with an estimated 12-month PFS rate of 45.9%</w:t>
      </w:r>
    </w:p>
    <w:p>
      <w:pPr>
        <w:spacing w:after="0" w:line="5" w:lineRule="exact"/>
        <w:rPr>
          <w:rFonts w:ascii="Arial" w:cs="Arial" w:eastAsia="Arial" w:hAnsi="Arial"/>
          <w:sz w:val="18"/>
          <w:szCs w:val="18"/>
          <w:color w:val="auto"/>
        </w:rPr>
      </w:pPr>
    </w:p>
    <w:p>
      <w:pPr>
        <w:jc w:val="both"/>
        <w:ind w:left="2020" w:right="79" w:hanging="323"/>
        <w:spacing w:after="0" w:line="250" w:lineRule="auto"/>
        <w:tabs>
          <w:tab w:leader="none" w:pos="2020" w:val="left"/>
        </w:tabs>
        <w:numPr>
          <w:ilvl w:val="3"/>
          <w:numId w:val="13"/>
        </w:numPr>
        <w:rPr>
          <w:rFonts w:ascii="Arial" w:cs="Arial" w:eastAsia="Arial" w:hAnsi="Arial"/>
          <w:sz w:val="18"/>
          <w:szCs w:val="18"/>
          <w:color w:val="auto"/>
        </w:rPr>
      </w:pPr>
      <w:r>
        <w:rPr>
          <w:rFonts w:ascii="Arial" w:cs="Arial" w:eastAsia="Arial" w:hAnsi="Arial"/>
          <w:sz w:val="18"/>
          <w:szCs w:val="18"/>
          <w:color w:val="auto"/>
        </w:rPr>
        <w:t>The most common AEs of &gt; Grade 3 were neutropenia (11.5%), diarrhea (10.1%) and increased ALT/AST (7.2%). Other AEs of interest included pneumonitis (all Grades 1.4%, &gt; Grade 3 1.0%) and colitis (all Grades 1.4%, &gt;Grade 3 0.5%)</w:t>
      </w:r>
    </w:p>
    <w:p>
      <w:pPr>
        <w:spacing w:after="0" w:line="1" w:lineRule="exact"/>
        <w:rPr>
          <w:rFonts w:ascii="Arial" w:cs="Arial" w:eastAsia="Arial" w:hAnsi="Arial"/>
          <w:sz w:val="18"/>
          <w:szCs w:val="18"/>
          <w:color w:val="auto"/>
        </w:rPr>
      </w:pPr>
    </w:p>
    <w:p>
      <w:pPr>
        <w:jc w:val="both"/>
        <w:ind w:left="2020" w:right="79" w:hanging="323"/>
        <w:spacing w:after="0" w:line="255" w:lineRule="auto"/>
        <w:tabs>
          <w:tab w:leader="none" w:pos="2020" w:val="left"/>
        </w:tabs>
        <w:numPr>
          <w:ilvl w:val="3"/>
          <w:numId w:val="13"/>
        </w:numPr>
        <w:rPr>
          <w:rFonts w:ascii="Arial" w:cs="Arial" w:eastAsia="Arial" w:hAnsi="Arial"/>
          <w:sz w:val="18"/>
          <w:szCs w:val="18"/>
          <w:color w:val="auto"/>
        </w:rPr>
      </w:pPr>
      <w:r>
        <w:rPr>
          <w:rFonts w:ascii="Arial" w:cs="Arial" w:eastAsia="Arial" w:hAnsi="Arial"/>
          <w:sz w:val="18"/>
          <w:szCs w:val="18"/>
          <w:color w:val="auto"/>
        </w:rPr>
        <w:t>Conclusion: Umbralisib achieved meaningful clinical activity in a heavily pretreated iNHL population. The safety profile was manageable, with a relatively low incidence of immune-mediated toxicities and AE-related discontinuations.</w:t>
      </w:r>
    </w:p>
    <w:p>
      <w:pPr>
        <w:spacing w:after="0" w:line="185" w:lineRule="exact"/>
        <w:rPr>
          <w:rFonts w:ascii="Arial" w:cs="Arial" w:eastAsia="Arial" w:hAnsi="Arial"/>
          <w:sz w:val="18"/>
          <w:szCs w:val="18"/>
          <w:color w:val="auto"/>
        </w:rPr>
      </w:pPr>
    </w:p>
    <w:p>
      <w:pPr>
        <w:jc w:val="both"/>
        <w:ind w:left="1380" w:right="79" w:hanging="331"/>
        <w:spacing w:after="0" w:line="258"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UNITY-NHL Additional Cohorts</w:t>
      </w:r>
      <w:r>
        <w:rPr>
          <w:rFonts w:ascii="Arial" w:cs="Arial" w:eastAsia="Arial" w:hAnsi="Arial"/>
          <w:sz w:val="18"/>
          <w:szCs w:val="18"/>
          <w:color w:val="auto"/>
        </w:rPr>
        <w:t>: There are additional exploratory disease cohorts of the UNITY-NHL trial focused on diffuse large B cell lymphoma (DLBCL) and mantle cell lymphoma (MCL). In total, there are currently four cohorts in the UNITY-NHL trial, including MZL, FL/SLL, DLBCL, and MCL. Each cohort is evaluated separately from the others. The MZL, MCL and FL cohorts are currently enrolling additional patients exploring the combination of U2.</w:t>
      </w:r>
    </w:p>
    <w:p>
      <w:pPr>
        <w:spacing w:after="0" w:line="183" w:lineRule="exact"/>
        <w:rPr>
          <w:rFonts w:ascii="Arial" w:cs="Arial" w:eastAsia="Arial" w:hAnsi="Arial"/>
          <w:sz w:val="18"/>
          <w:szCs w:val="18"/>
          <w:color w:val="auto"/>
        </w:rPr>
      </w:pPr>
    </w:p>
    <w:p>
      <w:pPr>
        <w:jc w:val="both"/>
        <w:ind w:left="1040" w:right="79" w:hanging="315"/>
        <w:spacing w:after="0" w:line="266"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UNITY-CLL Phase 3 Trial Evaluating Umbralisib plus Ublituximab (U2): </w:t>
      </w:r>
      <w:r>
        <w:rPr>
          <w:rFonts w:ascii="Arial" w:cs="Arial" w:eastAsia="Arial" w:hAnsi="Arial"/>
          <w:sz w:val="17"/>
          <w:szCs w:val="17"/>
          <w:color w:val="auto"/>
        </w:rPr>
        <w:t>UNITY-CLL is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Phase 3 randomized controlled clinical trial comparing the U2 combination to an active control arm of obinutuzumab plus chlorambucil in patients with both treatment-naïve and relapsed or refractory CLL. Two additional arms evaluating single agent ublituximab and single agent umbralisib were also enrolled for purposes of evaluating the contribution of each in the U2 combination regimen. The primary endpoint for this study is progression free survival (PFS) which we intend to use to support a Biologics License Application (BLA) submission for approval of the U2 combination in CLL. The study completed enrollment in October 2017 with over 600 patients across the four treatment arms, with approximately 420 patients in the U2 and the active control arms combined. This trial is conducted under a Special Protocol Assessment (SPA) with the FDA. On May 5, 2020, we announced the UNITY-CLL trial met its primary endpoint at a prespecified interim analysis demonstrating a statistically significant improvement in PFS (p&lt;0.0001) and will be stopped early for superior efficacy. In October 2020, we announced that the FDA granted Fast Track Designation to U2 for CLL. On November 4, 2020, accepted abstracts for the 2020 ASH Virtual Conference were released with the final data from the UNITY-CLL study, which we previously announced top-line results for in May of 2020. Highlights from this abstract are as follows:</w:t>
      </w:r>
    </w:p>
    <w:p>
      <w:pPr>
        <w:spacing w:after="0" w:line="8" w:lineRule="exact"/>
        <w:rPr>
          <w:rFonts w:ascii="Arial" w:cs="Arial" w:eastAsia="Arial" w:hAnsi="Arial"/>
          <w:sz w:val="17"/>
          <w:szCs w:val="17"/>
          <w:color w:val="auto"/>
        </w:rPr>
      </w:pPr>
    </w:p>
    <w:p>
      <w:pPr>
        <w:ind w:left="1700" w:right="459" w:hanging="327"/>
        <w:spacing w:after="0" w:line="250" w:lineRule="auto"/>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421 patients were randomized to the U2 (n=210) or O+Chl (n=211) arms; 57% of patients were treatment-naïve and 43% had R/R CLL</w:t>
      </w:r>
    </w:p>
    <w:p>
      <w:pPr>
        <w:ind w:left="1700" w:right="219" w:hanging="327"/>
        <w:spacing w:after="0" w:line="265" w:lineRule="auto"/>
        <w:tabs>
          <w:tab w:leader="none" w:pos="170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At a median follow-up of 36.2 months, U2 significantly prolonged progression-free survival (PFS) vs O+Chl (median 31.9 months vs 17.9 months; hazard ratio 0.546 (p&lt;0.0001))</w:t>
      </w:r>
    </w:p>
    <w:p>
      <w:pPr>
        <w:ind w:left="1700" w:right="579" w:hanging="327"/>
        <w:spacing w:after="0" w:line="281" w:lineRule="auto"/>
        <w:tabs>
          <w:tab w:leader="none" w:pos="17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PFS improvement with U2 vs O+Chl was consistent across all subgroups examined including treatment naïve patients (median 38.5 months vs 26.1 months, hazard ratio 0.482) and relapsed/refractory patients (median 19.5 months vs 12.9 months, hazard ratio 0.601)</w:t>
      </w:r>
    </w:p>
    <w:p>
      <w:pPr>
        <w:spacing w:after="0" w:line="1" w:lineRule="exact"/>
        <w:rPr>
          <w:rFonts w:ascii="Arial" w:cs="Arial" w:eastAsia="Arial" w:hAnsi="Arial"/>
          <w:sz w:val="16"/>
          <w:szCs w:val="16"/>
          <w:color w:val="auto"/>
        </w:rPr>
      </w:pPr>
    </w:p>
    <w:p>
      <w:pPr>
        <w:ind w:left="1700" w:right="599" w:hanging="327"/>
        <w:spacing w:after="0" w:line="250" w:lineRule="auto"/>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Overall response rate (ORR) was significantly higher with U2 compared to O+Chl (83.3% vs 68.7%; p&lt;0.001)</w:t>
      </w:r>
    </w:p>
    <w:p>
      <w:pPr>
        <w:ind w:left="1700" w:right="299" w:hanging="327"/>
        <w:spacing w:after="0" w:line="250" w:lineRule="auto"/>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Grade 3/4 Adverse Events (AE) of interest regardless of causality (U2 vs O+Chl) included neutropenia (30.6% vs 34.7%), thrombocytopenia (3.4% vs 13.1%), diarrhea (12.1% vs 2.5%), infusion related reaction (1.9% vs 3.5%), elevated AST/ALTs (8.3% vs 2%), colitis (3.4% vs 0%) and pneumonitis (2.9% vs 0%)</w:t>
      </w:r>
    </w:p>
    <w:p>
      <w:pPr>
        <w:spacing w:after="0" w:line="1" w:lineRule="exact"/>
        <w:rPr>
          <w:rFonts w:ascii="Arial" w:cs="Arial" w:eastAsia="Arial" w:hAnsi="Arial"/>
          <w:sz w:val="18"/>
          <w:szCs w:val="18"/>
          <w:color w:val="auto"/>
        </w:rPr>
      </w:pPr>
    </w:p>
    <w:p>
      <w:pPr>
        <w:ind w:left="1700" w:right="99" w:hanging="327"/>
        <w:spacing w:after="0" w:line="323" w:lineRule="auto"/>
        <w:tabs>
          <w:tab w:leader="none" w:pos="17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Conclusion: U2 exhibited a well-tolerated safety profile, and significantly improved PFS vs. standard of care chemoimmunotherapy in patients with treatment naïve and relapsed/refractory CLL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040" w:right="79" w:hanging="315"/>
        <w:spacing w:after="0" w:line="273"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ULTIMATE I &amp; II Trials Evaluating Single Agent Ublituximab in RMS: </w:t>
      </w:r>
      <w:r>
        <w:rPr>
          <w:rFonts w:ascii="Arial" w:cs="Arial" w:eastAsia="Arial" w:hAnsi="Arial"/>
          <w:sz w:val="17"/>
          <w:szCs w:val="17"/>
          <w:color w:val="auto"/>
        </w:rPr>
        <w:t>ULTIMATE I and ULTIMATE</w:t>
      </w:r>
      <w:r>
        <w:rPr>
          <w:rFonts w:ascii="Arial" w:cs="Arial" w:eastAsia="Arial" w:hAnsi="Arial"/>
          <w:sz w:val="17"/>
          <w:szCs w:val="17"/>
          <w:b w:val="1"/>
          <w:bCs w:val="1"/>
          <w:color w:val="auto"/>
        </w:rPr>
        <w:t xml:space="preserve"> </w:t>
      </w:r>
      <w:r>
        <w:rPr>
          <w:rFonts w:ascii="Arial" w:cs="Arial" w:eastAsia="Arial" w:hAnsi="Arial"/>
          <w:sz w:val="17"/>
          <w:szCs w:val="17"/>
          <w:color w:val="auto"/>
        </w:rPr>
        <w:t>II are two independent Phase 3 trials. 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both being conducted under a SPA with the FDA. Full enrollment was completed in October 2018, with approximately 1,100 subjects enrolled in both studies combined.</w:t>
      </w:r>
    </w:p>
    <w:p>
      <w:pPr>
        <w:spacing w:after="0" w:line="171" w:lineRule="exact"/>
        <w:rPr>
          <w:rFonts w:ascii="Arial" w:cs="Arial" w:eastAsia="Arial" w:hAnsi="Arial"/>
          <w:sz w:val="17"/>
          <w:szCs w:val="17"/>
          <w:color w:val="auto"/>
        </w:rPr>
      </w:pPr>
    </w:p>
    <w:p>
      <w:pPr>
        <w:jc w:val="both"/>
        <w:ind w:left="1040" w:right="79" w:hanging="315"/>
        <w:spacing w:after="0" w:line="303"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ULTRA-V Phase 2 Trial Evaluating U2 Plus Venetoclax in CLL: </w:t>
      </w:r>
      <w:r>
        <w:rPr>
          <w:rFonts w:ascii="Arial" w:cs="Arial" w:eastAsia="Arial" w:hAnsi="Arial"/>
          <w:sz w:val="16"/>
          <w:szCs w:val="16"/>
          <w:color w:val="auto"/>
        </w:rPr>
        <w:t>ULTRA-V is a Phase 2 open-label,</w:t>
      </w:r>
      <w:r>
        <w:rPr>
          <w:rFonts w:ascii="Arial" w:cs="Arial" w:eastAsia="Arial" w:hAnsi="Arial"/>
          <w:sz w:val="16"/>
          <w:szCs w:val="16"/>
          <w:b w:val="1"/>
          <w:bCs w:val="1"/>
          <w:color w:val="auto"/>
        </w:rPr>
        <w:t xml:space="preserve"> </w:t>
      </w:r>
      <w:r>
        <w:rPr>
          <w:rFonts w:ascii="Arial" w:cs="Arial" w:eastAsia="Arial" w:hAnsi="Arial"/>
          <w:sz w:val="16"/>
          <w:szCs w:val="16"/>
          <w:color w:val="auto"/>
        </w:rPr>
        <w:t>multicenter, registration-directed clinical trial designed to investigate the efficacy and safety of U2 in combination with venetoclax in subjects with treatment-naïve and relapsed or refractory CLL. The primary endpoints for this study are ORR and Complete Response (CR) rate. This trial is currently enrolling.</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CORPORATE</w:t>
      </w:r>
    </w:p>
    <w:p>
      <w:pPr>
        <w:spacing w:after="0" w:line="202"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jc w:val="both"/>
        <w:ind w:left="60" w:right="59" w:firstLine="486"/>
        <w:spacing w:after="0" w:line="301"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57" w:lineRule="exact"/>
        <w:rPr>
          <w:sz w:val="20"/>
          <w:szCs w:val="20"/>
          <w:color w:val="auto"/>
        </w:rPr>
      </w:pPr>
    </w:p>
    <w:p>
      <w:pPr>
        <w:jc w:val="both"/>
        <w:ind w:left="60" w:right="59" w:firstLine="486"/>
        <w:spacing w:after="0" w:line="301"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commercial, medical, and other administrative personnel, recruitment expenses, expenses for pre-commercialization activities (including the build out of our medical affairs and commercial organizations and infrastructure), professional fees and other corporate expenses, including investor relations, legal activities and facilities-related expenses.</w:t>
      </w:r>
    </w:p>
    <w:p>
      <w:pPr>
        <w:spacing w:after="0" w:line="157"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88" w:lineRule="exact"/>
        <w:rPr>
          <w:sz w:val="20"/>
          <w:szCs w:val="20"/>
          <w:color w:val="auto"/>
        </w:rPr>
      </w:pPr>
    </w:p>
    <w:p>
      <w:pPr>
        <w:jc w:val="both"/>
        <w:ind w:left="60" w:right="79" w:firstLine="486"/>
        <w:spacing w:after="0" w:line="279" w:lineRule="auto"/>
        <w:rPr>
          <w:sz w:val="20"/>
          <w:szCs w:val="20"/>
          <w:color w:val="auto"/>
        </w:rPr>
      </w:pPr>
      <w:r>
        <w:rPr>
          <w:rFonts w:ascii="Arial" w:cs="Arial" w:eastAsia="Arial" w:hAnsi="Arial"/>
          <w:sz w:val="17"/>
          <w:szCs w:val="17"/>
          <w:color w:val="auto"/>
        </w:rPr>
        <w:t>We recognize all stock-based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71"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diseases,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are establishing a commercial infrastructure to market, distribute, and sell our medicines following approval, if any, by the FDA or a foreign health authority, which has resulted in, and will continue to result in, additional expenses. As a result, our quarterly results may fluctuate and a quarter-by-quarter comparison of our operating results may not be a meaningful indication of our future performance.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2020 and 2019</w:t>
      </w:r>
    </w:p>
    <w:p>
      <w:pPr>
        <w:spacing w:after="0" w:line="189"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approximately $38,000 for each of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2019. License revenue is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3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related to equity incentive grants totaled $4.6 million for the three months ended September 30, 2020, as compared to $1.5 million during the comparable period in 2019. The increase in noncash compensation expense was primarily due to greater compensation expense related to more research and development personnel during the period ended September 30, 2020.</w:t>
      </w:r>
    </w:p>
    <w:p>
      <w:pPr>
        <w:spacing w:after="0" w:line="161"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Other research and development expenses decreased by $10.7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 $45.8 million for the three months ended September 30, 2020, as compared to $56.5 million for the three months ended September 30, 2019. The decrease in R&amp;D expense is primarily attributable to a decrease in manufacturing costs for ublituximab and umbralisib, offset by an increase in milestone payments made during the three months ended September 30, 2020.</w:t>
      </w:r>
    </w:p>
    <w:p>
      <w:pPr>
        <w:spacing w:after="0" w:line="14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related to equity incentive grants increased by $23.1 million to $23.7 million for the three months ended September 30, 2020, as compared to $0.6 million for the three months ended September 30, 2019. The increase in noncash compensation expense was primarily related to greater compensation expense during the three months ended September 30, 2020 related to restricted stock and stock options granted to executive personnel.</w:t>
      </w:r>
    </w:p>
    <w:p>
      <w:pPr>
        <w:spacing w:after="0" w:line="13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was $11.6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2020, as compared to $2.3 million for the three months ended September 30, 2019. The increase was due primarily to increased personnel and other general and administrative costs, associated with preparations for a potential commercial launch. We expect our other general and administrative expenses to increase modestly during 2020 in preparation for potential launch.</w:t>
      </w:r>
    </w:p>
    <w:p>
      <w:pPr>
        <w:spacing w:after="0" w:line="161"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$0.1 million to $1.6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as compared to $1.5 million for the three months ended September 30, 2019.</w:t>
      </w:r>
    </w:p>
    <w:p>
      <w:pPr>
        <w:spacing w:after="0" w:line="13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$0.2 million for the three months ended September 30, 2020, as compared to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2019. We expect our other income to remain at a comparable level for the remainder of 2020.</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$114,000 for each of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License revenue is related to the amortization of an upfront payment of $2.0 million received in 2012 associated with our license agreement with Ildong.</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related to equity incentive grants totaled $8.1 million for the nine months ended September 30, 2020, as compared to $4.3 million during the comparable period in 2019. The increase in noncash compensation expense was primarily due to greater compensation expense related to more research and development personnel during the period ended September 30, 2020.</w:t>
      </w:r>
    </w:p>
    <w:p>
      <w:pPr>
        <w:spacing w:after="0" w:line="161"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Other research and development expenses decreased by $4.0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$114.8 million for the nine months ended September 30, 2020, as compared to $118.8 million for the nine months ended September 30, 2019. The decrease in R&amp;D expense is primarily attributable to a decrease in manufacturing costs for ublituximab and umbralisib, offset by an increase in milestone payments made during the nine months ended September 30, 2020.</w:t>
      </w:r>
    </w:p>
    <w:p>
      <w:pPr>
        <w:spacing w:after="0" w:line="14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related to equity incentive grants increased by $37.2 million to $38.6 million for the nine months ended September 30, 2020, as compared to $1.4 million for the nine months ended September 30, 2019. The increase in noncash compensation expense was primarily related to greater compensation expense during the nine months ended September 30, 2020 related to restricted stock and stock options granted to executive personnel.</w:t>
      </w:r>
    </w:p>
    <w:p>
      <w:pPr>
        <w:spacing w:after="0" w:line="13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was $25.4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as compared to $6.6 million for the nine months ended September 30, 2019. The increase was due primarily to increased personnel and other general and administrative costs, associated with preparations for a potential commercial launch. We expect our other general and administrative expenses to increase modestly during 2020 in preparation for potential launch.</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$1.6 million to $5.0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as compared to $3.4 million for the nine months ended September 30, 2019. The increase is mainly due to interest expense related to administrative fees in connection with contract manufacturing costs during the nine months ended September 30, 2020.</w:t>
      </w:r>
    </w:p>
    <w:p>
      <w:pPr>
        <w:spacing w:after="0" w:line="14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$0.7 million for the nine months ended September 30, 2020, as compared to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2019. We expect our other income to remain at a comparable level for the remainder of 2020.</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Our primary sources of cash have been from the sale of equity securities, debt financings,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37"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 of September 30, 2020, we had approximately $254.2 million in cash and cash equivalents. We anticipate that our cash and cash equivalents on hand as of September 30, 2020, along with the additional capital raised in the fourth quarter of 2020 (see Note 5),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54"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Cash used in operating activities for the nine months ended September 30, 2020 was $162.5 million as compared to $102.4 million for the nine months ended September 30, 2019. The increase in cash used in operating activities was due primarily to increased expenditures associated with our scale-up for manufacturing as well as ongoing clinical development programs and paydown of accounts payable and accrued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For the nine months ended September 30, 2020, net cash provided by investing activities was $27.6 million as compared to cash used in investing activities of $0.7 million for the nine months ended September 30, 2019. The increase in net cash provided by investing activities was primarily due to greater proceeds from the maturity of short-term investment in treasury securities during the nine months ended September 30, 2020.</w:t>
      </w:r>
    </w:p>
    <w:p>
      <w:pPr>
        <w:spacing w:after="0" w:line="160"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For the nine months ended September 30, 2020, net cash provided by financing activities of $276.4 million related to proceeds from the issuance of common stock as part of our underwritten public offering in May 2020 and our ATM program.</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As of September 30, 2020, we have known contractual obligations, commitments and contingencies of $67.9 million related to our long-term debt, contract manufacturer and operating lease obligations.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Payment due by period (in thousands)</w:t>
            </w:r>
          </w:p>
        </w:tc>
        <w:tc>
          <w:tcPr>
            <w:tcW w:w="1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 1 year</w:t>
            </w:r>
          </w:p>
        </w:tc>
        <w:tc>
          <w:tcPr>
            <w:tcW w:w="860" w:type="dxa"/>
            <w:vAlign w:val="bottom"/>
            <w:gridSpan w:val="3"/>
            <w:vMerge w:val="restart"/>
          </w:tcPr>
          <w:p>
            <w:pPr>
              <w:ind w:left="80"/>
              <w:spacing w:after="0" w:line="161" w:lineRule="exact"/>
              <w:rPr>
                <w:sz w:val="20"/>
                <w:szCs w:val="20"/>
                <w:color w:val="auto"/>
              </w:rPr>
            </w:pPr>
            <w:r>
              <w:rPr>
                <w:rFonts w:ascii="Arial" w:cs="Arial" w:eastAsia="Arial" w:hAnsi="Arial"/>
                <w:sz w:val="14"/>
                <w:szCs w:val="14"/>
                <w:b w:val="1"/>
                <w:bCs w:val="1"/>
                <w:color w:val="auto"/>
              </w:rPr>
              <w:t>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 years</w:t>
            </w:r>
          </w:p>
        </w:tc>
        <w:tc>
          <w:tcPr>
            <w:tcW w:w="100" w:type="dxa"/>
            <w:vAlign w:val="bottom"/>
          </w:tcPr>
          <w:p>
            <w:pPr>
              <w:spacing w:after="0"/>
              <w:rPr>
                <w:sz w:val="16"/>
                <w:szCs w:val="16"/>
                <w:color w:val="auto"/>
              </w:rPr>
            </w:pPr>
          </w:p>
        </w:tc>
        <w:tc>
          <w:tcPr>
            <w:tcW w:w="780" w:type="dxa"/>
            <w:vAlign w:val="bottom"/>
            <w:gridSpan w:val="2"/>
            <w:vMerge w:val="restart"/>
          </w:tcPr>
          <w:p>
            <w:pPr>
              <w:spacing w:after="0" w:line="161" w:lineRule="exact"/>
              <w:rPr>
                <w:sz w:val="20"/>
                <w:szCs w:val="20"/>
                <w:color w:val="auto"/>
              </w:rPr>
            </w:pPr>
            <w:r>
              <w:rPr>
                <w:rFonts w:ascii="Arial" w:cs="Arial" w:eastAsia="Arial" w:hAnsi="Arial"/>
                <w:sz w:val="14"/>
                <w:szCs w:val="14"/>
                <w:b w:val="1"/>
                <w:bCs w:val="1"/>
                <w:color w:val="auto"/>
              </w:rPr>
              <w:t>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134"/>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Contractual obligations</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18,600</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Contract manufacturer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19,367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67,967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GAAP.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5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Company recognizes revenue under ASC Topic 606, “Revenue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(“ASC 606”).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61"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17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46" w:lineRule="exact"/>
        <w:rPr>
          <w:sz w:val="20"/>
          <w:szCs w:val="20"/>
          <w:color w:val="auto"/>
        </w:rPr>
      </w:pPr>
    </w:p>
    <w:p>
      <w:pPr>
        <w:ind w:left="1040" w:right="79" w:hanging="315"/>
        <w:spacing w:after="0" w:line="274"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either on its own or together with other resources that are readily available to the customer (i.e., the good or service is capable of being distinct); and</w:t>
      </w:r>
    </w:p>
    <w:p>
      <w:pPr>
        <w:jc w:val="both"/>
        <w:ind w:left="1040" w:right="79" w:hanging="315"/>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63"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30"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84"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We have granted stock options and restricted stock to employees, directors and consultants,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warrants 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 becomes probable.</w:t>
      </w:r>
    </w:p>
    <w:p>
      <w:pPr>
        <w:spacing w:after="0" w:line="152"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Accruals for Clinical Research Organization and Clinical Site Costs</w:t>
      </w:r>
      <w:r>
        <w:rPr>
          <w:rFonts w:ascii="Arial" w:cs="Arial" w:eastAsia="Arial" w:hAnsi="Arial"/>
          <w:sz w:val="16"/>
          <w:szCs w:val="16"/>
          <w:color w:val="auto"/>
        </w:rPr>
        <w:t>. We make estimates of costs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39"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i w:val="1"/>
          <w:iCs w:val="1"/>
          <w:color w:val="auto"/>
        </w:rPr>
        <w:t>Accounting for Income Taxes</w:t>
      </w:r>
      <w:r>
        <w:rPr>
          <w:rFonts w:ascii="Arial" w:cs="Arial" w:eastAsia="Arial" w:hAnsi="Arial"/>
          <w:sz w:val="17"/>
          <w:szCs w:val="17"/>
          <w:color w:val="auto"/>
        </w:rPr>
        <w:t>. In preparing our consolidated financial statements, we are required to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each of the 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was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7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69"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ASU 2018-11 was effective for public business entities for fiscal years beginning after December 15, 2018, and interim periods within those fiscal years, with earlier adoption permitted. The Company adopted ASU 2018-11 on January 1, 2019 using a modified retrospective method and did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70"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7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ASU 2018-07 was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8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The primary objective of our investment activities is to preserve principal while maximizing our income from investments and minimizing our market risk. Market risk represents the risk of loss that may result from the change in value of financial instruments due to fluctuations in their market price. Market risk is inherent in all financial instruments. Market risk may be exacerbated in times of trading illiquidity when market participants refrain from transacting in normal quantities and/or at normal bid-offer spreads. Our assets and liabilities are denominated in U.S. dollars. Consequently, we have not considered it necessary to use foreign currency contracts or other derivative instruments to manage changes in currency rates. We do not now, nor do we plan to, use derivative financial instruments for speculative or trading purposes. However, these circumstances might change.</w:t>
      </w:r>
    </w:p>
    <w:p>
      <w:pPr>
        <w:spacing w:after="0" w:line="70"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September 30, 2020, our portfolio of financial instruments consists of cash equivalents, including bank deposits, and money market accounts.</w:t>
      </w:r>
    </w:p>
    <w:p>
      <w:pPr>
        <w:spacing w:after="0" w:line="84"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We use an interest rate sensitivity simulation to assess our interest rate risk exposure. For purposes of presenting the possible earnings effect of a hypothetical, adverse change in interest rates over the 12-month period from our reporting date, we assume that all interest rate sensitive financial instruments will be impacted by a hypothetical, immediate 100 basis point increase in interest rates as of the beginning of the period. The sensitivity is based upon the hypothetical assumption that all relevant types of interest rates that affect our results would increase instantaneously, simultaneously and to the same degree. We do not believe that our cash and equivalents have significant risk of default or illiquidity.</w:t>
      </w:r>
    </w:p>
    <w:p>
      <w:pPr>
        <w:spacing w:after="0" w:line="5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sensitivity analyses of the interest rate sensitive financial instruments are hypothetical and should be used with caution. Changes in fair value based on a 1% or 2% variation in an estimate generally cannot be extrapolated because the relationship of the change in the estimate to the change in fair value may not be linear. Also, the effect of a variation in a particular estimate on the fair value of financial instruments is calculated independent of changes in any other estimate; in practice, changes in one factor may result in changes in another factor, which might magnify or counteract the sensitivities. In addition, the sensitivity analyses do not consider any action that we may take to mitigate the impact of any adverse changes in the key estimates.</w:t>
      </w:r>
    </w:p>
    <w:p>
      <w:pPr>
        <w:spacing w:after="0" w:line="69"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Based on our analysis, for the years ended December 31, 2018 and December 31, 2019, and for the interim period through September 30, 2020, we determined the effect of a 100+1- basis point change in interest rates on the value of our financial instruments and the resultant effect on our net loss to be immaterial.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September 30, 2020,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2020,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79" w:firstLine="492"/>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are implementing a variety of control measures to reduce the spread of COVID-19, including travel restrictions and bans, instructions to residents to practice social distancing, quarantine advisories, shelter-in-place orders and required closures of non-essential businesses.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virus and the actions to contain it or treat its impact, the duration, spread and severity of the COVID-19 pandemic, and how quickly and to what extent normal economic and operating conditions can resume if and when the pandemic subsides, among others.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and health authority review of our regulatory submissions may be delayed. It is unknown how long these disruptions could continue, were they to occur. Any delay in our clinical trials or in regulatory review resulting from such disruptions could materially affect the development and commercialization of our product candidates.</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our preparations for commercialization. If these third parties themselves are adversely impacted by restrictions resulting from the COVID-19 outbreak, we will likely experience delays and/or realize additional costs. As a result, our efforts to obtain regulatory approvals for, and to commercialize, our product candidates may be delayed or disrupted.</w:t>
      </w:r>
    </w:p>
    <w:p>
      <w:pPr>
        <w:spacing w:after="0" w:line="17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as a result of government directives on social distancing and to protect the health of our workforce, we have asked our office-based employees to work remotely and have restricted domestic and international travel indefinitely. Third parties on which we rely may also increase their use of remote working arrangements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6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ability to successfully commercialize any product candidates, if approved, also may be adversely impacted by restrictions and safety measures instituted due to COVID-19. For example, reduced access to healthcare providers and institutions as a result of social distancing protocols may impact or require adjustments to commercialization activities, including, the manner in which our field teams engage with healthcare providers and facilities.</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7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ongoing COVID-19 pandemic has presented substantial public health challenges and is impacting the global healthcare system, including the conduct of clinical trials in the U.S. and other parts of the world.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We have made efforts to allow patients currently enrolled in our ongoing clinical trials to continue unimpeded and have continued to allow new patients to enroll in our trials. While we have allowed continued enrollment to our trials, many trial sites have limited enrollment or suspended enrollment entirely in response to the COVID-19 pandemic, which may affect our ability to enroll to our trials and meet our projected timelines.</w:t>
      </w:r>
    </w:p>
    <w:p>
      <w:pPr>
        <w:spacing w:after="0" w:line="19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UNITY-NHL FL and MZL umbralisib monotherapy cohorts, the UNITY-CLL and the ULTIMATE I and II trials are fully enrolled. However, follow-up is ongoing and data continue to be collected from these studies. These data collection efforts rely on study participants’ ability to contribute such data, often through study specific visits and procedures that can only be conducted in-person. While we anticipate minimal impact from COVID-19 on the previously estimated timelines for these trials, no guarantee can be made that our estimated timelines, or the ultimate outcome from these trials, will not be materially negatively impacted by the COVID-19 pandemic.</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71" w:lineRule="exact"/>
        <w:rPr>
          <w:sz w:val="20"/>
          <w:szCs w:val="20"/>
          <w:color w:val="auto"/>
        </w:rPr>
      </w:pPr>
    </w:p>
    <w:p>
      <w:pPr>
        <w:jc w:val="both"/>
        <w:ind w:left="720" w:right="79" w:hanging="319"/>
        <w:spacing w:after="0" w:line="284"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4" w:lineRule="exact"/>
        <w:rPr>
          <w:rFonts w:ascii="Arial" w:cs="Arial" w:eastAsia="Arial" w:hAnsi="Arial"/>
          <w:sz w:val="16"/>
          <w:szCs w:val="16"/>
          <w:color w:val="auto"/>
        </w:rPr>
      </w:pPr>
    </w:p>
    <w:p>
      <w:pPr>
        <w:ind w:left="720" w:right="79" w:hanging="319"/>
        <w:spacing w:after="0" w:line="191" w:lineRule="auto"/>
        <w:tabs>
          <w:tab w:leader="none" w:pos="7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720" w:right="79" w:hanging="319"/>
        <w:spacing w:after="0" w:line="217" w:lineRule="auto"/>
        <w:tabs>
          <w:tab w:leader="none" w:pos="7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Arial" w:cs="Arial" w:eastAsia="Arial" w:hAnsi="Arial"/>
          <w:sz w:val="29"/>
          <w:szCs w:val="29"/>
          <w:color w:val="auto"/>
          <w:vertAlign w:val="superscript"/>
        </w:rPr>
      </w:pPr>
    </w:p>
    <w:p>
      <w:pPr>
        <w:jc w:val="both"/>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Arial" w:cs="Arial" w:eastAsia="Arial" w:hAnsi="Arial"/>
          <w:sz w:val="18"/>
          <w:szCs w:val="18"/>
          <w:color w:val="auto"/>
        </w:rPr>
      </w:pPr>
    </w:p>
    <w:p>
      <w:pPr>
        <w:jc w:val="both"/>
        <w:ind w:left="720" w:right="79" w:hanging="319"/>
        <w:spacing w:after="0" w:line="208" w:lineRule="auto"/>
        <w:tabs>
          <w:tab w:leader="none" w:pos="7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720" w:right="79" w:hanging="319"/>
        <w:spacing w:after="0" w:line="191" w:lineRule="auto"/>
        <w:tabs>
          <w:tab w:leader="none" w:pos="7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720" w:right="79" w:hanging="319"/>
        <w:spacing w:after="0" w:line="25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in or delays to regulatory reviews, responses, inspections, or other regulatory activities, including review of marketing applications and approvals of protocol changes or amendments to Special Protocol Assessments (SPA), as a result of the spread of COVID-19 affecting the operations of the U.S. Food and Drug Administration (FDA) or other regulatory authorities</w:t>
      </w:r>
      <w:r>
        <w:rPr>
          <w:rFonts w:ascii="Arial" w:cs="Arial" w:eastAsia="Arial" w:hAnsi="Arial"/>
          <w:sz w:val="18"/>
          <w:szCs w:val="18"/>
          <w:b w:val="1"/>
          <w:bCs w:val="1"/>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refusal of the FDA to accept data from clinical trials in affected geographies outside the United States; and</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37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potential disruptions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umbralisib for patients with chronic lymphocytic leukemia (UNITY-CLL) and our registration program for ublituximab in relapsing multiple sclerosis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1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11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including as a result of the COVID-19 pandemic, could significantly harm our business.</w:t>
      </w:r>
    </w:p>
    <w:p>
      <w:pPr>
        <w:spacing w:after="0" w:line="11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public health emergencies such as the COVID-19 pandemic or natural disasters that may cause those suppliers to stop work for a period of time.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39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Although COVID-19 has not had a material adverse effect on our supply chain to date, no assurance can be given that it will not in the future if the situation persists or worsens. Umbralisib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Our contract manufacturers for umbralisib and ublituximab are continuing operations at varying levels of capacity. We are working closely with our contract manufacturer for umbralisib to plan for anticipated commercial supply needs in light of the Prescription Drug User Fee Act (PDUFA) goal date of February 15, 2021 for Marginal Zone Lymphoma (MLZ) and June 15, 2021 for Follicular Lymphoma (FL). We also are working closely with our contract manufacturer for ublituximab to plan for our anticipated commercial supply needs if we are successful in our continued clinical and regulatory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development. We believe that we have sufficient inventory of clinical supplies of umbralisib, ublituximab and TG-1701 to support our current clinical program needs through the first quarter 2021. We will continue to monitor the situation very closely with our suppliers in impacted regions.</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continually evaluate our supply chains to identify potential risks and will take steps, as necessary, to identify additional manufacturers and other suppliers for the production of our product candidates. However, establishing additional or replacement suppliers for the API/drug substance and drug product,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drug candidates, any supply interruption or delay, or our inability to identify alternate sources at acceptable prices in a timely manner could impede, delay, limit or prevent our development efforts, which could harm our business, results of operations, financial condition and prospects.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1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undertaking pre-clinical studies and clinical trials, and preparing for commercialization of our lead product candidates. We have never generated any revenue from drug sales. We have not obtained regulatory approvals for any of our drug candidates.</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not yet demonstrated our ability to successfully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about our future success or viability may not be as accurate as they could be if we had a longer operating history. We are transitioning from a company with a research and development focus to a company capable of supporting commercial activities. We may not be successful in such a transition.</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Through November 4, 2020, we have received an aggregate of approximately $976 million from such transactions. Approximately $946 million of that amount constitutes the aggregate gross proceeds from the sale of common stock in one or more offerings and through the use of our at the market sales program, or ATM. The remaining $30.0 million is from our term loan facility with Hercules (as defined below) that we secured in February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Since inception, we have incurred significant operating losses. As of September 30, 2020, we had an accumulated deficit of $892.4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to continue to incur significant research and development expenses in connection with continuing our existing clinical trials and beginning additional clinical trials. In addition, if we obtain regulatory approval for our drug candidates, we will incur significant sales, marketing and outsourced-manufacturing expenses.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To date, we have not generated any significant revenue from our drug candidates, and it is uncertain when and if we will generate any revenue from the sale of our drugs in the future. Our ability to become profitable depends upon our ability to generate significant and sustained revenues. To obtain significant and sustained revenues, we must succeed, either alone or with others, in developing, obtaining regulatory approval for and manufacturing and marketing our product candidates. 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77"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drug candidates;</w:t>
      </w: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drug candidates;</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commercial infrastructure to commercialize our drug candidates, if approved, by developing a sales force and/or entering into collaborations with third parties; and</w:t>
      </w: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third-party payors.</w:t>
      </w:r>
    </w:p>
    <w:p>
      <w:pPr>
        <w:spacing w:after="0" w:line="22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development of pharmaceuticals is capital-intensive. We are currently advancing our most advanced drug candidates, umbralisib, ublituximab, cosibelimab,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develop an infrastructure to commercialize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submitting applications for regulatory approvals for umbralisib and ublituximab in chronic lymphocytic leukemia (CLL) and for ublituximab in relapsing multiple sclerosis (MS), we will need to expend substantial resources on manufacturing and biologics license application (BLA) preparation over the next 12 to 18 months, which could exceed any cost savings associated with lower clinical trial expenses during the same period.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1040" w:right="79" w:hanging="315"/>
        <w:spacing w:after="0" w:line="258"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2019, we entered into a Loan and Security Agreement (the Loan Agreement), with Hercules Capital, Inc., a Maryland corporation (Hercules) (See Note 7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short-term liabilities of approximately $19.4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192"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59"/>
        <w:spacing w:after="0" w:line="231" w:lineRule="auto"/>
        <w:rPr>
          <w:sz w:val="20"/>
          <w:szCs w:val="20"/>
          <w:color w:val="auto"/>
        </w:rPr>
      </w:pPr>
      <w:r>
        <w:rPr>
          <w:rFonts w:ascii="Arial" w:cs="Arial" w:eastAsia="Arial" w:hAnsi="Arial"/>
          <w:sz w:val="18"/>
          <w:szCs w:val="18"/>
          <w:b w:val="1"/>
          <w:bCs w:val="1"/>
          <w:i w:val="1"/>
          <w:iCs w:val="1"/>
          <w:color w:val="auto"/>
        </w:rPr>
        <w:t>If we are unable to obtain regulatory approval for our most advanced drug candidates or other drug candidates and ultimately cannot commercialize our most advanced drug candidates or other drug candidates, or experience significant delays in doing so, or even if we obtain regulatory approval but experience other challenges to successful commercialization, our business will be materially harmed.</w:t>
      </w:r>
    </w:p>
    <w:p>
      <w:pPr>
        <w:spacing w:after="0" w:line="148"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We are a development-stage biopharmaceutical company and do not currently have any commercial products that generate revenues or any other sources of revenue.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cosibelimab, TG-1701 and TG-1801 and building a commercial infrastructure. Our ability to generate drug revenues will depend completely on the successful completion of our current and future Phase 3 and registration-directed clinical trials and commercialization of our drug candidates, which may never occur. Each of our drug candidates will require additional non-clinical or clinical development, regulatory approval in multiple jurisdictions, obtaining manufacturing supply, building of a commercial organization, and substantial investment in marketing efforts before we generate any revenues from drug sales. The success of our most advanced drug candidates and other drug candidates will depend on several factors, including the following: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5"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a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INDs or clinical trial applications, or CTAs, being cleared such that our product candidates can commence clinical trials;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preparation of the complete data set from the UNITY-CLL trial for regulatory submission within the timeframe we have projected;</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jc w:val="both"/>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drug candidates (for example, our NDA submission for our lead product candidate umbralisib which is currently under review with the FDA);</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and marketing capabilities, whether alone or through a collaboration, to support commercialization of our drug candidates;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differentiating and competing with other therapies;</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appropriate prices for any drug candidates that receive regulatory approval that reflect the value that the drug candidates offer in the indications for which they are approved and adhering to ongoing government program price reporting requirements;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an effective healthcare compliance program for a commercial-stage pharmaceutical company to support compliance and mitigate enforcement risk in areas including sales and marketing and advertising and promotion;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 acceptable safety profile of the drug candidates following approval.</w:t>
      </w:r>
    </w:p>
    <w:p>
      <w:pPr>
        <w:spacing w:after="0" w:line="197"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2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if healthcare providers and patients do not view the overall safety, tolerability and efficacy profile of our drug candidates favorably.</w:t>
      </w:r>
    </w:p>
    <w:p>
      <w:pPr>
        <w:spacing w:after="0" w:line="12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 Moreover, 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04"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Individually reported outcomes of patients treated in clinical trials may not be representative of the entire population of treated patients in such studies. For instance, early clinical results seen with ublituximab (TG-1101) in a small number of patients may not be reproduced in expanded or larger clinical trials such as the ULTIMATE I and II trials.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From time to time, we may publicly disclose top-line or preliminary data from our clinical trials, which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As a result, top-line and preliminary data should be viewed with caution until the final data are available. 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sometimes drastically,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3"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1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It is impossible to predict when or if our drug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314"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(NDA) or a Biologics License Application (BLA) to the U.S. FDA and a Marketing Authorization Application (MAA) to the European Medicines Agency (EMA) for each drug candidate and, consequently, the ultimate approval and commercial marketing of our drug candidates. We do not know whether any of our ongoing or future clinical trials for our drug candidates will be completed on schedule, if at all.</w:t>
      </w:r>
    </w:p>
    <w:p>
      <w:pPr>
        <w:spacing w:after="0" w:line="12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drug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32"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other regulatory authorities or institutional review boards (IRBs) or ethics committees (ECs) may not authorize us or our investigators to commence a clinical trial or conduct a clinical trial at a prospective trial site or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32"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3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 including, without limitation, as a result of disruptions to our supply chains caused by the COVID-19 pandemic and related work stoppages across the globe;</w:t>
      </w:r>
    </w:p>
    <w:p>
      <w:pPr>
        <w:spacing w:after="0" w:line="1" w:lineRule="exact"/>
        <w:rPr>
          <w:rFonts w:ascii="Arial" w:cs="Arial" w:eastAsia="Arial" w:hAnsi="Arial"/>
          <w:sz w:val="17"/>
          <w:szCs w:val="17"/>
          <w:color w:val="auto"/>
        </w:rPr>
      </w:pPr>
    </w:p>
    <w:p>
      <w:pPr>
        <w:ind w:left="1040" w:right="79" w:hanging="315"/>
        <w:spacing w:after="0" w:line="21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1040" w:right="79" w:hanging="315"/>
        <w:spacing w:after="0" w:line="226"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regulatory authorities, IRBs or ECs to suspend or terminate the trials, or reports may arise from pre-clinical or clinical testing of other cancer therapies that raise safety or efficacy concerns about our drug candidates.</w:t>
      </w:r>
    </w:p>
    <w:p>
      <w:pPr>
        <w:spacing w:after="0" w:line="16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drug candidates.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the FDA may disagree with our clinical trial design, may have questions about the potential impact of our study design on conclusions that can be drawn from the data, may interpret results differently than we do, and may change its view on the criteria that must be met for approval over time. This could happen even for a protocol that has received a SPA, as is the case for some of our studies. In September 2015, we announced a Phase 3 clinical trial for the combination of ublituximab plus umbralisib for patients with CLL, which is being conducted pursuant to a SPA with the FDA (UNITY-CLL) and in August 2017 we announced SPAs for the ULTIMATE I and II studies evaluating ublituximab in RMS. Many companies that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a SPA will have to be reviewed and approved by the FDA to verify that the SPA agreement is still valid. The FDA’s willingness to agree to changes or amendments to a protocol or statistical analysis plan under a SPA agreement is wholly within the FDA’s discretion. Such reviews also provide an opportunity for the FDA to scrutinize any aspect of the study design and conduct, even if previously agreed to under the existing SPA. Failure to reach agreement with the FDA for protocol changes or modifications for any study we conduct under a SPA could have a material negative impact to our ability to execute these studies. Even if the primary endpoint in a Phase 3 clinical trial is achieved, a SPA does not guarantee approval.</w:t>
      </w:r>
    </w:p>
    <w:p>
      <w:pPr>
        <w:spacing w:after="0" w:line="1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 than expected event rates.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w:t>
      </w:r>
    </w:p>
    <w:p>
      <w:pPr>
        <w:spacing w:after="0" w:line="18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14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have and will continue to explore strategies that involve use of the FDA’s accelerated approval pathway. Obtaining accelerated approval for an agent requires demonstration of meaningful benefit over all available therapies for a serious condition and relies on the use of a surrogate endpoint.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have submitted an NDA for accelerated approval of umbralisib based on the results from the MZL and FL cohorts from our UNITY-NHL trial. In August 2020, we announced that the FDA accepted the NDA, granting priority review to the MZL indication with a PDUFA target date of February 15, 2021 and standard review to the FL indication with a PDUFA target date of June 15, 2021</w:t>
      </w:r>
      <w:r>
        <w:rPr>
          <w:rFonts w:ascii="Arial" w:cs="Arial" w:eastAsia="Arial" w:hAnsi="Arial"/>
          <w:sz w:val="16"/>
          <w:szCs w:val="16"/>
          <w:color w:val="5C5551"/>
        </w:rPr>
        <w:t>.</w:t>
      </w:r>
      <w:r>
        <w:rPr>
          <w:rFonts w:ascii="Arial" w:cs="Arial" w:eastAsia="Arial" w:hAnsi="Arial"/>
          <w:sz w:val="16"/>
          <w:szCs w:val="16"/>
          <w:color w:val="auto"/>
        </w:rPr>
        <w:t xml:space="preserve"> No assurance can be given that umbralisib will obtain accelerated approval for either MZL or FL for a variety of reasons, including, without limitation, if we are unable to demonstrate meaningful benefit over a currently approved agent/regimen or any new treatment, if any, that receives full approval prior to our potential receipt of accelerated approval. Previously, we were hopeful to utilize the results from our GENUINE study for accelerated approval but the intervening full approval of a new therapy for the treatment of relapsed/refractory CLL has made that potential application more challenging. In October 2019, we announced that final results from the GENUINE study demonstrated improved progression-free survival for the combination arm compared to ibrutinib alone. Despite this positive outcome, no assurance can be given that a filing based on the GENUINE results will ever be made, or if made would result in a favorable review by regulatory authorities.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Finally, if umbralisib or any of our other drug candidates were ever to receive accelerated approval, we would be required to conduct a post-marketing confirmatory study, which we may not be able to complete, or if completed, may prove unsuccessful. In such instances, the FDA can remove the product from the market or withdraw approval of the indication that received accelerated approval if the product is approved for multiple indications.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95"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when a significantly larger number of patients are exposed to the drug candidate in Phase 3 or registration-directed trials or when the drug candidate is on the market.</w:t>
      </w:r>
    </w:p>
    <w:p>
      <w:pPr>
        <w:spacing w:after="0" w:line="1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To date, clinical trials using ublituximab and umbralisib have demonstrated a toxicity profile that was deemed acceptable by the investigators performing such studies. Such interpretation may not be shared by future investigators or by the regulatory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the populations found in our on-going Phase 3 and registration-directed trials. Particularly, with respect to umbralisib, although over 1,500 patients have been dosed in umbralisib studies to date, the full adverse effect profile of umbralisib is not known. As additional patients are exposed for longer durations to umbralisib, it is unknown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Additionally, in drug-combination clinical development, there is an inherent risk of drug-drug interactions between combination agents that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3"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drug candidates;</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Approval policies or regulations may change, and the FDA has substantial discretion in the pharmaceutical product approval process, including the ability to delay, limit or deny approval of a product candidate for many reasons. In addition, the FDA may require post-marketing clinical trials which also may be costly. The FDA approval for a limited indication with required warning language, such as a boxed warning, could significantly impact our ability to successfully market our product candidates. Finally, the FDA may require adoption of a REMS requiring prescriber training or a post-marketing registry or may restrict the marketing and dissemination of these products. Despite the time and expense invested in the clinical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development of product candidates, regulatory approval is never guaranteed. Assuming successful clinical development, we intend to seek product approvals in countries outside of the United States. As a result, we would be subject to regulation by the EMA, as well as the other regulatory agencies in these countries.</w:t>
      </w:r>
    </w:p>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Interruptions or delays in the operations of the FDA and foreign regulatory authorities as a result of the COVID-19 pandemic may negatively impact review, inspection, and approval timelines.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lengthy and challenging. The FDA, and any other regulatory body around the world can delay, limit or deny approval of a product candidate for many reasons, including:</w:t>
      </w:r>
    </w:p>
    <w:p>
      <w:pPr>
        <w:spacing w:after="0" w:line="178" w:lineRule="exact"/>
        <w:rPr>
          <w:sz w:val="20"/>
          <w:szCs w:val="20"/>
          <w:color w:val="auto"/>
        </w:rPr>
      </w:pPr>
    </w:p>
    <w:p>
      <w:pPr>
        <w:ind w:left="1040" w:right="79" w:hanging="315"/>
        <w:spacing w:after="0" w:line="258"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study design or implementation of our clinical trials;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Regulatory approvals for our product candidates may not be obtained without lengthy delays, if at all. Any delay in obtaining, or inability to obtain, applicable regulatory approvals would prevent us from commercializing our product candidates.</w:t>
      </w:r>
    </w:p>
    <w:p>
      <w:pPr>
        <w:spacing w:after="0" w:line="184"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A breakthrough therapy designation by the FDA for our drug candidates may not lead to a faster development or regulatory review or approval process, and it does not ensure that our drug candidates will receive marketing approval.</w:t>
      </w:r>
    </w:p>
    <w:p>
      <w:pPr>
        <w:spacing w:after="0" w:line="10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support approval.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For drugs that have been designated as breakthrough therapies, frequent interactions and communication between the FDA and the sponsor can help to identify the most efficient path for clinical development while minimizing the number of patients who may be placed in potentially less effective control regimens. Drugs designated as breakthrough therapies by the FDA are also eligible for priority review. Designation as a breakthrough therapy is wholly within the discretion of the FDA. Accordingly, even if we believe one of our drug candidates meets the criteria for designation as a breakthrough therapy, the FDA may disagree and instead determine not to grant such a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may seek fast track designation for some of our drug candidates. For example, in October 2020, the FDA granted fast track designation to the investigation of ublituximab in combination with umbralisib for the treatment of adult patients with CLL.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drug candidate is eligible for this designation, we cannot be sure that the FDA would decide to grant it. Even if we receive fast track designation for a drug candidate,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Ublituximab received orphan drug designation from the FDA for the treatment of MZL (nodal and extranodal) in September 2013, for the treatment of CLL in August 2010, and orphan drug designation by the EMA for the treatment of CLL in November 2009. We also obtained orphan drug designation for umbralisib (as monotherapy) for the treatment of CLL in August 2016, all three types of MZL (nodal, extranodal and splenic) in April 2019, and FL in March 2020. In January 2017, we announced that the FDA granted orphan drug designation covering the combination of ublituximab and umbralisib for the treatment of patients with CLL and DLBCL. As part of our business strategy, we may seek orphan drug designation for our other drug candidates; however,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w:t>
      </w:r>
    </w:p>
    <w:p>
      <w:pPr>
        <w:spacing w:after="0" w:line="19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conducting clinical trials, and anticipate additional clinical trials, for product candidates at sites outside the United States, and the FDA may not accept data from trials conducted in such locations.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In many countries outside the United States, the product must be approved for reimbursement before it can be marketed. As a general matter, however, the foreign regulatory approval process involves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4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Generally,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materials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combination umbralisib and ublituximab based on the results of the UNITY-CLL study. In such circumstances, that would have a material adverse effect on the Company.</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we have engaged a secondary manufacturer for ublituximab to meet our current clinical and future commercial needs and anticipate engaging additional manufacturing sources for umbralisib to meet expanded clinical trial and projected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8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as we move closer to commercialization,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precise incidence and/or prevalence of CLL, relapsed/refractory MZL, relapsed/refractory FL and multiple sclerosis (MS) are unknown. Our projections of both the number of people who are affected by disease within our target indications, as well as the subset of these people who have the potential to benefit from treatment with our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total addressable market opportunity for umbralisib and ublituximab for the treatment of patients with CLL, MZL, FL and MS will ultimately depend upon, among other things, the final label indication, approval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0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9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the cancer indications for which we are developing our products there are a number of established therapies with which we will compete:</w:t>
      </w:r>
    </w:p>
    <w:p>
      <w:pPr>
        <w:spacing w:after="0" w:line="170" w:lineRule="exact"/>
        <w:rPr>
          <w:sz w:val="20"/>
          <w:szCs w:val="20"/>
          <w:color w:val="auto"/>
        </w:rPr>
      </w:pPr>
    </w:p>
    <w:p>
      <w:pPr>
        <w:jc w:val="both"/>
        <w:ind w:left="1040" w:right="79" w:hanging="315"/>
        <w:spacing w:after="0" w:line="267"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treatment of CLL, if the combination of umbralisib and ublituximab (U2) is approved, we expect U2 to compete with recently approved drugs such as ibrutinib (AbbVie and Janssen), acalabrutinib (AstraZeneca), venetoclax (AbbVie and Roche), obinutuzumab (Roche), idelalisib (Gilead) and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These agents can be used as monotherapy or in combination with one or more of the other agents.</w:t>
      </w:r>
    </w:p>
    <w:p>
      <w:pPr>
        <w:spacing w:after="0" w:line="4" w:lineRule="exact"/>
        <w:rPr>
          <w:rFonts w:ascii="Arial" w:cs="Arial" w:eastAsia="Arial" w:hAnsi="Arial"/>
          <w:sz w:val="17"/>
          <w:szCs w:val="17"/>
          <w:color w:val="auto"/>
        </w:rPr>
      </w:pPr>
    </w:p>
    <w:p>
      <w:pPr>
        <w:jc w:val="both"/>
        <w:ind w:left="1040" w:right="79" w:hanging="315"/>
        <w:spacing w:after="0" w:line="26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treatment of MZL, if approved, we expect umbralisib to compete with ibrutinib (AbbVie and Janssen), and the combination of rituximab and lenalidomide (Bristol-Myers Squibb), as well as established treatments such as rituximab (Roche) and several generically available chemotherapies.</w:t>
      </w:r>
    </w:p>
    <w:p>
      <w:pPr>
        <w:jc w:val="both"/>
        <w:ind w:left="1040" w:right="79" w:hanging="315"/>
        <w:spacing w:after="0" w:line="26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treatment of FL, if approved, we expect umbralisib to compete with recently approved drugs such as obinutuzumab (Roche), idelalisib (Gilead), copanlisib (Bayer), duvelisib (Verastem), tazemetostat (Epizyme), and the combination of rituximab and lenalidomide (Bristol-Myers Squibb), and established treatments such as rituximab (Roche), and several generically available chemotherapies. There are also several PI3K delta inhibitors in earlier stages of development for FL.</w:t>
      </w:r>
    </w:p>
    <w:p>
      <w:pPr>
        <w:jc w:val="both"/>
        <w:ind w:left="1040" w:right="79" w:hanging="315"/>
        <w:spacing w:after="0" w:line="25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193"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40" w:right="79" w:hanging="315"/>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are two anti-CD20 monoclonal antibodies approved, ocrelizumab (Roche) and ofatumumab (Novartis).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use of our drug candidates through compassionate use programs in the event we establish such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76"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1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7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market acceptance among physicians, patients, healthcare payors, and the medical community. The degree of market acceptance of any approved product would depend on a number of factors, including:</w:t>
      </w:r>
    </w:p>
    <w:p>
      <w:pPr>
        <w:spacing w:after="0" w:line="184" w:lineRule="exact"/>
        <w:rPr>
          <w:sz w:val="20"/>
          <w:szCs w:val="20"/>
          <w:color w:val="auto"/>
        </w:rPr>
      </w:pPr>
    </w:p>
    <w:p>
      <w:pPr>
        <w:ind w:left="1040" w:right="79" w:hanging="315"/>
        <w:spacing w:after="0" w:line="25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such a product candidate as well as competitive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the product as a safe, tolerable and effective treatment;</w:t>
      </w: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safety and tolerability of the product candidate in a broader patient group;</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the product candidate;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favorable or unfavorable publicity relating to the product or relating to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ability to successfully launch and secure market acceptance of our late-stage pipeline candidates, umbralisib and ublituximab (if approved), may be impacted by the evolving COVID-19 pandemic, although we are currently unable to predict or quantify any such potential impact with any degree of certainty. As a result of the measures state and local governments have taken to date to control the spread of COVID-19, our office-based employees are working remotely and our preparations for commercialization are happening virtually. The progress of these preparations may be impacted by the increased reliance on work-from-home arrangements for our employees, consultants, vendors, and potential customers. If the spread of COVID-19 and the social distancing measures taken by various governments continue, any commercial launch we may undertake may be hindered by various factors, including challenges in hiring the employees necessary to support commercialization; delays in demand due to impacts on the healthcare system and overall economy; delays in coverage decisions from Medicare and third-party payors; restrictions on our personal interactions with physicians, hospitals, payors, and other customers; interruptions or delays in our commercial supply chain; and increases in the number of uninsured or underinsured patients.</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or remain profitable, which would have a material adverse effect on our business.</w:t>
      </w:r>
    </w:p>
    <w:p>
      <w:pPr>
        <w:jc w:val="both"/>
        <w:ind w:left="60" w:right="79"/>
        <w:spacing w:after="0" w:line="290" w:lineRule="auto"/>
        <w:rPr>
          <w:sz w:val="20"/>
          <w:szCs w:val="20"/>
          <w:color w:val="auto"/>
        </w:rPr>
      </w:pPr>
      <w:r>
        <w:rPr>
          <w:rFonts w:ascii="Arial" w:cs="Arial" w:eastAsia="Arial" w:hAnsi="Arial"/>
          <w:sz w:val="17"/>
          <w:szCs w:val="17"/>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6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In addition, if we are successful in receiving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Third-party commercial payors often rely upon Medicare coverage policy and payment limitations in setting their own reimbursement policies. We cannot be sure that coverage will be available for any drug candidate that we commercialize and, if coverage is available, the level of reimbursement. Even if favorable coverage and reimbursement status is attained for one or more product candidates for which we receive regulatory approval, less favorable coverage policies and reimbursement rates may be implemented in the future.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or new indications,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the United States,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We expect prescription drug pricing and other healthcare costs to continue to be subject to intense political and social pressures on a global basis.</w:t>
      </w:r>
    </w:p>
    <w:p>
      <w:pPr>
        <w:spacing w:after="0" w:line="15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face uncertainties because there have been, and may be additional, federal legislative and administrative efforts to repeal, substantially modify or invalidate some or all of the provisions of the ACA. Such efforts may lead to fewer Americans having more comprehensive health insurance compliant with the ACA, even in the absence of a legislative repeal. For example, the 2017 Tax Cuts and Jobs Act (Tax Act) repealed the penalty for individuals who fail to maintain minimum essential health coverage as required by the ACA, commonly referred to as the individual mandate, effective January 1, 2019.</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ACA has also been subject to judicial challenge. The case Texas v. Azar, which challenges the constitutionality of the ACA, including provisions that are unrelated to healthcare reform but were enacted as part of the ACA, and will be argued before the United States Supreme Court in November 2020 with a decision expected before the summer in 2021. The ongoing litigation challenges the ACA’s individual mandate and raises questions about the entire law’s survival. It is unclear how the ultimate decision in the case or other efforts to repeal, replace, or invalidate the ACA or its implementing regulations, or portions thereof, will affect the ACA, our industry more generally, and the availability of adequate reimbursement for our products if commercialized.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Beyond the ACA, there has been increasing legislative, regulatory and enforcement interest with respect to prescription drug pricing practices. In May 2018, the Trump Administration issued the Blueprint to Lower Drug Prices and Reduce Out-of-Pocket Costs (Drug Pricing Blueprint), a plan to lower prescription drug prices. Under this blueprint for action, the Administration outlined a wide range of high-level proposals to address prescription drug list prices and patient out-of-pocket costs. Since that time, the Administration has taken several regulatory steps with respect to prescription drug pricing. In July 2020, President Trump signed four Executive Orders directing the Department of Health and Human Services (HHS) to take several steps to lower costs on prescription drugs, including but not limited to (i) tying the prices paid by the U.S. government (e.g., Medicare) for drugs and biological products to prices paid in other countries; (ii) ensuring that rebates that drug makers pay to pharmacy benefit managers and insurers in the Medicare Part D program get passed directly to patients when they purchase a medication, so long as the change is not projected to increase Federal spending, Medicare beneficiary premiums or patients’ total out-of-pocket costs; and (iii) allowing states, wholesalers and pharmacies to import FDA-approved drugs from Canada and other countries and sell them in the U.S. if the FDA deems them safe. The timing of these Executive Orders is uncertain, as the directives contained therein would require agency rulemaking and implementation. These policy proposals, if implemented, could significantly impact the pharmaceutical industry in the U.S. and adversely affect our ability to generate revenues or commercialize our product candidates in the U.S.</w:t>
      </w:r>
    </w:p>
    <w:p>
      <w:pPr>
        <w:spacing w:after="0" w:line="18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HHS has also taken action to address drug costs. For example, HHS finalized Medicare fee-for-service hospital payment reductions for Part B drugs acquired through the 340B Drug Pricing Program, which remains subject to ongoing legal challenge. HHS also has signaled its intent to continue to pursue reimbursement policy changes for Medicare Part B drugs as a whole that likely would reduce hospital and physician reimbursement for these drugs.</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addition to the actions taken by the President, HHS, and the FDA, 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and in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6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3"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2"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the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7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on October 12, 2017, the President released an Executive Order intended to promote health care choices and competition and on June 24, 2019, the President released an Executive Order intended to improve price transparency and quality transparency. These may push HHS, the FDA, and other relevant agencies to engage in rulemaking that may impact the pharmaceutical industry.</w:t>
      </w:r>
    </w:p>
    <w:p>
      <w:pPr>
        <w:spacing w:after="0" w:line="187"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If, in the future, we are unable to establish a commercial operation, including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3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we plan for potential FDA approval of our first product, umbralisib, we are making significant investments to build a commercial organization and infrastructure. We are hiring marketing, sales, and medical support personnel in order to build processes and systems to support a commercial launch prior to knowing whether umbralisib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6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are risks involved with both establishing our own sales, marketing, and other commercialization capabilities. For example, recruiting and training a sales force are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 candidates on our own and generate product revenues include:</w:t>
      </w:r>
    </w:p>
    <w:p>
      <w:pPr>
        <w:spacing w:after="0" w:line="170"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with ongoing monitoring of their activities;</w:t>
      </w:r>
    </w:p>
    <w:p>
      <w:pPr>
        <w:ind w:left="1040" w:hanging="315"/>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to effectively promote any future drugs;</w:t>
      </w:r>
    </w:p>
    <w:p>
      <w:pPr>
        <w:spacing w:after="0" w:line="20" w:lineRule="exact"/>
        <w:rPr>
          <w:rFonts w:ascii="Arial" w:cs="Arial" w:eastAsia="Arial" w:hAnsi="Arial"/>
          <w:sz w:val="17"/>
          <w:szCs w:val="17"/>
          <w:color w:val="auto"/>
        </w:rPr>
      </w:pP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 and</w:t>
      </w: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future, we may choose to participate in sales activities with collaborators for some of our drug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drug candidates that we develop ourselves. In addition, we likely will have little control over such third parties, and any of them may fail to devote the necessary resources and attention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4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6" w:lineRule="exact"/>
        <w:rPr>
          <w:sz w:val="20"/>
          <w:szCs w:val="20"/>
          <w:color w:val="auto"/>
        </w:rPr>
      </w:pPr>
    </w:p>
    <w:p>
      <w:pPr>
        <w:jc w:val="both"/>
        <w:ind w:left="1040" w:right="79" w:hanging="315"/>
        <w:spacing w:after="0" w:line="253"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jc w:val="both"/>
        <w:ind w:left="1020" w:right="79" w:hanging="313"/>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product and medical device marketing, prohibits manufacturers from marketing such products prior to approval or for off-label use and regulates the distribution of samples;</w:t>
      </w:r>
    </w:p>
    <w:p>
      <w:pPr>
        <w:sectPr>
          <w:pgSz w:w="11900" w:h="16838" w:orient="portrait"/>
          <w:cols w:equalWidth="0" w:num="1">
            <w:col w:w="9019"/>
          </w:cols>
          <w:pgMar w:left="1440" w:top="51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6"/>
        <w:spacing w:after="0" w:line="254"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 w:lineRule="exact"/>
        <w:rPr>
          <w:rFonts w:ascii="Arial" w:cs="Arial" w:eastAsia="Arial" w:hAnsi="Arial"/>
          <w:sz w:val="18"/>
          <w:szCs w:val="18"/>
          <w:color w:val="auto"/>
        </w:rPr>
      </w:pPr>
    </w:p>
    <w:p>
      <w:pPr>
        <w:jc w:val="both"/>
        <w:ind w:left="1020" w:right="79" w:hanging="326"/>
        <w:spacing w:after="0" w:line="25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spacing w:after="0" w:line="1"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w:t>
      </w:r>
    </w:p>
    <w:p>
      <w:pPr>
        <w:spacing w:after="0" w:line="19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 European Economic Area, or the EEA, is subject to the General Data Protection Regulation, or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8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publicity.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rely on third parties to generate clinical, preclinical and other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and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5"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5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of our drug candidates for pre-clinical development and clinical testing, as well as for the commercial manufacture of our drugs if any of our drug candidates receive marketing approval. In some circumstances, our licensor has entered into arrangements with contract manufacturers to supply product for our clinical and commercial demand. Our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7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the FDA or a comparable foreign regulatory authority.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and the compliance concerns cannot be resolved, remediated, or otherwise addressed to FDA’s satisfaction in a timely manner during the review of our NDAs or BLAs, it may negatively impact our ability to obtain regulatory approval for our drug candidates or obtain approval within projected timelines. In addition, although we exercise qualification and oversight of our contract manufacturers, we cannot guarantee their ability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drug candidates.</w:t>
      </w:r>
    </w:p>
    <w:p>
      <w:pPr>
        <w:spacing w:after="0" w:line="16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For certain of our drug candidates, we do not have long-term supply agreements with contract manufacturers. For these drug candidates, we purchase our required drug supply, including the drug product and drug substance on a purchase order basis. We may be unable to establish or maintain agreements with third-party manufacturers for these drug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7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our current long-term supply agreements contain certain minimum purchases in what are commonly referred to as “take or pay” provisions, and we would expect all future supply agreements to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6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8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and for commercial demand, if and when our product candidates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we do not have the capability to package finished products for distribution to hospitals and other customers. Prior to commercial launch, we intend to enter into agreements with one or more alternate packaging and labeling suppliers so that we can ensure proper supply chain management once we are authorized to make commercial sales of our product candidates. If we receive marketing approval from the FDA, we intend to sell pharmaceutical product finished and packaged by such suppliers. We have not yet entered into long-term agreements with our fill/finish suppliers for all of our drug candidates, and we may be unable to enter into such an agreement or do so on commercially reasonable terms, which could have a material adverse impact upon our business.</w:t>
      </w:r>
    </w:p>
    <w:p>
      <w:pPr>
        <w:spacing w:after="0" w:line="164" w:lineRule="exact"/>
        <w:rPr>
          <w:sz w:val="20"/>
          <w:szCs w:val="20"/>
          <w:color w:val="auto"/>
        </w:rPr>
      </w:pPr>
    </w:p>
    <w:p>
      <w:pPr>
        <w:jc w:val="both"/>
        <w:ind w:left="60" w:right="59"/>
        <w:spacing w:after="0" w:line="307" w:lineRule="auto"/>
        <w:rPr>
          <w:sz w:val="20"/>
          <w:szCs w:val="20"/>
          <w:color w:val="auto"/>
        </w:rPr>
      </w:pPr>
      <w:r>
        <w:rPr>
          <w:rFonts w:ascii="Arial" w:cs="Arial" w:eastAsia="Arial" w:hAnsi="Arial"/>
          <w:sz w:val="16"/>
          <w:szCs w:val="16"/>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96"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7"/>
          <w:szCs w:val="17"/>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our product candidates may be adversely affected. Disputes may arise with the third parties from whom we license our product candidates for a variety of reasons, including:</w:t>
      </w:r>
    </w:p>
    <w:p>
      <w:pPr>
        <w:spacing w:after="0" w:line="142"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In addition, the agreements under which we currently license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3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5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drug candidates, we also rely on our licensors to protect the patent and other intellectual property rights necessary for commercialization of our drug candidates.</w:t>
      </w:r>
    </w:p>
    <w:p>
      <w:pPr>
        <w:spacing w:after="0" w:line="14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3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Currently, the composition of matter patent for ublituximab and umbralisib are granted in both the United States and EU, among other countries. A method of use patent covering the combination of ublituximab and umbralisib has also been granted in the United States, European Union,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85"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3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Employee Matters, Managing Growth and Other Risks Related to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As of November 4, 2020, we had 217 full-time employees, and we expect to continue to increase our number of employees and expand the scope of our operations. Our management and medical, commercial, and scientific personnel, systems and facilities currently in place will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during the transition period which began on Brexit Day and is currently set to end on December 31, 2020.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72" w:lineRule="exact"/>
        <w:rPr>
          <w:sz w:val="20"/>
          <w:szCs w:val="20"/>
          <w:color w:val="auto"/>
        </w:rPr>
      </w:pPr>
    </w:p>
    <w:p>
      <w:pPr>
        <w:jc w:val="both"/>
        <w:ind w:left="60" w:right="79"/>
        <w:spacing w:after="0" w:line="343" w:lineRule="auto"/>
        <w:rPr>
          <w:sz w:val="20"/>
          <w:szCs w:val="20"/>
          <w:color w:val="auto"/>
        </w:rPr>
      </w:pPr>
      <w:r>
        <w:rPr>
          <w:rFonts w:ascii="Arial" w:cs="Arial" w:eastAsia="Arial" w:hAnsi="Arial"/>
          <w:sz w:val="15"/>
          <w:szCs w:val="15"/>
          <w:b w:val="1"/>
          <w:bCs w:val="1"/>
          <w:i w:val="1"/>
          <w:iCs w:val="1"/>
          <w:color w:val="auto"/>
        </w:rPr>
        <w:t>Our internal computer systems, or those of our third-party CROs, CMOs, or other contractors or consultants, may fail or suffer security breaches, which could result in a material disruption of our drug candidates’ development programs.</w:t>
      </w:r>
    </w:p>
    <w:p>
      <w:pPr>
        <w:spacing w:after="0" w:line="7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Furthermore, in preparing for potential commercialization of our first drug candidate, we anticipate that our computer systems will increase in magnitude and complexity. Building the systems and infrastructure required for commercialization with appropriate security measures may be time consuming and costly. In addition, there can be no assurance that our efforts will prevent breakdowns or breaches in our systems. To the extent that any disruption or security breach results in a loss of or damage to our data or applications or other data or applications relating to our technology or drug candidates, or inappropriate disclosure of confidential or proprietary information, we could incur financial, legal, business or reputational harm.</w:t>
      </w:r>
    </w:p>
    <w:p>
      <w:pPr>
        <w:spacing w:after="0" w:line="14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48"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381" w:lineRule="auto"/>
        <w:rPr>
          <w:sz w:val="20"/>
          <w:szCs w:val="20"/>
          <w:color w:val="auto"/>
        </w:rPr>
      </w:pPr>
      <w:r>
        <w:rPr>
          <w:rFonts w:ascii="Arial" w:cs="Arial" w:eastAsia="Arial" w:hAnsi="Arial"/>
          <w:sz w:val="15"/>
          <w:szCs w:val="15"/>
          <w:b w:val="1"/>
          <w:bCs w:val="1"/>
          <w:i w:val="1"/>
          <w:iCs w:val="1"/>
          <w:color w:val="auto"/>
        </w:rPr>
        <w:t>Our third-party manufacturers may use hazardous materials in the production of our product candidates and if so, they must comply with environmental laws and regulations, which can be expensive and restrict how we or they do business.</w:t>
      </w:r>
    </w:p>
    <w:p>
      <w:pPr>
        <w:spacing w:after="0" w:line="10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Manufacturing activities for the production of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55" w:lineRule="exact"/>
        <w:rPr>
          <w:sz w:val="20"/>
          <w:szCs w:val="20"/>
          <w:color w:val="auto"/>
        </w:rPr>
      </w:pPr>
    </w:p>
    <w:p>
      <w:pPr>
        <w:jc w:val="both"/>
        <w:ind w:left="60" w:right="59" w:firstLine="45"/>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33" w:lineRule="exact"/>
        <w:rPr>
          <w:sz w:val="20"/>
          <w:szCs w:val="20"/>
          <w:color w:val="auto"/>
        </w:rPr>
      </w:pPr>
    </w:p>
    <w:p>
      <w:pPr>
        <w:ind w:left="1040" w:right="79" w:hanging="315"/>
        <w:spacing w:after="0" w:line="228"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48" w:lineRule="exact"/>
        <w:rPr>
          <w:sz w:val="20"/>
          <w:szCs w:val="20"/>
          <w:color w:val="auto"/>
        </w:rPr>
      </w:pPr>
    </w:p>
    <w:p>
      <w:pPr>
        <w:jc w:val="both"/>
        <w:ind w:left="60" w:right="79"/>
        <w:spacing w:after="0" w:line="274"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52"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7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2019, we had federal net operating loss carryforwards of approximately $709.9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Additionally, the CARES Act permits these net operating losses to offset up to 100% of our taxable income if used in 2020 or earlier years. We cannot assure you, however, of our ability to utilize these favorable offset rules within the applicable time period. These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198" w:lineRule="exact"/>
        <w:rPr>
          <w:sz w:val="20"/>
          <w:szCs w:val="20"/>
          <w:color w:val="auto"/>
        </w:rPr>
      </w:pPr>
    </w:p>
    <w:p>
      <w:pPr>
        <w:ind w:left="1080" w:right="619" w:hanging="580"/>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91">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Section 302 of the Sarbanes-Oxley Act of 2002, dated November 9, 2020.</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92">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Section 302 of the Sarbanes-Oxley Act of 2002, dated November 9, 2020.</w:t>
        </w:r>
      </w:hyperlink>
    </w:p>
    <w:p>
      <w:pPr>
        <w:spacing w:after="0" w:line="1"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3">
        <w:r>
          <w:rPr>
            <w:rFonts w:ascii="Arial" w:cs="Arial" w:eastAsia="Arial" w:hAnsi="Arial"/>
            <w:sz w:val="16"/>
            <w:szCs w:val="16"/>
            <w:u w:val="single" w:color="auto"/>
            <w:color w:val="0000EE"/>
          </w:rPr>
          <w:t>Certification of Chief Executive Officer pursuant to 18 U.S.C. 1350, as adopted pursuant to Section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906 of the Sarbanes-Oxley Act of 2002, dated November 9, 2020.</w:t>
        </w:r>
      </w:hyperlink>
    </w:p>
    <w:p>
      <w:pPr>
        <w:spacing w:after="0" w:line="9"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94">
        <w:r>
          <w:rPr>
            <w:rFonts w:ascii="Arial" w:cs="Arial" w:eastAsia="Arial" w:hAnsi="Arial"/>
            <w:sz w:val="16"/>
            <w:szCs w:val="16"/>
            <w:u w:val="single" w:color="auto"/>
            <w:color w:val="0000EE"/>
          </w:rPr>
          <w:t>Certification of Chief Financial Officer pursuant to 18 U.S.C. 1350, as adopted pursuant to Section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906 of the Sarbanes-Oxley Act of 2002, dated November 9, 2020.</w:t>
        </w:r>
      </w:hyperlink>
    </w:p>
    <w:p>
      <w:pPr>
        <w:spacing w:after="0" w:line="9" w:lineRule="exact"/>
        <w:rPr>
          <w:sz w:val="20"/>
          <w:szCs w:val="20"/>
          <w:color w:val="auto"/>
        </w:rPr>
      </w:pPr>
    </w:p>
    <w:p>
      <w:pPr>
        <w:ind w:left="1080" w:right="539" w:hanging="579"/>
        <w:spacing w:after="0" w:line="250"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information from the Company’s Quarterly Report on Form 10-Q for the period ended September 30, 2020, formatted in Inline Extensible Business Reporting Language (iXBRL): (i) the Condensed Consolidated Balance Sheets, (ii) the Condensed Consolidated Statements of Operations, (iii) the Condensed Consolidated Statements of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1080" w:hanging="579"/>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-610235</wp:posOffset>
            </wp:positionV>
            <wp:extent cx="1414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TG THERAPEUTICS, INC.</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November 9, 2020</w:t>
            </w: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By: /s/ Sean A. Power</w:t>
            </w:r>
          </w:p>
        </w:tc>
      </w:tr>
      <w:tr>
        <w:trPr>
          <w:trHeight w:val="195"/>
        </w:trPr>
        <w:tc>
          <w:tcPr>
            <w:tcW w:w="3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2" w:name="page93"/>
    <w:bookmarkEnd w:id="92"/>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2020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3" w:name="page94"/>
    <w:bookmarkEnd w:id="93"/>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2020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9,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o"/>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lvl w:ilvl="1">
      <w:lvlJc w:val="left"/>
      <w:lvlText w:val="●"/>
      <w:numFmt w:val="bullet"/>
      <w:start w:val="1"/>
    </w:lvl>
  </w:abstractNum>
  <w:abstractNum w:abstractNumId="37">
    <w:nsid w:val="725A06FB"/>
    <w:multiLevelType w:val="hybridMultilevel"/>
    <w:lvl w:ilvl="0">
      <w:lvlJc w:val="left"/>
      <w:lvlText w:val="●"/>
      <w:numFmt w:val="bullet"/>
      <w:start w:val="1"/>
    </w:lvl>
    <w:lvl w:ilvl="1">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04"/>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2020-11-09T16:24:14Z</dcterms:created>
  <dcterms:modified xsi:type="dcterms:W3CDTF">2020-11-09T16:24:14Z</dcterms:modified>
</cp:coreProperties>
</file>