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41" w:lineRule="exact"/>
        <w:rPr>
          <w:sz w:val="24"/>
          <w:szCs w:val="24"/>
          <w:color w:val="auto"/>
        </w:rPr>
      </w:pPr>
    </w:p>
    <w:p>
      <w:pPr>
        <w:ind w:left="3980" w:right="2620" w:hanging="1360"/>
        <w:spacing w:after="0" w:line="286" w:lineRule="auto"/>
        <w:tabs>
          <w:tab w:leader="none" w:pos="283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980" w:right="2600" w:hanging="1365"/>
        <w:spacing w:after="0" w:line="286" w:lineRule="auto"/>
        <w:tabs>
          <w:tab w:leader="none" w:pos="28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TG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688" w:right="339" w:bottom="1440" w:gutter="0" w:footer="0" w:header="0"/>
        </w:sectPr>
      </w:pPr>
    </w:p>
    <w:p>
      <w:pPr>
        <w:spacing w:after="0" w:line="10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36-3898269</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2">
            <w:col w:w="6400" w:space="720"/>
            <w:col w:w="4120"/>
          </w:cols>
          <w:pgMar w:left="320" w:top="688"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3020 Carrington Mill Blvd, Suite 475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Morrisville, North Carolina 27560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575-8489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138"/>
        </w:trPr>
        <w:tc>
          <w:tcPr>
            <w:tcW w:w="3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3920" w:type="dxa"/>
            <w:vAlign w:val="bottom"/>
            <w:tcBorders>
              <w:bottom w:val="single" w:sz="8" w:color="auto"/>
            </w:tcBorders>
          </w:tcPr>
          <w:p>
            <w:pPr>
              <w:spacing w:after="0"/>
              <w:rPr>
                <w:sz w:val="12"/>
                <w:szCs w:val="12"/>
                <w:color w:val="auto"/>
              </w:rPr>
            </w:pPr>
          </w:p>
        </w:tc>
      </w:tr>
      <w:tr>
        <w:trPr>
          <w:trHeight w:val="210"/>
        </w:trPr>
        <w:tc>
          <w:tcPr>
            <w:tcW w:w="39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560" w:type="dxa"/>
            <w:vAlign w:val="bottom"/>
            <w:tcBorders>
              <w:bottom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jc w:val="center"/>
              <w:ind w:right="5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Exchange Name</w:t>
            </w:r>
          </w:p>
        </w:tc>
      </w:tr>
      <w:tr>
        <w:trPr>
          <w:trHeight w:val="193"/>
        </w:trPr>
        <w:tc>
          <w:tcPr>
            <w:tcW w:w="39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$0.001</w:t>
            </w:r>
          </w:p>
        </w:tc>
        <w:tc>
          <w:tcPr>
            <w:tcW w:w="560" w:type="dxa"/>
            <w:vAlign w:val="bottom"/>
            <w:tcBorders>
              <w:bottom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jc w:val="center"/>
              <w:ind w:right="470"/>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9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Nasdaq Capital Market</w:t>
            </w: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right="240"/>
        <w:spacing w:after="0" w:line="24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7"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9100" w:space="720"/>
            <w:col w:w="1420"/>
          </w:cols>
          <w:pgMar w:left="320" w:top="688" w:right="339" w:bottom="1440"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8340" w:space="720"/>
            <w:col w:w="2180"/>
          </w:cols>
          <w:pgMar w:left="320" w:top="688" w:right="339" w:bottom="1440" w:gutter="0" w:footer="0" w:header="0"/>
          <w:type w:val="continuous"/>
        </w:sectPr>
      </w:pPr>
    </w:p>
    <w:p>
      <w:pPr>
        <w:spacing w:after="0" w:line="3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688" w:right="339" w:bottom="1440" w:gutter="0" w:footer="0" w:header="0"/>
          <w:type w:val="continuous"/>
        </w:sectPr>
      </w:pPr>
    </w:p>
    <w:p>
      <w:pPr>
        <w:spacing w:after="0" w:line="8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There were 155,665,334 shares of the registrant’s common stock, $0.001 par value, outstanding as of November 4, 2024.</w:t>
      </w:r>
    </w:p>
    <w:p>
      <w:pPr>
        <w:spacing w:after="0" w:line="2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60" w:type="dxa"/>
            <w:vAlign w:val="bottom"/>
            <w:gridSpan w:val="9"/>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TG THERAPEUTICS, INC.</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60" w:type="dxa"/>
            <w:vAlign w:val="bottom"/>
            <w:gridSpan w:val="9"/>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940" w:type="dxa"/>
            <w:vAlign w:val="bottom"/>
            <w:gridSpan w:val="10"/>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FOR THE QUARTER ENDED September 30, 2024</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60" w:type="dxa"/>
            <w:vAlign w:val="bottom"/>
            <w:gridSpan w:val="9"/>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3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SPECIAL CAUTIONARY NOTICE REGARDING FORWARD-LOOKING STATEMENTS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SUMMARY RISK FACTORS</w:t>
            </w:r>
          </w:p>
        </w:tc>
        <w:tc>
          <w:tcPr>
            <w:tcW w:w="2600" w:type="dxa"/>
            <w:vAlign w:val="bottom"/>
            <w:gridSpan w:val="3"/>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w:t>
            </w:r>
          </w:p>
        </w:tc>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6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15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700" w:type="dxa"/>
            <w:vAlign w:val="bottom"/>
            <w:gridSpan w:val="4"/>
          </w:tcPr>
          <w:p>
            <w:pPr>
              <w:spacing w:after="0"/>
              <w:rPr>
                <w:sz w:val="24"/>
                <w:szCs w:val="24"/>
                <w:color w:val="auto"/>
              </w:rPr>
            </w:pPr>
          </w:p>
        </w:tc>
        <w:tc>
          <w:tcPr>
            <w:tcW w:w="5940" w:type="dxa"/>
            <w:vAlign w:val="bottom"/>
            <w:gridSpan w:val="10"/>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5260" w:type="dxa"/>
            <w:vAlign w:val="bottom"/>
            <w:gridSpan w:val="9"/>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3660" w:type="dxa"/>
            <w:vAlign w:val="bottom"/>
            <w:gridSpan w:val="6"/>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Changes in Stockholders’ Equity (unaudited)</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100" w:type="dxa"/>
            <w:vAlign w:val="bottom"/>
            <w:gridSpan w:val="2"/>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10</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0" w:type="dxa"/>
            <w:vAlign w:val="bottom"/>
            <w:gridSpan w:val="2"/>
          </w:tcPr>
          <w:p>
            <w:pPr>
              <w:spacing w:after="0"/>
              <w:rPr>
                <w:sz w:val="24"/>
                <w:szCs w:val="24"/>
                <w:color w:val="auto"/>
              </w:rPr>
            </w:pPr>
          </w:p>
        </w:tc>
        <w:tc>
          <w:tcPr>
            <w:tcW w:w="646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4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40" w:type="dxa"/>
            <w:vAlign w:val="bottom"/>
            <w:gridSpan w:val="7"/>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412"/>
        </w:trPr>
        <w:tc>
          <w:tcPr>
            <w:tcW w:w="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Item 4</w:t>
            </w:r>
          </w:p>
        </w:tc>
        <w:tc>
          <w:tcPr>
            <w:tcW w:w="660" w:type="dxa"/>
            <w:vAlign w:val="bottom"/>
            <w:gridSpan w:val="3"/>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420" w:type="dxa"/>
            <w:vAlign w:val="bottom"/>
            <w:gridSpan w:val="13"/>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PART II</w:t>
            </w:r>
          </w:p>
        </w:tc>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6320" w:type="dxa"/>
            <w:vAlign w:val="bottom"/>
            <w:gridSpan w:val="12"/>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0" w:type="dxa"/>
            <w:vAlign w:val="bottom"/>
          </w:tcPr>
          <w:p>
            <w:pPr>
              <w:spacing w:after="0"/>
              <w:rPr>
                <w:sz w:val="1"/>
                <w:szCs w:val="1"/>
                <w:color w:val="auto"/>
              </w:rPr>
            </w:pPr>
          </w:p>
        </w:tc>
      </w:tr>
      <w:tr>
        <w:trPr>
          <w:trHeight w:val="412"/>
        </w:trPr>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3860" w:type="dxa"/>
            <w:vAlign w:val="bottom"/>
            <w:gridSpan w:val="8"/>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82</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600" w:type="dxa"/>
            <w:vAlign w:val="bottom"/>
            <w:gridSpan w:val="2"/>
          </w:tcPr>
          <w:p>
            <w:pPr>
              <w:spacing w:after="0"/>
              <w:rPr>
                <w:sz w:val="24"/>
                <w:szCs w:val="24"/>
                <w:color w:val="auto"/>
              </w:rPr>
            </w:pPr>
          </w:p>
        </w:tc>
        <w:tc>
          <w:tcPr>
            <w:tcW w:w="20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Defaults of Senior Securities</w:t>
            </w:r>
          </w:p>
        </w:tc>
        <w:tc>
          <w:tcPr>
            <w:tcW w:w="2260" w:type="dxa"/>
            <w:vAlign w:val="bottom"/>
            <w:tcBorders>
              <w:top w:val="single" w:sz="8" w:color="0000EE"/>
            </w:tcBorders>
            <w:gridSpan w:val="3"/>
          </w:tcPr>
          <w:p>
            <w:pPr>
              <w:spacing w:after="0"/>
              <w:rPr>
                <w:sz w:val="24"/>
                <w:szCs w:val="24"/>
                <w:color w:val="auto"/>
              </w:rPr>
            </w:pPr>
          </w:p>
        </w:tc>
        <w:tc>
          <w:tcPr>
            <w:tcW w:w="3860" w:type="dxa"/>
            <w:vAlign w:val="bottom"/>
            <w:gridSpan w:val="8"/>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82</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600" w:type="dxa"/>
            <w:vAlign w:val="bottom"/>
            <w:gridSpan w:val="2"/>
          </w:tcPr>
          <w:p>
            <w:pPr>
              <w:spacing w:after="0"/>
              <w:rPr>
                <w:sz w:val="24"/>
                <w:szCs w:val="24"/>
                <w:color w:val="auto"/>
              </w:rPr>
            </w:pPr>
          </w:p>
        </w:tc>
        <w:tc>
          <w:tcPr>
            <w:tcW w:w="17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6420" w:type="dxa"/>
            <w:vAlign w:val="bottom"/>
            <w:gridSpan w:val="13"/>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82</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600" w:type="dxa"/>
            <w:vAlign w:val="bottom"/>
            <w:gridSpan w:val="2"/>
          </w:tcPr>
          <w:p>
            <w:pPr>
              <w:spacing w:after="0"/>
              <w:rPr>
                <w:sz w:val="24"/>
                <w:szCs w:val="24"/>
                <w:color w:val="auto"/>
              </w:rPr>
            </w:pPr>
          </w:p>
        </w:tc>
        <w:tc>
          <w:tcPr>
            <w:tcW w:w="13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80" w:type="dxa"/>
            <w:vAlign w:val="bottom"/>
            <w:gridSpan w:val="16"/>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82</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660" w:type="dxa"/>
            <w:vAlign w:val="bottom"/>
            <w:gridSpan w:val="3"/>
          </w:tcPr>
          <w:p>
            <w:pPr>
              <w:spacing w:after="0"/>
              <w:rPr>
                <w:sz w:val="24"/>
                <w:szCs w:val="24"/>
                <w:color w:val="auto"/>
              </w:rPr>
            </w:pPr>
          </w:p>
        </w:tc>
        <w:tc>
          <w:tcPr>
            <w:tcW w:w="82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83</w:t>
            </w:r>
          </w:p>
        </w:tc>
        <w:tc>
          <w:tcPr>
            <w:tcW w:w="0" w:type="dxa"/>
            <w:vAlign w:val="bottom"/>
          </w:tcPr>
          <w:p>
            <w:pPr>
              <w:spacing w:after="0"/>
              <w:rPr>
                <w:sz w:val="1"/>
                <w:szCs w:val="1"/>
                <w:color w:val="auto"/>
              </w:rPr>
            </w:pPr>
          </w:p>
        </w:tc>
      </w:tr>
      <w:tr>
        <w:trPr>
          <w:trHeight w:val="480"/>
        </w:trPr>
        <w:tc>
          <w:tcPr>
            <w:tcW w:w="480" w:type="dxa"/>
            <w:vAlign w:val="bottom"/>
            <w:tcBorders>
              <w:top w:val="single" w:sz="8" w:color="0000EE"/>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spacing w:after="0"/>
              <w:rPr>
                <w:sz w:val="24"/>
                <w:szCs w:val="24"/>
                <w:color w:val="auto"/>
              </w:rPr>
            </w:pPr>
          </w:p>
        </w:tc>
        <w:tc>
          <w:tcPr>
            <w:tcW w:w="600" w:type="dxa"/>
            <w:vAlign w:val="bottom"/>
            <w:tcBorders>
              <w:top w:val="single" w:sz="8" w:color="0000EE"/>
            </w:tcBorders>
            <w:gridSpan w:val="2"/>
            <w:vMerge w:val="restart"/>
          </w:tcPr>
          <w:p>
            <w:pPr>
              <w:spacing w:after="0"/>
              <w:rPr>
                <w:sz w:val="24"/>
                <w:szCs w:val="24"/>
                <w:color w:val="auto"/>
              </w:rPr>
            </w:pPr>
          </w:p>
        </w:tc>
        <w:tc>
          <w:tcPr>
            <w:tcW w:w="3940" w:type="dxa"/>
            <w:vAlign w:val="bottom"/>
            <w:gridSpan w:val="13"/>
            <w:vMerge w:val="restart"/>
          </w:tcPr>
          <w:p>
            <w:pPr>
              <w:jc w:val="center"/>
              <w:ind w:left="373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3940" w:type="dxa"/>
            <w:vAlign w:val="bottom"/>
            <w:gridSpan w:val="13"/>
            <w:vMerge w:val="continue"/>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NOTICE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captions “Risk Factors” and “Management’s Discussion and Analysis of Financial Condition and Results of Operations,” may constitute forward-looking statements for purposes of the Securities Act of 1933, as amended (the Securities Act), and the Securities Exchange Act of 1934, as amended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176" w:lineRule="exact"/>
        <w:rPr>
          <w:sz w:val="20"/>
          <w:szCs w:val="20"/>
          <w:color w:val="auto"/>
        </w:rPr>
      </w:pPr>
    </w:p>
    <w:p>
      <w:pPr>
        <w:jc w:val="both"/>
        <w:ind w:left="340" w:hanging="332"/>
        <w:spacing w:after="0" w:line="25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approvals for our product candidates, including azercabtagene zapreleucel (azer-cel), and our ability to maintain regulatory approval of BRIUMVI® (ublituximab) for the treatment of relapsing forms of multiple sclerosis (RMS) or any other future indication in the United States (U.S.), the European Union (EU) and the United Kingdom (UK);</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and expand our commercial infrastructure to successfully launch, market and sell BRIUMVI and our other product candidates;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ongoing commercialization of BRIUMVI or any future products or combinations of products, including the anticipated rate and degree of market acceptance and pricing and reimbursement;</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formulate, manufacture and commercialize our product candidates;</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contractual relationships and partnerships, on commercially reasonable terms, with third parties for manufacturing, distribution, marketing and supply and a range of other support functions for our clinical development and commercialization efforts;</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drug candidates;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and product candidates;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enter into strategic arrangements, if desired;</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any of our financial projections or guidance, including without limitation short and long-term revenue projections or guidance and changes to the assumptions underlying those projections or guidance;</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capital to fund our planned operations;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cash burn management;</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obtain adequate product liability and other insurance coverage;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our company of future regulatory developments or legislative actions, including changes in healthcare, environmental and other laws and regulations to which we are subject;</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market and business conditions;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attract and hire key personnel;</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price of our common stock;</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and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1A, and any other risks described in the other reports and documents that we have filed with the Securities and Exchange Commission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3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current approval of BRIUMVI, our business will be materially harmed.</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when or if we will obtain regulatory approval to commercialize our product candidates, including azer-cel in non-oncology indications.</w:t>
      </w:r>
    </w:p>
    <w:p>
      <w:pPr>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operating as a commercial company, and, as a result, the marketing and sale of BRIUMVI for the treatment of RMS may be less successful than anticipated.</w:t>
      </w:r>
    </w:p>
    <w:p>
      <w:pPr>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BRIUMVI or any of our future product candidates (if approved) do not achieve broad market acceptance among physicians, patients, payors or the medical community, the revenues that we generate from product sales will be limited.</w:t>
      </w:r>
    </w:p>
    <w:p>
      <w:pPr>
        <w:jc w:val="both"/>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BRIUMVI and any future products for which we may receive approval, including azer-cel in non-oncology indications, are smaller than we estimate or if any approval we obtain is based on a narrower patient population or the labeling includes warnings or limitations that are not acceptable to patients or healthcare providers, our revenue will be adversely affected.</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for treatments for our target indications, including from companies with greater resources than we have, which may result in others commercializing drugs before or more successfully than we do, which could result in the reduction or elimination of our commercial opportunity.</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sufficient revenue, we may need to raise substantial additional capital to sustain our business.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could cause us to incur substantial liabilities and limit product commercialization.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31" w:lineRule="exact"/>
        <w:rPr>
          <w:sz w:val="20"/>
          <w:szCs w:val="20"/>
          <w:color w:val="auto"/>
        </w:rPr>
      </w:pPr>
    </w:p>
    <w:p>
      <w:pPr>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or obtain regulatory approval for our product or product candidates and ultimately cannot commercialize our product or product candidates, or if we experience significant delays in doing so, our business will be materially harmed.</w:t>
      </w:r>
    </w:p>
    <w:p>
      <w:pPr>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product candidates may cause undesirable side effects that could delay or prevent their regulatory approval or significantly limit their commercial profile following marketing approval, if any, or result in withdrawal from the market if approved.</w:t>
      </w:r>
    </w:p>
    <w:p>
      <w:pPr>
        <w:jc w:val="both"/>
        <w:ind w:left="660" w:hanging="65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1" w:lineRule="exact"/>
        <w:rPr>
          <w:rFonts w:ascii="Times New Roman" w:cs="Times New Roman" w:eastAsia="Times New Roman" w:hAnsi="Times New Roman"/>
          <w:sz w:val="18"/>
          <w:szCs w:val="18"/>
          <w:color w:val="auto"/>
        </w:rPr>
      </w:pPr>
    </w:p>
    <w:p>
      <w:pPr>
        <w:ind w:left="660" w:right="20" w:hanging="652"/>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Governmental Regulation of the Pharmaceutical Industry</w:t>
      </w:r>
    </w:p>
    <w:p>
      <w:pPr>
        <w:spacing w:after="0" w:line="31" w:lineRule="exact"/>
        <w:rPr>
          <w:sz w:val="20"/>
          <w:szCs w:val="20"/>
          <w:color w:val="auto"/>
        </w:rPr>
      </w:pPr>
    </w:p>
    <w:p>
      <w:pPr>
        <w:ind w:left="660" w:hanging="652"/>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including new legislative and regulatory proposals, including efforts to control, set or cap pricing for approved drugs, which may increase our costs and adversely affect our ability to market our products, obtain collaborators and raise capital.</w:t>
      </w: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various healthcare laws and regulations, we may incur losses or be subject to liability.</w:t>
      </w:r>
    </w:p>
    <w:p>
      <w:pPr>
        <w:spacing w:after="0" w:line="9" w:lineRule="exact"/>
        <w:rPr>
          <w:rFonts w:ascii="Times New Roman" w:cs="Times New Roman" w:eastAsia="Times New Roman" w:hAnsi="Times New Roman"/>
          <w:sz w:val="18"/>
          <w:szCs w:val="18"/>
          <w:color w:val="auto"/>
        </w:rPr>
      </w:pPr>
    </w:p>
    <w:p>
      <w:pPr>
        <w:ind w:left="660" w:hanging="652"/>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regulatory requirements, any product candidate may fail to receive regulatory approval and any product for which we obtain marketing approval could be subject to restrictions or withdrawal from the market and we may be subject to penalties.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31" w:lineRule="exact"/>
        <w:rPr>
          <w:sz w:val="20"/>
          <w:szCs w:val="20"/>
          <w:color w:val="auto"/>
        </w:rPr>
      </w:pPr>
    </w:p>
    <w:p>
      <w:pPr>
        <w:jc w:val="both"/>
        <w:ind w:left="6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commercial and clinical supply of raw materials and our product and product candidates increases the risk that we will not have sufficient quantities of our product or product candidates or such quantities at an acceptable cost or quality, which could delay, prevent or impair our development or commercialization efforts.</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or product candidates when expected or at all.</w:t>
      </w:r>
    </w:p>
    <w:p>
      <w:pPr>
        <w:spacing w:after="0" w:line="1" w:lineRule="exact"/>
        <w:rPr>
          <w:rFonts w:ascii="Times New Roman" w:cs="Times New Roman" w:eastAsia="Times New Roman" w:hAnsi="Times New Roman"/>
          <w:sz w:val="18"/>
          <w:szCs w:val="18"/>
          <w:color w:val="auto"/>
        </w:rPr>
      </w:pPr>
    </w:p>
    <w:p>
      <w:pPr>
        <w:ind w:left="660" w:hanging="652"/>
        <w:spacing w:after="0" w:line="26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in-licensed our product and product candidates from third parties, any dispute with, or non-performance by our licensors will adversely affect our ability to develop and commercialize the applicable product.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31" w:lineRule="exact"/>
        <w:rPr>
          <w:sz w:val="20"/>
          <w:szCs w:val="20"/>
          <w:color w:val="auto"/>
        </w:rPr>
      </w:pPr>
    </w:p>
    <w:p>
      <w:pPr>
        <w:jc w:val="both"/>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spacing w:after="0" w:line="1"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protection could be reduced or eliminated for non-compliance with various procedural and other requirements imposed by governmental patent agencies.</w:t>
      </w:r>
    </w:p>
    <w:p>
      <w:pPr>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license certain intellectual property from third parties, and such licenses may not be available or may not be available on commercially reasonable terms.</w:t>
      </w:r>
    </w:p>
    <w:p>
      <w:pPr>
        <w:ind w:left="660" w:hanging="652"/>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partners are sued for infringing intellectual property rights of third parties, it will be costly and time consuming to defend against such lawsuits, and an unfavorable outcome in any such lawsuit would have a material adverse effect on our business.</w:t>
      </w: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trade secrets, our business may be significantly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31" w:lineRule="exact"/>
        <w:rPr>
          <w:sz w:val="20"/>
          <w:szCs w:val="20"/>
          <w:color w:val="auto"/>
        </w:rPr>
      </w:pPr>
    </w:p>
    <w:p>
      <w:pPr>
        <w:ind w:left="66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have recently generated net income, we have incurred significant operating losses since our inception, and we may incur losses in the future.</w:t>
      </w:r>
    </w:p>
    <w:p>
      <w:pPr>
        <w:ind w:left="660" w:hanging="652"/>
        <w:spacing w:after="0" w:line="25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ind w:left="660" w:hanging="652"/>
        <w:spacing w:after="0" w:line="260"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indebtedness and debt service obligations could adversely affect our financial condition and may make it more difficult for us to fund our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1" w:lineRule="exact"/>
        <w:rPr>
          <w:sz w:val="20"/>
          <w:szCs w:val="20"/>
          <w:color w:val="auto"/>
        </w:rPr>
      </w:pPr>
    </w:p>
    <w:p>
      <w:pPr>
        <w:jc w:val="both"/>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and healthcare providers have raised concerns that immunosuppressive products, like anti-CD20 antibodies and other B-cell targeted agents, may increase the risk of acquiring viruses or lead to more severe complications upon infection. These concerns may impact the commercial potential for BRIUMVI and other immunosuppressive products that we have in development.</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develop and expand our business, and we may encounter difficulties in managing this development and expansion.</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our clinical development and commercialization activities will depend on our ability to attract and maintain key management and other personnel.</w:t>
      </w:r>
    </w:p>
    <w:p>
      <w:pPr>
        <w:ind w:left="660" w:right="2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executive officers, directors and other stockholders own more than 5% of our outstanding common stock and may be able to influence our management and the outcome of matters submitted to shareholders for approval.</w:t>
      </w:r>
    </w:p>
    <w:p>
      <w:pPr>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anti-takeover provisions in our charter documents and Delaware law could make a third-party acquisition more difficult, which could limit the price investors might be willing to pay for our common stock.</w:t>
      </w:r>
    </w:p>
    <w:p>
      <w:pPr>
        <w:ind w:left="660" w:hanging="652"/>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and we expect it to remain, volatile, which could limit investors’ ability to sell stock at a profit and could subject us to securities and shareholder derivative litigation.</w:t>
      </w:r>
    </w:p>
    <w:p>
      <w:pPr>
        <w:ind w:left="660" w:right="20" w:hanging="652"/>
        <w:spacing w:after="0" w:line="26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81"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8"/>
          <w:szCs w:val="18"/>
          <w:color w:val="auto"/>
        </w:rPr>
        <w:t>The foregoing is only a summary of some of our risks. These and other risks are discussed more fully in the section entitled “Risk Factors” in Part II, Item 1A and elsewhere in this Quarterly Report on Form 10-Q (our Risk Factors).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195,822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92,933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investment securities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145,219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124,575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115,727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51,093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84,669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39,823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32,632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9,519</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574,069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317,943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investment securities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assets(1)</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2,309</w:t>
            </w:r>
          </w:p>
        </w:tc>
      </w:tr>
      <w:tr>
        <w:trPr>
          <w:trHeight w:val="25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586,014</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329,587</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101,407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38,471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revenue - 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12,172</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125,114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53,720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payable – non-current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244,158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100,118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9,231</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393,857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169,085</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(190,000,000 and 175,000,000 shares authorized, 155,910,901</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151,465,598 shares issued, 155,777,291 and 151,424,289 shares outstanding at September 30, 2024 and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1,746,909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1,713,162</w:t>
            </w: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stock, at cost, 133,610 and 41,309 shares at September 30, 2024 and December 31, 2023,</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(1,552,525)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(1,552,577)</w:t>
            </w:r>
          </w:p>
        </w:tc>
      </w:tr>
      <w:tr>
        <w:trPr>
          <w:trHeight w:val="216"/>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192,157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586,014</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329,587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5" w:lineRule="exact"/>
        <w:rPr>
          <w:sz w:val="20"/>
          <w:szCs w:val="20"/>
          <w:color w:val="auto"/>
        </w:rPr>
      </w:pPr>
    </w:p>
    <w:p>
      <w:pPr>
        <w:ind w:left="5580" w:right="3780" w:hanging="5572"/>
        <w:spacing w:after="0" w:line="534" w:lineRule="auto"/>
        <w:tabs>
          <w:tab w:leader="none" w:pos="264"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Amounts as of December 31, 2023 have been reclassified to conform to current period presentation. </w:t>
      </w: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83,297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25,068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206,381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140,747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140,823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83,879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165,815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220,819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189,691</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9,341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17,110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48,581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20,138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70,417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58,743</w:t>
            </w: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8,745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22,593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18,386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33,221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92,742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73,167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selling, general and administrative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41,966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32,769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115,335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91,553</w:t>
            </w: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71,445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51,031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208,839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156,573</w:t>
            </w: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12,434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114,784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33,118</w:t>
            </w:r>
          </w:p>
        </w:tc>
      </w:tr>
      <w:tr>
        <w:trPr>
          <w:trHeight w:val="210"/>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10,832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(2,666)</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8,166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11,839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6,030</w:t>
            </w: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4,268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27,088</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145,102,479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142,871,227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145,342,337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141,571,785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160,714,388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155,871,749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160,366,927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145,952,913</w:t>
            </w:r>
          </w:p>
        </w:tc>
      </w:tr>
    </w:tbl>
    <w:p>
      <w:pPr>
        <w:spacing w:after="0" w:line="196"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1900" w:type="dxa"/>
            <w:vAlign w:val="bottom"/>
            <w:gridSpan w:val="4"/>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90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60" w:type="dxa"/>
            <w:vAlign w:val="bottom"/>
            <w:gridSpan w:val="5"/>
            <w:vMerge w:val="continue"/>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146,426,697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$ 1,623,924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(1,565,249)</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58,587</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66,701</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363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3,017,736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Warrants issued with debt financing</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595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(73,787)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7,120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7,120</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(39,232)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(39,232)</w:t>
            </w:r>
          </w:p>
        </w:tc>
        <w:tc>
          <w:tcPr>
            <w:tcW w:w="0" w:type="dxa"/>
            <w:vAlign w:val="bottom"/>
          </w:tcPr>
          <w:p>
            <w:pPr>
              <w:spacing w:after="0"/>
              <w:rPr>
                <w:sz w:val="1"/>
                <w:szCs w:val="1"/>
                <w:color w:val="auto"/>
              </w:rPr>
            </w:pPr>
          </w:p>
        </w:tc>
      </w:tr>
      <w:tr>
        <w:trPr>
          <w:trHeight w:val="20"/>
        </w:trPr>
        <w:tc>
          <w:tcPr>
            <w:tcW w:w="4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2023</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149,437,347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1,631,999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(1,604,481)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27,433</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76,955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95,000</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(25,679)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public offering (net of offering</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costs of $0.8 million)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1,385,700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46,295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46,297</w:t>
            </w:r>
          </w:p>
        </w:tc>
        <w:tc>
          <w:tcPr>
            <w:tcW w:w="0" w:type="dxa"/>
            <w:vAlign w:val="bottom"/>
          </w:tcPr>
          <w:p>
            <w:pPr>
              <w:spacing w:after="0"/>
              <w:rPr>
                <w:sz w:val="1"/>
                <w:szCs w:val="1"/>
                <w:color w:val="auto"/>
              </w:rPr>
            </w:pPr>
          </w:p>
        </w:tc>
      </w:tr>
      <w:tr>
        <w:trPr>
          <w:trHeight w:val="192"/>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13,582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13,582</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(47,610)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(47,610)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150,969,323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1,692,627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(1,652,091)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40,453</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102,500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420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420</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457,501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(38,593)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9,966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9,966</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113,930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113,930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151,490,731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1,703,013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(1,538,161)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164,769</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160" w:type="dxa"/>
            <w:vAlign w:val="bottom"/>
          </w:tcPr>
          <w:p>
            <w:pPr>
              <w:spacing w:after="0"/>
              <w:rPr>
                <w:sz w:val="17"/>
                <w:szCs w:val="17"/>
                <w:color w:val="auto"/>
              </w:rPr>
            </w:pPr>
          </w:p>
        </w:tc>
        <w:tc>
          <w:tcPr>
            <w:tcW w:w="15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96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6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960" w:type="dxa"/>
            <w:vAlign w:val="bottom"/>
            <w:gridSpan w:val="5"/>
            <w:vMerge w:val="continue"/>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9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22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151,465,598</w:t>
            </w:r>
          </w:p>
        </w:tc>
        <w:tc>
          <w:tcPr>
            <w:tcW w:w="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$ 1,713,162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(1,552,577)</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160,502</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2,500</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3,304,468</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(165,514)</w:t>
            </w:r>
          </w:p>
        </w:tc>
        <w:tc>
          <w:tcPr>
            <w:tcW w:w="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10,304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10,304</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(10,707)</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(10,707)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154,607,052</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1,723,472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(1,563,284)</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160,109</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27,250</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135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332,138</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(92,593)</w:t>
            </w:r>
          </w:p>
        </w:tc>
        <w:tc>
          <w:tcPr>
            <w:tcW w:w="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10,445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10,445</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6,879</w:t>
            </w:r>
          </w:p>
        </w:tc>
        <w:tc>
          <w:tcPr>
            <w:tcW w:w="140" w:type="dxa"/>
            <w:vAlign w:val="bottom"/>
          </w:tcPr>
          <w:p>
            <w:pPr>
              <w:spacing w:after="0"/>
              <w:rPr>
                <w:sz w:val="17"/>
                <w:szCs w:val="17"/>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6,879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154,873,847</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1,734,052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(1,556,405)</w:t>
            </w: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177,568</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in connection with exercise of</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35,313</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199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1,038,407</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Forfeiture of restricted stock</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(36,666)</w:t>
            </w:r>
          </w:p>
        </w:tc>
        <w:tc>
          <w:tcPr>
            <w:tcW w:w="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(2,149)</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(2,149)</w:t>
            </w: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Compensation in respect of restricted stock granted to</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employees, directors and consultants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12,659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12,659</w:t>
            </w:r>
          </w:p>
        </w:tc>
        <w:tc>
          <w:tcPr>
            <w:tcW w:w="0" w:type="dxa"/>
            <w:vAlign w:val="bottom"/>
          </w:tcPr>
          <w:p>
            <w:pPr>
              <w:spacing w:after="0"/>
              <w:rPr>
                <w:sz w:val="1"/>
                <w:szCs w:val="1"/>
                <w:color w:val="auto"/>
              </w:rPr>
            </w:pPr>
          </w:p>
        </w:tc>
      </w:tr>
      <w:tr>
        <w:trPr>
          <w:trHeight w:val="205"/>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3,880</w:t>
            </w:r>
          </w:p>
        </w:tc>
        <w:tc>
          <w:tcPr>
            <w:tcW w:w="0" w:type="dxa"/>
            <w:vAlign w:val="bottom"/>
          </w:tcPr>
          <w:p>
            <w:pPr>
              <w:spacing w:after="0"/>
              <w:rPr>
                <w:sz w:val="1"/>
                <w:szCs w:val="1"/>
                <w:color w:val="auto"/>
              </w:rPr>
            </w:pPr>
          </w:p>
        </w:tc>
      </w:tr>
      <w:tr>
        <w:trPr>
          <w:trHeight w:val="203"/>
        </w:trPr>
        <w:tc>
          <w:tcPr>
            <w:tcW w:w="416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155,910,901</w:t>
            </w:r>
          </w:p>
        </w:tc>
        <w:tc>
          <w:tcPr>
            <w:tcW w:w="4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1,746,909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133,610</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(2,383)</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(1,552,525)</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192,157</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6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 less than one thousand dollars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330" w:gutter="0" w:footer="0" w:header="0"/>
        </w:sectPr>
      </w:pP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3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TG Therapeutics,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stock compensation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30,593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28,548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premium (discount) on investment securities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leasehold interest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change in lease liability and right of use asset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equity investments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inventory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(31,432)</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(23,047)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(10,365)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accounts receivable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(64,634)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(39,320)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accounts payable and accrued expenses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60,850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lease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other current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deferred revenue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19,244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(14,876)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(18,203)</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short-term securities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237,200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72,551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held-to-maturity securities</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(252,625)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(78,447)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long-term securities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(16,824)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(5,896)</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loan payable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(107,553)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46,297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debt financings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244,815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 paid</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134,599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72,706</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48,607</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94,218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103,577</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197,117</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152,184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to amounts on condensed consolidated balance sheets: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195,822</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150,902</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197,117</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152,184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12,048</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TRANSACTIONS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with debt financing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condensed consolidated financial statements.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8" w:right="339" w:bottom="627" w:gutter="0" w:footer="0" w:header="0"/>
        </w:sectPr>
      </w:pP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627"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 (unaudited)</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Unless the context requires otherwise, references in this report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TG,</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TG Therapeutics, Inc.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RMS, to include clinically isolated syndrome, relapsing-remitting disease, and active secondary progressive disease, in adults. TG also received approval for BRIUMVI by the European Commission (EC) in the European Union (EU), and the Medicines and Healthcare Products Regulatory Agency (MHRA) in the United Kingdom (UK), for the treatment of adult patients with RMS who have active disease defined by clinical or imaging features. TG continues to actively evaluate complementary products, technologies and companies for in-licensing, partnership, acquisition and/or investment opportunities.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504"/>
        <w:spacing w:after="0" w:line="25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2023. The accompanying condensed balance sheet as of December 31, 2023 has been derived from these statements. The results of operations for the three and nine months ended September 30, 2024 are not necessarily indicative of the results that may be expected for the entire fiscal year or any other interim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Historically, we have incurred operating losses; however, during the three and nine months ended September 30, 2024, the Company generated net income. Additionally, during the twelve months ended December 31, 2023, the Company experienced a net profit due to a $140.0 million non-refundable upfront payment recognized as license revenue in the third quarter of 2023 as part of our ex-U.S. commercialization agreement (the Commercialization Agreement) with Neuraxpharm Pharmaceuticals, S.L. (Neuraxpharm) (see Note 2 for more information). We may incur operating losses in the near term and may never become profitable. As of September 30, 2024, we have an accumulated deficit of $1.6 billion.</w:t>
      </w:r>
    </w:p>
    <w:p>
      <w:pPr>
        <w:spacing w:after="0" w:line="183"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major sources of cash have been proceeds from private placements and public offerings of equity securities, from our loan and security agreements, the upfront payment from the Commercialization Agreement (see Note 2 for more information), and from product revenue from drug sales of BRIUMVI. During the nine months ended September 30, 2024, we generated $206.4 million in product revenue from drug sales of BRIUMVI. BRIUMVI is currently our only marketed product.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research and development expenses, as well as significant commercialization and outsourced manufacturing expenses as we continue to commercialize BRIUMVI. Because of the numerous risks and uncertainties associated with developing and commercializing pharmaceutical products, we are unable to predict the extent of any future losses, or for how long we may continue to experience a net profit. We may not be able to sustain or increase our profitability on a quarterly or annual basis. Our ability to become profitable depends upon our ability to generate substantial revenue.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As of September 30, 2024, we had $341.0 million in cash and cash equivalents, and investment securities. The Company believes its existing cash, cash equivalents, and investment securities, combined with projected revenues associated with the sale of BRIUMVI in the U.S. and ex-U.S., will be sufficient to fund our anticipated operating cash requirements for at least twelve months following the date of this filing.</w:t>
      </w:r>
    </w:p>
    <w:p>
      <w:pPr>
        <w:spacing w:after="0" w:line="176"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common stock is quoted on the Nasdaq Capital Market and trades under the symbol “TGTX.”</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Our significant accounting policies are described in Note 1 of Notes to Consolidated Financial Statements included in our Annual Report on Form 10-K for the year ended December 31, 2023, except as updated herein or as it relates to revenue recognition, accounts receivable, inventory, cost of revenue, equity securities, and the adoption of new accounting standards during the nine months ended September 30, 2024. Management does not believe that any recently issued, but not yet effective, accounting pronouncements, if currently adopted, would have a material effect on the Company’s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 Reclassification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Certain account balances from prior periods have been reclassified in these financial statements to conform to current period classifications.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Pursuant to Topic 606, we recognize revenue to depict the transfer of promised goods or services to customers in an amount that reflects the consideration to which we expect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3"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176"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Product Revenue, Net - The Company recognizes product revenues, net of variable consideration related to certain 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which are described below: chargebacks, government rebates, trade discounts and allowances, product returns, and co-payment assistance.</w:t>
      </w:r>
    </w:p>
    <w:p>
      <w:pPr>
        <w:spacing w:after="0" w:line="183" w:lineRule="exact"/>
        <w:rPr>
          <w:sz w:val="20"/>
          <w:szCs w:val="20"/>
          <w:color w:val="auto"/>
        </w:rPr>
      </w:pPr>
    </w:p>
    <w:p>
      <w:pPr>
        <w:jc w:val="both"/>
        <w:ind w:firstLine="504"/>
        <w:spacing w:after="0" w:line="254" w:lineRule="auto"/>
        <w:rPr>
          <w:sz w:val="20"/>
          <w:szCs w:val="20"/>
          <w:color w:val="auto"/>
        </w:rPr>
      </w:pPr>
      <w:r>
        <w:rPr>
          <w:rFonts w:ascii="Times New Roman" w:cs="Times New Roman" w:eastAsia="Times New Roman" w:hAnsi="Times New Roman"/>
          <w:sz w:val="18"/>
          <w:szCs w:val="18"/>
          <w:color w:val="auto"/>
        </w:rPr>
        <w:t>These reserves are based on estimates of the amounts earned or to be claimed on the related sales and are classified as reductions of accounts receivable (if the amount is expected to be settled with a credit against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pacing w:after="0" w:line="188"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Chargebacks: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Commercial Payer Rebates: The Company contracts with various private payer organizations, primarily insurance companies and pharmacy benefit managers, for the payment of rebates with respect to utilization of our product and contracted formulary status. The Company estimates these rebates and records such estimates in the same period the related revenue is recognized, resulting in a reduction of product revenue and the establishment of a current liability.</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Trade Discounts and Allowances: The Company provides its customers with discounts that are explicitly stated in the applicable contracts and are recorded in the period the related product revenue is recognized. In addition, the Company also receives sales order management, inventory management, and data services from its customers in exchange for certain fees.</w:t>
      </w:r>
    </w:p>
    <w:p>
      <w:pPr>
        <w:sectPr>
          <w:pgSz w:w="11900" w:h="16838" w:orient="portrait"/>
          <w:cols w:equalWidth="0" w:num="1">
            <w:col w:w="11240"/>
          </w:cols>
          <w:pgMar w:left="320" w:top="121" w:right="339" w:bottom="582"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82"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certain limitations, the Company’s return policy allows for eligible returns of BRIUMVI for credit under the following circumstances:</w:t>
      </w:r>
    </w:p>
    <w:p>
      <w:pPr>
        <w:spacing w:after="0" w:line="225" w:lineRule="exact"/>
        <w:rPr>
          <w:sz w:val="20"/>
          <w:szCs w:val="20"/>
          <w:color w:val="auto"/>
        </w:rPr>
      </w:pPr>
    </w:p>
    <w:p>
      <w:pPr>
        <w:ind w:left="660" w:hanging="14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damaged product;</w:t>
      </w:r>
    </w:p>
    <w:p>
      <w:pPr>
        <w:spacing w:after="0" w:line="225"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shipment errors that were a result of an error by the Company;</w:t>
      </w:r>
    </w:p>
    <w:p>
      <w:pPr>
        <w:spacing w:after="0" w:line="225" w:lineRule="exact"/>
        <w:rPr>
          <w:rFonts w:ascii="Times New Roman" w:cs="Times New Roman" w:eastAsia="Times New Roman" w:hAnsi="Times New Roman"/>
          <w:sz w:val="18"/>
          <w:szCs w:val="18"/>
          <w:color w:val="auto"/>
        </w:rPr>
      </w:pPr>
    </w:p>
    <w:p>
      <w:pPr>
        <w:ind w:right="20" w:firstLine="512"/>
        <w:spacing w:after="0" w:line="282" w:lineRule="auto"/>
        <w:tabs>
          <w:tab w:leader="none" w:pos="7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expired product that is returned during the period beginning three months prior to the product’s expiration and ending six months after the expiration date;</w:t>
      </w:r>
    </w:p>
    <w:p>
      <w:pPr>
        <w:spacing w:after="0" w:line="161"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subject to a recall; and</w:t>
      </w:r>
    </w:p>
    <w:p>
      <w:pPr>
        <w:spacing w:after="0" w:line="225"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that the Company, at its sole discretion, has specified can be returned for credit.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2024, the Company has not received any returns related to sales of BRIUMVI.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Co-Payment Assistance Programs: Co-payment assistance is provided to qualified patients with commercial insurance,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Licenses of intellectual property: 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Milestone payments: 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Sales-based royalties: For arrangements that include sales-based royalties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Optional Purchases: The Company’s arrangements may provide the licensee the right to make optional purchases of the licensed product. These optional purchases are accounted for as separate contracts when the licensee determines that it will make such a purchase, unless the option conveys a material right. Optional purchases are recorded as product revenue, net.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is also generated from service-based fees recognized for providing regulatory support &amp; development services to customers. Service fee revenue is recognized overtime as the services are transferred to the customer.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Product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consideration is received, or such consideration is unconditionally due, from a customer prior to the Company completing its performance obligation to the customer under the terms of a contract, a contract liability is recorded as deferred revenue. Deferred revenues expected to be recognized as revenue within the 12 months following the balance sheet date are classified as current liabilities. Deferred revenues not expected to be recognized as revenue within the 12 months following the balance sheet date are classified as long-term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September 30, 2024, we determined an allowance for expected credit losses related to outstanding accounts receivable was currently not required based upon our review of contractual payment terms and individual customer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Cost of revenue consists primarily of third-party manufacturing costs, distribution, overhead and royalties owed to our licensing partner for BRIUMVI sales. Cost of revenue may also include costs related to excess or obsolete inventory adjustment charges, abnormal costs, unabsorbed manufacturing and overhead costs, and manufacturing variances. Based on our policy to expense costs associated with the manufacture of our products prior to regulatory approval, a portion of the costs of producing BRIUMVI sold to date was expensed as research and development prior to the FDA approval of BRIUMVI and therefore it is not reflected in the cost of revenue. Our cost of revenue also relates to providing regulatory support &amp; development services to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first-in-first-out method (FIFO).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cost of revenue.</w:t>
      </w:r>
    </w:p>
    <w:p>
      <w:pPr>
        <w:spacing w:after="0" w:line="180"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Prior to regulatory approval, we expense costs relating to the production of inventory as research and development expense in the period incurred. Following regulatory approval, costs to manufacture those approved products will be capitalized. Inventory that can be used in either the production of clinical or commercial products is expensed as research and development costs when identified for use in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equity securities consist of common stock of Precision BioSciences, Inc. (Precision). Equity securities are recognized at their fair value in accordance with ASC 321, Investments – Equity Securities. Forward contracts to purchase equity securities that do not qualify as derivatives under ASC 815 are accounted for in accordance with ASC 321. These forward contracts are recorded at fair value at the balance sheet date. See Note 5 for further details.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Common Share</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Basic net income (loss) per share of our common stock is calculated by dividing net income (loss) applicable to the common stock by the weighted-average number of shares of our common stock outstanding for the period. Diluted net income (loss) per share of common stock includes the effect, if any, from the potential exercise or conversion of securities, such as warrants, stock options, and restricted stock, which would result in the issuance of incremental shares of common stock. The impact of these items is anti-dilutive during periods of net loss. Therefore, basic and diluted net income (loss) per share would be the same for all periods presented. However, for the three and nine months ended September 30, 2024 and 2023, the Company had net income in the unaudited condensed consolidated statement of operations.</w:t>
      </w:r>
    </w:p>
    <w:p>
      <w:pPr>
        <w:spacing w:after="0" w:line="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our potentially dilutive securities at September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10,645,967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8,454,545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4,631,966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4,697,029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8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312,272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312,272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note conversion</w:t>
            </w: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21,704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20,646</w:t>
            </w: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15,611,909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13,484,492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5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computation of basic and diluted EPS is as follows:</w:t>
            </w:r>
          </w:p>
        </w:tc>
        <w:tc>
          <w:tcPr>
            <w:tcW w:w="860" w:type="dxa"/>
            <w:vAlign w:val="bottom"/>
          </w:tcPr>
          <w:p>
            <w:pPr>
              <w:spacing w:after="0"/>
              <w:rPr>
                <w:sz w:val="24"/>
                <w:szCs w:val="24"/>
                <w:color w:val="auto"/>
              </w:rPr>
            </w:pPr>
          </w:p>
        </w:tc>
        <w:tc>
          <w:tcPr>
            <w:tcW w:w="254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540" w:type="dxa"/>
            <w:vAlign w:val="bottom"/>
            <w:gridSpan w:val="7"/>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5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4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0"/>
                <w:szCs w:val="20"/>
                <w:color w:val="auto"/>
              </w:rPr>
            </w:pPr>
          </w:p>
        </w:tc>
        <w:tc>
          <w:tcPr>
            <w:tcW w:w="2540" w:type="dxa"/>
            <w:vAlign w:val="bottom"/>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8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3,880</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113,930</w:t>
            </w:r>
          </w:p>
        </w:tc>
        <w:tc>
          <w:tcPr>
            <w:tcW w:w="15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145,102,479</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142,871,227</w:t>
            </w:r>
          </w:p>
        </w:tc>
        <w:tc>
          <w:tcPr>
            <w:tcW w:w="15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145,342,337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141,571,785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potential common shares</w:t>
            </w:r>
          </w:p>
        </w:tc>
        <w:tc>
          <w:tcPr>
            <w:tcW w:w="2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15,611,909</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13,000,522</w:t>
            </w:r>
          </w:p>
        </w:tc>
        <w:tc>
          <w:tcPr>
            <w:tcW w:w="15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15,024,590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4,381,128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2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160,714,388</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155,871,749</w:t>
            </w:r>
          </w:p>
        </w:tc>
        <w:tc>
          <w:tcPr>
            <w:tcW w:w="15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160,366,927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145,952,913</w:t>
            </w:r>
          </w:p>
        </w:tc>
        <w:tc>
          <w:tcPr>
            <w:tcW w:w="0" w:type="dxa"/>
            <w:vAlign w:val="bottom"/>
          </w:tcPr>
          <w:p>
            <w:pPr>
              <w:spacing w:after="0"/>
              <w:rPr>
                <w:sz w:val="1"/>
                <w:szCs w:val="1"/>
                <w:color w:val="auto"/>
              </w:rPr>
            </w:pPr>
          </w:p>
        </w:tc>
      </w:tr>
      <w:tr>
        <w:trPr>
          <w:trHeight w:val="20"/>
        </w:trPr>
        <w:tc>
          <w:tcPr>
            <w:tcW w:w="5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0.03</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0.80</w:t>
            </w:r>
          </w:p>
        </w:tc>
        <w:tc>
          <w:tcPr>
            <w:tcW w:w="150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0.02</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0.73</w:t>
            </w:r>
          </w:p>
        </w:tc>
        <w:tc>
          <w:tcPr>
            <w:tcW w:w="15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432"/>
        </w:trPr>
        <w:tc>
          <w:tcPr>
            <w:tcW w:w="5120" w:type="dxa"/>
            <w:vAlign w:val="bottom"/>
          </w:tcPr>
          <w:p>
            <w:pPr>
              <w:spacing w:after="0"/>
              <w:rPr>
                <w:sz w:val="24"/>
                <w:szCs w:val="24"/>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discussed in Note 1, revenues are recognized under guidance within ASC 606. The following table presents our disaggregated revenue for the periods presented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product revenue, net</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83,297</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206,381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48,868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140,114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Milestone Revenue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83,879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165,815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220,819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189,691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and nine months ended September 30, 2024, our only source of product revenue has been from U.S. sales of BRIUMVI, which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began shipping to our customers in January 2023.</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18"/>
          <w:szCs w:val="18"/>
          <w:color w:val="auto"/>
        </w:rPr>
        <w:t>As of September 30, 2024, approximately $24.4 million of gross-to-net accruals are included within accounts receivable, net, accounts payable and accrued expenses on the condensed consolidated balance sheets.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u w:val="single" w:color="auto"/>
          <w:color w:val="auto"/>
        </w:rPr>
        <w:t>Neuraxpharm Commercialization Agreement</w:t>
      </w:r>
    </w:p>
    <w:p>
      <w:pPr>
        <w:spacing w:after="0" w:line="227"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On July 28, 2023, the Company entered into an ex-U.S. commercialization agreement (the Commercialization Agreement) with Neuraxpharm. The Company granted Neuraxpharm the exclusive right to commercialize BRIUMVI in territories outside the United States, Canada, and Mexico, which are retained by the Company, and excluding certain Asian countries of which the Company previously partnered (the Territory). In addition, the Company will perform certain development and regulatory activities for Neuraxpharm to support its obligations under the Commercialization Agreement to secure and maintain the regulatory approvals required to sell BRIUMVI in the Territory. As part of the overall arrangement, the Company has agreed to supply BRIUMVI to Neuraxpharm throughout the term of the Commercialization Agreement.</w:t>
      </w:r>
    </w:p>
    <w:p>
      <w:pPr>
        <w:spacing w:after="0" w:line="187"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In consideration for entering into the Commercialization Agreement, the Company received a non-refundable upfront payment of $140.0 million. The Company will also receive tiered double-digit royalties up to 30% on net product sales in the Territory and is eligible to receive sales-based or other milestone payments totaling up to $492.5 million.</w:t>
      </w:r>
    </w:p>
    <w:p>
      <w:pPr>
        <w:spacing w:after="0" w:line="176"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The Company evaluated the Commercialization Agreement under ASC 606 and concluded that Neuraxpharm represents a customer in the transaction. In accordance with this guidance, the Company identified the following commitments under the arrangement: (i) the exclusive right to develop, sell, offer to sell and import the Product in the Territory (the License); (ii) certain development and regulatory activities (Development and Regulatory Activities).</w:t>
      </w:r>
    </w:p>
    <w:p>
      <w:pPr>
        <w:spacing w:after="0" w:line="180" w:lineRule="exact"/>
        <w:rPr>
          <w:sz w:val="20"/>
          <w:szCs w:val="20"/>
          <w:color w:val="auto"/>
        </w:rPr>
      </w:pPr>
    </w:p>
    <w:p>
      <w:pPr>
        <w:ind w:right="220" w:firstLine="810"/>
        <w:spacing w:after="0" w:line="282" w:lineRule="auto"/>
        <w:rPr>
          <w:sz w:val="20"/>
          <w:szCs w:val="20"/>
          <w:color w:val="auto"/>
        </w:rPr>
      </w:pPr>
      <w:r>
        <w:rPr>
          <w:rFonts w:ascii="Times New Roman" w:cs="Times New Roman" w:eastAsia="Times New Roman" w:hAnsi="Times New Roman"/>
          <w:sz w:val="18"/>
          <w:szCs w:val="18"/>
          <w:color w:val="auto"/>
        </w:rPr>
        <w:t>The License to the Company’s intellectual property represents a distinct performance obligation, therefore, the $140.0 million non-refundable upfront payment related to this performance obligation was recognized as License Revenue in the third quarter of 2023.</w:t>
      </w:r>
    </w:p>
    <w:p>
      <w:pPr>
        <w:spacing w:after="0" w:line="162"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The Development and Regulatory Activities performance obligation is satisfied over time because Neuraxpharm simultaneously receives and consumes the benefits provided by the Company’s performance of the services. Therefore, revenue is recognized as the activities are completed by the Company. For the three and nine months ended September 30, 2024, the Company recognized Other Revenue of $0.3 million and $1.4 million, respectively, related to the Development and Regulatory Activities.</w:t>
      </w:r>
    </w:p>
    <w:p>
      <w:pPr>
        <w:spacing w:after="0" w:line="180"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The arrangement also provides Neuraxpharm with the right to make optional purchases of BRIUMVI (the Supply of Licensed Product). These optional purchases are accounted for as a separate contract when the right to purchase BRIUMVI is exercised. The consideration for optional purchases of BRIUMVI by Neuraxpharm approximates the price that a customer in the Territory would be willing to pay for these goods.</w:t>
      </w:r>
    </w:p>
    <w:p>
      <w:pPr>
        <w:spacing w:after="0" w:line="176" w:lineRule="exact"/>
        <w:rPr>
          <w:sz w:val="20"/>
          <w:szCs w:val="20"/>
          <w:color w:val="auto"/>
        </w:rPr>
      </w:pPr>
    </w:p>
    <w:p>
      <w:pPr>
        <w:jc w:val="both"/>
        <w:ind w:firstLine="810"/>
        <w:spacing w:after="0" w:line="255" w:lineRule="auto"/>
        <w:rPr>
          <w:sz w:val="20"/>
          <w:szCs w:val="20"/>
          <w:color w:val="auto"/>
        </w:rPr>
      </w:pPr>
      <w:r>
        <w:rPr>
          <w:rFonts w:ascii="Times New Roman" w:cs="Times New Roman" w:eastAsia="Times New Roman" w:hAnsi="Times New Roman"/>
          <w:sz w:val="18"/>
          <w:szCs w:val="18"/>
          <w:color w:val="auto"/>
        </w:rPr>
        <w:t>The performance obligation related to the Supply of Licensed Product is met when control of the product passes to Neuraxpharm. The consideration received from Neuraxpharm for the supply of BRIUMVI will be recognized by the Company as a component of product revenue, net. As of September 30, 2024, the Company has an unconditional right to receive $18.3 million in consideration from Neuraxpharm related to the performance obligation to supply BRIUMVI, that is recorded as accounts receivable, net. The related performance obligation to supply BRIUMVI has not yet been satisfied, and therefore, as of September 30, 2024, $25.2 million has been recorded as deferred revenue. The Company will reevaluate the consideration received, and performance obligations satisfied, at the end of each reporting period. Such reevaluations may result in a change to the amount of product revenue, net, recognized and deferred revenue.</w:t>
      </w:r>
    </w:p>
    <w:p>
      <w:pPr>
        <w:spacing w:after="0" w:line="189" w:lineRule="exact"/>
        <w:rPr>
          <w:sz w:val="20"/>
          <w:szCs w:val="20"/>
          <w:color w:val="auto"/>
        </w:rPr>
      </w:pPr>
    </w:p>
    <w:p>
      <w:pPr>
        <w:jc w:val="both"/>
        <w:ind w:firstLine="810"/>
        <w:spacing w:after="0" w:line="254" w:lineRule="auto"/>
        <w:rPr>
          <w:sz w:val="20"/>
          <w:szCs w:val="20"/>
          <w:color w:val="auto"/>
        </w:rPr>
      </w:pPr>
      <w:r>
        <w:rPr>
          <w:rFonts w:ascii="Times New Roman" w:cs="Times New Roman" w:eastAsia="Times New Roman" w:hAnsi="Times New Roman"/>
          <w:sz w:val="18"/>
          <w:szCs w:val="18"/>
          <w:color w:val="auto"/>
        </w:rPr>
        <w:t>The remaining forms of consideration are variable because they are dependent on the achievement of sales-based or other milestones. The Company evaluated the constraint on variable consideration and concluded that the milestone payments are highly dependent on factors outside of the Company’s control.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milestones will be recognized as revenue immediately in the period the achievement of the underlying milestone is probable. In March 2024, the Company received a $12.5 million milestone payment for the first key market commercial launch of BRIUMVI in the EU. Any consideration related to sales-based royalties will be recognized when the related sales occur. During the three and nine months ended September 30, 2024, royalty revenue of $0.2 million and $0.4 million, respectively, was recognized.</w:t>
      </w:r>
    </w:p>
    <w:p>
      <w:pPr>
        <w:sectPr>
          <w:pgSz w:w="11900" w:h="16838" w:orient="portrait"/>
          <w:cols w:equalWidth="0" w:num="1">
            <w:col w:w="11240"/>
          </w:cols>
          <w:pgMar w:left="320" w:top="121" w:right="339" w:bottom="49"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ind w:right="240" w:firstLine="504"/>
        <w:spacing w:after="0" w:line="282" w:lineRule="auto"/>
        <w:rPr>
          <w:sz w:val="20"/>
          <w:szCs w:val="20"/>
          <w:color w:val="auto"/>
        </w:rPr>
      </w:pPr>
      <w:r>
        <w:rPr>
          <w:rFonts w:ascii="Times New Roman" w:cs="Times New Roman" w:eastAsia="Times New Roman" w:hAnsi="Times New Roman"/>
          <w:sz w:val="18"/>
          <w:szCs w:val="18"/>
          <w:color w:val="auto"/>
        </w:rPr>
        <w:t>Our short-term investments as of September 30, 2024 and December 31, 2023 are classified as held-to-maturity. Held-to-maturity investments are recorded at amortized cost.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our short-term investment securities at September 30, 2024 and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Obligations of domestic governmental agencies (maturing between October 2024 and March 2025) (held-to-maturity)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Total short-term investments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623"/>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145,219</w:t>
            </w:r>
          </w:p>
        </w:tc>
        <w:tc>
          <w:tcPr>
            <w:tcW w:w="2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145,338</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145,219</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145,338</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5460" w:space="520"/>
            <w:col w:w="52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cost, as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domestic governmental agencies (maturing between January 2024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124,575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124,552</w:t>
            </w:r>
          </w:p>
        </w:tc>
        <w:tc>
          <w:tcPr>
            <w:tcW w:w="0" w:type="dxa"/>
            <w:vAlign w:val="bottom"/>
          </w:tcPr>
          <w:p>
            <w:pPr>
              <w:spacing w:after="0"/>
              <w:rPr>
                <w:sz w:val="1"/>
                <w:szCs w:val="1"/>
                <w:color w:val="auto"/>
              </w:rPr>
            </w:pPr>
          </w:p>
        </w:tc>
      </w:tr>
      <w:tr>
        <w:trPr>
          <w:trHeight w:val="221"/>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and June 2024) (held-to-maturity)</w:t>
            </w:r>
          </w:p>
        </w:tc>
        <w:tc>
          <w:tcPr>
            <w:tcW w:w="120" w:type="dxa"/>
            <w:vAlign w:val="bottom"/>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124,575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124,552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long-term investments as of September 30, 2024 include shares of common stock of Precision. The fair market value of the equity securities as of September 30, 2024 was $0.9 million. For the three and nine months ended September 30, 2024, we recorded unrealized losses of $0.1 million and $0.3 million, respectively, based on the change in fair value of Precision’s common stock during the period. See Note 5 for further details.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INVENTORY</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 presents our inventory as of September 30, 2024 (in thousands):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9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74,973</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84,669</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and consists of raw materials, work-in-process and finished goods. Cost is determined using a standard cost method, which approximates actual cost, and assumes a FIFO flow of goods. Inventory that is used for clinical development purposes is expensed to research and development expense when consumed.</w:t>
      </w:r>
    </w:p>
    <w:p>
      <w:pPr>
        <w:spacing w:after="0" w:line="176"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At September 30, 2024, all our inventory was solely related to BRIUMVI, which was approved by the FDA on December 28, 2022, at which time we began to capitalize costs to manufacture BRIUMVI. Prior to the FDA approval of BRIUMVI, all costs related to the manufacturing of BRIUMVI and related material were charged to research and development expense in the period incurred.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work in process materials consist primarily of bulk drug substance, which has a multi-year shelf life. When the bulk drug substance is manufactured into BRIUMVI finished goods, those finished goods have a shelf life of three years from the date of manufacture. Our expectation is to sell finished goods at least twelve months prior to expiration. Due to our long manufacturing lead time, it was necessary to buildup inventory in support of BRIUMVI forecasted sales, to ensure appropriate safety stock levels, and meet our commitment to supply BRIUMVI to Neuraxpharm related to the Commercialization Agreement. As a result of being in the early stages of the BRIUMVI product launch, the Company is continuing to evaluate the length of its operating cycle.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 quarterly basis, the Company analyzes our inventory levels for excess quantities and obsolescence (expiration), taking into account factors such as historical and anticipated future sales compared to quantities on hand and the remaining shelf-life. At September 30, 2024, we determined that a reserve related to BRIUMVI inventory for excess quantities and obsolescence is not required. In addition, since FDA approval of BRIUMVI, the Company has not recorded any inventory write downs.</w:t>
      </w:r>
    </w:p>
    <w:p>
      <w:pPr>
        <w:sectPr>
          <w:pgSz w:w="11900" w:h="16838" w:orient="portrait"/>
          <w:cols w:equalWidth="0" w:num="1">
            <w:col w:w="11240"/>
          </w:cols>
          <w:pgMar w:left="320" w:top="121" w:right="339" w:bottom="1440" w:gutter="0" w:footer="0" w:header="0"/>
          <w:type w:val="continuous"/>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Level 1 quoted prices that are directly or indirectly observable;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 and Forward Contract Liabilities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7, 2024, (the Precision Effective Date) the Company and its wholly-owned subsidiary, TG Cell Therapy, Inc., (TG Cell) entered into a License Agreement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Precision License Agreement, the Company made an upfront payment to Precision of $7.5 million, consisting of (i) $5.25 million in cash and (ii) $2.25 million (the Upfront Precision Stock Payment), as an equity investment, for the purchase of 2,920,816 shares of Precision’s common stock at a price of $0.77 per share. The Company paid a premium for the shares which was recorded in research and development expense as part of the cost of the Precision License Agreement. Precision subsequently had a 30-to-1 reverse stock split in February 2024. The shares purchased with the Upfront Precision Stock Payment are classified as an equity investment and are recognized at fair market value as of September 30, 2024.</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Within 12 months following the Precision Effective Date, the Company will make a one-time payment to Precision equal to $2.5 million (the Deferred Precision Stock Payment). Upon receipt of such payment, Precision shall issue to the Company the number of shares of Precision common stock (the Precision Shares) (rounded down to the nearest whole share) obtained by dividing the Deferred Precision Stock Payment by 200% of the weighted average share price of the Precision common stock (the Precision Share Price) for the thirty (30) trading days preceding the date on which Precision receives the payment. The Deferred Precision Stock Payment was recorded to research and development License Fees as part of the cost of the Precision License Agreement in the three months ended March 31, 2024, and is classified as a forward contract liability recognized at fair market value in Other Current Liabilities as of September 30, 2024 , in accordance with ASC 321.</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Upon the achievement of a clinical and regulatory milestone event (Milestone Event 1), the Company will make a one-time payment to Precision equal to $2.3 million (the Milestone 1 Precision Stock Payment). Upon receipt of such payment, Precision shall issue to the Company the Precision Shares (rounded down to the nearest whole share) obtained by dividing the Milestone 1 Precision Stock Payment by 200% of the weighted average share price of the Precision common stock (the Precision Share Price) for the thirty (30) trading days preceding the achievement of Milestone Event 1. The Milestone 1 Precision Stock Payment was recorded to research and development License Fees as part of the cost of the Precision License Agreement in the three months ended March 31, 2024, and is classified as a forward contract liability recognized at fair market value in Other Current Liabilities as of September 30, 2024, in accordance with ASC 321.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 Notes</w:t>
      </w:r>
    </w:p>
    <w:p>
      <w:pPr>
        <w:spacing w:after="0" w:line="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the time of our merger (we were then known as Manhattan Pharmaceuticals, Inc. (Manhattan))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We have no obligations under the 5% Notes aside from the conversion feature.</w:t>
      </w:r>
    </w:p>
    <w:p>
      <w:pPr>
        <w:spacing w:after="0" w:line="189"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include cash, cash equivalents consisting of money market funds, accounts receivable, accounts payable and loan payable. As of September 30, 2024 and December 31, 2023, the fair values of cash and cash equivalents, restricted cash, accounts receivable, and loan and interest payable approximate their carrying value. The carrying value of loan payable on the Company’s balance sheet is estimated to approximate its fair value as the interest rate approximates the market rate for loans with similar terms and risk characteristics.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the fair value measurements of applicable financial assets and liabilities as of September 30, 2024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5260" w:type="dxa"/>
            <w:vAlign w:val="bottom"/>
            <w:gridSpan w:val="1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September 30,</w:t>
            </w:r>
          </w:p>
        </w:tc>
      </w:tr>
      <w:tr>
        <w:trPr>
          <w:trHeight w:val="238"/>
        </w:trPr>
        <w:tc>
          <w:tcPr>
            <w:tcW w:w="5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872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872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872</w:t>
            </w: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Forward Contract Liabilities</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Notes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3,076</w:t>
            </w:r>
          </w:p>
        </w:tc>
      </w:tr>
      <w:tr>
        <w:trPr>
          <w:trHeight w:val="20"/>
        </w:trPr>
        <w:tc>
          <w:tcPr>
            <w:tcW w:w="5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5980" w:type="dxa"/>
            <w:vAlign w:val="bottom"/>
          </w:tcPr>
          <w:p>
            <w:pPr>
              <w:spacing w:after="0"/>
              <w:rPr>
                <w:sz w:val="24"/>
                <w:szCs w:val="24"/>
                <w:color w:val="auto"/>
              </w:rPr>
            </w:pPr>
          </w:p>
        </w:tc>
        <w:tc>
          <w:tcPr>
            <w:tcW w:w="5260" w:type="dxa"/>
            <w:vAlign w:val="bottom"/>
            <w:gridSpan w:val="1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Financial assets and liabilities at fair value as of December 31,</w:t>
            </w:r>
          </w:p>
        </w:tc>
      </w:tr>
      <w:tr>
        <w:trPr>
          <w:trHeight w:val="238"/>
        </w:trPr>
        <w:tc>
          <w:tcPr>
            <w:tcW w:w="59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Notes</w:t>
            </w:r>
          </w:p>
        </w:tc>
        <w:tc>
          <w:tcPr>
            <w:tcW w:w="84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59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40" w:type="dxa"/>
            <w:vAlign w:val="bottom"/>
          </w:tcPr>
          <w:p>
            <w:pPr>
              <w:jc w:val="right"/>
              <w:ind w:right="67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5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equity investments classified as Level 1 were valued using their respective closing stock price on the Nasdaq Stock Market. We did not experience any transfers of financial instruments between the fair value hierarchy levels during the three months ended September 30, 2024. Our forward contract liabilities classified as Level 2 were valued using Precision's closing stock price on the Nasdaq Stock Market. Our Level 3 instrument amounts represent the fair value of the 5% Notes and related accrued interest.</w:t>
      </w:r>
    </w:p>
    <w:p>
      <w:pPr>
        <w:spacing w:after="0" w:line="180"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change in the fair value of the Level 1 assets and Level 2 and Level 3 liabilities is reported in other (income) expense in the accompanying condensed consolidated statements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6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both"/>
        <w:ind w:left="20" w:firstLine="504"/>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up to 190,000,000 shares of $0.001 par value common stock.</w:t>
      </w:r>
    </w:p>
    <w:p>
      <w:pPr>
        <w:spacing w:after="0" w:line="225" w:lineRule="exact"/>
        <w:rPr>
          <w:sz w:val="20"/>
          <w:szCs w:val="20"/>
          <w:color w:val="auto"/>
        </w:rPr>
      </w:pPr>
    </w:p>
    <w:p>
      <w:pPr>
        <w:jc w:val="both"/>
        <w:ind w:left="20" w:firstLine="504"/>
        <w:spacing w:after="0" w:line="256" w:lineRule="auto"/>
        <w:rPr>
          <w:sz w:val="20"/>
          <w:szCs w:val="20"/>
          <w:color w:val="auto"/>
        </w:rPr>
      </w:pPr>
      <w:r>
        <w:rPr>
          <w:rFonts w:ascii="Times New Roman" w:cs="Times New Roman" w:eastAsia="Times New Roman" w:hAnsi="Times New Roman"/>
          <w:sz w:val="18"/>
          <w:szCs w:val="18"/>
          <w:color w:val="auto"/>
        </w:rPr>
        <w:t>On September 2, 2022, we filed an automatic “shelf registration” statement on Form S-3 (the 2022 WKSI Shelf) as a “well-known seasoned issuer” as defined in Rule 405 under the Securities Act, which registered an unlimited and indeterminate amount of debt or equity securities for future issuance and sale. The 2022 WKSI Shelf was declared effective in September 2022. In connection with the 2022 WKSI Shelf, we entered into an At-the-Market Issuance Sales Agreement (the 2022 ATM) with Cantor Fitzgerald &amp; Co. and B. Riley Securities, Inc. (each a 2022 Agent and collectively, the 2022 Agents), relating to the sale of shares of our common stock. Under the 2022 ATM, we will pay the 2022 Agents a commission rate of up to 3.0% of the gross proceeds from the sale of any shares of common stock.</w:t>
      </w:r>
    </w:p>
    <w:p>
      <w:pPr>
        <w:spacing w:after="0" w:line="187" w:lineRule="exact"/>
        <w:rPr>
          <w:sz w:val="20"/>
          <w:szCs w:val="20"/>
          <w:color w:val="auto"/>
        </w:rPr>
      </w:pPr>
    </w:p>
    <w:p>
      <w:pPr>
        <w:jc w:val="both"/>
        <w:ind w:left="20" w:firstLine="486"/>
        <w:spacing w:after="0" w:line="255" w:lineRule="auto"/>
        <w:rPr>
          <w:sz w:val="20"/>
          <w:szCs w:val="20"/>
          <w:color w:val="auto"/>
        </w:rPr>
      </w:pPr>
      <w:r>
        <w:rPr>
          <w:rFonts w:ascii="Times New Roman" w:cs="Times New Roman" w:eastAsia="Times New Roman" w:hAnsi="Times New Roman"/>
          <w:sz w:val="18"/>
          <w:szCs w:val="18"/>
          <w:color w:val="auto"/>
        </w:rPr>
        <w:t>During the six months ended June 30, 2023, we sold a total of 1,385,700 shares of common stock under the 2022 ATM for aggregate total gross proceeds of approximately $47.1 million at an average selling price of $34.01 per share, resulting in net proceeds of approximately $46.3 million after deducting commissions and other transactions costs. We had no activity on the 2022 ATM during the nine months ended September 30, 2024. The 2022 WKSI Shelf is currently our only active shelf registration statement. We may offer any combination of the securities registered under the 2022 WKSI Shelf from time to time in response to market conditions or other circumstances if we believe such a plan of financing is in the best interests of our stockholders. We may need to file additional shelf registration statements in the future to provide us with the flexibility to raise additional capital to finance our operations as needed.</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 and Treasury Stock</w:t>
      </w:r>
    </w:p>
    <w:p>
      <w:pPr>
        <w:spacing w:after="0" w:line="229" w:lineRule="exact"/>
        <w:rPr>
          <w:sz w:val="20"/>
          <w:szCs w:val="20"/>
          <w:color w:val="auto"/>
        </w:rPr>
      </w:pPr>
    </w:p>
    <w:p>
      <w:pPr>
        <w:jc w:val="both"/>
        <w:ind w:left="20" w:firstLine="486"/>
        <w:spacing w:after="0" w:line="255" w:lineRule="auto"/>
        <w:rPr>
          <w:sz w:val="20"/>
          <w:szCs w:val="20"/>
          <w:color w:val="auto"/>
        </w:rPr>
      </w:pPr>
      <w:r>
        <w:rPr>
          <w:rFonts w:ascii="Times New Roman" w:cs="Times New Roman" w:eastAsia="Times New Roman" w:hAnsi="Times New Roman"/>
          <w:sz w:val="18"/>
          <w:szCs w:val="18"/>
          <w:color w:val="auto"/>
        </w:rPr>
        <w:t>On August 2, 2024, the Company announced that its Board of Directors (the Board) had authorized and approved a share repurchase program for up to $100 million of the currently outstanding shares of the Company’s common stock. Under the share repurchase program, the Company intends to repurchase shares through open market purchases, privately-negotiated transactions, block purchases or other methods in accordance with applicable federal securities laws, including Rule 10b-18 of the Securities Exchange Act of 1934, as amended (the Exchange Act). For the three months ended September 30, 2024, the Company repurchased 92,301 shares of common stock at a cost of $2.1 million. As of September 30, 2024, 133,610 shares of common stock are being held in Treasury, at a cost of approximately $2.4 million, representing the fair market value on the date the shares were surrendered to the Company, mainly as part of our share repurchase program.</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left="20" w:firstLine="504"/>
        <w:spacing w:after="0" w:line="266" w:lineRule="auto"/>
        <w:rPr>
          <w:sz w:val="20"/>
          <w:szCs w:val="20"/>
          <w:color w:val="auto"/>
        </w:rPr>
      </w:pPr>
      <w:r>
        <w:rPr>
          <w:rFonts w:ascii="Times New Roman" w:cs="Times New Roman" w:eastAsia="Times New Roman" w:hAnsi="Times New Roman"/>
          <w:sz w:val="18"/>
          <w:szCs w:val="18"/>
          <w:color w:val="auto"/>
        </w:rPr>
        <w:t>The TG Therapeutics, Inc. 2022 Incentive Plan (the 2022 Incentive Plan) was approved by stockholders in June 2022 with 17,000,000 shares available to be issued. As of September 30, 2024, 8,231,871 shares of restricted stock and 2,267,500 options were outstanding and up to an additional 4,314,901 shares were available to be issued under the 2022 Incentive Plan.</w:t>
      </w:r>
    </w:p>
    <w:p>
      <w:pPr>
        <w:spacing w:after="0" w:line="176" w:lineRule="exact"/>
        <w:rPr>
          <w:sz w:val="20"/>
          <w:szCs w:val="20"/>
          <w:color w:val="auto"/>
        </w:rPr>
      </w:pPr>
    </w:p>
    <w:p>
      <w:pPr>
        <w:jc w:val="both"/>
        <w:ind w:left="20" w:firstLine="504"/>
        <w:spacing w:after="0" w:line="266" w:lineRule="auto"/>
        <w:rPr>
          <w:sz w:val="20"/>
          <w:szCs w:val="20"/>
          <w:color w:val="auto"/>
        </w:rPr>
      </w:pPr>
      <w:r>
        <w:rPr>
          <w:rFonts w:ascii="Times New Roman" w:cs="Times New Roman" w:eastAsia="Times New Roman" w:hAnsi="Times New Roman"/>
          <w:sz w:val="18"/>
          <w:szCs w:val="18"/>
          <w:color w:val="auto"/>
        </w:rPr>
        <w:t>The TG Therapeutics, Inc. Amended and Restated 2012 Incentive Plan (the 2012 Incentive Plan) was approved by stockholders in June 2020. As of September 30, 2024, 3,914,127 shares of restricted stock and 2,364,466 options were outstanding, and no additional shares were available to be issued under the 2012 Incentive Plan as the 2022 Incentive Plan is currently the Company's only active incentive plan.</w:t>
      </w:r>
    </w:p>
    <w:p>
      <w:pPr>
        <w:spacing w:after="0" w:line="176" w:lineRule="exact"/>
        <w:rPr>
          <w:sz w:val="20"/>
          <w:szCs w:val="20"/>
          <w:color w:val="auto"/>
        </w:rPr>
      </w:pPr>
    </w:p>
    <w:p>
      <w:pPr>
        <w:jc w:val="both"/>
        <w:ind w:left="20" w:firstLine="486"/>
        <w:spacing w:after="0" w:line="261" w:lineRule="auto"/>
        <w:rPr>
          <w:sz w:val="20"/>
          <w:szCs w:val="20"/>
          <w:color w:val="auto"/>
        </w:rPr>
      </w:pPr>
      <w:r>
        <w:rPr>
          <w:rFonts w:ascii="Times New Roman" w:cs="Times New Roman" w:eastAsia="Times New Roman" w:hAnsi="Times New Roman"/>
          <w:sz w:val="18"/>
          <w:szCs w:val="18"/>
          <w:color w:val="auto"/>
        </w:rPr>
        <w:t>Stock-based compensation expense included in the condensed consolidated statements of operations was $11.8 million and $9.2 million for the three months ended September 30, 2024, and 2023, respectively, and $30.6 million and $28.5 million for the nine months ended September 30, 2024 and 2023, respectively. Stock-based compensation expense of $11.8 million and the $30.6 million for the three and nine months ended September 30, 2024, respectively, is net of $0.9 million and $2.8 million of stock-based compensation expense that was capitalized into inventory, respectively.</w:t>
      </w:r>
    </w:p>
    <w:p>
      <w:pPr>
        <w:spacing w:after="0" w:line="180"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During July of 2024, the Company identified an error related to the expense recognition of a single restricted stock award granted in 2021. The impact of the error was an understatement of non-cash compensation expense (SG&amp;A) in the years ended December 31, 2022, and 2021 and a corresponding understatement of additional paid in capital (APIC). The Company has concluded the error did not result in a material misstatement of the Company’s previously issued consolidated financial statements. The cumulative impact of the error has been corrected as an immaterial correction of the December 31, 2023 condensed consolidated balance sheet by increasing accumulated deficit and APIC by approximately $38.2 million.</w:t>
      </w:r>
    </w:p>
    <w:p>
      <w:pPr>
        <w:sectPr>
          <w:pgSz w:w="11900" w:h="16838" w:orient="portrait"/>
          <w:cols w:equalWidth="0" w:num="1">
            <w:col w:w="11260"/>
          </w:cols>
          <w:pgMar w:left="300" w:top="121" w:right="33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 and Restricted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activity for stock options and restricted stock for the nine months ended September 30,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awards outstanding, beginning of year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4,697,029</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9,639,068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during the year:</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4,675,013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Exercised or vested</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(65,063)</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(1,873,310)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 or Forfeited</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(294,773)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Equity awards outstanding, end of 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4,631,966</w:t>
            </w: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12,145,998</w:t>
            </w:r>
          </w:p>
        </w:tc>
      </w:tr>
      <w:tr>
        <w:trPr>
          <w:trHeight w:val="20"/>
        </w:trPr>
        <w:tc>
          <w:tcPr>
            <w:tcW w:w="80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2024, total compensation cost related to unvested time-based awards not yet recognized and the weighted-average periods over which the awards are expected to be recognized were as follows:</w:t>
      </w:r>
    </w:p>
    <w:tbl>
      <w:tblPr>
        <w:tblLayout w:type="fixed"/>
        <w:tblInd w:w="0" w:type="dxa"/>
        <w:tblCellMar>
          <w:top w:w="0" w:type="dxa"/>
          <w:left w:w="0" w:type="dxa"/>
          <w:bottom w:w="0" w:type="dxa"/>
          <w:right w:w="0" w:type="dxa"/>
        </w:tblCellMar>
      </w:tblPr>
      <w:tr>
        <w:trPr>
          <w:trHeight w:val="211"/>
        </w:trPr>
        <w:tc>
          <w:tcPr>
            <w:tcW w:w="7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18"/>
                <w:szCs w:val="18"/>
                <w:color w:val="auto"/>
              </w:rPr>
            </w:pPr>
          </w:p>
        </w:tc>
        <w:tc>
          <w:tcPr>
            <w:tcW w:w="16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60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compensation cost</w:t>
            </w:r>
          </w:p>
        </w:tc>
        <w:tc>
          <w:tcPr>
            <w:tcW w:w="142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80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$42,737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Expected weighted-average period in years of compensation cost to be recognized</w:t>
            </w:r>
          </w:p>
        </w:tc>
        <w:tc>
          <w:tcPr>
            <w:tcW w:w="600" w:type="dxa"/>
            <w:vAlign w:val="bottom"/>
          </w:tcPr>
          <w:p>
            <w:pPr>
              <w:spacing w:after="0"/>
              <w:rPr>
                <w:sz w:val="20"/>
                <w:szCs w:val="20"/>
                <w:color w:val="auto"/>
              </w:rPr>
            </w:pPr>
          </w:p>
        </w:tc>
        <w:tc>
          <w:tcPr>
            <w:tcW w:w="8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1.8</w:t>
            </w:r>
          </w:p>
        </w:tc>
        <w:tc>
          <w:tcPr>
            <w:tcW w:w="18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total compensation cost related to unvested market-based awards not yet recognized and the weighted-average periods over which the awards are expected to be recognized were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0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compensation cost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Expected weighted-average period in years of compensation cost to be recognized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Company’s only outstanding warrants are warrants issued to Hercules as part of the prior loan agreements to purchase 147,058, 115,042 and 50,172 shares of our common stock with exercise prices of $4.08, $17.95 and $14.70, respectively. The First Amendment (as defined below) contained warrant coverage of 2.95% of each advance amount funded. A warrant was issued by the Company to Hercules to purchase 50,172 shares of common stock with an exercise price of $14.70 (the First Amendment Warrant). The First Amendment Warrant shall be exercisable for seven years from the date of issuance. Hercules may exercise the First Amendment Warrant either by (a) cash or check or (b) through a net issuance conversion. There will not be any ongoing stock compensation expense associated with these warrants.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estimated the fair value of the First Amendment Warrant using the Black-Scholes model based on the following key assumptions: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Amended Term</w:t>
            </w:r>
          </w:p>
        </w:tc>
        <w:tc>
          <w:tcPr>
            <w:tcW w:w="1140" w:type="dxa"/>
            <w:vAlign w:val="bottom"/>
          </w:tcPr>
          <w:p>
            <w:pPr>
              <w:spacing w:after="0"/>
              <w:rPr>
                <w:sz w:val="18"/>
                <w:szCs w:val="18"/>
                <w:color w:val="auto"/>
              </w:rPr>
            </w:pPr>
          </w:p>
        </w:tc>
      </w:tr>
      <w:tr>
        <w:trPr>
          <w:trHeight w:val="238"/>
        </w:trPr>
        <w:tc>
          <w:tcPr>
            <w:tcW w:w="11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3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14.70</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 price on date of issuance</w:t>
            </w:r>
          </w:p>
        </w:tc>
        <w:tc>
          <w:tcPr>
            <w:tcW w:w="3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15.04</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Contractual term (in years)</w:t>
            </w:r>
          </w:p>
        </w:tc>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w:t>
            </w:r>
          </w:p>
        </w:tc>
        <w:tc>
          <w:tcPr>
            <w:tcW w:w="1140" w:type="dxa"/>
            <w:vAlign w:val="bottom"/>
          </w:tcPr>
          <w:p>
            <w:pPr>
              <w:spacing w:after="0"/>
              <w:rPr>
                <w:sz w:val="20"/>
                <w:szCs w:val="20"/>
                <w:color w:val="auto"/>
              </w:rPr>
            </w:pPr>
          </w:p>
        </w:tc>
      </w:tr>
      <w:tr>
        <w:trPr>
          <w:trHeight w:val="630"/>
        </w:trPr>
        <w:tc>
          <w:tcPr>
            <w:tcW w:w="1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2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368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7 LOAN PAYABLE</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On March 31, 2023, the Company entered into a First Amendment to the Amended Loan Agreement (the First Amendment) with Hercules Capital, Inc. (Hercules). The First Amendment amended the terms of the Amended and Restated Loan and Security Agreement (Amended Loan Agreement) with Hercules that closed on December 30, 2021.</w:t>
      </w:r>
    </w:p>
    <w:p>
      <w:pPr>
        <w:spacing w:after="0" w:line="176"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On August 2, 2024 (the New Closing Date), the Company entered into a term loan facility of $250 million (the Initial Term Loan) with Blue Owl Capital Corporation, as administrative agent (the Administrative Agent), HealthCare Royalty and Blue Owl Capital under the Financing Agreement (as defined below). The Company repaid all outstanding principal and accrued interest and fees under the First Amendment with Hercules (such repayment, the Refinancing), which Refinancing was funded with the proceeds of the Initial Term Loan. The existing Amended Loan Agreement with Hercules was effectively terminated, and all guarantees and liens granted thereunder were released upon the consummation of the Refinancing.</w:t>
      </w:r>
    </w:p>
    <w:p>
      <w:pPr>
        <w:spacing w:after="0" w:line="183" w:lineRule="exact"/>
        <w:rPr>
          <w:sz w:val="20"/>
          <w:szCs w:val="20"/>
          <w:color w:val="auto"/>
        </w:rPr>
      </w:pPr>
    </w:p>
    <w:p>
      <w:pPr>
        <w:jc w:val="both"/>
        <w:ind w:left="20" w:firstLine="486"/>
        <w:spacing w:after="0" w:line="253" w:lineRule="auto"/>
        <w:rPr>
          <w:sz w:val="20"/>
          <w:szCs w:val="20"/>
          <w:color w:val="auto"/>
        </w:rPr>
      </w:pPr>
      <w:r>
        <w:rPr>
          <w:rFonts w:ascii="Times New Roman" w:cs="Times New Roman" w:eastAsia="Times New Roman" w:hAnsi="Times New Roman"/>
          <w:sz w:val="18"/>
          <w:szCs w:val="18"/>
          <w:color w:val="auto"/>
        </w:rPr>
        <w:t>The Initial Term Loan is governed by a financing agreement, dated as of the New Closing Date (the Financing Agreement), which provides for (i) a single draw of the Initial Term Loan on the New Closing Date and (ii) an uncommitted additional facility in an aggregate principal amount of up to $100 million. The Initial Term Loan will mature on August 2, 2029 (the Term Loan Maturity Date). The Initial Term Loan accrues interest at a per annum rate of interest equal to an applicable margin plus, at the Company’s option, either (a) at a base rate determined by reference to the highest of (1) the prime rate published by the Wall Street Journal, (2) the federal funds effective rate plus 0.50% and (3) Term SOFR, plus 1.00% or (b) Term SOFR, which, shall be no less than 1.00%. The applicable margin for borrowings of the Initial Term Loan is determined on a quarterly basis by reference to a pricing grid based on the achievement of US Net Sales (as defined in the Financing Agreement) for the most recently completed four consecutive fiscal quarters of the Company and its Subsidiaries (as defined in the Financing Agreement). The pricing grid commences at 5.50% for SOFR borrowings and 4.50% for base rate borrowings and is subject to a 25 basis point step-down upon achievement of a specified US Net Sales threshold. The Initial Term Loan requires scheduled quarterly amortization payments, commencing with the fiscal quarter ending June 30, 2028, in an amount equal to $12.5 million, with the balance due and payable on the Term Loan Maturity Date; provided that such amortization payments may be deferred to the Term Loan Maturity Date upon the achievement of a Total Net Leverage Ratio (as defined in the Financing Agreement) that is less than or equal to an agreed threshold.</w:t>
      </w:r>
    </w:p>
    <w:p>
      <w:pPr>
        <w:spacing w:after="0" w:line="190"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The Initial Term Loan is secured by a lien on substantially all of the assets of the Company and certain subsidiaries of the Company as guarantors and contains customary covenants and representations.</w:t>
      </w:r>
    </w:p>
    <w:p>
      <w:pPr>
        <w:spacing w:after="0" w:line="162" w:lineRule="exact"/>
        <w:rPr>
          <w:sz w:val="20"/>
          <w:szCs w:val="20"/>
          <w:color w:val="auto"/>
        </w:rPr>
      </w:pPr>
    </w:p>
    <w:p>
      <w:pPr>
        <w:jc w:val="both"/>
        <w:ind w:left="20" w:firstLine="486"/>
        <w:spacing w:after="0" w:line="282" w:lineRule="auto"/>
        <w:rPr>
          <w:sz w:val="20"/>
          <w:szCs w:val="20"/>
          <w:color w:val="auto"/>
        </w:rPr>
      </w:pPr>
      <w:r>
        <w:rPr>
          <w:rFonts w:ascii="Times New Roman" w:cs="Times New Roman" w:eastAsia="Times New Roman" w:hAnsi="Times New Roman"/>
          <w:sz w:val="18"/>
          <w:szCs w:val="18"/>
          <w:color w:val="auto"/>
        </w:rPr>
        <w:t>The events of default under the Financing Agreement are customary for financings of this type. If an event of default occurs, the Administrative Agent is entitled to take enforcement action, including acceleration of amounts due under the Financing Agreement.</w:t>
      </w:r>
    </w:p>
    <w:p>
      <w:pPr>
        <w:spacing w:after="0" w:line="162" w:lineRule="exact"/>
        <w:rPr>
          <w:sz w:val="20"/>
          <w:szCs w:val="20"/>
          <w:color w:val="auto"/>
        </w:rPr>
      </w:pPr>
    </w:p>
    <w:p>
      <w:pPr>
        <w:jc w:val="both"/>
        <w:ind w:left="20" w:firstLine="486"/>
        <w:spacing w:after="0" w:line="256" w:lineRule="auto"/>
        <w:rPr>
          <w:sz w:val="20"/>
          <w:szCs w:val="20"/>
          <w:color w:val="auto"/>
        </w:rPr>
      </w:pPr>
      <w:r>
        <w:rPr>
          <w:rFonts w:ascii="Times New Roman" w:cs="Times New Roman" w:eastAsia="Times New Roman" w:hAnsi="Times New Roman"/>
          <w:sz w:val="18"/>
          <w:szCs w:val="18"/>
          <w:color w:val="auto"/>
        </w:rPr>
        <w:t>The Company evaluated whether the Initial Term Loan represented a debt modification or extinguishment of the First Amendment with Hercules with ASC 470-50, Debt – Modifications and Extinguishments. As a result of the Initial Term Loan and effective termination of the First Amendment with Hercules, this transaction was accounted for by the Company under the extinguishment accounting model. The Company recorded a loss on extinguishment of debt of approximately $4.6 million in the Company’s statement of operations for the three and nine months ended September 30, 2024, representing the write-off of unamortized debt issuance costs and a prepayment charge. The Company capitalized third party fees from the Initial Term Loan to debt issuance costs and capitalized the facility fee incurred with the Administrative Agent as part of the Initial Term Loan to debt discount.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incurred total financing and upfront costs of $6.0 million related to the Initial Term Loan which are recorded as debt issuance costs and debt discount costs and as an offset to loan payable on the Company’s consolidated balance sheet. The debt issuance and debt discount costs are being amortized over the term of the debt using the straight-line method, which approximates the effective interest method, and will be included in interest expense in the Company’s consolidated statements of operations. Amortization of debt issuance and debt discount costs was $4.0 million (including write off of remaining debt issuance balance under the First Amendment with Hercules) and $0.6 million for the three months ended September 30, 2024, and 2023, respectively, and $5.3 million (including a write off of remaining debt issuance balance under the First Amendment with Hercules) and $1.7 million for the nine months ended September 30, 2024 and 2023, respectively. At September 30, 2024, the remaining unamortized balance of debt issuance and debt discount costs was $5.8 million.</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loan payable balance of the First Amendment as of September 30, 2024 and December 31, 2023 is as follows: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8"/>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16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The First Amendment</w:t>
            </w:r>
          </w:p>
        </w:tc>
        <w:tc>
          <w:tcPr>
            <w:tcW w:w="0" w:type="dxa"/>
            <w:vAlign w:val="bottom"/>
          </w:tcPr>
          <w:p>
            <w:pPr>
              <w:spacing w:after="0"/>
              <w:rPr>
                <w:sz w:val="1"/>
                <w:szCs w:val="1"/>
                <w:color w:val="auto"/>
              </w:rPr>
            </w:pPr>
          </w:p>
        </w:tc>
      </w:tr>
      <w:tr>
        <w:trPr>
          <w:trHeight w:val="187"/>
        </w:trPr>
        <w:tc>
          <w:tcPr>
            <w:tcW w:w="622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12,553</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10,230</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107,553</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105,230</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and debt discount costs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(5,112)</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107,553</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100,118</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principal payments</w:t>
            </w:r>
          </w:p>
        </w:tc>
        <w:tc>
          <w:tcPr>
            <w:tcW w:w="16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(107,553)</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 payable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100,118</w:t>
            </w:r>
          </w:p>
        </w:tc>
        <w:tc>
          <w:tcPr>
            <w:tcW w:w="0" w:type="dxa"/>
            <w:vAlign w:val="bottom"/>
          </w:tcPr>
          <w:p>
            <w:pPr>
              <w:spacing w:after="0"/>
              <w:rPr>
                <w:sz w:val="1"/>
                <w:szCs w:val="1"/>
                <w:color w:val="auto"/>
              </w:rPr>
            </w:pP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 non-current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100,118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loan payable balance of the Initial Term Loan as of September 30, 2024,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The Initial Term</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4240" w:type="dxa"/>
            <w:vAlign w:val="bottom"/>
            <w:vMerge w:val="continue"/>
          </w:tcPr>
          <w:p>
            <w:pPr>
              <w:spacing w:after="0"/>
              <w:rPr>
                <w:sz w:val="16"/>
                <w:szCs w:val="16"/>
                <w:color w:val="auto"/>
              </w:rPr>
            </w:pPr>
          </w:p>
        </w:tc>
        <w:tc>
          <w:tcPr>
            <w:tcW w:w="3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2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Accreted Liability of final payment fee</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and debt discount costs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244,158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principal payments</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 payable</w:t>
            </w:r>
          </w:p>
        </w:tc>
        <w:tc>
          <w:tcPr>
            <w:tcW w:w="3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244,158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20" w:type="dxa"/>
            <w:vAlign w:val="bottom"/>
          </w:tcPr>
          <w:p>
            <w:pPr>
              <w:spacing w:after="0"/>
              <w:rPr>
                <w:sz w:val="21"/>
                <w:szCs w:val="21"/>
                <w:color w:val="auto"/>
              </w:rPr>
            </w:pPr>
          </w:p>
        </w:tc>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payable non-current</w:t>
            </w: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244,158</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4"/>
                <w:szCs w:val="24"/>
                <w:color w:val="auto"/>
              </w:rPr>
            </w:pPr>
          </w:p>
        </w:tc>
        <w:tc>
          <w:tcPr>
            <w:tcW w:w="4240" w:type="dxa"/>
            <w:vAlign w:val="bottom"/>
            <w:tcBorders>
              <w:top w:val="single" w:sz="8" w:color="CCEEFF"/>
            </w:tcBorders>
          </w:tcPr>
          <w:p>
            <w:pPr>
              <w:spacing w:after="0"/>
              <w:rPr>
                <w:sz w:val="24"/>
                <w:szCs w:val="24"/>
                <w:color w:val="auto"/>
              </w:rPr>
            </w:pPr>
          </w:p>
        </w:tc>
        <w:tc>
          <w:tcPr>
            <w:tcW w:w="3140" w:type="dxa"/>
            <w:vAlign w:val="bottom"/>
            <w:tcBorders>
              <w:top w:val="single" w:sz="8" w:color="CCEEFF"/>
            </w:tcBorders>
          </w:tcPr>
          <w:p>
            <w:pPr>
              <w:jc w:val="right"/>
              <w:ind w:right="26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424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$1.8 million under the Office Agreement. We began to occupy this space in April 2016, with rental payments beginning in the third quarter of 2016. Also, in connection with this Office Agreement, we have pledged $1.3 million to secure a line of credit as a security deposit for the Office Agreement, which has been recorded as restricted cash in the accompanying condensed consolidated balance sheets.</w:t>
      </w:r>
    </w:p>
    <w:p>
      <w:pPr>
        <w:spacing w:after="0" w:line="187"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rental expense of $0.2 million for the nine months ended September 30, 2024.</w:t>
      </w:r>
    </w:p>
    <w:p>
      <w:pPr>
        <w:spacing w:after="0" w:line="176"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In October 2021, we finalized a five-year lease for office space in North Carolina (the NC Lease). We approximate an average annual rental obligation of $0.2 million under the NC Lease. We took possession of this space in February 2022, with rental payments beginning in April 2022. We incurred rental expense of $0.2 million for the nine months ended September 30, 2024.</w:t>
      </w:r>
    </w:p>
    <w:p>
      <w:pPr>
        <w:spacing w:after="0" w:line="176" w:lineRule="exact"/>
        <w:rPr>
          <w:sz w:val="20"/>
          <w:szCs w:val="20"/>
          <w:color w:val="auto"/>
        </w:rPr>
      </w:pPr>
    </w:p>
    <w:p>
      <w:pPr>
        <w:jc w:val="both"/>
        <w:ind w:firstLine="504"/>
        <w:spacing w:after="0" w:line="256" w:lineRule="auto"/>
        <w:rPr>
          <w:sz w:val="20"/>
          <w:szCs w:val="20"/>
          <w:color w:val="auto"/>
        </w:rPr>
      </w:pPr>
      <w:r>
        <w:rPr>
          <w:rFonts w:ascii="Times New Roman" w:cs="Times New Roman" w:eastAsia="Times New Roman" w:hAnsi="Times New Roman"/>
          <w:sz w:val="18"/>
          <w:szCs w:val="18"/>
          <w:color w:val="auto"/>
        </w:rPr>
        <w:t>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$9.7 million and $7.4 million, respectively, as of September 30, 2024. Our leases have remaining lease terms of four months to seven years. One lease has a renewal option to extend the lease for an additional term of two years. The following components of lease expense are included in the Company’s condensed consolidated statements of operations for the three and nine months ended September 30, 2024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5980" w:type="dxa"/>
            <w:vAlign w:val="bottom"/>
          </w:tcPr>
          <w:p>
            <w:pPr>
              <w:spacing w:after="0"/>
              <w:rPr>
                <w:sz w:val="16"/>
                <w:szCs w:val="16"/>
                <w:color w:val="auto"/>
              </w:rPr>
            </w:pPr>
          </w:p>
        </w:tc>
        <w:tc>
          <w:tcPr>
            <w:tcW w:w="138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gridSpan w:val="4"/>
          </w:tcPr>
          <w:p>
            <w:pPr>
              <w:jc w:val="right"/>
              <w:ind w:right="5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As of September 30, 2024, the weighted-average remaining operating lease term was 5.5 years and the weighted-average discount rate for operating leases was 10.03%. Cash paid for amounts included in the measurement of operating lease liabilities during the nine months ended September 30, 2024 was $1.8 million. The balance sheet classification of lease liabilities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liability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10,677</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As of September 30, 2024, the maturities of lease liabilities were as follows: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After 2029</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660" w:hanging="652"/>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 through December 31, 2021. We used an incremental borrowing rate of 5.65% for the NC lease.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BRIUMVI (Ublituximab)</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2012, we entered into an exclusive license agreement with LFB Biotechnologies, GTC Biotherapeutics and LFB/GTC LLC, all wholly-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subsidiaries of LFB Group, relating to the development of ublituximab (the LFB License Agreement). Under the terms of the LFB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we have acquired the exclusive worldwide rights (exclusive of France/Belgium) for the development and commercialization of ublituximab.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September 30, 2024, we have incurred approximately $31.0 million in expense related to the achievement of certain milestones of the LFB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504"/>
        <w:spacing w:after="0" w:line="251" w:lineRule="auto"/>
        <w:rPr>
          <w:sz w:val="20"/>
          <w:szCs w:val="20"/>
          <w:color w:val="auto"/>
        </w:rPr>
      </w:pPr>
      <w:r>
        <w:rPr>
          <w:rFonts w:ascii="Times New Roman" w:cs="Times New Roman" w:eastAsia="Times New Roman" w:hAnsi="Times New Roman"/>
          <w:sz w:val="18"/>
          <w:szCs w:val="18"/>
          <w:color w:val="auto"/>
        </w:rPr>
        <w:t>LFB Group is eligible to receive royalty payments on net sales of ublituximab at a royalty rate that escalates from mid-single digits to high-single digits. The license will terminate on a country-by-country basis upon the expiration of the last licensed patent right or fifteen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 During the three and nine months ended September 30, 2024, the Company recorded $8.3 million and $20.4 million, respectively, related to the worldwide royalty due under the LFB License Agreement in cost of revenue based on sales of BRIUMVI in the U.S. and the EU, compared to $2.4 million and $4.8 million during the three and nine months ended September 30, 2023, respectively, related to the worldwide royalty due under the LFB License Agreement in cost of revenue based on U.S. sales of BRIUMVI. As of September 30, 2024, $8.3 million in royalties were payable under the LFB License Agreement.</w:t>
      </w:r>
    </w:p>
    <w:p>
      <w:pPr>
        <w:spacing w:after="0" w:line="194" w:lineRule="exact"/>
        <w:rPr>
          <w:sz w:val="20"/>
          <w:szCs w:val="20"/>
          <w:color w:val="auto"/>
        </w:rPr>
      </w:pPr>
    </w:p>
    <w:p>
      <w:pPr>
        <w:jc w:val="both"/>
        <w:ind w:firstLine="504"/>
        <w:spacing w:after="0" w:line="261" w:lineRule="auto"/>
        <w:rPr>
          <w:sz w:val="20"/>
          <w:szCs w:val="20"/>
          <w:color w:val="auto"/>
        </w:rPr>
      </w:pPr>
      <w:r>
        <w:rPr>
          <w:rFonts w:ascii="Times New Roman" w:cs="Times New Roman" w:eastAsia="Times New Roman" w:hAnsi="Times New Roman"/>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80" w:lineRule="exact"/>
        <w:rPr>
          <w:sz w:val="20"/>
          <w:szCs w:val="20"/>
          <w:color w:val="auto"/>
        </w:rPr>
      </w:pPr>
    </w:p>
    <w:p>
      <w:pPr>
        <w:jc w:val="both"/>
        <w:ind w:firstLine="504"/>
        <w:spacing w:after="0" w:line="255" w:lineRule="auto"/>
        <w:rPr>
          <w:sz w:val="20"/>
          <w:szCs w:val="20"/>
          <w:color w:val="auto"/>
        </w:rPr>
      </w:pPr>
      <w:r>
        <w:rPr>
          <w:rFonts w:ascii="Times New Roman" w:cs="Times New Roman" w:eastAsia="Times New Roman" w:hAnsi="Times New Roman"/>
          <w:sz w:val="18"/>
          <w:szCs w:val="18"/>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fifteen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September 30, 2024 and 2023. At September 30, 2024 and December 31, 2023, we have deferred revenue of approximately $0.2 million and $0.3 million, respectively, associated with this $2 million payment (approximately $0.2 million of which has been classified in current liabilities at September 30, 2024 and December 31, 2023).</w:t>
      </w:r>
    </w:p>
    <w:p>
      <w:pPr>
        <w:spacing w:after="0" w:line="18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July 2023, the Company entered into the Commercialization Agreement with Neuraxpharm. The Company granted Neuraxpharm the exclusive right to commercialize BRIUMVI in territories outside the United States, Canada, and Mexico, which are retained by TG, and excluding certain Asian countries previously partnered. Under the terms of the Commercialization Agreement, the Company received a one-time, non-refundable payment of $140.0 million upon contract execution (please refer to Note 2 – Revenue). In March 2024, the Company received a $12.5 million milestone payment upon the first key market commercial launch in the EU. The Company is eligible to receive up to an additional $492.5 million in milestone-based payments on achievement of certain launch and commercial milestones. In addition, TG will receive tiered double-digit royalties on net product sales up to 30%. Royalty revenue of $0.2 million and $0.4 million was recognized during the three and nine months ended September 30, 2024, respectively. In the event of a change of control of the Company (as defined in the Commercialization Agreement), the Company retains an option to buy back all rights under the Commercialization Agreement for a period of two years thereafter.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Azer-cel</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January 7, 2024, the Company and its wholly-owned subsidiary, TG Cell Therapy, Inc., entered into the Precision License Agreement with Precision, pursuant to which Precision granted the Company certain exclusive and non-exclusive license rights to develop, manufacture, and commercialize Precision’s allogeneic CAR T therapy azercabtagene zapreleucel (azer-cel) for the treatment of autoimmune and other non-oncology diseases and conditions.</w:t>
      </w:r>
    </w:p>
    <w:p>
      <w:pPr>
        <w:spacing w:after="0" w:line="1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Pursuant to the Precision License Agreement, the Company made an upfront payment to Precision of $7.5 million, consisting of (i) $5.25 million in cash and (ii) $2.25 million, as an equity investment, for the purchase of 2,920,816 shares of Precision’s common stock at a price of $0.77 per share. Within 12 months of the Precision License Agreement, the Company will make a deferred payment of $2.5 million to Precision, consisting of an equity investment in Precision’s common stock at a 100% premium to the 30-day volume-weighted average price (the 30-day VWAP) prior to purchase. Upon achievement of certain near-term clinical or time-based milestones, the Company will make a $7.5 million payment to Precision, a portion of which will also be an equity investment in Precision’s common stock at a 100% premium to the 30-day VWAP prior to purchase. Precision will be eligible to receive up to $288 million in additional milestone payments based on the achievement of certain clinical, regulatory, and commercial milestones. In addition, the Company is obligated to pay Precision high-single-digit to low-double-digit royalties on net sales of the licensed product on a country-by-country basis until the latest to occur of patent expiration, loss of regulatory exclusivity, and a period of ten years following the first commercial sale of the licensed product in such country. The Company has also agreed to make certain payments to Precision’s licensors during the term of the Precision License Agreement.</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July 2015, we entered into a Shared Services Agreement (the Shared Services Agreement) with FBIO to share the cost of certain services such as facilities use, personnel costs and other overhead and administrative costs. The Shared Services Agreement requires us to pay our respective share of services utilized. In connection with the Shared Services Agreement, we incurred expenses of approximately $1.1 million and $0.7 million for the nine months ended September 30, 2024 and 2023, respectively, primarily related to shared personnel. Mr. Weiss, our Chairman and Chief Executive Officer, also serves as a director and Executive Vice Chairman, Strategic Development of FBIO.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8 – Leases for details regarding the Office Agreement with FBIO.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TG Therapeutics is a fully-integrated, commercial stage, biopharmaceutical company focused on the acquisition, development and commercialization of novel treatments for B-cell diseases. In addition to a research pipeline including several investigational medicines, TG has received approval from the FDA for BRIUMVI (ublituximab-xiiy) for the treatment of adult patients with relapsing forms of multiple sclerosis (RMS), to include clinically isolated syndrome, relapsing-remitting disease, and active secondary progressive disease, in adults. TG also received approval for BRIUMVI by the European Commission (EC) in the European Union (EU), and the Medicines and Healthcare Products Regulatory Agency (MHRA) in the United Kingdom (UK), for the treatment of adult patients with RMS who have active disease defined by clinical or imaging features. TG continues to actively evaluate complementary products, technologies and companies for in-licensing, partnership, acquisition and/or investment opportunities.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Update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BRIUMVI Five-Year Data Update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September 2024 we presented new five-year data from the ULTIMATE I &amp; II Phase 3 trials evaluating BRIUMVI® (ublituximab-xiiy) in patients with RMS, at the 2024 European Committee for Treatment and Research in Multiple Sclerosis (ECTRIMS) annual meeting. These data demonstrate that 92% of patients with RMS were free from disability progression after five years of BRIUVI treatment, the annualized relapse rate during year five of treatment was 0.02 (equivalent to one relapse occurring every fifty years of patient treatment), and the overall safety profile remained consistent over five years of continuous treatment, with no new safety signals emerging with prolonged treatment.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Ublituximab Development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August 2024, we announced the initiation of a Phase 1 clinical trial evaluating a subcutaneous formulation of ublituximab in patients with RMS and that patients have been dosed.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August 2024, we announced FDA clearance of the Investigational New Drug Application (IND) for azercabtagene zapreleucel (azer-cel) for the treatment of progressive forms of multiple sclerosis. Previously, in January 2024, we entered into an agreement with Precision BioSciences, Inc. (Precision) to acquire a worldwide license to Precision’s azer-cel, for autoimmune diseases and all other non-oncology indications. Azer-cel is an allogeneic (off the shelf) CAR T program, and the Company has near term plans to evaluate the program in multiple autoimmune indications.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currently license worldwide development and commercial rights, subject to certain limited geographical restrictions, for all of our products under development. The following table summarizes the current clinical trial status for our lead drug candidates as of November 2024.</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8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Clinical Drug Candidate:</w:t>
            </w:r>
          </w:p>
        </w:tc>
        <w:tc>
          <w:tcPr>
            <w:tcW w:w="44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Initial Target Disease</w:t>
            </w:r>
          </w:p>
        </w:tc>
        <w:tc>
          <w:tcPr>
            <w:tcW w:w="24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Stage/Status of Development</w:t>
            </w:r>
          </w:p>
        </w:tc>
      </w:tr>
      <w:tr>
        <w:trPr>
          <w:trHeight w:val="255"/>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(molecular target)</w:t>
            </w:r>
          </w:p>
        </w:tc>
        <w:tc>
          <w:tcPr>
            <w:tcW w:w="4420" w:type="dxa"/>
            <w:vAlign w:val="bottom"/>
            <w:tcBorders>
              <w:bottom w:val="single" w:sz="8" w:color="auto"/>
              <w:right w:val="single" w:sz="8" w:color="auto"/>
            </w:tcBorders>
          </w:tcPr>
          <w:p>
            <w:pPr>
              <w:spacing w:after="0"/>
              <w:rPr>
                <w:sz w:val="22"/>
                <w:szCs w:val="22"/>
                <w:color w:val="auto"/>
              </w:rPr>
            </w:pPr>
          </w:p>
        </w:tc>
        <w:tc>
          <w:tcPr>
            <w:tcW w:w="2400" w:type="dxa"/>
            <w:vAlign w:val="bottom"/>
            <w:tcBorders>
              <w:bottom w:val="single" w:sz="8" w:color="auto"/>
              <w:right w:val="single" w:sz="8" w:color="auto"/>
            </w:tcBorders>
          </w:tcPr>
          <w:p>
            <w:pPr>
              <w:spacing w:after="0"/>
              <w:rPr>
                <w:sz w:val="22"/>
                <w:szCs w:val="22"/>
                <w:color w:val="auto"/>
              </w:rPr>
            </w:pPr>
          </w:p>
        </w:tc>
      </w:tr>
      <w:tr>
        <w:trPr>
          <w:trHeight w:val="193"/>
        </w:trPr>
        <w:tc>
          <w:tcPr>
            <w:tcW w:w="388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Ublituximab (anti-CD20 mAb) </w:t>
            </w:r>
          </w:p>
        </w:tc>
        <w:tc>
          <w:tcPr>
            <w:tcW w:w="44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Relapsing Forms of Multiple Sclerosis (RMS) </w:t>
            </w:r>
          </w:p>
        </w:tc>
        <w:tc>
          <w:tcPr>
            <w:tcW w:w="24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APPROVED</w:t>
            </w:r>
          </w:p>
        </w:tc>
      </w:tr>
      <w:tr>
        <w:trPr>
          <w:trHeight w:val="210"/>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Subcutaneous ublituximab</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RMS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Phase 1</w:t>
            </w:r>
          </w:p>
        </w:tc>
      </w:tr>
      <w:tr>
        <w:trPr>
          <w:trHeight w:val="209"/>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Azer-cel</w:t>
            </w: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Progressive Forms of Multiple Sclerosis</w:t>
            </w:r>
          </w:p>
        </w:tc>
        <w:tc>
          <w:tcPr>
            <w:tcW w:w="24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 Accepted</w:t>
            </w:r>
          </w:p>
        </w:tc>
      </w:tr>
      <w:tr>
        <w:trPr>
          <w:trHeight w:val="187"/>
        </w:trPr>
        <w:tc>
          <w:tcPr>
            <w:tcW w:w="3880" w:type="dxa"/>
            <w:vAlign w:val="bottom"/>
          </w:tcPr>
          <w:p>
            <w:pPr>
              <w:ind w:left="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44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38"/>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BRIUMVI (ublituximab-xiiy) Overview</w:t>
            </w:r>
          </w:p>
        </w:tc>
        <w:tc>
          <w:tcPr>
            <w:tcW w:w="4420" w:type="dxa"/>
            <w:vAlign w:val="bottom"/>
          </w:tcPr>
          <w:p>
            <w:pPr>
              <w:spacing w:after="0"/>
              <w:rPr>
                <w:sz w:val="20"/>
                <w:szCs w:val="20"/>
                <w:color w:val="auto"/>
              </w:rPr>
            </w:pPr>
          </w:p>
        </w:tc>
        <w:tc>
          <w:tcPr>
            <w:tcW w:w="2400" w:type="dxa"/>
            <w:vAlign w:val="bottom"/>
          </w:tcPr>
          <w:p>
            <w:pPr>
              <w:spacing w:after="0"/>
              <w:rPr>
                <w:sz w:val="20"/>
                <w:szCs w:val="20"/>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BRIUMVI is the first and only anti-CD20 monoclonal antibody approved for the treatment of RMS, to include clinically isolated syndrome, relapsing-remitting disease, and active secondary progressive disease, in adults, that can be administered in a twice yearly, one-hour infusion following the starting dose.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BRIUMVI approvals were primarily based on the ULTIMATE I and ULTIMATE II Phase 3 trials. Each trial was an independent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These trials were conducted under a special protocol assessment (SPA) with the FDA. The ULTIMATE I and II trials were led by Lawrence Steinman, MD, Zimmermann Professor of Neurology and Neurological Sciences, Pediatrics, and Genetics at Stanford University. Full enrollment was completed in October 2018, with approximately 1,100 subjects enrolled in both studies combined.</w:t>
      </w:r>
    </w:p>
    <w:p>
      <w:pPr>
        <w:spacing w:after="0" w:line="189" w:lineRule="exact"/>
        <w:rPr>
          <w:sz w:val="20"/>
          <w:szCs w:val="20"/>
          <w:color w:val="auto"/>
        </w:rPr>
      </w:pPr>
    </w:p>
    <w:p>
      <w:pPr>
        <w:jc w:val="both"/>
        <w:ind w:left="980" w:hanging="324"/>
        <w:spacing w:after="0" w:line="255"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2020, we announced positive topline results from the ULTIMATE I &amp; II trials. Both studies met their primary endpoint of significantly reducing ARR over a 96-week period (p&lt;0.005 in each study) with BRIUMVI demonstrating an ARR of &lt;0.10 in each of the studies. Relative reductions of approximately 60% and 50% in ARR over teriflunomide were observed in ULTIMATE I &amp; II, respectively. Key secondary MRI endpoints were also met.</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22, 2022, the full results from the ULTIMATE I &amp; II trials were published in the New England Journal of Medicine.</w:t>
      </w:r>
    </w:p>
    <w:p>
      <w:pPr>
        <w:spacing w:after="0" w:line="9" w:lineRule="exact"/>
        <w:rPr>
          <w:rFonts w:ascii="Times New Roman" w:cs="Times New Roman" w:eastAsia="Times New Roman" w:hAnsi="Times New Roman"/>
          <w:sz w:val="18"/>
          <w:szCs w:val="18"/>
          <w:color w:val="auto"/>
        </w:rPr>
      </w:pPr>
    </w:p>
    <w:p>
      <w:pPr>
        <w:ind w:left="980" w:hanging="324"/>
        <w:spacing w:after="0" w:line="180" w:lineRule="auto"/>
        <w:tabs>
          <w:tab w:leader="none" w:pos="980" w:val="left"/>
        </w:tabs>
        <w:numPr>
          <w:ilvl w:val="0"/>
          <w:numId w:val="1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On February 27, 2024, we announced the issuance of three additional patents by the United States Patent and Trademark Office (USPTO) for BRIUMVI, which extended patent protection through 2042.</w:t>
      </w:r>
    </w:p>
    <w:p>
      <w:pPr>
        <w:ind w:left="980" w:hanging="324"/>
        <w:spacing w:after="0" w:line="180" w:lineRule="auto"/>
        <w:tabs>
          <w:tab w:leader="none" w:pos="980" w:val="left"/>
        </w:tabs>
        <w:numPr>
          <w:ilvl w:val="0"/>
          <w:numId w:val="1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In August 2024, we announced the initiation of a Phase 1 clinical trial evaluating a subcutaneous formulation of ublituximab in patients with RMS and that the first patients have been dosed.</w:t>
      </w:r>
    </w:p>
    <w:p>
      <w:pPr>
        <w:jc w:val="both"/>
        <w:ind w:left="980" w:hanging="324"/>
        <w:spacing w:after="0" w:line="253"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data sets from the ULTIMATE I &amp; II Phase 3 trials continue to be presented at major medical meetings, including five year long term data which was presented for the first time at the 2024 ECTRIMS meeting in September, and updated data from the ENHANCE Phase 3b trial evaluating RMS patients who switch from an IV anti-CD20 therapy to BRIUMVI and evaluating a shorter infusion time of as low as 30 minutes for BRIUMVI.</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Commercialization of BRIUMVI</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December 28, 2022, we announced the FDA approval of BRIUMVI for the treatment of RMS, to include clinically isolated syndrome, relapsing-remitting disease, and active secondary progressive disease, in adults, primarily based on results from the ULTIMATE I &amp; II Phase 3 trials. On January 26, 2023, we announced the U.S. commercial launch of BRIUMVI, making it available to physicians and patients and the first RMS patient received a BRIUMVI infusion on February 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Ex-U.S. Commercialization of BRIUMVI</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1, 2023, we announced that the EC granted approval of BRIUMVI for the treatment of adult patients with RMS who have active disease defined by clinical or imaging features. With this approval, the centralized marketing authorization is valid in all EU member states, Iceland, Norway and Liechtenstein.</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August 1, 2023, we announced an agreement with Neuraxpharm Pharmaceuticals, S.L. (Neuraxpharm), a leading European specialty pharmaceutical company focused on the treatment of CNS disorders, for the Ex-U.S. commercialization of BRIUMVI (Commercialization Agreement). Under the terms of the Commercialization Agreement, we received an upfront payment of $140 million, and $12.5 million upon launch in the first EU country (February 2024) and up to an additional $492.5 million in milestone-based payments on achievement of certain launch and commercial milestones. The total deal is valued at up to $645 million in upfront and milestone payments. In addition, we will receive tiered double-digit royalties on net product sales up to 30%. In exchange, Neuraxpharm will have the exclusive right to commercialize BRIUMVI in territories outside the U.S., Canada and Mexico, which are retained by TG, and excluding certain Asian countries of which the Company previously partnered. We retain an option to buy back all rights under the Commercialization Agreement for a period of two years in the event of a change in control of TG.</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November 1, 2023, we announced that we also received approval by the MHRA for BRIUMVI to treat adult patients with RMS with active disease defined by clinical or imaging features in the UK.</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February 26, 2024, we announced the commercial launch of BRIUMVI in the EU by Neuraxpharm, with BRIUMVI made available for commercial sale in Germany, with additional EU markets expected to follow.</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more information, please refer to our Annual Report on Form 10-K for the quarter and year ended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three months ended September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83,297</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140,747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83,879</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165,815</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9,341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20,138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14,753</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6,269</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32,769</w:t>
            </w:r>
          </w:p>
        </w:tc>
      </w:tr>
      <w:tr>
        <w:trPr>
          <w:trHeight w:val="210"/>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51,031</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(2,859)</w:t>
            </w: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113,930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was approximately $83.3 million for the three months ended September 30, 2024, compared to $25.1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September 30, 2023. Product revenue, net for both the three months ended September 30, 2024 and September 30, 2023 consisted of net product sales of BRIUMVI in the United States. In January 2023, we began commercial sales of BRIUMVI within the U.S. following FDA approval.</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License, Milestone, Royalty and Other Revenue</w:t>
      </w:r>
      <w:r>
        <w:rPr>
          <w:rFonts w:ascii="Times New Roman" w:cs="Times New Roman" w:eastAsia="Times New Roman" w:hAnsi="Times New Roman"/>
          <w:sz w:val="18"/>
          <w:szCs w:val="18"/>
          <w:color w:val="auto"/>
        </w:rPr>
        <w:t>. License, milestone, royalty and other revenue was $0.6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and $140.7 million for the three months ended September 30, 2023. License, milestone, royalty and other revenue for the three months ended September 30, 2024 is primarily comprised of consideration received for development and regulatory activities performed on behalf of Neuraxpharm Pharmaceuticals, S.L. (Neuraxpharm) in accordance with the Commercialization Agreement with Neuraxpharm (see Note 2 for more information). License, milestone, royalty and other revenue for the three months ended September 30, 2023 is predominantly comprised of recognition of the one-time $140.0 million non-refundable upfront payment under the Commercialization Agreement with Neuraxpharm.</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for the three months ended September 30, 2024 was $9.3 million compared to approximately $3.5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September 30, 2023. Cost of revenue for both the three months ended September 30, 2024 and September 30,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revenue. We expect the cost of revenue for BRIUMVI to increase in relation to product revenues as we deplete these inventories. We expect to use the remaining pre-commercialization inventory for product sales through the first quarter of 2025, after which our product gross margin is anticipated to decrease modestly. The cost of revenue for both the three months ended September 30, 2024 and September 30, 2023 includes $0.3 million and $0.7 million, respectively, of costs related to delivering regulatory support and development services to Neuraxpharm in accordance with the Commercialization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(Research and Development)</w:t>
      </w:r>
      <w:r>
        <w:rPr>
          <w:rFonts w:ascii="Times New Roman" w:cs="Times New Roman" w:eastAsia="Times New Roman" w:hAnsi="Times New Roman"/>
          <w:sz w:val="18"/>
          <w:szCs w:val="18"/>
          <w:color w:val="auto"/>
        </w:rPr>
        <w:t>. Noncash compensation expense (research and development) related to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grants totaled $3.0 million for the three months ended September 30, 2024, as compared to $2.9 million during the comparable period ended September 30, 2023.</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increased for the three months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approximately $5.3 million to $17.1 million as compared to the period ended September 30, 2023. The increase in research and development expense during the three months ended September 30, 2024 was primarily due to increased personnel, clinical trial related expenses and manufacturing costs incurred during the period.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(Selling, General and Administrative)</w:t>
      </w:r>
      <w:r>
        <w:rPr>
          <w:rFonts w:ascii="Times New Roman" w:cs="Times New Roman" w:eastAsia="Times New Roman" w:hAnsi="Times New Roman"/>
          <w:sz w:val="18"/>
          <w:szCs w:val="18"/>
          <w:color w:val="auto"/>
        </w:rPr>
        <w:t>. Noncash compensation expense (selling, 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equity incentive grants totaled $8.7 million for the three months ended September 30, 2024, as compared to $6.3 million during the comparable period ended September 30, 2023. The increase in noncash compensation expense was primarily due to greater recognition of noncash compensation expense for grants to executives during the three months ended September 30, 2024.</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r>
        <w:rPr>
          <w:rFonts w:ascii="Times New Roman" w:cs="Times New Roman" w:eastAsia="Times New Roman" w:hAnsi="Times New Roman"/>
          <w:sz w:val="18"/>
          <w:szCs w:val="18"/>
          <w:color w:val="auto"/>
        </w:rPr>
        <w:t>. Other selling, general and administrative expenses totaled $33.2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2024, as compared to $26.5 million during the comparable period ended September 30, 2023. The increase was primarily due to other selling, general and administrative costs, including personnel, consultants, and third parties associated with the commercialization of BRIUMVI during the three months ended September 30, 2024.</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increased by $7.1 million to $10.8 million for the three months ended September 30, 2024,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$3.7 million for the three months ended September 30, 2023. Interest expense for the three months ended September 30, 2024 is comprised of approximately $4.6 million of debt extinguishment costs pertaining to the First Amendment with Hercules, as well as $4.4 million in interest expense pertaining to the Initial Term Loan with Blue Owl during the same period (see Note 7 for more information).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totaled $2.7 million for the three months ended September 30, 2024, as compared to $2.9 million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comparable period ended September 30, 2023.</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nine months ended September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206,381</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48,868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milestone, royalty and other revenue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220,819</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189,691</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23,087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10,162</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58,743</w:t>
            </w:r>
          </w:p>
        </w:tc>
      </w:tr>
      <w:tr>
        <w:trPr>
          <w:trHeight w:val="209"/>
        </w:trPr>
        <w:tc>
          <w:tcPr>
            <w:tcW w:w="80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compensation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73,167</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115,335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91,553</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208,839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156,573</w:t>
            </w:r>
          </w:p>
        </w:tc>
      </w:tr>
      <w:tr>
        <w:trPr>
          <w:trHeight w:val="209"/>
        </w:trPr>
        <w:tc>
          <w:tcPr>
            <w:tcW w:w="8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16,967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10,184</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(4,154)</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taxes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Product Revenue,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revenue, net was approximately $206.4 million for the nine months ended September 30, 2024, compared to $48.9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nine months ended September 30, 2023. Product revenue, net for both the nine months ended September 30, 2024 and September 30, 2023, consisted of net product sales of BRIUMVI in the United States. In January 2023, we began commercial sales of BRIUMVI within the U.S. following FDA approval.</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License, Milestone, Royalty and Other Revenue</w:t>
      </w:r>
      <w:r>
        <w:rPr>
          <w:rFonts w:ascii="Times New Roman" w:cs="Times New Roman" w:eastAsia="Times New Roman" w:hAnsi="Times New Roman"/>
          <w:sz w:val="18"/>
          <w:szCs w:val="18"/>
          <w:color w:val="auto"/>
        </w:rPr>
        <w:t>. License, milestone, royalty and other revenue was $14.4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compared to approximately $140.8 million for the nine months ended September 30, 2023. License, milestone, royalty and other revenue for the nine months ended September 30, 2024 is comprised of a $12.5 million milestone payment under the Neuraxpharm Commercialization Agreement for the first key market commercial launch of BRIUMVI in the EU, as well as consideration received for development and regulatory activities performed on behalf of Neuraxpharm in accordance with the Commercialization Agreement. License, milestone, royalty and other revenue for the nine months ended September 30, 2023 is predominantly comprised of recognition of the one-time $140.0 million non-refundable upfront payment under the Commercialization Agreement with Neuraxpharm (see Note 2 for more information).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Cost of Revenue</w:t>
      </w:r>
      <w:r>
        <w:rPr>
          <w:rFonts w:ascii="Times New Roman" w:cs="Times New Roman" w:eastAsia="Times New Roman" w:hAnsi="Times New Roman"/>
          <w:sz w:val="18"/>
          <w:szCs w:val="18"/>
          <w:color w:val="auto"/>
        </w:rPr>
        <w:t>. Cost of revenue for the nine months ended September 30, 2024 was $23.1 million compared to approximately $6.3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nine months ended September 30, 2023. Cost of revenue for both the nine months ended September 30, 2024 and September 30, 2023 consists primarily of third-party manufacturing, distribution, overhead costs and royalties owed to our licensing partner for BRIUMVI sales. A portion of the costs of producing BRIUMVI sold to date was expensed as research and development prior to the FDA approval of BRIUMVI and therefore it is not reflected in the cost of revenue. We expect the cost of revenue for BRIUMVI to increase in relation to product revenues as we deplete these inventories. We expect to use the remaining pre-commercialization inventory for product sales through the first quarter of 2025, after which our product gross margin is anticipated to decrease modestly. The cost of revenue for the nine months ended September 30, 2024 and the nine months ended September 30. 2023 includes $1.4 million and $0.7 million, respectively, of costs related to delivering regulatory support and development services to Neuraxpharm in accordance with the Commercialization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(Research and Development)</w:t>
      </w:r>
      <w:r>
        <w:rPr>
          <w:rFonts w:ascii="Times New Roman" w:cs="Times New Roman" w:eastAsia="Times New Roman" w:hAnsi="Times New Roman"/>
          <w:sz w:val="18"/>
          <w:szCs w:val="18"/>
          <w:color w:val="auto"/>
        </w:rPr>
        <w:t>. Noncash compensation expense (research and development) related to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grants totaled $8.0 million for the nine months ended September 30, 2024, as compared to $10.2 million during the comparable period ended September 30, 2023. The decrease in noncash compensation expense was primarily due to decreased vesting of milestone-based grants during the nine months ended September 30, 2024, as compared to the nine months ended September 30, 2023.</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Research and Development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research and development expense increased for the nine months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approximately $13.8 million to $62.4 million, as compared to $48.6 million during the comparable period ended September 30, 2023. The increase in other research and development expense during the nine months ended September 30, 2024 was primarily attributable to the Precision License Agreement, as well as manufacturing related expenses during the period, offset by a decrease in clinical trial expenses.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Noncash Compensation Expense (Selling, General and Administrative)</w:t>
      </w:r>
      <w:r>
        <w:rPr>
          <w:rFonts w:ascii="Times New Roman" w:cs="Times New Roman" w:eastAsia="Times New Roman" w:hAnsi="Times New Roman"/>
          <w:sz w:val="18"/>
          <w:szCs w:val="18"/>
          <w:color w:val="auto"/>
        </w:rPr>
        <w:t>. Noncash compensation expense (selling, 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equity incentive grants totaled $22.6 million for the nine months ended September 30, 2024, as compared to $18.4 million during the comparable period ended September 30, 2023. The increase in noncash compensation expense was primarily due to greater recognition of noncash compensation expense for grants to executives during the nine months ended September 30, 2024.</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r>
        <w:rPr>
          <w:rFonts w:ascii="Times New Roman" w:cs="Times New Roman" w:eastAsia="Times New Roman" w:hAnsi="Times New Roman"/>
          <w:sz w:val="18"/>
          <w:szCs w:val="18"/>
          <w:color w:val="auto"/>
        </w:rPr>
        <w:t>. Other selling, general and administrative expenses totaled $92.7 million for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2024, as compared to $73.2 million during the comparable period ended September 30, 2023. The increase was primarily due to other selling, general and administrative costs, including personnel, consultants, and third parties associated with the commercialization of BRIUMVI during the nine months ended September 30, 2024.</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increased by $6.8 million to $17.0 million for the nine months ended September 30, 2024, as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$10.2 million for the nine months ended September 30, 2023. Interest expense for the nine months ended September 30, 2024 is comprised of approximately $4.6 million of debt extinguishment costs pertaining to the First Amendment with Hercules, as well as increased interest expense pertaining to the Initial Term Loan with Blue Owl during the same period (see Note 7 for details).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Income</w:t>
      </w:r>
      <w:r>
        <w:rPr>
          <w:rFonts w:ascii="Times New Roman" w:cs="Times New Roman" w:eastAsia="Times New Roman" w:hAnsi="Times New Roman"/>
          <w:sz w:val="18"/>
          <w:szCs w:val="18"/>
          <w:color w:val="auto"/>
        </w:rPr>
        <w:t>. Other income increased by $1.0 million to $5.1 million for the nine months ended September 30, 2024, as compared to $4.1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nine months ended September 30, 2023. The increase is mainly due to greater accretion income earned from short-term investment securities during the nine months ended September 30, 2024, compared to the comparable period ending September 30,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incurred operating losses; however, during the three and nine months ended September 30, 2024 the Company generated net income. Additionally, during the twelve months ended December 31, 2023, the Company experienced a net profit due to a $140.0 million non-refundable upfront payment recognized as license revenue in the third quarter of 2023 as part of our ex-U.S. commercialization agreement (the Commercialization Agreement) with Neuraxpharm (see Note 2 for more information). We may incur operating losses in the near term and may never become profitable. As of September 30, 2024, we have an accumulated deficit of $1.6 billion.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major sources of cash have been proceeds from private placements and public offerings of equity securities, from our loan and security agreements, the upfront payment from the Commercialization Agreement (see Note 2 for more information), and from product revenue from drug sales of BRIUMVI. During the nine months ended September 30, 2024, we generated $206.4 million in product revenue from drug sales of BRIUMVI. BRIUMVI is currently our only marketed product.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research and development expenses, as well as significant commercialization and outsourced manufacturing expenses as we continue to commercialize BRIUMVI. Because of the numerous risks and uncertainties associated with developing and commercializing pharmaceutical products, we are unable to predict the extent of any future losses, or for how long we may continue to experience a net profit. We may not be able to sustain or increase our profitability on a quarterly or annual basis. Our ability to become profitable depends upon our ability to generate substantial revenue.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0"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2024, we had $341.0 million in cash, cash equivalents, and investment securities. The Company believes its existing cash, cash equivalents, and investment securities, combined with projected revenues associated with the sale of BRIUMVI in the U.S. and ex-U.S., will be sufficient to fund our anticipated operating cash requirements for at least twelve months following the date of this filing.</w:t>
      </w:r>
    </w:p>
    <w:p>
      <w:pPr>
        <w:spacing w:after="0" w:line="176" w:lineRule="exact"/>
        <w:rPr>
          <w:sz w:val="20"/>
          <w:szCs w:val="20"/>
          <w:color w:val="auto"/>
        </w:rPr>
      </w:pPr>
    </w:p>
    <w:p>
      <w:pPr>
        <w:jc w:val="both"/>
        <w:ind w:left="60" w:firstLine="504"/>
        <w:spacing w:after="0" w:line="261" w:lineRule="auto"/>
        <w:rPr>
          <w:sz w:val="20"/>
          <w:szCs w:val="20"/>
          <w:color w:val="auto"/>
        </w:rPr>
      </w:pPr>
      <w:r>
        <w:rPr>
          <w:rFonts w:ascii="Times New Roman" w:cs="Times New Roman" w:eastAsia="Times New Roman" w:hAnsi="Times New Roman"/>
          <w:sz w:val="18"/>
          <w:szCs w:val="18"/>
          <w:color w:val="auto"/>
        </w:rPr>
        <w:t>The actual amount of cash that we will need to operate is subject to many factors, including, but not limited to, our commercialization efforts for BRIUMVI, preparations for the potential commercialization of our other drug candidates, and the timing, design and conduct of clinical trials for our drug candidates as well as the costs associated with licensing or otherwise acquiring new product candidates. We may be dependent upon significant future financing to provide the cash necessary to execute our ongoing and future operations, including the commercialization of any of our drug candidates.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2024 and 2023:</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(14,876)</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(18,203)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(16,824)</w:t>
            </w:r>
          </w:p>
        </w:tc>
        <w:tc>
          <w:tcPr>
            <w:tcW w:w="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134,599</w:t>
            </w:r>
          </w:p>
        </w:tc>
        <w:tc>
          <w:tcPr>
            <w:tcW w:w="5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72,706</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2024 was $14.9 million as compared to cash used in operating activities of $18.2 million for the nine months ended September 30, 2023. The decrease in net cash used in operating activities was due to greater revenue during the nine months ended September 30, 2024, offset by higher operating expenditures and an increase in cash used for inventory purchases during the same period.</w:t>
      </w:r>
    </w:p>
    <w:p>
      <w:pPr>
        <w:spacing w:after="0" w:line="180" w:lineRule="exact"/>
        <w:rPr>
          <w:sz w:val="20"/>
          <w:szCs w:val="20"/>
          <w:color w:val="auto"/>
        </w:rPr>
      </w:pPr>
    </w:p>
    <w:p>
      <w:pPr>
        <w:jc w:val="both"/>
        <w:ind w:left="40" w:firstLine="486"/>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2024 was $16.8 million as compared to $5.9 million used in investing activities for the nine months ended September 30, 2023. The increase in net cash used in investing activities was primarily due to increased investment in short-term securities during the nine months ended September 30, 2024.</w:t>
      </w:r>
    </w:p>
    <w:p>
      <w:pPr>
        <w:spacing w:after="0" w:line="176" w:lineRule="exact"/>
        <w:rPr>
          <w:sz w:val="20"/>
          <w:szCs w:val="20"/>
          <w:color w:val="auto"/>
        </w:rPr>
      </w:pPr>
    </w:p>
    <w:p>
      <w:pPr>
        <w:jc w:val="both"/>
        <w:ind w:left="40" w:firstLine="486"/>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2024 was approximately $134.6 million as compared to net cash provided by financing activities of $72.7 million for the nine months ended September 30, 2023. The increase in net cash provided by financing activities during the nine months ended September 30, 2024 is mainly due to the proceeds from the new loan with Blue Owl, offset by the payoff of our prior loan with Hercules.</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74295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26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504"/>
        <w:spacing w:after="0" w:line="266" w:lineRule="auto"/>
        <w:rPr>
          <w:sz w:val="20"/>
          <w:szCs w:val="20"/>
          <w:color w:val="auto"/>
        </w:rPr>
      </w:pPr>
      <w:r>
        <w:rPr>
          <w:rFonts w:ascii="Times New Roman" w:cs="Times New Roman" w:eastAsia="Times New Roman" w:hAnsi="Times New Roman"/>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 For a description of our significant accounting policies, refer to “Part II, Item 8. Financial Statements and Supplementary Data, Note 1 – Organization and Summary of Significant Accounting Policies” in our Annual Report on Form 10-K for the year ended December 31, 2023, and refer to Note 1 in this Quarterly Report on Form 10-Q for significant accounting policies due to commercialization for revenue recognition, gross-to-net sales adjustments, accounts receivable, inventory, and cost of revenue.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2 – Revenue”, “Note 5 – Fair Value Measurements” and “Note 6 – Stockholders’ Equity” respectively, for more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504"/>
        <w:spacing w:after="0" w:line="282" w:lineRule="auto"/>
        <w:rPr>
          <w:sz w:val="20"/>
          <w:szCs w:val="20"/>
          <w:color w:val="auto"/>
        </w:rPr>
      </w:pPr>
      <w:r>
        <w:rPr>
          <w:rFonts w:ascii="Times New Roman" w:cs="Times New Roman" w:eastAsia="Times New Roman" w:hAnsi="Times New Roman"/>
          <w:sz w:val="18"/>
          <w:szCs w:val="18"/>
          <w:color w:val="auto"/>
        </w:rPr>
        <w:t>Our exposure to market risk has not changed materially since our disclosure in Item 7A, “Quantitative and Qualitative Disclosures About Market Risk”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September 30, 2024,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September 30, 2024, our disclosure controls and procedures were not effective due to the material weakness in internal control over financial reporting described below.</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light of the material weakness described below, management performed additional analyses and other procedures to ensure that our consolidated financial statements were prepared in accordance with U.S. Generally Accepted Accounting Principles (U.S. GAAP). Accordingly, management believes that the consolidated financial statements included in this Quarterly Report fairly present, in all material respects, our financial position, results of operations, and cash flows as of and for the periods presented, in accordance with U.S. GAAP.</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Company identified that a process-level control over share-based payment awards was not designed effectively. This ineffectively designed control was attributable to insufficient risk assessment with regards to non-routine share-based payment awards. This control deficiency resulted in immaterial misstatements in related accounts. Furthermore, the control deficiency described above created a reasonable possibility that a material misstatement to the consolidated financial statements would not be prevented or detected on a timely basis. Therefore, we concluded that the deficiency represents a material weakness in the Company’s internal control over financial reporting and our internal control over financial reporting was not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Plan to Remediate the Identified Material Weakness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will implement enhanced risk assessment procedures to ensure that all non-routine share-based payment awards are appropriately identified and evaluated. Further, the Company will design additional preventative controls around non-routine share-based payment awards to ensure the appropriate recognition and measurement of such awards. Management will report regularly to the audit committee on the progress and results of the remediation plan, including the identification, status, and resolution of internal control deficiencies.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anticipate that the material weakness will be fully remediated before December 31, 2024, but the material weakness cannot be considered fully remediated until the updated policies and training have been in place and operated for a sufficient period of time to enable management and KPMG LLP to test and to conclude on the operating effectiveness of the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Other than the steps to remediate the material weakness discussed above, there were no changes in our internal control over financial reporting (as defined in Rules 13a-15(f) and 15d-15(f) under the Exchange Act) during the period ended September 30, 2024 that have materially affected, or are reasonably likely to materially affect, our internal control over financial reporting.</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and our subsidiaries, are not a party to, and our property is not the subject of, any material pending legal proceedings.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Investors should also refer to the other information contained or incorporated by reference in this Quarterly Report, including our financial statements and related notes, and our other filings from time to time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Commercialization</w:t>
      </w:r>
    </w:p>
    <w:p>
      <w:pPr>
        <w:spacing w:after="0" w:line="22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obtain U.S. Food and Drug Administration (FDA) or European Medicines Agency (EMA) approval for a product candidate and do not achieve broad market acceptance among physicians, patients, healthcare payors, and the medical community, the revenues that we generate from product sales will be limited.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one marketed product, BRIUMVI, which received approval from the FDA on December 28, 2022, for the treatment of relapsing forms of multiple sclerosis (RMS), to include clinically isolated syndrome, relapsing-remitting disease, and active secondary progressive disease, in adults. Additionally, BRIUMVI received approval from the European Commission (EC) on June 1, 2023, and later in 2023, from the Medicines and Healthcare products Regulatory Agency (MHRA) for the treatment of adult patients with RMS who have active disease defined by clinical or imaging features in the EU and UK, respectively.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limited experience as a commercial company, and our ability to successfully overcome the risks associated with commercializing drugs in the biopharmaceutical industry, including the risk that our products do not achieve an adequate level of acceptance, remains uncertain. BRIUMVI, as well as other drugs that we may bring to the market in the future, may not gain market acceptance by physicians, patients, third-party payors and others in the healthcare community. As a result, we may not generate significant revenues or meet our revenue projections or guidance and may not become profitable. The degree of market acceptance of BRIUMVI, as well as any future product candidates for which we may receive marketing approval, will depend on a number of factors, including:</w:t>
      </w:r>
    </w:p>
    <w:p>
      <w:pPr>
        <w:spacing w:after="0" w:line="187" w:lineRule="exact"/>
        <w:rPr>
          <w:sz w:val="20"/>
          <w:szCs w:val="20"/>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marketing approvals, the terms of such approvals, and the countries in which such approvals are obtained;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as demonstrated in clinical trials and as compared to alternative treatments;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BRIUMVI and any of our product candidates, as well as competitive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products are approved, and other aspects of the approved labeling for such products;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advanced practitioners, major operators of neurology clinics, and patients of our products as safe, tolerable and effective treatments;</w:t>
      </w: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or disadvantages of our products compared to alternative treatments;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reimbursement by third-party payors and government authorities;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patient cost-sharing obligations, including copays and deductibles;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by government authorities for our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side effects and adverse events;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as well as those of any current or future partners;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reliable supply of our products that meets market demand;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or unfavorable publicity relating to our products or relating to the Company.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global health concerns could impact commercialization of BRIUMVI. Patients and healthcare providers have raised concerns that immunosuppressive products like anti-CD20 antibodies and other B-cell targeted agents may increase the risk of acquiring viruses or lead to more severe complications or outcomes upon infection, including death. These or other similar concerns may impact the commercial potential for BRIUMVI and other immunosuppressive products that we have in development.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BRIUMVI, or any future product candidates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limitations on the indicated uses or requirements to fulfill certain post-marketing requirements to the satisfaction of regulatory authorities or may be unable to maintain marketing approval for BRIUMVI or future products that we may bring to market.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Regulatory approvals for our product or any of our product candidates may be subject to conditions and limitations on the approved indicated uses for which the product may be marketed or contain requirements or commitments for potentially costly post-marketing testing, including Phase 4 clinical trials, and surveillance and pharmacovigilance to monitor the safety and efficacy of the approved product candidate. For example, with respect to the FDA’s approval of BRIUMVI for RMS, the approval is subject to certain post-marketing requirements and commitments, including long-term safety studies, as well as studies to evaluate the effects of BRIUMVI in pregnant women and pediatric populations, among others. Similar post-approval studies are required by other regulatory authorities outside of the U.S., including but not limited to, the EMA in the EU and the MHRA in the UK. These studies are highly specialized in their design and conduct and are associated with considerable expenses, and based on the outcome, could result in further labeling restrictions that could impair or restrict the way in which we are able to market BRIUMVI, or negatively impact its overall clinical profile. As of September 18, 2024, we announced updated and long-term data from the Open-Label Extension of our ULTIMATE I &amp; II Phase 3 studies demonstrating a consistent safety profile, but the ultimate outcome of these and other studies remains uncertain.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with respect to BRIUMVI and any product candidate that the FDA or a comparable foreign regulatory authority approves, the manufacturing processes, testing,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(cGMPs), with Good Clinical Practices (GCPs), for any clinical trials that we conduct post-approval, and with Good Laboratory Practices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and any of our product candidates for which we in the future obtain approval, may, after approval, be found to cause undesirable side effects that could result in significant negative consequences following commercialization.</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BRIUMVI or any future approved products are used more widely or for a longer duration after being brought to market, data may emerge from clinical studies, including confirmatory or other post-marketing studies, or from adverse event reporting or pharmacovigilance, that may affect the commercial potential of our products. For example, as additional patients are exposed for longer durations to a product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BRIUMVI or other products or product candidates within the RMS space following introduction into the market, a number of potentially significant negative consequences could result, including:</w:t>
      </w:r>
    </w:p>
    <w:p>
      <w:pPr>
        <w:spacing w:after="0" w:line="187"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 or limit the approved indications for use of such products;</w:t>
      </w:r>
    </w:p>
    <w:p>
      <w:pPr>
        <w:spacing w:after="0" w:line="36"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new or different labeling statements, including warnings or boxed warnings, precautions, or contraindications that could diminish the usage of the product or otherwise limit the commercial success of the affected product;</w:t>
      </w: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candidates are distributed or administered, or to conduct additional clinical trials;</w:t>
      </w:r>
    </w:p>
    <w:p>
      <w:pPr>
        <w:spacing w:after="0" w:line="17"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candidates from the marketplace;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enter into collaboration agreements on acceptable terms and execute on our business model;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products;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7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BRIUMVI and our product candidates, including azer-cel in non-oncology indications, have not been established with precision. If the market opportunities for BRIUMVI and our product candidates are smaller than we estimate or if any approval that we obtain is based on a narrower definition of the patient population, our revenue and ability to achieve profitability will be adversely affected.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precise incidence and/or prevalence of RMS are unknown. Our projections for BRIUMVI in RMS are based on estimates and our current knowledge and understanding of the disease. These estimates are typically based on one-on-one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affected may turn out to be lower than expected.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total addressable market opportunity for BRIUMVI and our product candidates, if approved, ultimately depends upon, among other things,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patients and physicians may choose to utilize competitive products or reimbursement may be unfavorable, all of which would adversely affect our results of operations and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commercializing products and may have significant existing relationships with customers and more resources available to them to promote their products. Many are active in the same diseases that we are, including within the neurological and immunological fields, some in direct competition with us. We may also compete with these organizations to recruit commercial and other key personnel. Smaller or early-stage companies may also prove to be significant competitors, particularly through collaborative arrangements with large and established companies.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(such as the Lanham Act) and congruous state law, which protect businesses against the unfair competition of misleading advertising or labeling.</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all of our drug candidates, if approved, are likely to be their efficacy, safety, convenience, price, the level of generic or biosimilar competition and the availability of reimbursement from government and other third-party payors.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New developments, including the development of other pharmaceutical technologies and methods of treating disease, occur in the pharmaceutical and life sciences industries at a rapid pace. These developments may render our product or product candidates obsolete or noncompetitive. Compared to us, many of our potential competitors have substantially greater:</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resources, including personnel and technology;</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experience;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development, clinical trial and pharmaceutical commercialization experience;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and expertise in exploitation of intellectual property rights;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resources.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also face competition from these third parties in recruiting and retaining qualified personnel, establishing clinical trial sites, patient registration for clinical trials, and in identifying and in-licensing new products and product candidates.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BRIUMVI, as well as any products that we are able to commercialize in the future, may become subject to unfavorable pricing regulations or third-party payor coverage and reimbursement policies, which would harm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In some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more of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costs and may not be made permanent. However, some third-party payors may nevertheless still require documented proof that patients meet certain eligibility criteria in order to be reimbursed for BRIUMVI.</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 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payor-driven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expand our commercialization operations, we may not be successful in commercializing BRIUMVI or any product candidate, if and when such product candidates are approved, and we may not be able to generate revenue.</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Commercialization of pharmaceutical products is an extremely complex and highly capital and resource-intensive process. Even for established companies with existing infrastructure and significantly greater resources than we have, challenges have occurred.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made and continue to make significant investments in our commercial organization and infrastructure. We built processes and systems to support the commercialization of BRIUMVI following its commercial launch on January 26, 2023. There are risks involved with establishing our own commercialization capabilities. For example, if we are unable to recruit and retain adequate numbers of effective personnel to support the ongoing commercialization of BRIUMVI, we may not be successful in marketing and selling the product.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Additional factors that may inhibit our efforts to commercialize BRIUMVI and our other product candidates on our own, or through partnership, and generate product revenues include:</w:t>
      </w:r>
    </w:p>
    <w:p>
      <w:pPr>
        <w:spacing w:after="0" w:line="162" w:lineRule="exact"/>
        <w:rPr>
          <w:sz w:val="20"/>
          <w:szCs w:val="20"/>
          <w:color w:val="auto"/>
        </w:rPr>
      </w:pPr>
    </w:p>
    <w:p>
      <w:pPr>
        <w:ind w:left="98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commercialization personnel on the applicable disease states, products, competitors, and legal and regulatory compliance matters;</w:t>
      </w:r>
    </w:p>
    <w:p>
      <w:pPr>
        <w:ind w:left="980" w:hanging="324"/>
        <w:spacing w:after="0" w:line="250"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commercialization personnel to obtain access to physicians or to effectively promote or provide education about BRIUMVI and any future approved products;</w:t>
      </w:r>
    </w:p>
    <w:p>
      <w:pPr>
        <w:ind w:left="980" w:hanging="324"/>
        <w:spacing w:after="0" w:line="250"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the Company, which may put us at a competitive disadvantage relative to companies with more extensive product lines;</w:t>
      </w:r>
    </w:p>
    <w:p>
      <w:pPr>
        <w:ind w:left="980" w:right="20" w:hanging="324"/>
        <w:spacing w:after="0" w:line="250"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third-party payors to deny reimbursement of or delay coverage decisions regarding BRIUMVI or following approval of any product candidates;</w:t>
      </w: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a healthcare compliance program including effective mechanisms for compliance monitoring;</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and maintain commercial partnerships outside the U.S.;</w:t>
      </w:r>
    </w:p>
    <w:p>
      <w:pPr>
        <w:spacing w:after="0" w:line="36"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the inability of a third party with whom we have partnered, to maintain the necessary regulatory approvals required to operate in markets outside of the U.S.;</w:t>
      </w: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availability for commercial sale following approval and continued product supply; and</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commercialization organization.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we have entered into a commercialization agreement, and may enter into additional agreements in the future, that facilitate commercialization of BRIUMVI and/or future products that receive approval in markets outside the U.S. through partnerships. On February 26, 2024, our partner commercially launched BRIUMVI in Germany, the first European market in which BRIUMVI has launched.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products or product candidates that we develop ourselves. In addition, we likely will have little control over such third parties, and any of them may fail to devote the necessary resources and attention to sell and market our product or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8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We believe there is potential market opportunity for BRIUMVI outside of the U.S., including in the EU. We have entered into a commercialization agreement for the sale of BRIUMVI in certain territories outside the U.S., Canada and Mexico, the commercialization rights for which had been previously retained by TG, thus excluding certain Asian countries subject to previously existing partnerships, and we also may enter into certain collaboration and/or commercialization agreements with third parties in the future to facilitate market expansion. To the extent we do expand into other markets outside of the U.S. in which we are responsible for building and maintaining a commercial infrastructure, we expect to incur significant expenses in establishing an infrastructure to commercialize our drug products. Depending on the expenses incurred, it could have a negative impact on our cash resources.</w:t>
      </w:r>
    </w:p>
    <w:p>
      <w:pPr>
        <w:spacing w:after="0" w:line="16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9"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an even greater risk in connection with the commercialization of BRIUMVI and any other products for which we may receive marketing authorization in the future. If we cannot successfully defend ourselves against claims that BRIUMVI or any of our product candidates caused injuries, we could incur substantial liabilities. Regardless of merit or eventual outcome, liability claims may result in:</w:t>
      </w:r>
    </w:p>
    <w:p>
      <w:pPr>
        <w:spacing w:after="0" w:line="180"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products that we may commercialize;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including the risk that any individuals who may face such related litigation may in turn seek to recover from us;</w:t>
      </w: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or product candidates that we may develop.</w:t>
      </w:r>
    </w:p>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Insurance coverage is increasingly expensive and difficult to obtain and maintain. We may not be able to maintain insurance coverage at a reasonable cost or in an amount adequate to satisfy any liability that may arise.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contracts that we enter into with government entities may involve future funding and compliance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contracts that we enter into with government entities may involve future funding and compliance risks. Such contracts with government entities are generally subject to risks such as lack of funding and compliance with unique requirements. For example, government contract purchase obligations are typically subject to the availability of funding, which may be eliminated or reduced. In addition, the future volume of products or services purchased by a government customer is often uncertain. Any of our government contracts might not be renewed or might be terminated for convenience with little prior notice. Contracts with government entities are typically subject to procurement laws that include socio-economic impacts, employment practices, environmental protection, recordkeeping and accounting obligations, and other requirements. These contractual and legal requirements could complicate our business and increase our compliance burden. The occurrence of any of these risks could harm our reputation and might have a materially adverse impact on our business operations, financial position and/or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Position and Need for Additional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we may incur losses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Biopharmaceutical drug development is a highly speculative undertaking and involves a substantial degree of risk. We commenced operations in January 2012. To date, our operations have been limited primarily to organizing and staffing our company, business planning, raising capital, developing our technology, identifying potential drug candidates, undertaking preclinical studies and clinical trials, commercializing UKONIQ (withdrawn from sale) and launching and commercializing BRIUMVI. We are transitioning from a company with a research and development focus and commercialization capabilities in oncology to a company capable of supporting commercial activities in neurology and immunology in the U.S. and outside the U.S. This transition involves a wide variety of risks, and we may not be successful in such transition.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inception, we have focused our efforts and financial resources on clinical trials, manufacturing of our products and product candidates, establishing a commercial infrastructure and preparing to support a commercial product. To date, we have financed our operations primarily through public offerings of our common stock and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BRIUMVI is currently our only marketed product. We expect to continue to incur significant research and development expenses, as well as significant commercialization and outsourced manufacturing expenses as we continue to commercialize BRIUMVI. Because of the numerous risks and uncertainties associated with developing and commercializing pharmaceutical products, we are unable to predict the extent of any future losses, or for how long we may continue to experience a net profit. We may not be able to sustain or increase our profitability on a quarterly or annual basis. Our ability to become profitable depends upon our ability to generate substantial revenue. Our prior losses have had and will continue to have an adverse effect on our stockholders’ deficit and working capital should we be unable to maintain profitability in future periods.</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our products or product candidates, and continue to successfully commercialize BRIUMVI. It is uncertain when and if we will generate or continue to generate any significant revenue from the sale of our product or any product candidates, if approved, in the future. Furthermore, no assurance can be given that we will meet revenue projections or guidance with respect to BRIUMVI or our product candidates, if approved. To obtain significant and sustained revenues and meet our revenue projections or guidance, we must succeed, either alone or with others, in (i) obtaining and maintaining regulatory approval for our products and product candidates; and</w:t>
      </w:r>
    </w:p>
    <w:p>
      <w:pPr>
        <w:spacing w:after="0" w:line="3" w:lineRule="exact"/>
        <w:rPr>
          <w:sz w:val="20"/>
          <w:szCs w:val="20"/>
          <w:color w:val="auto"/>
        </w:rPr>
      </w:pPr>
    </w:p>
    <w:p>
      <w:pPr>
        <w:ind w:right="280" w:firstLine="8"/>
        <w:spacing w:after="0" w:line="260"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marketing and selling our product and product candidates. Our ability to generate sustained revenue depends on a number of factors, including, but not limited to, our ability to:</w:t>
      </w:r>
    </w:p>
    <w:p>
      <w:pPr>
        <w:spacing w:after="0" w:line="18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clinical trials that meet their clinical endpoints;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pharmacokinetic, biodistribution, and non-clinical studies required to obtain U.S. and foreign marketing approval for our product and product candidates;</w:t>
      </w:r>
    </w:p>
    <w:p>
      <w:pPr>
        <w:ind w:left="980" w:hanging="324"/>
        <w:spacing w:after="0" w:line="250"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from the FDA and foreign equivalents to market and sell our product and product candidates, and maintain FDA, MHRA and EMA approvals of BRIUMVI for RMS;</w:t>
      </w:r>
    </w:p>
    <w:p>
      <w:pPr>
        <w:ind w:left="980" w:hanging="324"/>
        <w:spacing w:after="0" w:line="250"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commercial manufacturing capabilities with third parties that are satisfactory to the regulatory authorities, cost effective, and that are capable of providing commercial supply of our product and product candidates;</w:t>
      </w:r>
    </w:p>
    <w:p>
      <w:pPr>
        <w:ind w:left="980" w:hanging="324"/>
        <w:spacing w:after="0"/>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on our commercialization infrastructure to commercialize BRIUMVI, and/or entering into collaborations with third parties;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develop, maintain, protect, and defend our intellectual property portfolio; and</w:t>
      </w:r>
    </w:p>
    <w:p>
      <w:pPr>
        <w:spacing w:after="0" w:line="18" w:lineRule="exact"/>
        <w:rPr>
          <w:rFonts w:ascii="Times New Roman" w:cs="Times New Roman" w:eastAsia="Times New Roman" w:hAnsi="Times New Roman"/>
          <w:sz w:val="22"/>
          <w:szCs w:val="22"/>
          <w:color w:val="auto"/>
        </w:rPr>
      </w:pPr>
    </w:p>
    <w:p>
      <w:pPr>
        <w:ind w:left="980" w:hanging="324"/>
        <w:spacing w:after="0" w:line="258"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BRIUMVI and any other products for which we may receive regulatory approval in the medical community and with third-party payors.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generate significant and sustained revenues, we will not become or remain profitable and we will be unable to continue our operations without continued funding.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do not expect to need to raise additional capital, we may need to do so. If we are unable to raise capital, if needed, we may be required to delay, limit, reduce or eliminate some of our drug development programs or commercialization efforts.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development of pharmaceuticals is capital-intensive. We are also continuing to generate additional clinical data for BRIUMVI to support and potentially expand commercial adoption, including assessing long-term tolerability in our Open-Label Extension of the Phase 3 ULTIMATE I and II trials and Phase 4 clinical studies necessary to satisfy post-approval commitments for regulatory authorities or those undertaken voluntarily by the Company to evaluate the use of BRIUMVI in alternate settings or with alternate methods of administration. Moreover, now that we have launched BRIUMVI, we will need to expend substantial resources on maintaining approvals and continuing commercialization, manufacturing and distribution over the foreseeable future. Additionally, we expect to commence a trial evaluating azer-cel in autoimmune disease in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but not limited to, the following:</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commercialization of BRIUMVI and any other products for which we receive regulatory approval;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clinical and commercial manufacturing supply arrangements for each product and product candidate;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our sales, distribution, and other commercialization capabilities;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regulatory approvals;</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clinical trials, including expenses to support the trials and milestone payments that may become payable under our license agreements;</w:t>
      </w: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including licensing and other arrangements;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enforcing or defending patent claims or other intellectual property rights;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in-license or invest in other indications or product candidates.</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significant additional funding may be required. Additional sources of financing to continue our operations in the future might not be available on favorable terms, if at all. If we do not succeed in raising additional funds on acceptable terms, we could be forced to discontinue product development, reduce or forego commercialization efforts that are required for successful commercialization of BRIUMVI or any of our product candidates and otherwise forego attractive business opportunities. Any additional sources of financing may involve the issuance of our equity securities, which would have a dilutive effect to stockholders. Currently, other than BRIUMVI, our products are investigational and have not been approved by the FDA or any foreign regulatory authority for sale. For the foreseeable future, we will have to fund all our operations and capital expenditures from sales of BRIUMVI,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we expect to finance our cash needs through a combination of public and private equity offerings, debt financings, collaborations, strategic alliances, licensing agreements or other arrangements. We do not have any committed external source of funds, other than funds already borrowed under the Financing Agreement that we entered into with Blue Owl Capital Corporation, HealthCare Royalty and Blue Owl Capital in August 2024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to our condensed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products and product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We cannot guarantee that future financing will be available in sufficient amounts or on terms acceptable to us, if at all, which could limit our ability to expand our business operations and could harm our overall business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Moreover, the issuance of additional securities, whether equity or debt, by us, or the possibility of such issuance, may cause the market price of our shares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sale or other arrangements in cases in which it would have been more advantageous for us to retain sole development and commercialization rights to such product candidate. We may focus our efforts and resources on potential product candidates or other potential programs that ultimately prove to be unsuccessful. Alternatively, we may allocate internal resources to a product candidate in a therapeutic area in which it would have been more advantageous to enter into a partnering arrangement.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If any of the aforementioned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February 2019, we entered into a Loan and Security Agreement with Hercules Capital, Inc., a Maryland corporation (Hercules), and on December 30, 2021, the Company entered into an Amended and Restated Loan and Security Agreement (the Amended Loan Agreement) with Hercules, which was amended on March 31, 2023. On August 2, 2024, we repaid all outstanding principal and accrued interest and fees under the Amended Loan Agreement, as amended, and the Amended Loan Agreement was effectively terminated.</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August 2, 2024, the Company entered into a term loan facility of $250 million (the Initial Term Loan) with Blue Owl Capital Corporation, as administrative agent (the Administrative Agent), HealthCare Royalty and Blue Owl Capital under the Financing Agreement (as defined below).</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Initial Term Loan is governed by a financing agreement, dated August 2, 2024 (the Financing Agreement), which provides for (i) a single draw of the Initial Term Loan on the Closing Date and (ii) an uncommitted additional facility in an aggregate principal amount of $100 million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Note 7 to our condensed consolidated financial statements for more information).</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obligations under the Financing Agreement are secured by a lien on substantially all of assets of the Company and certain of our subsidiaries as guarantors.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 including in the ways described below:</w:t>
      </w:r>
    </w:p>
    <w:p>
      <w:pPr>
        <w:spacing w:after="0" w:line="225" w:lineRule="exact"/>
        <w:rPr>
          <w:sz w:val="20"/>
          <w:szCs w:val="20"/>
          <w:color w:val="auto"/>
        </w:rPr>
      </w:pPr>
    </w:p>
    <w:p>
      <w:pPr>
        <w:ind w:left="980" w:hanging="324"/>
        <w:spacing w:after="0" w:line="26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jc w:val="both"/>
        <w:ind w:left="980" w:hanging="324"/>
        <w:spacing w:after="0" w:line="255"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the restrictive covenants in the Financing Agreement could result in an event of default that, if not cured or waived, would accelerate our obligation to repay this indebtedness, and the creditors under the Financing Agreement could seek to enforce its security interest in the assets securing such indebtedness.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in an amount sufficient to enable us to make interest or principal payments on our indebtedness when due.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Failure to satisfy our current and future debt obligations under the Financing Agreement, or the breach of any of its covenants, subject to specified cure periods with respect to certain breaches, could result in an event of default and, as a result, Blue Owl Capital and HealthCare Royalty could accelerate all the amounts due. In the event of an acceleration of amounts due under the Financing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Blue Owl Capital Corporation could also exercise their rights as the Administrative Agent to take possession and dispose of the collateral securing the term loan for its benefit, which collateral includes substantially all of our assets and certain of our subsidiaries as guarantors. Our business, financial condition and results of operations could be materially adversely affected as a result of any of these events.</w:t>
      </w:r>
    </w:p>
    <w:p>
      <w:pPr>
        <w:spacing w:after="0" w:line="188"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the Financing Agreement imposes operating and other restrictions on the Company. Such restrictions will affect, and in many respects limit or prohibit, our ability and the ability of any future subsidiary to, among other things (subject to the exceptions provided for in the Financing Agreement):</w:t>
      </w:r>
    </w:p>
    <w:p>
      <w:pPr>
        <w:spacing w:after="0" w:line="17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certain assets;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lines of business;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acquisitions, joint ventures or consolidations;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make contributions or repurchase our capital stock;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breach of any of these restrictive covenants could have a material adverse effect on our business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10, 2023, the Federal Deposit Insurance Corporation (FDIC) announced that Silicon Valley Bank had been closed by the California Department of Financial Protection and Innovation, and on March 12, 2023, Signature Bank was closed by the New York State Department of Financial Services, and the FDIC was named receiver. Although we did not maintain any bank accounts with Silicon Valley Bank or Signature Bank, we regularly maintain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Drug Development and Regulatory Approval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obtain regulatory approval for our product and product candidates and ultimately cannot successfully commercialize our product or product candidates, or experience significant delays in doing so, our business will be materially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generate revenues from product sales will depend largely on the successful commercialization of BRIUMVI. Each of our product candidates will require additional non-clinical or clinical development, regulatory approval, and sufficient clinical and commercial supply. The success of our development programs and achievement of regulatory approval of our product candidates will depend on several factors, including, among others, the following:</w:t>
      </w:r>
    </w:p>
    <w:p>
      <w:pPr>
        <w:spacing w:after="0" w:line="180" w:lineRule="exact"/>
        <w:rPr>
          <w:sz w:val="20"/>
          <w:szCs w:val="20"/>
          <w:color w:val="auto"/>
        </w:rPr>
      </w:pPr>
    </w:p>
    <w:p>
      <w:pPr>
        <w:ind w:left="980" w:hanging="324"/>
        <w:spacing w:after="0" w:line="261"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ind w:left="980" w:right="20" w:hanging="324"/>
        <w:spacing w:after="0" w:line="250"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Applications (INDs) and clinical trial applications (CTAs), being cleared/issued/approved such that our product candidates can commence clinical trials;</w:t>
      </w: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and successful initiation of, enrollment in, and completion of clinical trials;</w:t>
      </w:r>
    </w:p>
    <w:p>
      <w:pPr>
        <w:spacing w:after="0" w:line="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 for our product candidates;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commercially viable arrangements with third-party manufacturers for clinical supply and commercial manufacturing;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Because results of preclinical studies and early clinical trials are not necessarily predictive of future results, any product candidate we advance may not have favorable results in later clinical trials or receive regulatory approval. Moreover, interim,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and preliminary data from our clinical trials that we announce or publish may change, or the perceived product profile may be negatively impacted, as more patient data or additional endpoints (including efficacy and safety) are analyzed.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have believed their product candidates performed satisfactorily in preclinical studies and clinical trials have nonetheless failed to obtain marketing approval.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or pivotal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top-line or preliminary data from our clinical trials, which is based on a preliminary analysis of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such as later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progression-free survival (PFS), and continuously observed data such as annualized relapse rate (ARR) have the potential to change with longer follow-up. In addition, as patients continue on therapy, there can be no assurance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or product candidates may be harmed, which could harm our business, operating results, prospects or financial condition.</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is difficult to design and implement, can take many years to complete and is uncertain as to outcome. It is impossible to predict when or if our product candidates will prove effective and safe in humans,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 New Drug Application (NDA) or a Biologics License Application (BLA) to the FDA and a Marketing Authorization Application (MAA) to the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unforeseen events that could delay or prevent our ability to complete current clinical trials, initiate new trials, receive marketing approval or commercialize our product candidates, including:</w:t>
      </w:r>
    </w:p>
    <w:p>
      <w:pPr>
        <w:spacing w:after="0" w:line="189" w:lineRule="exact"/>
        <w:rPr>
          <w:sz w:val="20"/>
          <w:szCs w:val="20"/>
          <w:color w:val="auto"/>
        </w:rPr>
      </w:pPr>
    </w:p>
    <w:p>
      <w:pPr>
        <w:ind w:left="980" w:hanging="324"/>
        <w:spacing w:after="0" w:line="26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jc w:val="both"/>
        <w:ind w:left="98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clinical research organizations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98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w:t>
      </w:r>
    </w:p>
    <w:p>
      <w:pPr>
        <w:spacing w:after="0" w:line="17"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including, without limitation, as a result of disruptions to our supply chains caused by global health crises international conflicts such as the Russian invasion of Ukraine or the Israel-Hamas war, economic instability, or natural disasters;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revise the requirements applicable to our product candidates, or such requirements may not be as we anticipate; and</w:t>
      </w:r>
    </w:p>
    <w:p>
      <w:pPr>
        <w:jc w:val="both"/>
        <w:ind w:left="980" w:hanging="324"/>
        <w:spacing w:after="0" w:line="255"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also could encounter delays if a clinical trial is suspended or terminated by us, by the IRBs of the institutions in which such trials are being conducted, by the Data and Safety Monitoring Board (DSMB) for such trial or by the FDA or other regulatory authorities. Such regulatory authorities may impose a clinical hold, suspension or termination due to a number of factors, including failure to conduct the clinical trial in accordance with regulatory requirements or our clinical protocols, inspection of the clinical trial operations or trial site by the FDA or other regulatory authorities, unforeseen safety issues or adverse side effects, failure to demonstrate a benefit from using a drug, changes in governmental regulations or administrative actions or lack of adequate funding to continue the clinical trial. In addition to the FDA, the IRB and/or the DSMB for our clinical trials may recommend modification to the study design or closure of the study entirely based on the IRB's and/or DSMB’s interpretation of the benefit-risk of the study. While we develop charters that guide the nature of the IRB and DSMB meetings, their analysis and interpretation of study data occurs independently from us and is wholly within their control. Even if the IRB or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 ​</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Negative or inconclusive results from the clinical trials we conduct, unanticipated adverse medical events, or changes in regulatory policy could cause us to have to delay,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0"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others;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post-marketing requirements or post-marketing commitments;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increased pricing pressure; or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changes in regulatory policy could cause us to have to repeat or conduct additional clinical trials or change our clinical development strategy. For example, in December 2022, with the passage of Food and Drug Omnibus Reform Act,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If we are not able to adhere to these new requirements, our ability to conduct clinical trials may be delayed or halted. 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lower-than-expected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acceptance of such data, may be jeopardized.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carry unique risks and uncertainties, which could have a negative impact on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successful development, manufacturing and sale of biologics is a long, expensive and uncertain process. There are unique risks and uncertainties with biologics. For example, access to and supply of necessary biological materials, such as cell lines, may be limited, and governmental regulations restrict access to and regulate the transport and use of such materials. In addition, the development, manufacturing and sale of biologics is subject to regulations that are often more complex and extensive than the regulations applicable to other pharmaceutical products. Manufacturing biologics, especially in large quantities, is often complex and may require the use of innovative technologies. Such manufacturing also requires facilities specifically designed and validated for this purpose and sophisticated quality assurance and quality control procedures. Biologics are also frequently costly to manufacture. Failure to successfully develop, manufacture and sell BRIUMVI or other biological product candidates we may develop could adversely affect our business.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or product candidates may cause undesirable side effects that could delay or prevent their regulatory approval or impact their availability and commercial potential after approval.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Unexpected or undesirable adverse events caused by BRIUMVI or any of our product candidates that we take into clinical trials could cause either a DSMB or regulatory authorities to interrupt, delay, modify or suspend clinical trials and could result in a more restrictive label or the delay or denial of regulatory approval by the FDA or other regulatory authorities. Even if a product candidate has obtained marketing approval, undesirable side effects may inhibit market acceptance of the approved product due to its tolerability versus other therapies. This could prevent us from commercializing the affected product candidate and generating revenues from its sale.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discontinue an ongoing trial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 Further, clinical trials by their nature utilize a sample of the potential patient population. With a limited number of patients, rare and severe side effects of BRIUMVI or our other product candidates may only be uncovered with a significantly larger number of patients exposed to the product.</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products or product candidates we may advance through clinical development are subject to extensive regulation, which can be costly and time consuming, cause unanticipated delays or prevent the receipt of the required approvals.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and distribution, and pharmacovigilance and adverse event reporting of our product or product candidates or any future product candidates are subject to extensive regulation by the FDA in the United States and by comparable regulatory authorities worldwide. In the United States, we are not permitted to market a new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and foreign regulatory authorities exercise extensive control over the pharmaceutical product approval process, including substantial discretion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may apply the results of our trials in one disease to the review of a regulatory application for a different disease even if the doses and therapeutic areas are distinct, and may change its view on the criteria that must be met for approval. This could happen even for a protocol used to support a trial that is subject to a Special Protocol Assessment (SPA) agreement with the FDA. There is no guarantee that the FDA will not delay, limit or deny approval of our product candidates in the future.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some of our clinical trials may be conducted as open-label studies, meaning that trial participants, investigators, site staff, some employees of our CROs,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lead the FDA to deny approval, or lead the Company to withdraw a regulatory application.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reasons that the FDA or regulatory authorities around the world may delay, limit or deny approval of a product candidate, include:</w:t>
      </w:r>
    </w:p>
    <w:p>
      <w:pPr>
        <w:spacing w:after="0" w:line="225" w:lineRule="exact"/>
        <w:rPr>
          <w:sz w:val="20"/>
          <w:szCs w:val="20"/>
          <w:color w:val="auto"/>
        </w:rPr>
      </w:pPr>
    </w:p>
    <w:p>
      <w:pPr>
        <w:ind w:left="980" w:hanging="324"/>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tolerable and effective for an indication;</w:t>
      </w:r>
    </w:p>
    <w:p>
      <w:pPr>
        <w:ind w:left="980" w:right="20" w:hanging="324"/>
        <w:spacing w:after="0" w:line="250"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not accept clinical data from trials conducted by individual investigators or in countries where the standard of care or the patient population, is potentially different from that of the United States;</w:t>
      </w:r>
    </w:p>
    <w:p>
      <w:pPr>
        <w:ind w:left="980" w:hanging="324"/>
        <w:spacing w:after="0" w:line="250"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7"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and/or clinical trials;</w:t>
      </w:r>
    </w:p>
    <w:p>
      <w:pPr>
        <w:ind w:left="980" w:hanging="324"/>
        <w:spacing w:after="0" w:line="250"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jc w:val="both"/>
        <w:ind w:left="980" w:right="1900" w:hanging="324"/>
        <w:spacing w:after="0" w:line="265" w:lineRule="auto"/>
        <w:tabs>
          <w:tab w:leader="none" w:pos="9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identify issues related to the manufacturing processes or facilities of third-party manufacturers with which we or our collaborators currently contract for clinical supplies and</w:t>
      </w:r>
    </w:p>
    <w:p>
      <w:pPr>
        <w:jc w:val="both"/>
        <w:ind w:left="98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plan to contract for commercial supplies; 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Prescription Drug User Fee Act (PDUFA) goal date or at all to satisfy the FDA or foreign regulatory authorities;</w:t>
      </w:r>
    </w:p>
    <w:p>
      <w:pPr>
        <w:spacing w:after="0" w:line="1" w:lineRule="exact"/>
        <w:rPr>
          <w:rFonts w:ascii="Times New Roman" w:cs="Times New Roman" w:eastAsia="Times New Roman" w:hAnsi="Times New Roman"/>
          <w:sz w:val="17"/>
          <w:szCs w:val="17"/>
          <w:color w:val="auto"/>
        </w:rPr>
      </w:pPr>
    </w:p>
    <w:p>
      <w:pPr>
        <w:ind w:left="980" w:hanging="324"/>
        <w:spacing w:after="0" w:line="250"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processes of the FDA or comparable foreign regulatory authorities may significantly change in a manner rendering our clinical data insufficient for approval; or</w:t>
      </w:r>
    </w:p>
    <w:p>
      <w:pPr>
        <w:ind w:left="980" w:right="20" w:hanging="324"/>
        <w:spacing w:after="0" w:line="260"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in the operations of the FDA and foreign regulatory authorities as a result of global health, inadequate government funding, or economic crises international conflict, or national disasters may negatively impact review, inspection, and approval timelines.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 if we succeed in obtaining regulatory approval for a product candidate, the FDA may require, or we may commit to, post-marketing studies, including additional clinical trials such as those necessary to assess drug interactions or activity of a product in specific populations, which may be costly. The outcomes of post-marketing studies may impact product labeling and therefore, there can be no guarantee that the product attributes contained in the initial prescribing information will be maintained as future studies produce data. This includes, without limitation, additional results from studies evaluating drug-drug interactions and patients with certain comorbidities that may restrict the use of an approved product in select populations or introduce dose modifications or contraindicated concomitant medications that have the potential to impact the utility of a product or its perceived product profile among prescribers. Post-marketing studies may also lead to the introduction of new warnings in the product prescribing information. The FDA may require adoption of a REMS program requiring prescriber training or a post-marketing registry or may restrict the marketing and dissemination of our products. Finally, failure to complete a post-marketing commitment by the applicable post-marketing milestone date may lead to withdrawal of the product or indication. Any requirements to conduct post-approval studies or fulfill special post-approval requirements could impact our ability to commercialize our product or product candidates and increase our costs.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focusing the majority of our efforts on developing BRIUMVI (ublituximab-xiiy) and azercabtagene zapreleucel (azer-cel) for particular indications. As a result, we may fail to capitalize on other indications or product candidates that may ultimately have proven to be more profitable.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currently focusing the majority of our resources and efforts on developing BRIUMVI (ublituximab-xiiy) and azercabtagene zapreleucel (azer-cel). As a result, we may forego or delay the pursuit of opportunities for other indications or with other product candidates that may have greater commercial potential. Our resource allocation decisions may cause us to fail to capitalize on viable commercial drugs or profitable market opportunities. If we do not accurately evaluate the commercial potential or target markets for BRIUMVI (ublituximab-xiiy) and azercabtagene zapreleucel (azer-cel), we may relinquish valuable rights to our product candidates or programs through collaboration, licensing or other strategic arrangements in cases in which it would have been more advantageous for us to retain sole development and commercialization rights to such product candidate(s) or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Breakthrough Therapy or Fast Track designation by the FDA may not actually lead to a faster development or regulatory review or approval process.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seek Breakthrough Therapy or Fast Track designation for some of our drug candidates.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some of our drug candidates. However, we may be unsuccessful in obtaining or may be unable to maintain the benefits associated with orphan drug designation, including the potential for market exclusivity.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the European Union, and the United Kingdom,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orphan drug designations that we have for certain of our drug candidates or that we will be successful in obtaining orphan designation for other drug candidates in the future.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pacing w:after="0" w:line="19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conducting clinical trials and anticipate conducting additional clinical trials for our product and product candidates at sites outside the United States, and trials conducted in such locations or clinical trial activities in such locations may be impacted by political conditions, including international conflict.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of our clinical trials utilize international clinical research sites.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challenges,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our clinical studies with sites outside the United States may be adversely impacted by international conflict. For example, in February 2022, Russia initiated a full-scale military invasion of Ukraine. In one or both countries, as well as neighboring countries that may be impacted by this conflict (e.g. Poland, Slovakia, Belarus, Georgia), we have clinical trial sites for our RMS and/or oncology programs. While no clinical trials are actively enrolling patients in Russia or Ukraine, there are a number of trial subjects in long-term treatment and follow-up. The political and physical conditions in Russia and Ukraine have disrupted our ability to supply investigational drug product to impacted sites; impacted patients’ ability to partake in our clinical trials and our ability to gather data on those patients, including long-term follow-up data; and resulted in suspension of clinical trial activities at impacted sites. Furthermore, the United States and its European allies have imposed significant sanctions against Russia and Belarus, including regional embargoes, full blocking sanctions, and other restrictions targeting major Russian financial institutions. Specifically, such sanctions have included, among other things, a prohibition on doing business with certain Russian companies, officials, and oligarchs; a commitment by certain countries and the European Union to remove selected Russian banks from the Society for Worldwide Interbank Financial Telecommunications (SWIFT) electronic banking network that connects banks globally; and restrictive measures to prevent the Russian Central Bank from undermining the impact of the sanctions. Our ability to conduct clinical trials in Russia, Belarus, Ukraine and elsewhere in the region may also become restricted under applicable sanctions laws. The conflict, as well as government responses, has resulted in global economic instability, which could affect our supply chain and commercialization efforts. While we do not believe this conflict will have a material impact on product development or our overall business, given the rapidly evolving situation and the potential to expand beyond Ukraine and Russia, the full impact of the conflict remains uncertain.</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EMA and other comparable foreign regulatory authorities may not accept data from trials conducted in locations outside of their respective jurisdictions.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been and may continue to conduct clinical trials globally. The acceptance of study data by the FDA, EMA or other comparable foreign regulatory authorities from clinical trials conducted outside of their respective jurisdictions may be subject to certain conditions, which may include conditions related to the applicability and verifiability of the data and cooperation with foreign regulatory agencies. In cases where data from United States clinical trials are intended to serve as the basis for marketing approval in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may result in our product candidates not receiving approval or clearance for commercialization in the applicable jurisdiction.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one of our product candidates in the United States would not assure approval of that candidate in foreign jurisdictions.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seek additional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the same indications for use for the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and product candidates in any foreign jurisdiction on a timely basis, if at all. Failure to receive approval in certain foreign markets could significantly impact the full market potential of our product and product candidates and may negatively impact the regulatory process in other countries. Furthermore, if we obtain regulatory approval for a product or product candidate in a foreign jurisdiction, we will be subject to the burden of complying with complex regulatory, legal, and other requirements that could be costly and could subject us to additional risks and uncertainties.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product candidates still under development and are also engaging manufacturing partners in commercial manufacturing activities, and as such clinical and commercial manufacturing site additions and process improvements implemented in the production of our product and product candidates may affect their timely delivery or quality.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limited experience in manufacturing products for clinical or commercial purposes. We currently do not have any manufacturing capabilities of our own. We have established a contract manufacturing relationship for the commercial supply of BRIUMVI with Samsung Biologics. As with any supply program, obtaining materials of sufficient quality and quantity to meet the requirements of the market demand for BRIUMVI and our development programs cannot be guaranteed and we cannot ensure that we will be successful in these endeavors.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possible and commercially practicable, we plan to develop back-up strategies for raw materials and manufacturing and testing services for our commercial products. Given the long lead times and cost of establishing additional commercial manufacturing sites we expect that we will rely on single contract manufacturers to produce our commercial products under current Good Manufacturing Practice, or cGMP, regulations for the foreseeable future. Our commercial manufacturing partners have a limited number of facilities in which our product candidates can be produced and will have limited experience in manufacturing our product candidates in quantities sufficient for commercialization. Our third-party manufacturers will have other clients and may have other priorities that could affect their ability to perform the work satisfactorily and/or on a timely basis. All of these occurrences would be beyond our control.</w:t>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similarly rely on contract manufacturing relationships for our development programs and any products that we may in-license or acquire in the future. However, there can be no assurance that we will be able to successfully contract with such manufacturers on terms acceptable to us, or at all.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Contract manufacturers are subject to ongoing periodic and unannounced inspections by the FDA, the Drug Enforcement Administration</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if applicable, and corresponding state agencies to ensure strict compliance with cGMP requirements and other state and federal regulations. Where manufactured products are globally registered, similar regulatory inspection burdens are applicable from each and every marketed territory. If our manufacturing partners are inspected and deemed out of compliance with cGMPs, product recalls could result, inventory could be destroyed, production could be stopped, and supplies could be delayed or otherwise disrupted.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need to change manufacturers either before or after commercialization, the FDA and corresponding foreign regulatory agencies may need to approve these new manufacturers in advance, which will involve testing, regulatory submissions, and additional inspections to ensure compliance with FDA and other regulations and standards, and may require significant lead times and delay. Furthermore, switching manufacturers may be difficult because the number of potential manufacturers is limited. It may be difficult or impossible for us to find a replacement manufacturer quickly or on terms acceptable to us, or at all.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our product and product candidates are currently manufactured in relatively small batches for use in preclinical and clinical studies. Process improvements implemented to date have changed, and process improvements in the future may change, the activity and/or analytical profile of the product or product candidates, which may affect the safety and efficacy of the products.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 no assurance can be given that the material manufactured from any future optimized processes, if any, for BRIUMVI or any of our product candidates will perform comparably to the product or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Governmental Regulation of Pharmaceutical Industry and Legal Compliance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effect, if any, further changes to the ACA would have on our business or if any changes in an administration may have on the ACA or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Beyond the ACA, there has been increasing legislative, regulatory and enforcement interest with respect to prescription drug pricing practices. Proposals that may garner bipartisan legislative support or become legislation through reconciliation include adding a cap on out-of-pocket spending under Medicare Part D, authorizing Medicare to negotiate certain drugs covered by Medicare Parts D and B directly with manufacturers,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(BBA) increased manufacturer point-of-sale discounts off negotiated prices of applicable brand drugs in the Medicare Part D coverage gap from 50% to 70% effective as of January 1, 2019, ultimately increasing the liability for brand drug manufacturers. In addition, on September 20, 2024, the Centers for Medicare &amp; Medicaid Services issued a final rule titled “Medicaid Program; Misclassification of Drugs, Program Integrity Updates Under the Medicaid Drug Rebate Program” which may impact our reimbursement and rebate strategy. We expect that health care reform measures that may be adopted in the future, may result in more rigorous coverage criteria,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(DHHS) to set drug price caps for certain high-cost Medicare Part B and Part D qualified drugs, with the initial list of drugs selected on August 29, 2023, and the first year of maximum price applicability to begin in 2026. On October 3, 2023, the Centers for Medicare &amp; Medicaid Services announced that all manufacturers of the initially selected drugs opted to participate. The Act further authorizes the DHHS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or related legislation or rulemaking will be issued or enacted, or what impact, if any, such changes will have on the profitability of any of our drug candidates, if approved for commercial use, in the future.</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experiencing significant economic pressure within their respective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legislative and regulatory proposals have been made to expand post-approval requirements, make changes the Orphan Drug Act and related guidance, reform the 340B Drug Pricing Program, and restrict sales and promotional activities for drugs. With respect to the 340B Drug Pricing Program, recent legislative proposals, as well as judicial challenges to DHHS’s policies, present both opportunities and challenges for drug manufacturers participating in the program. Further,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or product candidates in certain international markets.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80"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products for which we may obtain regulatory approval;</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or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extend the time necessary for new drugs to be reviewed and/or approved by necessary government agencies, which would adversely affect our business. For example, over the last several years, the U.S. government shut down several times and certain regulatory agencies, such as the FDA and the SEC, had to furlough critical employees and stop critical activities. If a prolonged government shutdown occurs, it could significantly impact the ability of the FDA to review and process our regulatory submissions in a timely matter,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relationships with customers and third-party payors are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the FDA, EMA and MHRA approval of BRIUMVI, we are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expose us to broadly applicable fraud and abuse and other healthcare laws and regulations that may constrain the business or financial arrangements and relationships through which we market, sell and distribute our product and product candidates for which we obtain marketing approval. Restrictions under applicable federal and state healthcare laws and regulations include the following:</w:t>
      </w:r>
    </w:p>
    <w:p>
      <w:pPr>
        <w:spacing w:after="0" w:line="189" w:lineRule="exact"/>
        <w:rPr>
          <w:sz w:val="20"/>
          <w:szCs w:val="20"/>
          <w:color w:val="auto"/>
        </w:rPr>
      </w:pPr>
    </w:p>
    <w:p>
      <w:pPr>
        <w:jc w:val="both"/>
        <w:ind w:left="980" w:hanging="324"/>
        <w:spacing w:after="0" w:line="254"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3"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For example, life sciences companies have faced enforcement actions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among other activities. In addition, the government may assert that a claim including items and services resulting from a violation of the federal Anti-Kickback Statute or the Federal Food, Drug, and Cosmetic Act (FDCA) constitutes a false or fraudulent claim for purposes of the False Claims Act;</w:t>
      </w:r>
    </w:p>
    <w:p>
      <w:pPr>
        <w:spacing w:after="0" w:line="3" w:lineRule="exact"/>
        <w:rPr>
          <w:rFonts w:ascii="Times New Roman" w:cs="Times New Roman" w:eastAsia="Times New Roman" w:hAnsi="Times New Roman"/>
          <w:sz w:val="18"/>
          <w:szCs w:val="18"/>
          <w:color w:val="auto"/>
        </w:rPr>
      </w:pPr>
    </w:p>
    <w:p>
      <w:pPr>
        <w:ind w:left="980" w:right="16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as amended by the Health Information Technology for Economic and Clinical Health Act of 2009 (HITECH) and its implementing regulations, has fraud provisions that impose criminal and civil liability for knowingly and willingly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p>
      <w:pPr>
        <w:spacing w:after="0" w:line="3"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under section 6002 of the Affordable Care Act requires manufacturers of drugs, devices, biologics and medical supplies that are reimbursable under Medicare, Medicaid or the Children’s Health Insurance Program to monitor and report certain information related to payments and other transfers of value to and the ownership and investment interests of physicians and certain other healthcare providers as well as teaching hospitals to the federal government for redisclosure to the public. The Centers for Medicare &amp; Medicaid Services (CMS) has the potential to impose penalties for violations of the Physician Payment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p>
      <w:pPr>
        <w:spacing w:after="0" w:line="2"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HITECH and other amendments,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wide range of federal and state consumer protection and unfair competition laws, which broadly regulate marketplace activities and activities that potentially harm consumers including those related to privacy;</w:t>
      </w:r>
    </w:p>
    <w:p>
      <w:pPr>
        <w:ind w:left="980" w:right="2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and its implementing regulations, which among other things, strictly regulate drug product marketing and prohibit manufacturers from promotion and marketing of products prior to approval or for uses inconsistent with the FDA-required labeling;</w:t>
      </w:r>
    </w:p>
    <w:p>
      <w:pPr>
        <w:jc w:val="both"/>
        <w:ind w:left="980" w:right="2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Supply Chain Security Act (DSCSA), which imposes obligations on entities in the commercial product supply chain, including manufacturers, to identify and track prescription drugs as they are distributed in the U.S.; and</w:t>
      </w:r>
    </w:p>
    <w:p>
      <w:pPr>
        <w:jc w:val="both"/>
        <w:ind w:left="980" w:hanging="324"/>
        <w:spacing w:after="0" w:line="255"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w:t>
      </w:r>
    </w:p>
    <w:p>
      <w:pPr>
        <w:sectPr>
          <w:pgSz w:w="11900" w:h="16838" w:orient="portrait"/>
          <w:cols w:equalWidth="0" w:num="1">
            <w:col w:w="11240"/>
          </w:cols>
          <w:pgMar w:left="320" w:top="121" w:right="339" w:bottom="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t>information in certain circumstances, many of which differ from each other in significant ways and often are not preempted by federal laws, thus complicating compliance efforts.</w:t>
      </w:r>
    </w:p>
    <w:p>
      <w:pPr>
        <w:spacing w:after="0" w:line="16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we continue commercialization of BRIUMVI, we are taking steps to provide patient support services to help patients access the product. Our patient support programs are administered in conjunction with a patient support program vendor and other third parties. There has been heightened governmental scrutiny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violate applicable data privacy and security laws, we may be subject to penalties, including civil and criminal penalties, damages, fines, reputation harm and the curtailment or restructuring of our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subject to privacy and security laws in the various jurisdictions in which we operate, obtain or store personal information. The legislative and regulatory landscape for privacy and data protection continues to evolve, and there has been an increasing focus on privacy and data protection issues with the potential to affect our business.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Within the United States, HIPAA establishes a federal “floor” with respect to privacy, security, and breach notification requirements as it pertains to protected health information subject to HIPAA and does not supersede any state laws insofar as they are broader or more stringent than HIPAA. There are numerous other laws, regulations and legislative and regulatory initiatives at the federal and state levels addressing privacy and security of personal data. Depending on the data we receive, we may be subject to federal and state privacy-related laws that may be more restrictive or contain different requirements than the privacy regulations issued under HIPAA. These laws vary and could impose additional penalties and requirements related to such data. HIPAA affects the ability of healthcare providers and other entities with which we may interact, including clinical trial sites, to disclose patient health information to us. Under Section 5(a) of the Federal Trade Commission Act (FTCA), the Federal Trade Commission (FTC) expects a company’s data security measures to be reasonable and appropriate in light of the sensitivity and volume of consumer information it holds, the size and complexity of its business, and the cost of available tools to improve security and reduce vulnerabilities. The FTC has asserted authority and issued enforcement actions in response to actual or perceived unfair or deceptive practices by a company in the handling of consumer information. Medical data is considered sensitive data that merits stronger safeguards. States may also impose requirements. For example, the California Consumer Privacy Act (CCPA), went into effect in January 2020 creating data privacy obligations for covered companies and providing privacy rights to California residents, including the right to opt out of certain disclosures of their information. Colorado, Connecticut, Washington, Utah, Virginia and Iowa have also enacted data privacy statutes. Among other things, these state-specific laws create new data privacy obligations for covered companies and provide new privacy rights to state residents, including the right to opt out of certain disclosures of their information. The CCPA also created a private right of action with statutory damages for certain data breaches, thereby potentially increasing risks associated with a data breach. The Washington My Health My Data Act also contains a private right of actions. Draft regulations implementing certain of the state statutes have been published, but many questions remain as to how all of the new statutes will be interpreted. In addition to the laws discussed above, we may see more stringent federal and state privacy legislation passed in 2024 and beyond, as increased cyber-attacks have once again put a spotlight on data privacy and security in the U.S. and other jurisdictions. We cannot predict where new legislation might arise, the scope of such legislation, or the potential impact to our business and operations. We expect to incur additional costs to ensure that our data privacy and security policies, procedures, and activities comply with applicable and evolving legal requirements.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Numerous other jurisdictions regulate the privacy and security of personally identifiable data. For example, the processing of personal data in the European Economic Area (EEA), is subject to the General Data Protection Regulation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EC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5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(FCPA) or similar anti-bribery laws. We may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 We are also subject to other laws and regulations governing our international operations, including regulations administered by the governments of the U.S., and authorities in the EU, including applicable export control regulations, economic sanctions on countries and persons, customs requirements, and currency exchange regulations, which we collectively refer to as Trade Control Laws. There is no assurance that we will be completely effective in ensuring our compliance with all applicable anti-corruption laws, including the FCPA, similar anti-bribery laws, or other legal requirements, including Trade Control Laws. If we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including the Nasdaq Stock Market, for violations of the FCPA’s accounting provisions. Likewise, any investigation of any potential violations of the FCPA, other anti-corruption laws or Trade Control Laws by the U.S. or other authorities, could also have an adverse impact on our reputation, our business, results of operations and financial condition.</w:t>
      </w:r>
    </w:p>
    <w:p>
      <w:pPr>
        <w:spacing w:after="0" w:line="39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for which we obtain marketing approval, including BRIUMVI, could be subject to restrictions or withdrawal from the market and we may be subject to penalties if we fail to comply with regulatory requirements or if we experience unanticipated problems with products.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EMA and comparable regulatory authorities. These requirements include submissions of safety and other post-marketing information and reports, registration requirements, cGMP requirements relating to quality control, quality assurance and corresponding maintenance of records and documents, and requirements regarding promotional interactions with healthcare professionals.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Failure to comply with these regulatory requirements or later discovery of previously unknown problems with products, manufacturers, or manufacturing processes, may result in actions such as:</w:t>
      </w:r>
    </w:p>
    <w:p>
      <w:pPr>
        <w:spacing w:after="0" w:line="162"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manufacturing, distribution or use;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other advisory actions;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for withdrawal of the products from the market;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or our subsidiaries submit;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restitutions, or disgorgement of profits or revenues;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internal or government investigation of alleged violations of law could require us to expend significant time and resources in response and could generate negative publicity. In addition, the FDA’s or EMA’s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contract manufacturers and suppliers fail to comply with environmental, health and safety laws and regulations, we could become subject to fines or penalties or incur costs that could seriously harm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third-party manufacturers, suppliers, and we are subject to federal, state, and local laws and regulations governing the use, manufacture, storage, handling, release, disposal of, and exposure to, hazardous and regulated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incidents.</w:t>
      </w:r>
    </w:p>
    <w:p>
      <w:pPr>
        <w:spacing w:after="0" w:line="185" w:lineRule="exact"/>
        <w:rPr>
          <w:sz w:val="20"/>
          <w:szCs w:val="20"/>
          <w:color w:val="auto"/>
        </w:rPr>
      </w:pPr>
    </w:p>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U.S. political and economic environment could materially impact our business operations and financial performance, and uncertainty surrounding the potential legal, regulatory and policy changes by a new U.S. presidential administration may directly affect us and the global economy.</w:t>
      </w:r>
    </w:p>
    <w:p>
      <w:pPr>
        <w:spacing w:after="0" w:line="13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political and economic environment in the United States and elsewhere has resulted in and will continue to result in some uncertainty. Changing regulatory policies because of the changing political environment could impact our regulatory and compliance costs and future revenues, all of which could materially and adversely affect our business, financial condition and operating results. Failure to adapt to or comply with evolving regulatory requirements or investor or stakeholder expectations and standards could negatively impact our reputation, ability to do business with certain partners, access to capital and our stock price.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 a change in the U.S. presidential administration and congressional seat turnover following the 2024 election cycle may result in increased regulatory and economic uncertainty. Changes in federal policy by the executive branch and regulatory agencies may occur over time through the new presidential administration’s and/or Congress’s policy and personnel changes, which could lead to changes involving the level of oversight and focus on the pharmaceutical industry; however, the nature, timing and economic and political effects of such potential changes remain highly uncertain. Any future changes in federal and state laws and regulations, as well as the interpretation and implementation of such laws and regulations, could affect us in substantial and unpredictable ways. At this time, it is unclear what laws, regulations and policies may change and whether future changes or uncertainty surrounding future changes will adversely affect our operating environment and therefore our business, financial condition and results of operations.</w:t>
      </w:r>
    </w:p>
    <w:p>
      <w:pPr>
        <w:spacing w:after="0" w:line="18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shortages in animal availability or possible restrictions on animal testing. Compliance with governmental regulations regarding the treatment of animals used in research could increase our operating costs, which would adversely affect the commercialization of our products.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laws and regulations may require us to test our product candidates on animals before initiating clinical trials involving humans. Failure to access or a significant delay in accessing animal research models that meet our needs or that fulfill regulatory requirements may materially adversely affect our ability to advance our preclinical and clinical programs and successfully develop our product candidates, which result in significant harm to our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 The Animal Welfare Act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w:t>
      </w:r>
    </w:p>
    <w:p>
      <w:pPr>
        <w:sectPr>
          <w:pgSz w:w="11900" w:h="16897" w:orient="portrait"/>
          <w:cols w:equalWidth="0" w:num="1">
            <w:col w:w="11240"/>
          </w:cols>
          <w:pgMar w:left="320" w:top="121" w:right="339" w:bottom="0" w:gutter="0" w:footer="0" w:header="0"/>
        </w:sectPr>
      </w:pPr>
    </w:p>
    <w:bookmarkStart w:id="62" w:name="page63"/>
    <w:bookmarkEnd w:id="62"/>
    <w:p>
      <w:pPr>
        <w:spacing w:after="0" w:line="282" w:lineRule="auto"/>
        <w:rPr>
          <w:sz w:val="20"/>
          <w:szCs w:val="20"/>
          <w:color w:val="auto"/>
        </w:rPr>
      </w:pPr>
      <w:r>
        <w:rPr>
          <w:rFonts w:ascii="Times New Roman" w:cs="Times New Roman" w:eastAsia="Times New Roman" w:hAnsi="Times New Roman"/>
          <w:sz w:val="18"/>
          <w:szCs w:val="18"/>
          <w:color w:val="auto"/>
        </w:rPr>
        <w:t>regulations, and obligations exist in many foreign jurisdictions. If we or our contractors fail to comply with regulations concerning the treatment of animals used in research, we may be subject to fines, penalties and adverse publicity, and our operations could be adversely affected.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Dependence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or product candidates when expected or at all.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submit an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 and commercialization efforts.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or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clinical trial subjects.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or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Contract Manufacturing Organizations (CMOs)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3"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or product candidates. As a result, we believe that our financial results and the commercial prospects for our product or product candidates in the subject indication would be harmed, our costs could increase and our ability to generate revenue could be delayed.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BRIUMVI for commercial supply, as well as all of our clinical product supply, and we expect to continue to do so.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We rely, and expect to continue to rely, on third parties for the manufacture, testing, packaging and labeling of any products that we commercialize and our product candidates for preclinical development and clinical testing. For example, we currently rely on Samsung Biologics for clinical and commercial supply of BRIUMVI. In addition, we utilize multiple vendors who provide testing services.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facilities used by contract manufacturers to manufacture, test, package, and label our product and product candidates typically undergo periodic inspections by the FDA or a comparable foreign regulatory authority to verify compliance with applicable cGMP regulations. Additional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or others’ satisfaction in a timely manner during the review of any marketing applications that we submit,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reliance on third-party manufacturers entails additional risks, including:</w:t>
      </w:r>
    </w:p>
    <w:p>
      <w:pPr>
        <w:spacing w:after="0" w:line="225"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supply or quality agreement by the third party;</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current long-term supply agreement for BRIUMVI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 In negotiating our supply agreement for BRIUMVI, there is no guarantee that we have foreseen all eventualities or that our third-party manufacturer will be able to accommodate unforeseen changes in business direction in a timely fashion or at all. Scheduling of manufacturing at our third-party manufacturer is governed by contractual terms that require us to make investments in inventory of materials, with limited shelf-life, in advance of regulatory approval and based on preliminary commercial forecasting, and such inventory may not be used if timelines and supply needs shift.</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 Any third-party manufacturer with which we contract will have other clients, and our relative importance as a customer may adversely impact contractual terms or the performance of services in a satisfactory manner or on a timely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 If a new contract manufacturer is not successful in replicating the product or experiences delays, or if regulatory authorities impose unforeseen requirements with respect to product comparability from multiple manufacturing sources, we may experience delays in clinical development or an interruption in our commercial supply. No assurance can be given that any new manufacturer will be successful or that material manufactured by a new manufacturer will perform comparably to product manufactured by the previous manufacturer or that the relevant regulatory agencies will agree with our interpretation of comparability. Any significant delays or gaps in supply of commercial or clinical products may adversely affect our clinical development program, our ability to commercialize any drugs that receive marketing approval on a timely and competitive basis, and our future profit margins.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rely on other third parties to store and distribute drug supplies for our clinical trials and for commercial demand for BRIUMVI and expect to continue to do so for any other potential commercial products.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could significantly harm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 and product candidates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international political conflicts that may impact trade or the supply chain within a particular region, public health emergencies or natural disasters that may cause those suppliers to stop work for a period of time or lead to a sudden increase in demand for selected materials resulting in short-term unavailability of such materials. If any of our suppliers ceases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products and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drug product, and certain raw materials,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 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in-licensed BRIUMVI and our product candidates from third parties, any dispute with or non-performance by our licensors will adversely affect our ability to develop and commercialize the applicable product or product candidate.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license BRIUMVI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80"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 and obligations associated with sublicensing;</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36"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3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BRIUMVI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28, 2023, we entered into a commercialization agreement (the Commercialization Agreement) with Neuraxpharm Pharmaceuticals, S.L. (Neuraxpharm), pursuant to which Neuraxpharm has the right to commercialize BRIUMVI in certain markets outside of the U.S. On February 26, 2024, Neuraxpharm announced the commercial launch of BRIUMVI in Germany and expects to launch BRIUMVI in additional international markets as well. In addition to the Commercialization Agreement, we may enter into collaboration arrangements with other collaboration and commercialization partners.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a number of risks associated with our dependence on our relationships with our collaboration and commercialization partners, including:</w:t>
      </w:r>
    </w:p>
    <w:p>
      <w:pPr>
        <w:spacing w:after="0" w:line="162" w:lineRule="exact"/>
        <w:rPr>
          <w:sz w:val="20"/>
          <w:szCs w:val="20"/>
          <w:color w:val="auto"/>
        </w:rPr>
      </w:pPr>
    </w:p>
    <w:p>
      <w:pPr>
        <w:ind w:left="980" w:right="20" w:hanging="324"/>
        <w:spacing w:after="0" w:line="26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our collaboration and commercialization partners to terminate their collaboration or commercialization agreements with us for reasons specified in the collaboration or commercialization agreements, including our breach;</w:t>
      </w:r>
    </w:p>
    <w:p>
      <w:pPr>
        <w:jc w:val="both"/>
        <w:ind w:left="980" w:hanging="324"/>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terminates its agreement with us;</w:t>
      </w:r>
    </w:p>
    <w:p>
      <w:pPr>
        <w:spacing w:after="0" w:line="1"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a collaboration or commercialization partner regarding the amount and timing of resource expenditures for the commercialization, distribution, and sale of our drug products;</w:t>
      </w:r>
    </w:p>
    <w:p>
      <w:pPr>
        <w:ind w:left="980" w:hanging="324"/>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perform its duties under its agreement with us (e.g., its failure to comply with regulatory requirements which may disrupt its performance of its obligations under the agreement with us);</w:t>
      </w:r>
    </w:p>
    <w:p>
      <w:pPr>
        <w:jc w:val="both"/>
        <w:ind w:left="980" w:hanging="324"/>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collaboration or commercialization partner to timely deliver accurate and complete medical or clinical information to us or to maintain adequate and effective internal control over its pharmacovigilance activities and reporting may negatively affect our ability to meet our reporting obligations as required by the FDA and other regulatory bodies;</w:t>
      </w:r>
    </w:p>
    <w:p>
      <w:pPr>
        <w:spacing w:after="0" w:line="1"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or commercialization partners’ and their affiliates’ development and commercialization of products that compete directly or indirectly with our products or product candidates;</w:t>
      </w:r>
    </w:p>
    <w:p>
      <w:pPr>
        <w:ind w:left="980" w:hanging="324"/>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a collaboration or commercialization partner to prioritize others of its current or future products more highly than our drug products or our product candidates when it performs its duties;</w:t>
      </w:r>
    </w:p>
    <w:p>
      <w:pPr>
        <w:ind w:left="980" w:right="20" w:hanging="324"/>
        <w:spacing w:after="0" w:line="250"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a collaboration or commercialization partner as to the timing, nature and extent of our development plans or distribution and sales and marketing plans; and</w:t>
      </w:r>
    </w:p>
    <w:p>
      <w:pPr>
        <w:jc w:val="both"/>
        <w:ind w:left="980" w:hanging="324"/>
        <w:spacing w:after="0" w:line="253"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financial returns to us, if any, under our collaboration agreement with Neuraxpharm depends in large part on the achievement of milestones and generation of product sales, and if Neuraxpharm fails to perform or satisfy its obligations under the collaboration agreements, the development and commercialization of our drug products could be delayed, hindered or may not occur, and our business and prospects could be materially and adversely affected.</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the Commercialization Agreement contains provisions that allow for dispute resolution, arbitration, and/or termination of the agreement by the Company in the event of a breach by Neuraxpharm, there can be no assurance that the Company and Neuraxpharm will agree on a cure for such a breach, and in the event of termination, there can be no assurance that the Company would be appropriately compensated and/or recover any losses sustained. 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related expenses. Therefore, for some of our drug candidates, we may decide to collaborate with additional pharmaceutical and biotechnology companies for the development and potential commercialization of those drug candidates. ​</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proposed collaborator’s resources and expertise, the terms and conditions of the proposed collaboration with a third party, and the proposed collaborator’s evaluation of a number of factors. Those factors may include the design or results of our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favorable terms to us,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favorable terms or at all. If we do not have sufficient funds, we may not be able to further develop our product candidates or bring them to market and we may ultimately not be able to generate revenue from their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success in part depends on obtaining and maintaining patent protection and trade secret protection in the United States and other countries with respect to any product we commercialize, including BRIUMVI,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patent rights to the same extent as the patent laws of the United States.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patent portfolio may not provide us with adequate and continuing patent protection sufficient to exclude others from commercializing drugs similar or identical to our product or product candidates, including generic versions of such drugs.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Currently, we have several granted patents in the United States and EU, among other countries, and several pending patent applications that have not yet been issued or have been issued in certain jurisdictions but not all jurisdictions in which such applications have been filed. There can be no guarantee that any pending patent applications, nor any patent applications filed in the future will be granted in any or all jurisdictions in which they were filed, or that all patent claims initially submitted for examination in such patent applications will be allowed in the patent that is eventually granted, if at all. The patent prosecution process is subject to numerous risks and uncertainties, and there can be no assurance of the scope of patent claims that will ultimately be allowed, if at all, and no assurance that we or our partners will be successful in protecting our product and product candidates by obtaining and defending patents.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and uncertainties include the following:</w:t>
      </w:r>
    </w:p>
    <w:p>
      <w:pPr>
        <w:spacing w:after="0" w:line="225" w:lineRule="exact"/>
        <w:rPr>
          <w:sz w:val="20"/>
          <w:szCs w:val="20"/>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applications that we or our licensors file may not issue as patent;</w:t>
      </w:r>
    </w:p>
    <w:p>
      <w:pPr>
        <w:spacing w:after="0" w:line="36"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that may be issued or in-licensed may be challenged, invalidated, modified, revoked or circumvented, or otherwise may not provide any competitive advantage;</w:t>
      </w:r>
    </w:p>
    <w:p>
      <w:pPr>
        <w:ind w:left="980" w:hanging="324"/>
        <w:spacing w:after="0" w:line="250"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16, 2013, the United States converted from a first-to-invent to a first-to-file system. If we do not win the filing race, we will not be entitled to inventive priority;</w:t>
      </w:r>
    </w:p>
    <w:p>
      <w:pPr>
        <w:jc w:val="both"/>
        <w:ind w:left="980" w:hanging="324"/>
        <w:spacing w:after="0" w:line="250"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already have obtained, patents that will limit, interfere with, or eliminate our ability to file new patent applications covering our products, or make, use, and/or sell our products either in the United States or in international markets;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which could limit our ability to fully monetize our intellectual property rights; and</w:t>
      </w:r>
    </w:p>
    <w:p>
      <w:pPr>
        <w:spacing w:after="0" w:line="1" w:lineRule="exact"/>
        <w:rPr>
          <w:rFonts w:ascii="Times New Roman" w:cs="Times New Roman" w:eastAsia="Times New Roman" w:hAnsi="Times New Roman"/>
          <w:sz w:val="18"/>
          <w:szCs w:val="18"/>
          <w:color w:val="auto"/>
        </w:rPr>
      </w:pPr>
    </w:p>
    <w:p>
      <w:pPr>
        <w:ind w:left="980" w:hanging="324"/>
        <w:spacing w:after="0" w:line="260"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less restrictive patent laws than those of the United States, allowing foreign competitors to exploit such less restrictive patent laws to make, use, and/or sell competing products in their respective jurisdictions.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are not able to obtain patents that protect our product and product candidates, it could have a material adverse effect on our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United States Patent and Trademark Office (USPTO) can be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our patent applications may change or be modified throughout the patent prosecution process, leaving our product(s) or process(es) without patent protection. Moreover, in some circumstances, we do not have the right to control the preparation, filing and prosecution of patent applications, or to maintain the patents, that cover technology licensed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our product and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joint development projects, partnerships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or strategic alternatives, we may be required to consult with or cede control to collaborators regarding the prosecution, maintenance and enforcement of patents licensed or developed under such collaborations. Therefore, such patents and patent applications may not be prosecuted and enforced in a manner consistent with the best interests of our business.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patent laws of foreign countries may not protect our patent rights to the same extent as the laws of the United States, and we may fail to seek or obtain patent protection in all major markets. For example, European patent law restricts the patentability of methods of treatment of the human body more than United States patent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 party.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the transition from a first-to-invent system to a first-to-file system and changes to the way issued patents are challenged. The formation of the Patent Trial and Appeal Board now provides a quicker and less expensive process for challenging issued patents.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patents or patent applications owned or filed by us, or by our licensors or other collaborators, may be affected by third-party pre-issuance submissions of prior art to the USPTO, or by opposition, derivation, reexamination, inter parties review, post-grant review or interference proceedings.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products or product candidates.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Even if our patent applications issue as patents, and they are unchallenged, our issued patents and pending patent applications,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for the purpose of assigning or granting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Patent protection and other intellectual property protection are crucial to the success of our business and prospects, and there is a substantial risk that such protections may prove inadequate.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methods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extensions under the Hatch-Waxman Act and similar foreign legislation extending the terms of our licensed patents and any future patents we may own, our business may be materially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Act. The Hatch-Waxman Act permit a patent term extension of up to five years as compensation for patent term lost during the FDA regulatory review process. A patent term extension cannot extend the remaining term of a patent beyond fourteen years from the date of product approval by the FDA, and only one patent covering the approved product may be extended.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what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typically are very expensive, time-consuming and disruptive to our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asserted patents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the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Competing drugs may also be sold in other countries in which our patent coverage might not exist or be as strong as in the United States. If we lose a foreign patent lawsuit, alleging our infringement of a competitor’s patents, we could be prevented from marketing our drugs in one or more foreign countries. Any of these outcomes would have a material adverse effect on our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or product candidates or proprietary technologies may infringe. Similarly, there may be issued patents relevant to our product or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aware of certain patents that may pose issues for our commercialization of our product and product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assurance can be given that patents issued to third parties do not exist, have not been filed, or could not be filed or issued, which contain claims covering their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products or product candidates that we may in-license or acquire could be subject to similar risks and uncertainties.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in which case our business could be harmed, possibly materially. For example, we engage extensively with third parties, including academic institutions, to conduct non-clinical and clinical research on our product and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 or violate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Organization and Governance, Strategy, Employees and Growth Management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key management, commercial, and clinical development personnel, we may be unable to successfully develop or commercialize our product and product candidates.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medical affairs, and commercial personnel, particularly in MS,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If we are not able to attract and retain the necessary personnel to accomplish our business objectives, we may experience constraints that will significantly impede the achievement of our development and commercialization objectives, our ability to raise additional capital, and our ability to implement our business strategy. ​</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November 5, 2024, we had 319 employees. To manage our anticipated future growth and focus in neurology and immunology, we must continue to implement and improve our managerial, operational and financial systems, and continue to recruit and train additional qualified personnel. Also, our management may need to divert a disproportionate amount of its attention away from its day-to-day activities and devote a substantial amount of time to managing these activities. Due to our limited resources, we may not be able to effectively manage the expansion and shift of our operations or recruit and train additional qualified personnel. This may result in weaknesses in our infrastructure, give rise to operational mistakes, loss of business opportunities, loss of employees and reduced productivity among remaining employees. If our management is unable to effectively manage our transition to a strategy primarily focused on neurology and immunology,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changes to our business.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help manage the evolving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when needed, we may be unable to successfully implement the tasks necessary to achieve our research, development and commercialization goals.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2023, we had federal net operating loss carryforwards of approximately $1.4 billion,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Coronavirus Aid, Relief, and Economic Security (CARES) Act was signed by President Trump.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of our executive officers, directors and stockholders own more than 5%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7"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3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development programs and our commercialization of any products for which we receive regulatory approval.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even more so due to the conflict between Russia and Ukraine.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Key national economies, including the United States, have been affected from time to time by economic downturns or recessions, supply chain constraints, rising inflation, restricted credit, poor liquidity, reduced corporate profitability, debt, equity and foreign exchange market volatility, bankruptcies, rising interest rates, unemployment rates and overall uncertainty with respect to the economy. Increasing interest rates in the United States to respond to inflationary pressures and market volatility, as well as the government closures of Silicon Valley Bank and Signature Bank and liquidity concerns at other financial institutions, could negatively impact our results of operations and financial condition. In addition, increased interest rates or a general economic downturn or recession could reduce our ability to raise additional capital when needed on acceptable terms, if at all. A weak or declining economy, supply disruptions or international trade disputes could also strain our third-party suppliers, possibly resulting in supply disruption.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Likewise, the capital and credit markets may be adversely affected by the conflicts between Russia and Ukraine and Israel and Hamas, the possibility of wider European, Middle Eastern or other geopolitical tensions, and the global sanctions imposed in response thereto. Other international events such as trade disputes, separatist movements, leadership changes and political and military conflicts could also adversely affect global financial activity and markets and could negatively affect the U.S. economy. These conditions could result in decreased economic activity, heightened risk of cyberattacks and inflation, as well as impact our ability to raise capital. Additionally, the Federal Reserve Board (FRB) and other major central banks have been consistently removing or reducing monetary accommodation, increasing the risk of recession and also potentially negatively impacting asset values and credit spreads that were boosted by extraordinary monetary stimulus.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marketed product and services. We cannot anticipate all of the ways in which the foregoing, and the current economic climate and financial market conditions, could adversely impact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another example, in August 2022, the Inflation Reduction Act of 2022 (the IRA) was enacted, and, among other things, included a new 15% alternative minimum tax on the adjusted financial statement income of certain large corporations for tax years beginning after December 31, 2022. To the extent that such changes have a negative impact on us, including as a result of related uncertainty, these changes could adversely impact our business, results of operations and financial position. On December 14, 2023, President Biden announced that, under the IRA, dozens of pharmaceutical companies are required to pay rebates to Medicare for price hikes on prescription drugs.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Being a Publicly Traded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we expect it to remain, volatile, which could limit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sell our stock at a profit.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subject to wide fluctuations in price in response to various factors, many of which are beyond our control. These factors include, among others:</w:t>
      </w:r>
    </w:p>
    <w:p>
      <w:pPr>
        <w:spacing w:after="0" w:line="162"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U.S. market;</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reception and success of BRIUMVI in the German market and the anticipated launch of BRIUMVI in additional European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regarding actual or potential clinical results relating to our product or products under development by our competitors or 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completing or analyzing nonclinical or clinical trials or the unsatisfactory design or results of these trials;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or rejection of regulatory approvals by us or our competitors;</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review for products and product candidates we may develop, and any adverse development or perceived adverse development with respect to the applicable regulatory authority’s review of such filings, including without limitation a change to the projected approval date, scheduling of an advisory committee meeting or issuance of a “refusal to file” letter;</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or new commercial products by our competitors or us;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market conditions or other crises and other external factors such as the disruptions in the global economy caused by health epidemics, the conflict between Russia and Ukraine, and the Israel-Hamas war;</w:t>
      </w: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revenues and other results of operations;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our revenue projections or guidance;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repurchase of shares of our common stock pursuant to our share repurchase program;</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occurrences of any of the other risks described in this Quarterly Report.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not be able to control many of these factors, and we believe that period-to-period comparisons of our financial results will not necessarily be indicative of our future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 As a result of this volatility, investors may not be able to sell their common stock at or above the price paid for the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corporate social responsibility and reputational matters.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reputation and the reputation of our brands, including the perception held by our customers, end-users, business partners, investors, other key stakeholders and the communities in which we do business are influenced by various factors. There is an increased focus from our stakeholders on Environmental, Social, and Governance (ESG) practices and disclosure - and if we fail, or are perceived to have failed, in any number of ESG matters, such as environmental stewardship, inclusion and diversity, workplace conduct and support for local communities, or if we fail, or are perceived to have failed, to effectively respond to changes in legal or regulatory requirements concerning climate change or other sustainability concerns, our reputation or the reputation of our brands may suffer. Such damage to our reputation and the reputation of our brands may negatively impact our business, financial condition and results of operations. In addition, negative or inaccurate postings or comments on social media or networking websites about the Company or our brands could generate adverse publicity that could damage our reputation or the reputation of our brands. If we are unable to effectively manage real or perceived issues, including concerns about product quality, safety, corporate social responsibility or other matters, sentiments toward the Company or our products could be negatively impacted, and our financial results could suffer.</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supply chain, results of operations, financial condition and growth prospects.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results of operations, financial condition and growth prospects. The adverse impacts of climate change include (i) physical risks such as increased frequency and severity of natural disasters and extreme weather events such as hurricanes, tornados, wildfires (exacerbated by drought), flooding, and extreme heat, (ii) risks in transitioning to a low-carbon economy (such as additional legal or regulatory requirements, changes in technology, market risk and reputational risk) and (iii) social and human effects (such as population dislocations and harm to health and well-being).</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Since we currently rely on single contract manufacturers to produce our commercial products, extreme weather and sea level rise pose physical risks to the facilities of our manufacturing partners. Such risks include losses incurred as a result of physical damage to facilities, loss or spoilage of inventory, and operational disruptions caused by such natural disasters and extreme weather events. Loss of access to the facilities of our manufacturing partners may result in increased costs, delays in the development of our products or interruption of our business operations. Any disaster recovery and business continuity plans that our we or our third-party manufacturers have in place may prove inadequate in the event of a serious natural disaster or similar event. We may incur substantial expenses as a result of the limited nature of these disaster recovery and business continuity plans, which could have a material adverse effect on our business.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long-term effects of climate change on general economic conditions and the pharmaceutical industry in particular are unclear and may heighten or intensify the existing risk of natural disasters. As part of our risk management policy, we maintain insurance coverage at levels that we believe are appropriate for our business. However, we cannot assure you that such insurance coverage will be sufficient to satisfy any damages and losses we may directly or indirectly incur. If the manufacturing facilities of our third-party manufacturers are unable to operate for any reason, even for a short period of time, any or all of our research and development programs or commercialization efforts may be harmed. Any material interruption could have a material and adverse effect on our business.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also be enacted to prevent, mitigate, or adapt to the implications of a changing climate and its effects on the environment. These regulations, which may differ across jurisdictions, could result in our manufacturing partners being subject to new or expanded carbon pricing or taxes, increased compliance costs, restrictions on greenhouse gas emissions, investment in new technologies, increased carbon disclosure and transparency, upgrading of facilities to meet new building codes, and the redesign of utility systems, which could increase our third-party manufacturers’ operating costs, including the cost of electricity and energy used to develop our products. Our supply chain as a whole would likely be subject to these same transitional risks and would likely pass along any increased costs to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likely be the sole source of gain for our stockholders.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However, any future determination relating to the use of our future earnings, if any, will be made at the discretion of the Board of Directors and will depend on a number of factors, including capital requirements, financial conditions, future prospects, contractual restrictions and covenants and other factors that the Board of Directors may deem relevant. In addition, under the Financing Agreement, with Blue Owl Capital and HealthCare Royalty,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likely the sole source of gain for our stockholders for the foreseeable future.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ectPr>
          <w:pgSz w:w="11900" w:h="16838" w:orient="portrait"/>
          <w:cols w:equalWidth="0" w:num="1">
            <w:col w:w="11240"/>
          </w:cols>
          <w:pgMar w:left="320" w:top="121" w:right="339" w:bottom="177"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7"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 and result in a loss of investor confidence in our financial reports.</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related to non-routine share-based payment awards, and if our remediation of such material weakness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preparation of our unaudited condensed consolidated financial statements for the period ended June 30, 2024, we identified a material weakness in our internal control over financial reporting related to controls around non-routine share-based payment awards.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 identified pertains to certain process-level controls over share-based payment awards for stock awards with market conditions. To remediate the material weakness in the Company’s internal control over financial reporting, the Company will implement enhanced risk assessment procedures to ensure that all non-routine share-based grants are appropriately identified and evaluated. Further, the Company will design additional preventative controls around non-routine share-based payment awards to ensure the appropriate recognition and measurement of such awards at the grant date.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material weakness will not be considered remediated until the applicable controls operate for a sufficient period of time to enable management and our independent registered public accounting firm to test and to conclude that these controls are operating effectively. Until this material weakness is remediated, we plan to continue to perform additional analyses and other procedures to ensure that our consolidated financial statements are prepared in accordance with GAAP.</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further implement and maintain effective internal control over financial reporting or disclosure controls and procedures, our ability to record, process and report financial information accurately, and to prepare financial statements within required time periods could be adversely affected, which could subject us to litigation or investigations requiring management resources and payment of legal and other expenses, negatively affect investor confidence in our financial statements and adversely impact our stock price.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we cannot assure you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could adversely affect the results of periodic management evaluations.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Volatility​ in the price of our common stock may subject us to securities and shareholder derivative litigation, which could cause us to incur substantial costs and divert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attention, financial resources and other company assets.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securities class action and shareholder derivative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in which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be further consummated or will enhance stockholder value, our share repurchase program could affect the price of our common stock and increase volatility and may be suspended or terminated at any time, which may result in a decrease in the trading price of our common stock.</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August 2024, we announced that our Board of Directors had authorized a share repurchase program of up to $100 million of our outstanding shares of common stock. We intend to repurchase shares of our common stock from time to time, as authorized by our Board of Directors, through open market purchases, in privately negotiated transactions or by other means, including through the use of trading plans intended to qualify under Rule 10b5-1 under the Exchange Act, in accordance with applicable securities laws and other restrictions. The timing and the amount of stock repurchases in the share repurchase program will be determined by our management, based on its evaluation of factors including business and market conditions, corporate and regulatory requirements, and other considerations. The share repurchase program does not have a fixed expiration date, may be suspended or discontinued at any time, and does not obligate us to acquire any amount of our common stock.</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of any future share repurchases or share repurchase program authorizations. The timing and manner of any share repurchases will depend upon, among other factors, our cash balances and potential future capital requirements, results of operations and financial condition, alternative investment opportunities, restrictions under any of our agreements, business economic and market conditions, corporate and regulatory requirements the price of our Common Stock on the NASDAQ Capital Market, and other factors that we may deem relevant. We can provide no assurance that we will repurchase shares of our Common Stock at favorable prices, if at all</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Repurchases pursuant to our share repurchase program could affect our stock price and increase its volatility or diminish our cash reserves, which may impact our ability to finance our future operations. The existence of a share repurchase program could also cause our stock price to be higher than it would be in the absence of such a program and could potentially reduce the market liquidity for our common stock. There can be no assurance that any repurchases will enhance shareholder value, because the market price of our common stock may decline below the levels at which we repurchased our common stock. Although our share repurchase program is intended to enhance long-term shareholder value, short-term stock price fluctuations could reduce the share repurchase program’s effectiveness.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6"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520" w:type="dxa"/>
            <w:vAlign w:val="bottom"/>
            <w:tcBorders>
              <w:top w:val="single" w:sz="8" w:color="auto"/>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70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33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840" w:type="dxa"/>
            <w:vAlign w:val="bottom"/>
            <w:tcBorders>
              <w:right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Period</w:t>
            </w:r>
          </w:p>
        </w:tc>
        <w:tc>
          <w:tcPr>
            <w:tcW w:w="168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(a)</w:t>
            </w:r>
          </w:p>
        </w:tc>
        <w:tc>
          <w:tcPr>
            <w:tcW w:w="170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(b)</w:t>
            </w:r>
          </w:p>
        </w:tc>
        <w:tc>
          <w:tcPr>
            <w:tcW w:w="166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(c)</w:t>
            </w:r>
          </w:p>
        </w:tc>
        <w:tc>
          <w:tcPr>
            <w:tcW w:w="3380" w:type="dxa"/>
            <w:vAlign w:val="bottom"/>
            <w:tcBorders>
              <w:right w:val="single" w:sz="8" w:color="auto"/>
            </w:tcBorders>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3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Maximum Number (or Approximate</w:t>
            </w:r>
          </w:p>
        </w:tc>
        <w:tc>
          <w:tcPr>
            <w:tcW w:w="0" w:type="dxa"/>
            <w:vAlign w:val="bottom"/>
          </w:tcPr>
          <w:p>
            <w:pPr>
              <w:spacing w:after="0"/>
              <w:rPr>
                <w:sz w:val="1"/>
                <w:szCs w:val="1"/>
                <w:color w:val="auto"/>
              </w:rPr>
            </w:pPr>
          </w:p>
        </w:tc>
      </w:tr>
      <w:tr>
        <w:trPr>
          <w:trHeight w:val="108"/>
        </w:trPr>
        <w:tc>
          <w:tcPr>
            <w:tcW w:w="284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7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3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84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1660" w:type="dxa"/>
            <w:vAlign w:val="bottom"/>
            <w:tcBorders>
              <w:right w:val="single" w:sz="8" w:color="auto"/>
            </w:tcBorders>
            <w:vMerge w:val="continue"/>
          </w:tcPr>
          <w:p>
            <w:pPr>
              <w:spacing w:after="0"/>
              <w:rPr>
                <w:sz w:val="9"/>
                <w:szCs w:val="9"/>
                <w:color w:val="auto"/>
              </w:rPr>
            </w:pPr>
          </w:p>
        </w:tc>
        <w:tc>
          <w:tcPr>
            <w:tcW w:w="33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Dollar Value) of Shares (or Units) that May</w:t>
            </w:r>
          </w:p>
        </w:tc>
        <w:tc>
          <w:tcPr>
            <w:tcW w:w="0" w:type="dxa"/>
            <w:vAlign w:val="bottom"/>
          </w:tcPr>
          <w:p>
            <w:pPr>
              <w:spacing w:after="0"/>
              <w:rPr>
                <w:sz w:val="1"/>
                <w:szCs w:val="1"/>
                <w:color w:val="auto"/>
              </w:rPr>
            </w:pPr>
          </w:p>
        </w:tc>
      </w:tr>
      <w:tr>
        <w:trPr>
          <w:trHeight w:val="108"/>
        </w:trPr>
        <w:tc>
          <w:tcPr>
            <w:tcW w:w="284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170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3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8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vMerge w:val="continue"/>
          </w:tcPr>
          <w:p>
            <w:pPr>
              <w:spacing w:after="0"/>
              <w:rPr>
                <w:sz w:val="16"/>
                <w:szCs w:val="16"/>
                <w:color w:val="auto"/>
              </w:rPr>
            </w:pPr>
          </w:p>
        </w:tc>
        <w:tc>
          <w:tcPr>
            <w:tcW w:w="170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per Share (or Unit)</w:t>
            </w:r>
          </w:p>
        </w:tc>
        <w:tc>
          <w:tcPr>
            <w:tcW w:w="1660" w:type="dxa"/>
            <w:vAlign w:val="bottom"/>
            <w:tcBorders>
              <w:right w:val="single" w:sz="8" w:color="auto"/>
            </w:tcBorders>
            <w:vMerge w:val="continue"/>
          </w:tcPr>
          <w:p>
            <w:pPr>
              <w:spacing w:after="0"/>
              <w:rPr>
                <w:sz w:val="16"/>
                <w:szCs w:val="16"/>
                <w:color w:val="auto"/>
              </w:rPr>
            </w:pPr>
          </w:p>
        </w:tc>
        <w:tc>
          <w:tcPr>
            <w:tcW w:w="338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Yet Be Purchased Under the Plans or</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33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Programs*</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Plans or Programs</w:t>
            </w:r>
          </w:p>
        </w:tc>
        <w:tc>
          <w:tcPr>
            <w:tcW w:w="33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July 2024</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33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(July 1st to July 31st, 2024)</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August 2024</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9,000</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$23.58</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9,000</w:t>
            </w:r>
          </w:p>
        </w:tc>
        <w:tc>
          <w:tcPr>
            <w:tcW w:w="33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$99,787,788</w:t>
            </w: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(August 1st to August 31st, 2024)</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September 2024</w:t>
            </w: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83,301</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$23.25</w:t>
            </w:r>
          </w:p>
        </w:tc>
        <w:tc>
          <w:tcPr>
            <w:tcW w:w="16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83,301</w:t>
            </w:r>
          </w:p>
        </w:tc>
        <w:tc>
          <w:tcPr>
            <w:tcW w:w="33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$97,851,216</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(September 1st to September 30th,</w:t>
            </w:r>
          </w:p>
        </w:tc>
        <w:tc>
          <w:tcPr>
            <w:tcW w:w="168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3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92,301</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$23.28</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92,301</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$97,851,216</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fees are excluded.</w:t>
      </w:r>
    </w:p>
    <w:p>
      <w:pPr>
        <w:spacing w:after="0" w:line="22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August 2, 2024, the Company announced that its Board of Directors had authorized and approved a share repurchase program for up to $100 million of the currently outstanding shares of the Company’s common stock. Repurchases under the program may be made using open market purchases, privately negotiated transactions, block purchases or other methods in accordance with applicable federal securities laws, including Rule 10b-18 of the Exchange Act. The share repurchase program does not have a fixed expiration date, may be suspended or discontinued at any time, and does not obligate us to acquire any particular amount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OF SENIOR SECURITIES.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During the three months ended September 30, 2024, none of our directors or executive officers adopted or terminated any contract, instruction or written plan for the purchase or sale of the Company’s securities that was intended to satisfy the affirmative defense conditions of Rule 10b5-1(c) or any “non-Rule 10b5-1 trading arrangement,” as each term is defined in Item 408(a) of Regulation S-K. ​</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on the Exhibit Index are included with this report.</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w w:val="99"/>
              </w:rPr>
              <w:t>Master Services Agreement between FUJIFILM DIOSYNTH BIOTECHNOLOGIES NORTH CAROLINA, INC, FUJIFILM</w:t>
            </w:r>
          </w:p>
        </w:tc>
        <w:tc>
          <w:tcPr>
            <w:tcW w:w="400" w:type="dxa"/>
            <w:vAlign w:val="bottom"/>
            <w:gridSpan w:val="5"/>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080" w:type="dxa"/>
            <w:vAlign w:val="bottom"/>
            <w:tcBorders>
              <w:bottom w:val="single" w:sz="8" w:color="0000EE"/>
            </w:tcBorders>
            <w:gridSpan w:val="4"/>
            <w:vMerge w:val="continue"/>
          </w:tcPr>
          <w:p>
            <w:pPr>
              <w:spacing w:after="0"/>
              <w:rPr>
                <w:sz w:val="13"/>
                <w:szCs w:val="13"/>
                <w:color w:val="auto"/>
              </w:rPr>
            </w:pPr>
          </w:p>
        </w:tc>
        <w:tc>
          <w:tcPr>
            <w:tcW w:w="4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640" w:type="dxa"/>
            <w:vAlign w:val="bottom"/>
            <w:vMerge w:val="continue"/>
          </w:tcPr>
          <w:p>
            <w:pPr>
              <w:spacing w:after="0"/>
              <w:rPr>
                <w:sz w:val="11"/>
                <w:szCs w:val="11"/>
                <w:color w:val="auto"/>
              </w:rPr>
            </w:pPr>
          </w:p>
        </w:tc>
        <w:tc>
          <w:tcPr>
            <w:tcW w:w="9480" w:type="dxa"/>
            <w:vAlign w:val="bottom"/>
            <w:gridSpan w:val="9"/>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DIOSYNTH BIOTECHNOLOGIES DENMARK APS and TG Therapeutics, Inc., effective October 8, 2024.</w:t>
            </w:r>
          </w:p>
        </w:tc>
        <w:tc>
          <w:tcPr>
            <w:tcW w:w="0" w:type="dxa"/>
            <w:vAlign w:val="bottom"/>
          </w:tcPr>
          <w:p>
            <w:pPr>
              <w:spacing w:after="0"/>
              <w:rPr>
                <w:sz w:val="1"/>
                <w:szCs w:val="1"/>
                <w:color w:val="auto"/>
              </w:rPr>
            </w:pPr>
          </w:p>
        </w:tc>
      </w:tr>
      <w:tr>
        <w:trPr>
          <w:trHeight w:val="68"/>
        </w:trPr>
        <w:tc>
          <w:tcPr>
            <w:tcW w:w="1640" w:type="dxa"/>
            <w:vAlign w:val="bottom"/>
          </w:tcPr>
          <w:p>
            <w:pPr>
              <w:spacing w:after="0"/>
              <w:rPr>
                <w:sz w:val="5"/>
                <w:szCs w:val="5"/>
                <w:color w:val="auto"/>
              </w:rPr>
            </w:pPr>
          </w:p>
        </w:tc>
        <w:tc>
          <w:tcPr>
            <w:tcW w:w="948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60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Rule 13a-14(a)/15d-14(a), as adopted pursuant to Section 302 of the Sarbanes-</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dated November 7, 2024.</w:t>
            </w:r>
          </w:p>
        </w:tc>
        <w:tc>
          <w:tcPr>
            <w:tcW w:w="6160" w:type="dxa"/>
            <w:vAlign w:val="bottom"/>
            <w:tcBorders>
              <w:top w:val="single" w:sz="8" w:color="0000EE"/>
            </w:tcBorders>
            <w:gridSpan w:val="5"/>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3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13a-14(a)/15d-14(a), as adopted pursuant to Section 302 of the Sarbanes-</w:t>
            </w: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32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 dated November 7, 2024.</w:t>
            </w:r>
          </w:p>
        </w:tc>
        <w:tc>
          <w:tcPr>
            <w:tcW w:w="6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1350, as adopted pursuant to Section 906 of the Sarbanes-Oxley Act</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94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of 2002, dated November 7, 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69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94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1350, as adopted pursuant to Section 906 of the Sarbanes-Oxley Act</w:t>
            </w: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94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of 2002, dated November 7, 2024.</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0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The following financial information from the Company’s Quarterly Report on Form 10-Q for the period ended September 30, 2024,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 (i) the Condensed Consolidated Balance Sheets, (ii) the</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(iii) the Condensed Consolidated Statements of Changes in</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Stockholders’ Equity, (iv) the Condensed Consolidated Statements of Cash Flows, and (v) Notes to the Condensed Consolidated</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Statements (filed herewith).</w:t>
            </w:r>
          </w:p>
        </w:tc>
        <w:tc>
          <w:tcPr>
            <w:tcW w:w="0" w:type="dxa"/>
            <w:vAlign w:val="bottom"/>
          </w:tcPr>
          <w:p>
            <w:pPr>
              <w:spacing w:after="0"/>
              <w:rPr>
                <w:sz w:val="1"/>
                <w:szCs w:val="1"/>
                <w:color w:val="auto"/>
              </w:rPr>
            </w:pPr>
          </w:p>
        </w:tc>
      </w:tr>
      <w:tr>
        <w:trPr>
          <w:trHeight w:val="234"/>
        </w:trPr>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94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ind w:left="140" w:hanging="132"/>
        <w:spacing w:after="0"/>
        <w:tabs>
          <w:tab w:leader="none" w:pos="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have been omitted pursuant to Item 601(b) of Regulation S-K.</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60" w:firstLine="50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TG THERAPEUTICS, INC.</w:t>
            </w:r>
          </w:p>
        </w:tc>
        <w:tc>
          <w:tcPr>
            <w:tcW w:w="0" w:type="dxa"/>
            <w:vAlign w:val="bottom"/>
          </w:tcPr>
          <w:p>
            <w:pPr>
              <w:spacing w:after="0"/>
              <w:rPr>
                <w:sz w:val="1"/>
                <w:szCs w:val="1"/>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75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By:  /s/ Sean A. Power</w:t>
            </w: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A. Power</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6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660" w:type="dxa"/>
            <w:vAlign w:val="bottom"/>
            <w:vMerge w:val="continue"/>
          </w:tcPr>
          <w:p>
            <w:pPr>
              <w:spacing w:after="0"/>
              <w:rPr>
                <w:sz w:val="18"/>
                <w:szCs w:val="18"/>
                <w:color w:val="auto"/>
              </w:rPr>
            </w:pPr>
          </w:p>
        </w:tc>
        <w:tc>
          <w:tcPr>
            <w:tcW w:w="24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84</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2400" w:type="dxa"/>
            <w:vAlign w:val="bottom"/>
            <w:vMerge w:val="continue"/>
          </w:tcPr>
          <w:p>
            <w:pPr>
              <w:spacing w:after="0"/>
              <w:rPr>
                <w:sz w:val="18"/>
                <w:szCs w:val="18"/>
                <w:color w:val="auto"/>
              </w:rPr>
            </w:pP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156845</wp:posOffset>
            </wp:positionV>
            <wp:extent cx="6943725" cy="5023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43725" cy="5023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40" w:hanging="247"/>
        <w:spacing w:after="0"/>
        <w:tabs>
          <w:tab w:leader="none" w:pos="1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FUJIFILM DIOSYNTH BIOTECHNOLOGIES NORTH CAROLINA, INC.;</w:t>
      </w:r>
    </w:p>
    <w:p>
      <w:pPr>
        <w:spacing w:after="0" w:line="200" w:lineRule="exact"/>
        <w:rPr>
          <w:rFonts w:ascii="Times New Roman" w:cs="Times New Roman" w:eastAsia="Times New Roman" w:hAnsi="Times New Roman"/>
          <w:sz w:val="18"/>
          <w:szCs w:val="18"/>
          <w:b w:val="1"/>
          <w:bCs w:val="1"/>
          <w:color w:val="auto"/>
        </w:rPr>
      </w:pPr>
    </w:p>
    <w:p>
      <w:pPr>
        <w:spacing w:after="0" w:line="241" w:lineRule="exact"/>
        <w:rPr>
          <w:rFonts w:ascii="Times New Roman" w:cs="Times New Roman" w:eastAsia="Times New Roman" w:hAnsi="Times New Roman"/>
          <w:sz w:val="18"/>
          <w:szCs w:val="18"/>
          <w:b w:val="1"/>
          <w:bCs w:val="1"/>
          <w:color w:val="auto"/>
        </w:rPr>
      </w:pPr>
    </w:p>
    <w:p>
      <w:pPr>
        <w:ind w:left="4300" w:right="2940" w:hanging="2473"/>
        <w:spacing w:after="0" w:line="751" w:lineRule="auto"/>
        <w:tabs>
          <w:tab w:leader="none" w:pos="2073"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FUJIFILM DIOSYNTH BIOTECHNOLOGIES DENMARK APS AND</w:t>
      </w:r>
    </w:p>
    <w:p>
      <w:pPr>
        <w:ind w:left="3540" w:hanging="258"/>
        <w:spacing w:after="0"/>
        <w:tabs>
          <w:tab w:leader="none" w:pos="3540" w:val="left"/>
        </w:tabs>
        <w:numPr>
          <w:ilvl w:val="2"/>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TG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1528445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2002790</wp:posOffset>
            </wp:positionH>
            <wp:positionV relativeFrom="paragraph">
              <wp:posOffset>705485</wp:posOffset>
            </wp:positionV>
            <wp:extent cx="1714500" cy="4629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14500" cy="46291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Definitions and Interpretation</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Appointment of Fujifilm AND SCOPE OF SERVICES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of Program</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Quality AND REGULATORY MATTERS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Conforming batches AND NON-CONFORMING BATCHES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Delivery, TITLE AND RISK</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and Payment</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Intellectual Property Indemnity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Confidentiality</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DELAY, Cancellation, Termination AND CONSEQUENCES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Force Majeure</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Dispute Resolution</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Export/IMPORT Controls AND SANCTIONS COMPLIANCE</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MODERN SLAVERY AND CORRUPTION</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Assignment AND SUB-CONTRACTING</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Governing Law</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2FORECASTING AND ORDERS</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Schedule 3Addresses for Notice</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4</w:t>
            </w: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PSA Template</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Signature Page</w:t>
            </w:r>
          </w:p>
        </w:tc>
        <w:tc>
          <w:tcPr>
            <w:tcW w:w="7260" w:type="dxa"/>
            <w:vAlign w:val="bottom"/>
            <w:shd w:val="clear" w:color="auto" w:fill="CCEEFF"/>
          </w:tcPr>
          <w:p>
            <w:pPr>
              <w:spacing w:after="0"/>
              <w:rPr>
                <w:sz w:val="18"/>
                <w:szCs w:val="18"/>
                <w:color w:val="auto"/>
              </w:rPr>
            </w:pP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74"/>
        </w:trPr>
        <w:tc>
          <w:tcPr>
            <w:tcW w:w="112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 xml:space="preserve">THIS AGREEMENT </w:t>
      </w:r>
      <w:r>
        <w:rPr>
          <w:rFonts w:ascii="Times New Roman" w:cs="Times New Roman" w:eastAsia="Times New Roman" w:hAnsi="Times New Roman"/>
          <w:sz w:val="18"/>
          <w:szCs w:val="18"/>
          <w:color w:val="auto"/>
        </w:rPr>
        <w:t>is made on the date it is signed by the last signing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ind w:left="660" w:right="80" w:hanging="652"/>
        <w:spacing w:after="0" w:line="28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FUJIFILM DIOSYNTH BIOTECHNOLOGIES NORTH CAROLINA, INC. </w:t>
      </w:r>
      <w:r>
        <w:rPr>
          <w:rFonts w:ascii="Times New Roman" w:cs="Times New Roman" w:eastAsia="Times New Roman" w:hAnsi="Times New Roman"/>
          <w:sz w:val="18"/>
          <w:szCs w:val="18"/>
          <w:color w:val="auto"/>
        </w:rPr>
        <w:t>at 100 Biotechnology Avenue, Holly Springs, NC 27540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 (“</w:t>
      </w:r>
      <w:r>
        <w:rPr>
          <w:rFonts w:ascii="Times New Roman" w:cs="Times New Roman" w:eastAsia="Times New Roman" w:hAnsi="Times New Roman"/>
          <w:sz w:val="18"/>
          <w:szCs w:val="18"/>
          <w:b w:val="1"/>
          <w:bCs w:val="1"/>
          <w:color w:val="auto"/>
        </w:rPr>
        <w:t>FDBN</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660" w:right="80" w:hanging="652"/>
        <w:spacing w:after="0" w:line="28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FUJIFILM DIOSYNTH BIOTECHNOLOGIES DENMARK APS </w:t>
      </w:r>
      <w:r>
        <w:rPr>
          <w:rFonts w:ascii="Times New Roman" w:cs="Times New Roman" w:eastAsia="Times New Roman" w:hAnsi="Times New Roman"/>
          <w:sz w:val="18"/>
          <w:szCs w:val="18"/>
          <w:color w:val="auto"/>
        </w:rPr>
        <w:t>incorporated and registered in Denmark with company number 26060702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registered office is at Biotek Alle 1, 3400 Hillerød, Denmark (“</w:t>
      </w:r>
      <w:r>
        <w:rPr>
          <w:rFonts w:ascii="Times New Roman" w:cs="Times New Roman" w:eastAsia="Times New Roman" w:hAnsi="Times New Roman"/>
          <w:sz w:val="18"/>
          <w:szCs w:val="18"/>
          <w:b w:val="1"/>
          <w:bCs w:val="1"/>
          <w:color w:val="auto"/>
        </w:rPr>
        <w:t>FDBD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w:t>
      </w:r>
    </w:p>
    <w:p>
      <w:pPr>
        <w:spacing w:after="0" w:line="154" w:lineRule="exact"/>
        <w:rPr>
          <w:rFonts w:ascii="Times New Roman" w:cs="Times New Roman" w:eastAsia="Times New Roman" w:hAnsi="Times New Roman"/>
          <w:sz w:val="18"/>
          <w:szCs w:val="18"/>
          <w:color w:val="auto"/>
        </w:rPr>
      </w:pPr>
    </w:p>
    <w:p>
      <w:pPr>
        <w:ind w:left="660" w:right="80" w:hanging="652"/>
        <w:spacing w:after="0" w:line="28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TG THERAPUTICS, INC. </w:t>
      </w:r>
      <w:r>
        <w:rPr>
          <w:rFonts w:ascii="Times New Roman" w:cs="Times New Roman" w:eastAsia="Times New Roman" w:hAnsi="Times New Roman"/>
          <w:sz w:val="18"/>
          <w:szCs w:val="18"/>
          <w:color w:val="auto"/>
        </w:rPr>
        <w:t>a Delaware Corporation whose registered office is at 3020 Carrington Mill Bvld, Suite 475, Morrisville, NC 27560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left="660" w:right="100" w:hanging="652"/>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Fujifilm (as defined below) is a biopharmaceutical contract development and manufacturing organization. Customer wishes to appoint Fujifilm to carry out development and manufacturing services in relation to certain of the Customer’s products.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Fujifilm and the Customer have agreed to work together on the terms and conditions contained in this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22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AND INTERPRETATION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In this Agreement the following words have the following meanings unless inconsistent with the context: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“Actual Production Expenditure” </w:t>
      </w:r>
      <w:r>
        <w:rPr>
          <w:rFonts w:ascii="Times New Roman" w:cs="Times New Roman" w:eastAsia="Times New Roman" w:hAnsi="Times New Roman"/>
          <w:sz w:val="18"/>
          <w:szCs w:val="18"/>
          <w:color w:val="auto"/>
        </w:rPr>
        <w:t>has the meaning given to it in Schedule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8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means in relation to an entity, each or any other entity who for the time being, directly, or indirectly through</w:t>
            </w:r>
          </w:p>
        </w:tc>
      </w:tr>
      <w:tr>
        <w:trPr>
          <w:trHeight w:val="216"/>
        </w:trPr>
        <w:tc>
          <w:tcPr>
            <w:tcW w:w="2400" w:type="dxa"/>
            <w:vAlign w:val="bottom"/>
          </w:tcPr>
          <w:p>
            <w:pPr>
              <w:spacing w:after="0"/>
              <w:rPr>
                <w:sz w:val="18"/>
                <w:szCs w:val="18"/>
                <w:color w:val="auto"/>
              </w:rPr>
            </w:pPr>
          </w:p>
        </w:tc>
        <w:tc>
          <w:tcPr>
            <w:tcW w:w="8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one or more intermediaries, controls, is controlled by, or is under common control with such entity. For the</w:t>
            </w:r>
          </w:p>
        </w:tc>
      </w:tr>
      <w:tr>
        <w:trPr>
          <w:trHeight w:val="216"/>
        </w:trPr>
        <w:tc>
          <w:tcPr>
            <w:tcW w:w="2400" w:type="dxa"/>
            <w:vAlign w:val="bottom"/>
          </w:tcPr>
          <w:p>
            <w:pPr>
              <w:spacing w:after="0"/>
              <w:rPr>
                <w:sz w:val="18"/>
                <w:szCs w:val="18"/>
                <w:color w:val="auto"/>
              </w:rPr>
            </w:pPr>
          </w:p>
        </w:tc>
        <w:tc>
          <w:tcPr>
            <w:tcW w:w="8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purposes hereof (and clause 14.2), “control” shall mean: (a) holding the majority of the voting rights or share</w:t>
            </w:r>
          </w:p>
        </w:tc>
      </w:tr>
      <w:tr>
        <w:trPr>
          <w:trHeight w:val="216"/>
        </w:trPr>
        <w:tc>
          <w:tcPr>
            <w:tcW w:w="2400" w:type="dxa"/>
            <w:vAlign w:val="bottom"/>
          </w:tcPr>
          <w:p>
            <w:pPr>
              <w:spacing w:after="0"/>
              <w:rPr>
                <w:sz w:val="18"/>
                <w:szCs w:val="18"/>
                <w:color w:val="auto"/>
              </w:rPr>
            </w:pPr>
          </w:p>
        </w:tc>
        <w:tc>
          <w:tcPr>
            <w:tcW w:w="8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capital of such entity; (b) any power (whether direct or indirect and whether by the ownership of share capital,</w:t>
            </w:r>
          </w:p>
        </w:tc>
      </w:tr>
      <w:tr>
        <w:trPr>
          <w:trHeight w:val="216"/>
        </w:trPr>
        <w:tc>
          <w:tcPr>
            <w:tcW w:w="2400" w:type="dxa"/>
            <w:vAlign w:val="bottom"/>
          </w:tcPr>
          <w:p>
            <w:pPr>
              <w:spacing w:after="0"/>
              <w:rPr>
                <w:sz w:val="18"/>
                <w:szCs w:val="18"/>
                <w:color w:val="auto"/>
              </w:rPr>
            </w:pPr>
          </w:p>
        </w:tc>
        <w:tc>
          <w:tcPr>
            <w:tcW w:w="8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possession of voting power, contract, or otherwise) to appoint and/or remove all or such of the members of</w:t>
            </w:r>
          </w:p>
        </w:tc>
      </w:tr>
      <w:tr>
        <w:trPr>
          <w:trHeight w:val="216"/>
        </w:trPr>
        <w:tc>
          <w:tcPr>
            <w:tcW w:w="2400" w:type="dxa"/>
            <w:vAlign w:val="bottom"/>
          </w:tcPr>
          <w:p>
            <w:pPr>
              <w:spacing w:after="0"/>
              <w:rPr>
                <w:sz w:val="18"/>
                <w:szCs w:val="18"/>
                <w:color w:val="auto"/>
              </w:rPr>
            </w:pPr>
          </w:p>
        </w:tc>
        <w:tc>
          <w:tcPr>
            <w:tcW w:w="8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board or other governing body of a body corporate as are able to cast the majority of the votes capable of</w:t>
            </w:r>
          </w:p>
        </w:tc>
      </w:tr>
      <w:tr>
        <w:trPr>
          <w:trHeight w:val="216"/>
        </w:trPr>
        <w:tc>
          <w:tcPr>
            <w:tcW w:w="2400" w:type="dxa"/>
            <w:vAlign w:val="bottom"/>
          </w:tcPr>
          <w:p>
            <w:pPr>
              <w:spacing w:after="0"/>
              <w:rPr>
                <w:sz w:val="18"/>
                <w:szCs w:val="18"/>
                <w:color w:val="auto"/>
              </w:rPr>
            </w:pPr>
          </w:p>
        </w:tc>
        <w:tc>
          <w:tcPr>
            <w:tcW w:w="8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being cast by members of that board or body on all, or substantially all, matters, or (c) otherwise to control or</w:t>
            </w:r>
          </w:p>
        </w:tc>
      </w:tr>
      <w:tr>
        <w:trPr>
          <w:trHeight w:val="234"/>
        </w:trPr>
        <w:tc>
          <w:tcPr>
            <w:tcW w:w="2400" w:type="dxa"/>
            <w:vAlign w:val="bottom"/>
          </w:tcPr>
          <w:p>
            <w:pPr>
              <w:spacing w:after="0"/>
              <w:rPr>
                <w:sz w:val="20"/>
                <w:szCs w:val="20"/>
                <w:color w:val="auto"/>
              </w:rPr>
            </w:pPr>
          </w:p>
        </w:tc>
        <w:tc>
          <w:tcPr>
            <w:tcW w:w="89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have the power to control the policies, management and affairs of that body corporate;</w:t>
            </w:r>
          </w:p>
        </w:tc>
      </w:tr>
      <w:tr>
        <w:trPr>
          <w:trHeight w:val="432"/>
        </w:trPr>
        <w:tc>
          <w:tcPr>
            <w:tcW w:w="2400" w:type="dxa"/>
            <w:vAlign w:val="bottom"/>
          </w:tcPr>
          <w:p>
            <w:pPr>
              <w:spacing w:after="0"/>
              <w:rPr>
                <w:sz w:val="24"/>
                <w:szCs w:val="24"/>
                <w:color w:val="auto"/>
              </w:rPr>
            </w:pPr>
          </w:p>
        </w:tc>
        <w:tc>
          <w:tcPr>
            <w:tcW w:w="88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4"/>
                <w:szCs w:val="24"/>
                <w:color w:val="auto"/>
              </w:rPr>
            </w:pPr>
          </w:p>
        </w:tc>
      </w:tr>
      <w:tr>
        <w:trPr>
          <w:trHeight w:val="115"/>
        </w:trPr>
        <w:tc>
          <w:tcPr>
            <w:tcW w:w="2400" w:type="dxa"/>
            <w:vAlign w:val="bottom"/>
            <w:tcBorders>
              <w:bottom w:val="single" w:sz="8" w:color="auto"/>
            </w:tcBorders>
          </w:tcPr>
          <w:p>
            <w:pPr>
              <w:spacing w:after="0"/>
              <w:rPr>
                <w:sz w:val="10"/>
                <w:szCs w:val="10"/>
                <w:color w:val="auto"/>
              </w:rPr>
            </w:pPr>
          </w:p>
        </w:tc>
        <w:tc>
          <w:tcPr>
            <w:tcW w:w="8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819" w:right="25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“Ancillary Charges”</w:t>
            </w: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has the meaning given to it in clause 8.2.3;</w:t>
            </w:r>
          </w:p>
        </w:tc>
      </w:tr>
      <w:tr>
        <w:trPr>
          <w:trHeight w:val="414"/>
        </w:trPr>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“Ancillary Services”</w:t>
            </w: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has the meaning given to it in Schedule 1 (Charges): see Part 1 for the position pre Commercial Trigger and</w:t>
            </w:r>
          </w:p>
        </w:tc>
      </w:tr>
      <w:tr>
        <w:trPr>
          <w:trHeight w:val="234"/>
        </w:trPr>
        <w:tc>
          <w:tcPr>
            <w:tcW w:w="3000" w:type="dxa"/>
            <w:vAlign w:val="bottom"/>
          </w:tcPr>
          <w:p>
            <w:pPr>
              <w:spacing w:after="0"/>
              <w:rPr>
                <w:sz w:val="20"/>
                <w:szCs w:val="20"/>
                <w:color w:val="auto"/>
              </w:rPr>
            </w:pP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Part 2 for the position post Commercial Trigger;</w:t>
            </w:r>
          </w:p>
        </w:tc>
      </w:tr>
      <w:tr>
        <w:trPr>
          <w:trHeight w:val="432"/>
        </w:trPr>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“Annual Service Fee”</w:t>
            </w: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fee described in Schedule 1;</w:t>
            </w:r>
          </w:p>
        </w:tc>
      </w:tr>
      <w:tr>
        <w:trPr>
          <w:trHeight w:val="414"/>
        </w:trPr>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“Applicable Laws”</w:t>
            </w: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applicable law, regulations and binding guidance which applies in the jurisdiction in which a Program is being</w:t>
            </w:r>
          </w:p>
        </w:tc>
      </w:tr>
      <w:tr>
        <w:trPr>
          <w:trHeight w:val="234"/>
        </w:trPr>
        <w:tc>
          <w:tcPr>
            <w:tcW w:w="3000" w:type="dxa"/>
            <w:vAlign w:val="bottom"/>
          </w:tcPr>
          <w:p>
            <w:pPr>
              <w:spacing w:after="0"/>
              <w:rPr>
                <w:sz w:val="20"/>
                <w:szCs w:val="20"/>
                <w:color w:val="auto"/>
              </w:rPr>
            </w:pP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performed;</w:t>
            </w:r>
          </w:p>
        </w:tc>
      </w:tr>
      <w:tr>
        <w:trPr>
          <w:trHeight w:val="432"/>
        </w:trPr>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“Authorized Third Party”</w:t>
            </w: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has the meaning given to it in clause 12.1;</w:t>
            </w:r>
          </w:p>
        </w:tc>
      </w:tr>
      <w:tr>
        <w:trPr>
          <w:trHeight w:val="414"/>
        </w:trPr>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“Background IP”</w:t>
            </w: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all Intellectual Property Rights controlled, owned or jointly owned by any party (or a third party on its behalf)</w:t>
            </w:r>
          </w:p>
        </w:tc>
      </w:tr>
      <w:tr>
        <w:trPr>
          <w:trHeight w:val="216"/>
        </w:trPr>
        <w:tc>
          <w:tcPr>
            <w:tcW w:w="3000" w:type="dxa"/>
            <w:vAlign w:val="bottom"/>
          </w:tcPr>
          <w:p>
            <w:pPr>
              <w:spacing w:after="0"/>
              <w:rPr>
                <w:sz w:val="18"/>
                <w:szCs w:val="18"/>
                <w:color w:val="auto"/>
              </w:rPr>
            </w:pP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prior to the Effective Date or developed independently from a Program. Fujifilm’s proprietary manufacturing,</w:t>
            </w:r>
          </w:p>
        </w:tc>
      </w:tr>
      <w:tr>
        <w:trPr>
          <w:trHeight w:val="234"/>
        </w:trPr>
        <w:tc>
          <w:tcPr>
            <w:tcW w:w="3000" w:type="dxa"/>
            <w:vAlign w:val="bottom"/>
          </w:tcPr>
          <w:p>
            <w:pPr>
              <w:spacing w:after="0"/>
              <w:rPr>
                <w:sz w:val="20"/>
                <w:szCs w:val="20"/>
                <w:color w:val="auto"/>
              </w:rPr>
            </w:pP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expression or purification technologies, including:</w:t>
            </w:r>
          </w:p>
        </w:tc>
      </w:tr>
      <w:tr>
        <w:trPr>
          <w:trHeight w:val="414"/>
        </w:trPr>
        <w:tc>
          <w:tcPr>
            <w:tcW w:w="300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7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 expression system within the scope of international patent application [***] (the</w:t>
            </w:r>
          </w:p>
        </w:tc>
      </w:tr>
      <w:tr>
        <w:trPr>
          <w:trHeight w:val="234"/>
        </w:trPr>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“pAVEway™ Expression System”);</w:t>
            </w:r>
          </w:p>
        </w:tc>
      </w:tr>
      <w:tr>
        <w:trPr>
          <w:trHeight w:val="414"/>
        </w:trPr>
        <w:tc>
          <w:tcPr>
            <w:tcW w:w="300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7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expression technology within the scope of international patent application [***] (the</w:t>
            </w:r>
          </w:p>
        </w:tc>
      </w:tr>
      <w:tr>
        <w:trPr>
          <w:trHeight w:val="234"/>
        </w:trPr>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“Apollo™ Expression Technology”); and</w:t>
            </w:r>
          </w:p>
        </w:tc>
      </w:tr>
      <w:tr>
        <w:trPr>
          <w:trHeight w:val="414"/>
        </w:trPr>
        <w:tc>
          <w:tcPr>
            <w:tcW w:w="300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w:t>
            </w:r>
          </w:p>
        </w:tc>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Fujifilm’s proprietary alcohol oxidase yeast Pichia pastoris expression system (the “Yeast Expression</w:t>
            </w:r>
          </w:p>
        </w:tc>
      </w:tr>
      <w:tr>
        <w:trPr>
          <w:trHeight w:val="234"/>
        </w:trPr>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System”);</w:t>
            </w:r>
          </w:p>
        </w:tc>
      </w:tr>
      <w:tr>
        <w:trPr>
          <w:trHeight w:val="432"/>
        </w:trPr>
        <w:tc>
          <w:tcPr>
            <w:tcW w:w="3000" w:type="dxa"/>
            <w:vAlign w:val="bottom"/>
          </w:tcPr>
          <w:p>
            <w:pPr>
              <w:spacing w:after="0"/>
              <w:rPr>
                <w:sz w:val="24"/>
                <w:szCs w:val="24"/>
                <w:color w:val="auto"/>
              </w:rPr>
            </w:pP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Fujifilm Expression Technology</w:t>
            </w:r>
            <w:r>
              <w:rPr>
                <w:rFonts w:ascii="Times New Roman" w:cs="Times New Roman" w:eastAsia="Times New Roman" w:hAnsi="Times New Roman"/>
                <w:sz w:val="18"/>
                <w:szCs w:val="18"/>
                <w:color w:val="auto"/>
              </w:rPr>
              <w:t>”) is Fujifilm’s Background IP;</w:t>
            </w:r>
          </w:p>
        </w:tc>
      </w:tr>
      <w:tr>
        <w:trPr>
          <w:trHeight w:val="432"/>
        </w:trPr>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“Batch”</w:t>
            </w: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 quantity of Product that is produced from a run of the Process;</w:t>
            </w:r>
          </w:p>
        </w:tc>
      </w:tr>
      <w:tr>
        <w:trPr>
          <w:trHeight w:val="432"/>
        </w:trPr>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“Batch Cancellation Fee”</w:t>
            </w:r>
          </w:p>
        </w:tc>
        <w:tc>
          <w:tcPr>
            <w:tcW w:w="83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Batch Cancellation Fee described in Schedule 1;</w:t>
            </w:r>
          </w:p>
        </w:tc>
      </w:tr>
      <w:tr>
        <w:trPr>
          <w:trHeight w:val="414"/>
        </w:trPr>
        <w:tc>
          <w:tcPr>
            <w:tcW w:w="3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“Batch Fee”</w:t>
            </w: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w:t>
            </w:r>
          </w:p>
        </w:tc>
        <w:tc>
          <w:tcPr>
            <w:tcW w:w="7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 relation to Batches produced pursuant to the R&amp;D Services, if the Batch Fee is clearly described in</w:t>
            </w:r>
          </w:p>
        </w:tc>
      </w:tr>
      <w:tr>
        <w:trPr>
          <w:trHeight w:val="216"/>
        </w:trPr>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applicable SoW the Batch Fee for that SoW shall be the Batch Fee described in the SoW;</w:t>
            </w:r>
          </w:p>
        </w:tc>
      </w:tr>
      <w:tr>
        <w:trPr>
          <w:trHeight w:val="216"/>
        </w:trPr>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however, if the Batch Fee is not clearly described in the applicable SoW it will be deemed to be, in</w:t>
            </w:r>
          </w:p>
        </w:tc>
      </w:tr>
      <w:tr>
        <w:trPr>
          <w:trHeight w:val="216"/>
        </w:trPr>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respect of any Batch under that SoW, all Charges for Fujifilm Services in respect of the</w:t>
            </w:r>
          </w:p>
        </w:tc>
      </w:tr>
      <w:tr>
        <w:trPr>
          <w:trHeight w:val="234"/>
        </w:trPr>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manufacturing stages carried out in connection with that Batch;</w:t>
            </w:r>
          </w:p>
        </w:tc>
      </w:tr>
      <w:tr>
        <w:trPr>
          <w:trHeight w:val="414"/>
        </w:trPr>
        <w:tc>
          <w:tcPr>
            <w:tcW w:w="3000" w:type="dxa"/>
            <w:vAlign w:val="bottom"/>
          </w:tcPr>
          <w:p>
            <w:pPr>
              <w:spacing w:after="0"/>
              <w:rPr>
                <w:sz w:val="24"/>
                <w:szCs w:val="24"/>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w:t>
            </w:r>
          </w:p>
        </w:tc>
        <w:tc>
          <w:tcPr>
            <w:tcW w:w="7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in relation to Batches produced pursuant to the Commercial Manufacturing Services, the price per</w:t>
            </w:r>
          </w:p>
        </w:tc>
      </w:tr>
      <w:tr>
        <w:trPr>
          <w:trHeight w:val="234"/>
        </w:trPr>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Batch agreed in the applicable PSA;</w:t>
            </w:r>
          </w:p>
        </w:tc>
      </w:tr>
      <w:tr>
        <w:trPr>
          <w:trHeight w:val="432"/>
        </w:trPr>
        <w:tc>
          <w:tcPr>
            <w:tcW w:w="3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8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4"/>
                <w:szCs w:val="24"/>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576" w:right="25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Day”</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7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relation to notices given under this Agreement (rather than a specific Scope of Work or PSA) a day</w:t>
            </w:r>
          </w:p>
        </w:tc>
      </w:tr>
      <w:tr>
        <w:trPr>
          <w:trHeight w:val="216"/>
        </w:trPr>
        <w:tc>
          <w:tcPr>
            <w:tcW w:w="2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 than a Saturday, Sunday, or public holiday in the US or Denmark and/or the country in which</w:t>
            </w:r>
          </w:p>
        </w:tc>
      </w:tr>
      <w:tr>
        <w:trPr>
          <w:trHeight w:val="234"/>
        </w:trPr>
        <w:tc>
          <w:tcPr>
            <w:tcW w:w="2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Customer’s head office is located; and</w:t>
            </w:r>
          </w:p>
        </w:tc>
      </w:tr>
      <w:tr>
        <w:trPr>
          <w:trHeight w:val="414"/>
        </w:trPr>
        <w:tc>
          <w:tcPr>
            <w:tcW w:w="2380" w:type="dxa"/>
            <w:vAlign w:val="bottom"/>
          </w:tcPr>
          <w:p>
            <w:pPr>
              <w:spacing w:after="0"/>
              <w:rPr>
                <w:sz w:val="24"/>
                <w:szCs w:val="24"/>
                <w:color w:val="auto"/>
              </w:rPr>
            </w:pP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7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relation to notices given under a specific Scope of Work or PSA, a day other than a Saturday,</w:t>
            </w:r>
          </w:p>
        </w:tc>
      </w:tr>
      <w:tr>
        <w:trPr>
          <w:trHeight w:val="216"/>
        </w:trPr>
        <w:tc>
          <w:tcPr>
            <w:tcW w:w="2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Sunday, or public holiday in the US if FDBN is a contracting party, Denmark if FDBD is a</w:t>
            </w:r>
          </w:p>
        </w:tc>
      </w:tr>
      <w:tr>
        <w:trPr>
          <w:trHeight w:val="234"/>
        </w:trPr>
        <w:tc>
          <w:tcPr>
            <w:tcW w:w="2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contracting party and/or the country in which the Customer’s head office is located;</w:t>
            </w:r>
          </w:p>
        </w:tc>
      </w:tr>
      <w:tr>
        <w:trPr>
          <w:trHeight w:val="4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“cGMP”</w:t>
            </w: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Represents principles and practices applied to the manufacture of pharmaceutical materials as supported by the</w:t>
            </w:r>
          </w:p>
        </w:tc>
      </w:tr>
      <w:tr>
        <w:trPr>
          <w:trHeight w:val="216"/>
        </w:trPr>
        <w:tc>
          <w:tcPr>
            <w:tcW w:w="2380" w:type="dxa"/>
            <w:vAlign w:val="bottom"/>
          </w:tcPr>
          <w:p>
            <w:pPr>
              <w:spacing w:after="0"/>
              <w:rPr>
                <w:sz w:val="18"/>
                <w:szCs w:val="18"/>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following cGMPs for drugs, as applicable to the material being manufactured (e.g. non-sterile bulk API / Drug</w:t>
            </w:r>
          </w:p>
        </w:tc>
      </w:tr>
      <w:tr>
        <w:trPr>
          <w:trHeight w:val="234"/>
        </w:trPr>
        <w:tc>
          <w:tcPr>
            <w:tcW w:w="2380" w:type="dxa"/>
            <w:vAlign w:val="bottom"/>
          </w:tcPr>
          <w:p>
            <w:pPr>
              <w:spacing w:after="0"/>
              <w:rPr>
                <w:sz w:val="20"/>
                <w:szCs w:val="20"/>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Substance(s)):</w:t>
            </w:r>
          </w:p>
        </w:tc>
      </w:tr>
      <w:tr>
        <w:trPr>
          <w:trHeight w:val="414"/>
        </w:trPr>
        <w:tc>
          <w:tcPr>
            <w:tcW w:w="2380" w:type="dxa"/>
            <w:vAlign w:val="bottom"/>
          </w:tcPr>
          <w:p>
            <w:pPr>
              <w:spacing w:after="0"/>
              <w:rPr>
                <w:sz w:val="24"/>
                <w:szCs w:val="24"/>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 the U.S. Federal Register volume 66 No 186 the FDA Regulations 21 CFR Part 11, 210, 211, 600 and 610</w:t>
            </w:r>
          </w:p>
        </w:tc>
      </w:tr>
      <w:tr>
        <w:trPr>
          <w:trHeight w:val="234"/>
        </w:trPr>
        <w:tc>
          <w:tcPr>
            <w:tcW w:w="2380" w:type="dxa"/>
            <w:vAlign w:val="bottom"/>
          </w:tcPr>
          <w:p>
            <w:pPr>
              <w:spacing w:after="0"/>
              <w:rPr>
                <w:sz w:val="20"/>
                <w:szCs w:val="20"/>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and ICH Q7;</w:t>
            </w:r>
          </w:p>
        </w:tc>
      </w:tr>
      <w:tr>
        <w:trPr>
          <w:trHeight w:val="414"/>
        </w:trPr>
        <w:tc>
          <w:tcPr>
            <w:tcW w:w="2380" w:type="dxa"/>
            <w:vAlign w:val="bottom"/>
          </w:tcPr>
          <w:p>
            <w:pPr>
              <w:spacing w:after="0"/>
              <w:rPr>
                <w:sz w:val="24"/>
                <w:szCs w:val="24"/>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(ii) the Rules governing medicinal products in the European Union under the EC, EudraLex, Volume 4 –</w:t>
            </w:r>
          </w:p>
        </w:tc>
      </w:tr>
      <w:tr>
        <w:trPr>
          <w:trHeight w:val="216"/>
        </w:trPr>
        <w:tc>
          <w:tcPr>
            <w:tcW w:w="2380" w:type="dxa"/>
            <w:vAlign w:val="bottom"/>
          </w:tcPr>
          <w:p>
            <w:pPr>
              <w:spacing w:after="0"/>
              <w:rPr>
                <w:sz w:val="18"/>
                <w:szCs w:val="18"/>
                <w:color w:val="auto"/>
              </w:rPr>
            </w:pPr>
          </w:p>
        </w:tc>
        <w:tc>
          <w:tcPr>
            <w:tcW w:w="8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Guidelines for Good Manufacturing Practices for medicinal products for human and veterinary use. Part I –</w:t>
            </w:r>
          </w:p>
        </w:tc>
      </w:tr>
      <w:tr>
        <w:trPr>
          <w:trHeight w:val="216"/>
        </w:trPr>
        <w:tc>
          <w:tcPr>
            <w:tcW w:w="2380" w:type="dxa"/>
            <w:vAlign w:val="bottom"/>
          </w:tcPr>
          <w:p>
            <w:pPr>
              <w:spacing w:after="0"/>
              <w:rPr>
                <w:sz w:val="18"/>
                <w:szCs w:val="18"/>
                <w:color w:val="auto"/>
              </w:rPr>
            </w:pPr>
          </w:p>
        </w:tc>
        <w:tc>
          <w:tcPr>
            <w:tcW w:w="8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Basic Requirements for Medicinal Products. Part II – Basic Requirements for Active Substances used as</w:t>
            </w:r>
          </w:p>
        </w:tc>
      </w:tr>
      <w:tr>
        <w:trPr>
          <w:trHeight w:val="216"/>
        </w:trPr>
        <w:tc>
          <w:tcPr>
            <w:tcW w:w="2380" w:type="dxa"/>
            <w:vAlign w:val="bottom"/>
          </w:tcPr>
          <w:p>
            <w:pPr>
              <w:spacing w:after="0"/>
              <w:rPr>
                <w:sz w:val="18"/>
                <w:szCs w:val="18"/>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Starting Materials, Part III GMP related documents, Annexes and Part IV GMP requirements for Advanced</w:t>
            </w:r>
          </w:p>
        </w:tc>
      </w:tr>
      <w:tr>
        <w:trPr>
          <w:trHeight w:val="234"/>
        </w:trPr>
        <w:tc>
          <w:tcPr>
            <w:tcW w:w="2380" w:type="dxa"/>
            <w:vAlign w:val="bottom"/>
          </w:tcPr>
          <w:p>
            <w:pPr>
              <w:spacing w:after="0"/>
              <w:rPr>
                <w:sz w:val="20"/>
                <w:szCs w:val="20"/>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Therapy Medicinal Products, as applicable to the Product manufactured; and</w:t>
            </w:r>
          </w:p>
        </w:tc>
      </w:tr>
      <w:tr>
        <w:trPr>
          <w:trHeight w:val="414"/>
        </w:trPr>
        <w:tc>
          <w:tcPr>
            <w:tcW w:w="2380" w:type="dxa"/>
            <w:vAlign w:val="bottom"/>
          </w:tcPr>
          <w:p>
            <w:pPr>
              <w:spacing w:after="0"/>
              <w:rPr>
                <w:sz w:val="24"/>
                <w:szCs w:val="24"/>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(iii) United Kingdom Human Medicines Regulations 2012 (HMR, SI 2012/1916, as amended), Guidelines on</w:t>
            </w:r>
          </w:p>
        </w:tc>
      </w:tr>
      <w:tr>
        <w:trPr>
          <w:trHeight w:val="234"/>
        </w:trPr>
        <w:tc>
          <w:tcPr>
            <w:tcW w:w="2380" w:type="dxa"/>
            <w:vAlign w:val="bottom"/>
          </w:tcPr>
          <w:p>
            <w:pPr>
              <w:spacing w:after="0"/>
              <w:rPr>
                <w:sz w:val="20"/>
                <w:szCs w:val="20"/>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Good Manufacturing Practice, Parts and Annexes as EudraLex, Volume 4 above;</w:t>
            </w:r>
          </w:p>
        </w:tc>
      </w:tr>
      <w:tr>
        <w:trPr>
          <w:trHeight w:val="414"/>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“cGMP Batch”</w:t>
            </w: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 Batch identified in a Scope of Work or PSA (as applicable) which is intended to be manufactured during a</w:t>
            </w:r>
          </w:p>
        </w:tc>
      </w:tr>
      <w:tr>
        <w:trPr>
          <w:trHeight w:val="234"/>
        </w:trPr>
        <w:tc>
          <w:tcPr>
            <w:tcW w:w="2380" w:type="dxa"/>
            <w:vAlign w:val="bottom"/>
          </w:tcPr>
          <w:p>
            <w:pPr>
              <w:spacing w:after="0"/>
              <w:rPr>
                <w:sz w:val="20"/>
                <w:szCs w:val="20"/>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manufacturing stage and subject to Disposition in each case in accordance with cGMP;</w:t>
            </w: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has the meaning given to it in clause 13;</w:t>
            </w:r>
          </w:p>
        </w:tc>
      </w:tr>
      <w:tr>
        <w:trPr>
          <w:trHeight w:val="432"/>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has the meaning set out in clause 8.2;</w:t>
            </w:r>
          </w:p>
        </w:tc>
      </w:tr>
      <w:tr>
        <w:trPr>
          <w:trHeight w:val="41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“Commercially Reasonable</w:t>
            </w: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shall mean with respect to an activity to be carried out by a party, the carrying out of such activity in a diligent</w:t>
            </w:r>
          </w:p>
        </w:tc>
      </w:tr>
      <w:tr>
        <w:trPr>
          <w:trHeight w:val="22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Efforts”</w:t>
            </w: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manner, which, in the case of Fujifilm, requires using the efforts of sufficient numbers of personnel</w:t>
            </w:r>
          </w:p>
        </w:tc>
      </w:tr>
      <w:tr>
        <w:trPr>
          <w:trHeight w:val="216"/>
        </w:trPr>
        <w:tc>
          <w:tcPr>
            <w:tcW w:w="2380" w:type="dxa"/>
            <w:vAlign w:val="bottom"/>
          </w:tcPr>
          <w:p>
            <w:pPr>
              <w:spacing w:after="0"/>
              <w:rPr>
                <w:sz w:val="18"/>
                <w:szCs w:val="18"/>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appropriately qualified by experience and training, as would be reasonably applied by a qualified manufacturer</w:t>
            </w:r>
          </w:p>
        </w:tc>
      </w:tr>
      <w:tr>
        <w:trPr>
          <w:trHeight w:val="234"/>
        </w:trPr>
        <w:tc>
          <w:tcPr>
            <w:tcW w:w="2380" w:type="dxa"/>
            <w:vAlign w:val="bottom"/>
          </w:tcPr>
          <w:p>
            <w:pPr>
              <w:spacing w:after="0"/>
              <w:rPr>
                <w:sz w:val="20"/>
                <w:szCs w:val="20"/>
                <w:color w:val="auto"/>
              </w:rPr>
            </w:pPr>
          </w:p>
        </w:tc>
        <w:tc>
          <w:tcPr>
            <w:tcW w:w="82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of biologics for Drug Substances of similar nature, complexity, and developmental stage in the same or similar</w:t>
            </w:r>
          </w:p>
        </w:tc>
      </w:tr>
    </w:tbl>
    <w:p>
      <w:pPr>
        <w:jc w:val="both"/>
        <w:ind w:left="2660"/>
        <w:spacing w:after="0" w:line="252" w:lineRule="auto"/>
        <w:rPr>
          <w:sz w:val="20"/>
          <w:szCs w:val="20"/>
          <w:color w:val="auto"/>
        </w:rPr>
      </w:pPr>
      <w:r>
        <w:rPr>
          <w:rFonts w:ascii="Times New Roman" w:cs="Times New Roman" w:eastAsia="Times New Roman" w:hAnsi="Times New Roman"/>
          <w:sz w:val="18"/>
          <w:szCs w:val="18"/>
          <w:color w:val="auto"/>
        </w:rPr>
        <w:t>circumstances, or, in the case of Customer, using such efforts as would be typically be used in the biopharmaceutical industry by companies of comparable resources and expertise. “Commercially Reasonable Efforts” requires reasonably prompt assignment of responsibility for such task or activity to specific qualified employee(s) and allocation of resources designed to advance progress with respect to such task or activity, but does not require the taking of actions which would require either party to violate Applicable Laws or break any existing contractual commitments with third parties.;</w:t>
      </w:r>
    </w:p>
    <w:p>
      <w:pPr>
        <w:spacing w:after="0" w:line="1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76" w:right="259" w:bottom="1440" w:gutter="0" w:footer="0" w:header="0"/>
        </w:sectPr>
      </w:pPr>
    </w:p>
    <w:bookmarkStart w:id="92" w:name="page93"/>
    <w:bookmarkEnd w:id="92"/>
    <w:p>
      <w:pPr>
        <w:spacing w:after="0"/>
        <w:tabs>
          <w:tab w:leader="none" w:pos="2640" w:val="left"/>
        </w:tabs>
        <w:rPr>
          <w:sz w:val="20"/>
          <w:szCs w:val="20"/>
          <w:color w:val="auto"/>
        </w:rPr>
      </w:pPr>
      <w:r>
        <w:rPr>
          <w:rFonts w:ascii="Times New Roman" w:cs="Times New Roman" w:eastAsia="Times New Roman" w:hAnsi="Times New Roman"/>
          <w:sz w:val="18"/>
          <w:szCs w:val="18"/>
          <w:b w:val="1"/>
          <w:bCs w:val="1"/>
          <w:color w:val="auto"/>
        </w:rPr>
        <w:t>“Commercial Manufacturing</w:t>
      </w:r>
      <w:r>
        <w:rPr>
          <w:sz w:val="20"/>
          <w:szCs w:val="20"/>
          <w:color w:val="auto"/>
        </w:rPr>
        <w:tab/>
      </w:r>
      <w:r>
        <w:rPr>
          <w:rFonts w:ascii="Times New Roman" w:cs="Times New Roman" w:eastAsia="Times New Roman" w:hAnsi="Times New Roman"/>
          <w:sz w:val="18"/>
          <w:szCs w:val="18"/>
          <w:color w:val="auto"/>
        </w:rPr>
        <w:t>the production, testing and Disposition of cGMP Batches at scale under a PSA with the intention that the</w:t>
      </w:r>
    </w:p>
    <w:p>
      <w:pPr>
        <w:spacing w:after="0" w:line="31" w:lineRule="exact"/>
        <w:rPr>
          <w:sz w:val="20"/>
          <w:szCs w:val="20"/>
          <w:color w:val="auto"/>
        </w:rPr>
      </w:pPr>
    </w:p>
    <w:p>
      <w:pPr>
        <w:jc w:val="both"/>
        <w:ind w:left="2660" w:hanging="2659"/>
        <w:spacing w:after="0" w:line="260" w:lineRule="auto"/>
        <w:tabs>
          <w:tab w:leader="none" w:pos="2640" w:val="left"/>
        </w:tabs>
        <w:rPr>
          <w:sz w:val="20"/>
          <w:szCs w:val="20"/>
          <w:color w:val="auto"/>
        </w:rPr>
      </w:pPr>
      <w:r>
        <w:rPr>
          <w:rFonts w:ascii="Times New Roman" w:cs="Times New Roman" w:eastAsia="Times New Roman" w:hAnsi="Times New Roman"/>
          <w:sz w:val="18"/>
          <w:szCs w:val="18"/>
          <w:b w:val="1"/>
          <w:bCs w:val="1"/>
          <w:color w:val="auto"/>
        </w:rPr>
        <w:t>Services”</w:t>
      </w:r>
      <w:r>
        <w:rPr>
          <w:sz w:val="20"/>
          <w:szCs w:val="20"/>
          <w:color w:val="auto"/>
        </w:rPr>
        <w:tab/>
      </w:r>
      <w:r>
        <w:rPr>
          <w:rFonts w:ascii="Times New Roman" w:cs="Times New Roman" w:eastAsia="Times New Roman" w:hAnsi="Times New Roman"/>
          <w:sz w:val="18"/>
          <w:szCs w:val="18"/>
          <w:color w:val="auto"/>
        </w:rPr>
        <w:t>Conforming Batches produced under those services will be supplied by Fujifilm, and used by the Customer, as commercial Product;</w:t>
      </w:r>
    </w:p>
    <w:p>
      <w:pPr>
        <w:spacing w:after="0" w:line="177" w:lineRule="exact"/>
        <w:rPr>
          <w:sz w:val="20"/>
          <w:szCs w:val="20"/>
          <w:color w:val="auto"/>
        </w:rPr>
      </w:pPr>
    </w:p>
    <w:p>
      <w:pPr>
        <w:jc w:val="both"/>
        <w:ind w:left="2660" w:right="20" w:hanging="2672"/>
        <w:spacing w:after="0" w:line="282" w:lineRule="auto"/>
        <w:tabs>
          <w:tab w:leader="none" w:pos="2640" w:val="left"/>
        </w:tabs>
        <w:rPr>
          <w:sz w:val="20"/>
          <w:szCs w:val="20"/>
          <w:color w:val="auto"/>
        </w:rPr>
      </w:pPr>
      <w:r>
        <w:rPr>
          <w:rFonts w:ascii="Times New Roman" w:cs="Times New Roman" w:eastAsia="Times New Roman" w:hAnsi="Times New Roman"/>
          <w:sz w:val="18"/>
          <w:szCs w:val="18"/>
          <w:b w:val="1"/>
          <w:bCs w:val="1"/>
          <w:color w:val="auto"/>
        </w:rPr>
        <w:t>“Commercial Trigger”</w:t>
      </w:r>
      <w:r>
        <w:rPr>
          <w:sz w:val="20"/>
          <w:szCs w:val="20"/>
          <w:color w:val="auto"/>
        </w:rPr>
        <w:tab/>
      </w:r>
      <w:r>
        <w:rPr>
          <w:rFonts w:ascii="Times New Roman" w:cs="Times New Roman" w:eastAsia="Times New Roman" w:hAnsi="Times New Roman"/>
          <w:sz w:val="18"/>
          <w:szCs w:val="18"/>
          <w:color w:val="auto"/>
        </w:rPr>
        <w:t>Is the date of approval of the BLA amendment in the US territory allowing the commercial use of the PPQ batches.</w:t>
      </w:r>
    </w:p>
    <w:p>
      <w:pPr>
        <w:spacing w:after="0" w:line="162" w:lineRule="exact"/>
        <w:rPr>
          <w:sz w:val="20"/>
          <w:szCs w:val="20"/>
          <w:color w:val="auto"/>
        </w:rPr>
      </w:pPr>
    </w:p>
    <w:p>
      <w:pPr>
        <w:spacing w:after="0"/>
        <w:tabs>
          <w:tab w:leader="none" w:pos="2640" w:val="left"/>
        </w:tabs>
        <w:rPr>
          <w:sz w:val="20"/>
          <w:szCs w:val="20"/>
          <w:color w:val="auto"/>
        </w:rPr>
      </w:pPr>
      <w:r>
        <w:rPr>
          <w:rFonts w:ascii="Times New Roman" w:cs="Times New Roman" w:eastAsia="Times New Roman" w:hAnsi="Times New Roman"/>
          <w:sz w:val="18"/>
          <w:szCs w:val="18"/>
          <w:b w:val="1"/>
          <w:bCs w:val="1"/>
          <w:color w:val="auto"/>
        </w:rPr>
        <w:t>“Competitor”</w:t>
      </w:r>
      <w:r>
        <w:rPr>
          <w:sz w:val="20"/>
          <w:szCs w:val="20"/>
          <w:color w:val="auto"/>
        </w:rPr>
        <w:tab/>
      </w:r>
      <w:r>
        <w:rPr>
          <w:rFonts w:ascii="Times New Roman" w:cs="Times New Roman" w:eastAsia="Times New Roman" w:hAnsi="Times New Roman"/>
          <w:sz w:val="18"/>
          <w:szCs w:val="18"/>
          <w:color w:val="auto"/>
        </w:rPr>
        <w:t>a contract development and/or manufacturing organization in the biopharmaceutical industry;</w:t>
      </w:r>
    </w:p>
    <w:p>
      <w:pPr>
        <w:spacing w:after="0" w:line="225" w:lineRule="exact"/>
        <w:rPr>
          <w:sz w:val="20"/>
          <w:szCs w:val="20"/>
          <w:color w:val="auto"/>
        </w:rPr>
      </w:pPr>
    </w:p>
    <w:p>
      <w:pPr>
        <w:jc w:val="both"/>
        <w:ind w:left="2660" w:hanging="2672"/>
        <w:spacing w:after="0" w:line="258" w:lineRule="auto"/>
        <w:tabs>
          <w:tab w:leader="none" w:pos="2640" w:val="left"/>
        </w:tabs>
        <w:rPr>
          <w:sz w:val="20"/>
          <w:szCs w:val="20"/>
          <w:color w:val="auto"/>
        </w:rPr>
      </w:pPr>
      <w:r>
        <w:rPr>
          <w:rFonts w:ascii="Times New Roman" w:cs="Times New Roman" w:eastAsia="Times New Roman" w:hAnsi="Times New Roman"/>
          <w:sz w:val="18"/>
          <w:szCs w:val="18"/>
          <w:b w:val="1"/>
          <w:bCs w:val="1"/>
          <w:color w:val="auto"/>
        </w:rPr>
        <w:t>“Confidential Information”</w:t>
      </w:r>
      <w:r>
        <w:rPr>
          <w:sz w:val="20"/>
          <w:szCs w:val="20"/>
          <w:color w:val="auto"/>
        </w:rPr>
        <w:tab/>
      </w:r>
      <w:r>
        <w:rPr>
          <w:rFonts w:ascii="Times New Roman" w:cs="Times New Roman" w:eastAsia="Times New Roman" w:hAnsi="Times New Roman"/>
          <w:sz w:val="18"/>
          <w:szCs w:val="18"/>
          <w:color w:val="auto"/>
        </w:rPr>
        <w:t>the fact and terms of this Agreement, any Scope of Work and any PSA, and all information (in whatever form) in respect of the business of each of the parties and each of its Affiliates including any ideas; business methods; finance; prices, business, financial, marketing or development plans; products or services, know-how or other matters connected with products or services manufactured and/or marketed; customer lists or details; computer systems and software; which is (in each case) provided to, or obtained by, one party from the other;</w:t>
      </w:r>
    </w:p>
    <w:p>
      <w:pPr>
        <w:spacing w:after="0" w:line="183" w:lineRule="exact"/>
        <w:rPr>
          <w:sz w:val="20"/>
          <w:szCs w:val="20"/>
          <w:color w:val="auto"/>
        </w:rPr>
      </w:pPr>
    </w:p>
    <w:p>
      <w:pPr>
        <w:jc w:val="both"/>
        <w:ind w:left="2660" w:hanging="2672"/>
        <w:spacing w:after="0" w:line="266" w:lineRule="auto"/>
        <w:tabs>
          <w:tab w:leader="none" w:pos="2640" w:val="left"/>
        </w:tabs>
        <w:rPr>
          <w:sz w:val="20"/>
          <w:szCs w:val="20"/>
          <w:color w:val="auto"/>
        </w:rPr>
      </w:pPr>
      <w:r>
        <w:rPr>
          <w:rFonts w:ascii="Times New Roman" w:cs="Times New Roman" w:eastAsia="Times New Roman" w:hAnsi="Times New Roman"/>
          <w:sz w:val="18"/>
          <w:szCs w:val="18"/>
          <w:b w:val="1"/>
          <w:bCs w:val="1"/>
          <w:color w:val="auto"/>
        </w:rPr>
        <w:t>“Conforming Batch”</w:t>
      </w:r>
      <w:r>
        <w:rPr>
          <w:sz w:val="20"/>
          <w:szCs w:val="20"/>
          <w:color w:val="auto"/>
        </w:rPr>
        <w:tab/>
      </w:r>
      <w:r>
        <w:rPr>
          <w:rFonts w:ascii="Times New Roman" w:cs="Times New Roman" w:eastAsia="Times New Roman" w:hAnsi="Times New Roman"/>
          <w:sz w:val="18"/>
          <w:szCs w:val="18"/>
          <w:color w:val="auto"/>
        </w:rPr>
        <w:t>a cGMP Batch which has been produced in accordance with cGMP and which meets the Product Specification and all requirements currently filed for approval in the US and EU market territories for the Product at the time of manufacture which Customer has provided to (and agreed to by) Fujifilm;</w:t>
      </w:r>
    </w:p>
    <w:p>
      <w:pPr>
        <w:spacing w:after="0" w:line="176" w:lineRule="exact"/>
        <w:rPr>
          <w:sz w:val="20"/>
          <w:szCs w:val="20"/>
          <w:color w:val="auto"/>
        </w:rPr>
      </w:pPr>
    </w:p>
    <w:p>
      <w:pPr>
        <w:jc w:val="both"/>
        <w:ind w:left="2660" w:hanging="2659"/>
        <w:spacing w:after="0" w:line="258" w:lineRule="auto"/>
        <w:tabs>
          <w:tab w:leader="none" w:pos="2640" w:val="left"/>
        </w:tabs>
        <w:rPr>
          <w:sz w:val="20"/>
          <w:szCs w:val="20"/>
          <w:color w:val="auto"/>
        </w:rPr>
      </w:pPr>
      <w:r>
        <w:rPr>
          <w:rFonts w:ascii="Times New Roman" w:cs="Times New Roman" w:eastAsia="Times New Roman" w:hAnsi="Times New Roman"/>
          <w:sz w:val="18"/>
          <w:szCs w:val="18"/>
          <w:b w:val="1"/>
          <w:bCs w:val="1"/>
          <w:color w:val="auto"/>
        </w:rPr>
        <w:t>“Consumable”</w:t>
      </w:r>
      <w:r>
        <w:rPr>
          <w:sz w:val="20"/>
          <w:szCs w:val="20"/>
          <w:color w:val="auto"/>
        </w:rPr>
        <w:tab/>
      </w:r>
      <w:r>
        <w:rPr>
          <w:rFonts w:ascii="Times New Roman" w:cs="Times New Roman" w:eastAsia="Times New Roman" w:hAnsi="Times New Roman"/>
          <w:sz w:val="18"/>
          <w:szCs w:val="18"/>
          <w:color w:val="auto"/>
        </w:rPr>
        <w:t>a consumable item used or intended for use in a Program, including PEG, reagents (including analytical reagents), plasmids, raw materials, packaging components, chromatography resins, filters, filtration membranes, media, buffer bags, refold bags, change-over parts (including tubing, hoses, seals and gasket sets) disposable analytical test kits, in-process measurement probes, columns (including analytical columns) and disposable containers;</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980" w:top="576" w:right="25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“Consumables Advance Payment” </w:t>
      </w:r>
      <w:r>
        <w:rPr>
          <w:rFonts w:ascii="Times New Roman" w:cs="Times New Roman" w:eastAsia="Times New Roman" w:hAnsi="Times New Roman"/>
          <w:sz w:val="18"/>
          <w:szCs w:val="18"/>
          <w:color w:val="auto"/>
        </w:rPr>
        <w:t>has the meaning given to it in Schedule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“Customer Deliverables”</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deliverables to be supplied by the Customer described in a SoW or PSA (as applicable);</w:t>
            </w:r>
          </w:p>
        </w:tc>
      </w:tr>
      <w:tr>
        <w:trPr>
          <w:trHeight w:val="414"/>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“Customer Foreground IP”</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 Foreground IP that constitutes an improvement or modification which is specific to the Customer’s</w:t>
            </w:r>
          </w:p>
        </w:tc>
      </w:tr>
      <w:tr>
        <w:trPr>
          <w:trHeight w:val="234"/>
        </w:trPr>
        <w:tc>
          <w:tcPr>
            <w:tcW w:w="3060" w:type="dxa"/>
            <w:vAlign w:val="bottom"/>
          </w:tcPr>
          <w:p>
            <w:pPr>
              <w:spacing w:after="0"/>
              <w:rPr>
                <w:sz w:val="20"/>
                <w:szCs w:val="20"/>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Background IP which has been provided to Fujifilm by the Customer pursuant to a Program;</w:t>
            </w:r>
          </w:p>
        </w:tc>
      </w:tr>
      <w:tr>
        <w:trPr>
          <w:trHeight w:val="432"/>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“Delay”</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has the meaning given to it in clause 14.1.1;</w:t>
            </w:r>
          </w:p>
        </w:tc>
      </w:tr>
      <w:tr>
        <w:trPr>
          <w:trHeight w:val="414"/>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“Demonstration Batch”</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 Batch which is manufactured in a non cGMP R&amp;D facility for demonstration purposes and which is not</w:t>
            </w:r>
          </w:p>
        </w:tc>
      </w:tr>
      <w:tr>
        <w:trPr>
          <w:trHeight w:val="234"/>
        </w:trPr>
        <w:tc>
          <w:tcPr>
            <w:tcW w:w="3060" w:type="dxa"/>
            <w:vAlign w:val="bottom"/>
          </w:tcPr>
          <w:p>
            <w:pPr>
              <w:spacing w:after="0"/>
              <w:rPr>
                <w:sz w:val="20"/>
                <w:szCs w:val="20"/>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intended for human use;</w:t>
            </w:r>
          </w:p>
        </w:tc>
      </w:tr>
      <w:tr>
        <w:trPr>
          <w:trHeight w:val="432"/>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“Deviation”</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 cGMP deviation as detailed in the Quality Agreement;</w:t>
            </w:r>
          </w:p>
        </w:tc>
      </w:tr>
      <w:tr>
        <w:trPr>
          <w:trHeight w:val="414"/>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“Disposition”</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Stage during which (i) the Product is tested for compliance versus the Product Specification; (ii) all</w:t>
            </w:r>
          </w:p>
        </w:tc>
      </w:tr>
      <w:tr>
        <w:trPr>
          <w:trHeight w:val="216"/>
        </w:trPr>
        <w:tc>
          <w:tcPr>
            <w:tcW w:w="3060" w:type="dxa"/>
            <w:vAlign w:val="bottom"/>
          </w:tcPr>
          <w:p>
            <w:pPr>
              <w:spacing w:after="0"/>
              <w:rPr>
                <w:sz w:val="18"/>
                <w:szCs w:val="18"/>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production instruction and analytical records relating to cGMP manufacture of each cGMP Batch prepared by</w:t>
            </w:r>
          </w:p>
        </w:tc>
      </w:tr>
      <w:tr>
        <w:trPr>
          <w:trHeight w:val="216"/>
        </w:trPr>
        <w:tc>
          <w:tcPr>
            <w:tcW w:w="3060" w:type="dxa"/>
            <w:vAlign w:val="bottom"/>
          </w:tcPr>
          <w:p>
            <w:pPr>
              <w:spacing w:after="0"/>
              <w:rPr>
                <w:sz w:val="18"/>
                <w:szCs w:val="18"/>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Fujifilm are reviewed; and (iii) a Fujifilm recommendation for Product release or reject is made; in each case</w:t>
            </w:r>
          </w:p>
        </w:tc>
      </w:tr>
      <w:tr>
        <w:trPr>
          <w:trHeight w:val="234"/>
        </w:trPr>
        <w:tc>
          <w:tcPr>
            <w:tcW w:w="3060" w:type="dxa"/>
            <w:vAlign w:val="bottom"/>
          </w:tcPr>
          <w:p>
            <w:pPr>
              <w:spacing w:after="0"/>
              <w:rPr>
                <w:sz w:val="20"/>
                <w:szCs w:val="20"/>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as applicable;</w:t>
            </w:r>
          </w:p>
        </w:tc>
      </w:tr>
      <w:tr>
        <w:trPr>
          <w:trHeight w:val="414"/>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“Drug Product”</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final dosage form of product which is, or contains, Product in association with other active or inactive</w:t>
            </w:r>
          </w:p>
        </w:tc>
      </w:tr>
      <w:tr>
        <w:trPr>
          <w:trHeight w:val="234"/>
        </w:trPr>
        <w:tc>
          <w:tcPr>
            <w:tcW w:w="3060" w:type="dxa"/>
            <w:vAlign w:val="bottom"/>
          </w:tcPr>
          <w:p>
            <w:pPr>
              <w:spacing w:after="0"/>
              <w:rPr>
                <w:sz w:val="20"/>
                <w:szCs w:val="20"/>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ingredients;</w:t>
            </w:r>
          </w:p>
        </w:tc>
      </w:tr>
      <w:tr>
        <w:trPr>
          <w:trHeight w:val="414"/>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“Drug Substance”</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any substance or mixture of substances intended to be used in the manufacture of a Drug Product and that,</w:t>
            </w:r>
          </w:p>
        </w:tc>
      </w:tr>
      <w:tr>
        <w:trPr>
          <w:trHeight w:val="216"/>
        </w:trPr>
        <w:tc>
          <w:tcPr>
            <w:tcW w:w="3060" w:type="dxa"/>
            <w:vAlign w:val="bottom"/>
          </w:tcPr>
          <w:p>
            <w:pPr>
              <w:spacing w:after="0"/>
              <w:rPr>
                <w:sz w:val="18"/>
                <w:szCs w:val="18"/>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when used in the production of a drug, becomes an active ingredient of the Drug Product. Such substances are</w:t>
            </w:r>
          </w:p>
        </w:tc>
      </w:tr>
      <w:tr>
        <w:trPr>
          <w:trHeight w:val="216"/>
        </w:trPr>
        <w:tc>
          <w:tcPr>
            <w:tcW w:w="3060" w:type="dxa"/>
            <w:vAlign w:val="bottom"/>
          </w:tcPr>
          <w:p>
            <w:pPr>
              <w:spacing w:after="0"/>
              <w:rPr>
                <w:sz w:val="18"/>
                <w:szCs w:val="18"/>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intended to furnish pharmacological activity or other direct effect on the diagnosis, cure, mitigation, treatment,</w:t>
            </w:r>
          </w:p>
        </w:tc>
      </w:tr>
      <w:tr>
        <w:trPr>
          <w:trHeight w:val="234"/>
        </w:trPr>
        <w:tc>
          <w:tcPr>
            <w:tcW w:w="3060" w:type="dxa"/>
            <w:vAlign w:val="bottom"/>
          </w:tcPr>
          <w:p>
            <w:pPr>
              <w:spacing w:after="0"/>
              <w:rPr>
                <w:sz w:val="20"/>
                <w:szCs w:val="20"/>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or prevention of disease or to affect the structure and function of the body;</w:t>
            </w:r>
          </w:p>
        </w:tc>
      </w:tr>
      <w:tr>
        <w:trPr>
          <w:trHeight w:val="414"/>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date of final signature by all parties to this Agreement being the date last signing party signs this</w:t>
            </w:r>
          </w:p>
        </w:tc>
      </w:tr>
      <w:tr>
        <w:trPr>
          <w:trHeight w:val="234"/>
        </w:trPr>
        <w:tc>
          <w:tcPr>
            <w:tcW w:w="3060" w:type="dxa"/>
            <w:vAlign w:val="bottom"/>
          </w:tcPr>
          <w:p>
            <w:pPr>
              <w:spacing w:after="0"/>
              <w:rPr>
                <w:sz w:val="20"/>
                <w:szCs w:val="20"/>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Agreement;</w:t>
            </w:r>
          </w:p>
        </w:tc>
      </w:tr>
      <w:tr>
        <w:trPr>
          <w:trHeight w:val="414"/>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“Engineering Batch”</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 Batch that is manufactured in a cGMP Facility at scale using the Process but which is not intended for</w:t>
            </w:r>
          </w:p>
        </w:tc>
      </w:tr>
      <w:tr>
        <w:trPr>
          <w:trHeight w:val="234"/>
        </w:trPr>
        <w:tc>
          <w:tcPr>
            <w:tcW w:w="3060" w:type="dxa"/>
            <w:vAlign w:val="bottom"/>
          </w:tcPr>
          <w:p>
            <w:pPr>
              <w:spacing w:after="0"/>
              <w:rPr>
                <w:sz w:val="20"/>
                <w:szCs w:val="20"/>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human use;</w:t>
            </w:r>
          </w:p>
        </w:tc>
      </w:tr>
      <w:tr>
        <w:trPr>
          <w:trHeight w:val="432"/>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any of Fujifilm’s manufacturing facilities in which a Program will be performed;</w:t>
            </w:r>
          </w:p>
        </w:tc>
      </w:tr>
      <w:tr>
        <w:trPr>
          <w:trHeight w:val="414"/>
        </w:trPr>
        <w:tc>
          <w:tcPr>
            <w:tcW w:w="30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“Force Majeure Event”</w:t>
            </w: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any event or circumstances outside the reasonable control of a party affecting its ability to perform any of its</w:t>
            </w:r>
          </w:p>
        </w:tc>
      </w:tr>
      <w:tr>
        <w:trPr>
          <w:trHeight w:val="216"/>
        </w:trPr>
        <w:tc>
          <w:tcPr>
            <w:tcW w:w="3060" w:type="dxa"/>
            <w:vAlign w:val="bottom"/>
          </w:tcPr>
          <w:p>
            <w:pPr>
              <w:spacing w:after="0"/>
              <w:rPr>
                <w:sz w:val="18"/>
                <w:szCs w:val="18"/>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obligations under this Agreement including act of God, fire, flood, severe weather, epidemic or pandemic, war,</w:t>
            </w:r>
          </w:p>
        </w:tc>
      </w:tr>
      <w:tr>
        <w:trPr>
          <w:trHeight w:val="216"/>
        </w:trPr>
        <w:tc>
          <w:tcPr>
            <w:tcW w:w="3060" w:type="dxa"/>
            <w:vAlign w:val="bottom"/>
          </w:tcPr>
          <w:p>
            <w:pPr>
              <w:spacing w:after="0"/>
              <w:rPr>
                <w:sz w:val="18"/>
                <w:szCs w:val="18"/>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revolution, acts of terrorism, riot or civil commotion, acts of government, trade embargo, labor disputes</w:t>
            </w:r>
          </w:p>
        </w:tc>
      </w:tr>
      <w:tr>
        <w:trPr>
          <w:trHeight w:val="216"/>
        </w:trPr>
        <w:tc>
          <w:tcPr>
            <w:tcW w:w="3060" w:type="dxa"/>
            <w:vAlign w:val="bottom"/>
          </w:tcPr>
          <w:p>
            <w:pPr>
              <w:spacing w:after="0"/>
              <w:rPr>
                <w:sz w:val="18"/>
                <w:szCs w:val="18"/>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(excluding labor disputes involving the party in question), unforeseeable interruption of utility service</w:t>
            </w:r>
          </w:p>
        </w:tc>
      </w:tr>
      <w:tr>
        <w:trPr>
          <w:trHeight w:val="216"/>
        </w:trPr>
        <w:tc>
          <w:tcPr>
            <w:tcW w:w="3060" w:type="dxa"/>
            <w:vAlign w:val="bottom"/>
          </w:tcPr>
          <w:p>
            <w:pPr>
              <w:spacing w:after="0"/>
              <w:rPr>
                <w:sz w:val="18"/>
                <w:szCs w:val="18"/>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restraints or delays affecting shipping or carriers, inability or delay in obtaining supplies of adequate or</w:t>
            </w:r>
          </w:p>
        </w:tc>
      </w:tr>
      <w:tr>
        <w:trPr>
          <w:trHeight w:val="216"/>
        </w:trPr>
        <w:tc>
          <w:tcPr>
            <w:tcW w:w="3060" w:type="dxa"/>
            <w:vAlign w:val="bottom"/>
          </w:tcPr>
          <w:p>
            <w:pPr>
              <w:spacing w:after="0"/>
              <w:rPr>
                <w:sz w:val="18"/>
                <w:szCs w:val="18"/>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suitable materials, inability or delay in obtaining third party services, unforeseeable breakdown or failure in</w:t>
            </w:r>
          </w:p>
        </w:tc>
      </w:tr>
      <w:tr>
        <w:trPr>
          <w:trHeight w:val="216"/>
        </w:trPr>
        <w:tc>
          <w:tcPr>
            <w:tcW w:w="3060" w:type="dxa"/>
            <w:vAlign w:val="bottom"/>
          </w:tcPr>
          <w:p>
            <w:pPr>
              <w:spacing w:after="0"/>
              <w:rPr>
                <w:sz w:val="18"/>
                <w:szCs w:val="18"/>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9"/>
              </w:rPr>
              <w:t>equipment or machinery. cyber-attack, currency restrictions but shall not include the failure of Drug Product in</w:t>
            </w:r>
          </w:p>
        </w:tc>
      </w:tr>
      <w:tr>
        <w:trPr>
          <w:trHeight w:val="234"/>
        </w:trPr>
        <w:tc>
          <w:tcPr>
            <w:tcW w:w="3060" w:type="dxa"/>
            <w:vAlign w:val="bottom"/>
          </w:tcPr>
          <w:p>
            <w:pPr>
              <w:spacing w:after="0"/>
              <w:rPr>
                <w:sz w:val="20"/>
                <w:szCs w:val="20"/>
                <w:color w:val="auto"/>
              </w:rPr>
            </w:pPr>
          </w:p>
        </w:tc>
        <w:tc>
          <w:tcPr>
            <w:tcW w:w="82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clinical trials or failure of Drug Product to gain regulatory approval;</w:t>
            </w:r>
          </w:p>
        </w:tc>
      </w:tr>
      <w:tr>
        <w:trPr>
          <w:trHeight w:val="432"/>
        </w:trPr>
        <w:tc>
          <w:tcPr>
            <w:tcW w:w="3060" w:type="dxa"/>
            <w:vAlign w:val="bottom"/>
          </w:tcPr>
          <w:p>
            <w:pPr>
              <w:spacing w:after="0"/>
              <w:rPr>
                <w:sz w:val="24"/>
                <w:szCs w:val="24"/>
                <w:color w:val="auto"/>
              </w:rPr>
            </w:pPr>
          </w:p>
        </w:tc>
        <w:tc>
          <w:tcPr>
            <w:tcW w:w="818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r>
      <w:tr>
        <w:trPr>
          <w:trHeight w:val="115"/>
        </w:trPr>
        <w:tc>
          <w:tcPr>
            <w:tcW w:w="3060" w:type="dxa"/>
            <w:vAlign w:val="bottom"/>
            <w:tcBorders>
              <w:bottom w:val="single" w:sz="8" w:color="auto"/>
            </w:tcBorders>
          </w:tcPr>
          <w:p>
            <w:pPr>
              <w:spacing w:after="0"/>
              <w:rPr>
                <w:sz w:val="10"/>
                <w:szCs w:val="10"/>
                <w:color w:val="auto"/>
              </w:rPr>
            </w:pPr>
          </w:p>
        </w:tc>
        <w:tc>
          <w:tcPr>
            <w:tcW w:w="8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576" w:right="25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“Foreground IP”</w:t>
            </w: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all Intellectual Property Rights that arise or are obtained or developed by or on behalf of any party in the</w:t>
            </w:r>
          </w:p>
        </w:tc>
      </w:tr>
      <w:tr>
        <w:trPr>
          <w:trHeight w:val="234"/>
        </w:trPr>
        <w:tc>
          <w:tcPr>
            <w:tcW w:w="3120" w:type="dxa"/>
            <w:vAlign w:val="bottom"/>
          </w:tcPr>
          <w:p>
            <w:pPr>
              <w:spacing w:after="0"/>
              <w:rPr>
                <w:sz w:val="20"/>
                <w:szCs w:val="20"/>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course of the performance of a Program;</w:t>
            </w:r>
          </w:p>
        </w:tc>
      </w:tr>
      <w:tr>
        <w:trPr>
          <w:trHeight w:val="43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“Fujifilm”</w:t>
            </w: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FDBN and/or FDBD as the context requires in accordance with the clause;</w:t>
            </w:r>
          </w:p>
        </w:tc>
      </w:tr>
      <w:tr>
        <w:trPr>
          <w:trHeight w:val="43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“Fujifilm Foreground IP”</w:t>
            </w: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all Foreground IP other than Customer Foreground IP;</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“Fujifilm Services”</w:t>
            </w: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either the R&amp;D Services or the Commercial Manufacturing Services, as described in the relevant Scope of</w:t>
            </w:r>
          </w:p>
        </w:tc>
      </w:tr>
      <w:tr>
        <w:trPr>
          <w:trHeight w:val="234"/>
        </w:trPr>
        <w:tc>
          <w:tcPr>
            <w:tcW w:w="3120" w:type="dxa"/>
            <w:vAlign w:val="bottom"/>
          </w:tcPr>
          <w:p>
            <w:pPr>
              <w:spacing w:after="0"/>
              <w:rPr>
                <w:sz w:val="20"/>
                <w:szCs w:val="20"/>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Work or PSA (as applicable), but in each case excluding the Ancillary Services;</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“Gross Negligence”</w:t>
            </w: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 conscious and voluntary disregard of the need to use reasonable care, which is likely to cause foreseeable</w:t>
            </w:r>
          </w:p>
        </w:tc>
      </w:tr>
      <w:tr>
        <w:trPr>
          <w:trHeight w:val="234"/>
        </w:trPr>
        <w:tc>
          <w:tcPr>
            <w:tcW w:w="3120" w:type="dxa"/>
            <w:vAlign w:val="bottom"/>
          </w:tcPr>
          <w:p>
            <w:pPr>
              <w:spacing w:after="0"/>
              <w:rPr>
                <w:sz w:val="20"/>
                <w:szCs w:val="20"/>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grave injury or harm to persons, property, or both;</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“Historic Documents”</w:t>
            </w: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any historic contractual documentation which cover the same subject matter as a Program as identified in the</w:t>
            </w:r>
          </w:p>
        </w:tc>
      </w:tr>
      <w:tr>
        <w:trPr>
          <w:trHeight w:val="234"/>
        </w:trPr>
        <w:tc>
          <w:tcPr>
            <w:tcW w:w="3120" w:type="dxa"/>
            <w:vAlign w:val="bottom"/>
          </w:tcPr>
          <w:p>
            <w:pPr>
              <w:spacing w:after="0"/>
              <w:rPr>
                <w:sz w:val="20"/>
                <w:szCs w:val="20"/>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relevant SoW or PSA (as applicable);</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“Indemnify”</w:t>
            </w: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on demand to indemnify and keep indemnified, and hold harmless, the party to be indemnified on an after tax</w:t>
            </w:r>
          </w:p>
        </w:tc>
      </w:tr>
      <w:tr>
        <w:trPr>
          <w:trHeight w:val="234"/>
        </w:trPr>
        <w:tc>
          <w:tcPr>
            <w:tcW w:w="3120" w:type="dxa"/>
            <w:vAlign w:val="bottom"/>
          </w:tcPr>
          <w:p>
            <w:pPr>
              <w:spacing w:after="0"/>
              <w:rPr>
                <w:sz w:val="20"/>
                <w:szCs w:val="20"/>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basis;</w:t>
            </w:r>
          </w:p>
        </w:tc>
      </w:tr>
      <w:tr>
        <w:trPr>
          <w:trHeight w:val="432"/>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“Initial Term”</w:t>
            </w: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has the meaning given to it in the relevant PSA;</w:t>
            </w:r>
          </w:p>
        </w:tc>
      </w:tr>
      <w:tr>
        <w:trPr>
          <w:trHeight w:val="414"/>
        </w:trPr>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“Intellectual Property Right”</w:t>
            </w: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any current and future intellectual property rights and interests including patents, utility models, designs,</w:t>
            </w:r>
          </w:p>
        </w:tc>
      </w:tr>
      <w:tr>
        <w:trPr>
          <w:trHeight w:val="216"/>
        </w:trPr>
        <w:tc>
          <w:tcPr>
            <w:tcW w:w="3120" w:type="dxa"/>
            <w:vAlign w:val="bottom"/>
          </w:tcPr>
          <w:p>
            <w:pPr>
              <w:spacing w:after="0"/>
              <w:rPr>
                <w:sz w:val="18"/>
                <w:szCs w:val="18"/>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design rights, copyright (including rights in software), decryption rights, database rights, trade marks, rights</w:t>
            </w:r>
          </w:p>
        </w:tc>
      </w:tr>
      <w:tr>
        <w:trPr>
          <w:trHeight w:val="216"/>
        </w:trPr>
        <w:tc>
          <w:tcPr>
            <w:tcW w:w="3120" w:type="dxa"/>
            <w:vAlign w:val="bottom"/>
          </w:tcPr>
          <w:p>
            <w:pPr>
              <w:spacing w:after="0"/>
              <w:rPr>
                <w:sz w:val="18"/>
                <w:szCs w:val="18"/>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pursuant to passing off, service marks, business and trade names, domain names, know-how, results, data,</w:t>
            </w:r>
          </w:p>
        </w:tc>
      </w:tr>
      <w:tr>
        <w:trPr>
          <w:trHeight w:val="216"/>
        </w:trPr>
        <w:tc>
          <w:tcPr>
            <w:tcW w:w="3120" w:type="dxa"/>
            <w:vAlign w:val="bottom"/>
          </w:tcPr>
          <w:p>
            <w:pPr>
              <w:spacing w:after="0"/>
              <w:rPr>
                <w:sz w:val="18"/>
                <w:szCs w:val="18"/>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databases, formulations, compounds, rights in biological or chemical materials, rights under data exclusivity</w:t>
            </w:r>
          </w:p>
        </w:tc>
      </w:tr>
      <w:tr>
        <w:trPr>
          <w:trHeight w:val="216"/>
        </w:trPr>
        <w:tc>
          <w:tcPr>
            <w:tcW w:w="3120" w:type="dxa"/>
            <w:vAlign w:val="bottom"/>
          </w:tcPr>
          <w:p>
            <w:pPr>
              <w:spacing w:after="0"/>
              <w:rPr>
                <w:sz w:val="18"/>
                <w:szCs w:val="18"/>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laws, rights under unfair competition laws, topography rights, inventions, rights in confidential information</w:t>
            </w:r>
          </w:p>
        </w:tc>
      </w:tr>
      <w:tr>
        <w:trPr>
          <w:trHeight w:val="216"/>
        </w:trPr>
        <w:tc>
          <w:tcPr>
            <w:tcW w:w="3120" w:type="dxa"/>
            <w:vAlign w:val="bottom"/>
          </w:tcPr>
          <w:p>
            <w:pPr>
              <w:spacing w:after="0"/>
              <w:rPr>
                <w:sz w:val="18"/>
                <w:szCs w:val="18"/>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(including technical and commercial trade secrets); supplementary protection certificates and image rights, and</w:t>
            </w:r>
          </w:p>
        </w:tc>
      </w:tr>
      <w:tr>
        <w:trPr>
          <w:trHeight w:val="216"/>
        </w:trPr>
        <w:tc>
          <w:tcPr>
            <w:tcW w:w="3120" w:type="dxa"/>
            <w:vAlign w:val="bottom"/>
          </w:tcPr>
          <w:p>
            <w:pPr>
              <w:spacing w:after="0"/>
              <w:rPr>
                <w:sz w:val="18"/>
                <w:szCs w:val="18"/>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rights of a similar or corresponding character in any part of the world, in each case whether registered or not</w:t>
            </w:r>
          </w:p>
        </w:tc>
      </w:tr>
      <w:tr>
        <w:trPr>
          <w:trHeight w:val="216"/>
        </w:trPr>
        <w:tc>
          <w:tcPr>
            <w:tcW w:w="3120" w:type="dxa"/>
            <w:vAlign w:val="bottom"/>
          </w:tcPr>
          <w:p>
            <w:pPr>
              <w:spacing w:after="0"/>
              <w:rPr>
                <w:sz w:val="18"/>
                <w:szCs w:val="18"/>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and including any application for registration and renewals or extensions of such rights in any country in the</w:t>
            </w:r>
          </w:p>
        </w:tc>
      </w:tr>
      <w:tr>
        <w:trPr>
          <w:trHeight w:val="234"/>
        </w:trPr>
        <w:tc>
          <w:tcPr>
            <w:tcW w:w="3120" w:type="dxa"/>
            <w:vAlign w:val="bottom"/>
          </w:tcPr>
          <w:p>
            <w:pPr>
              <w:spacing w:after="0"/>
              <w:rPr>
                <w:sz w:val="20"/>
                <w:szCs w:val="20"/>
                <w:color w:val="auto"/>
              </w:rPr>
            </w:pPr>
          </w:p>
        </w:tc>
        <w:tc>
          <w:tcPr>
            <w:tcW w:w="8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world and whether subsisting now or in the future;</w:t>
            </w:r>
          </w:p>
        </w:tc>
      </w:tr>
      <w:tr>
        <w:trPr>
          <w:trHeight w:val="432"/>
        </w:trPr>
        <w:tc>
          <w:tcPr>
            <w:tcW w:w="3120" w:type="dxa"/>
            <w:vAlign w:val="bottom"/>
          </w:tcPr>
          <w:p>
            <w:pPr>
              <w:spacing w:after="0"/>
              <w:rPr>
                <w:sz w:val="24"/>
                <w:szCs w:val="24"/>
                <w:color w:val="auto"/>
              </w:rPr>
            </w:pPr>
          </w:p>
        </w:tc>
        <w:tc>
          <w:tcPr>
            <w:tcW w:w="81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r>
      <w:tr>
        <w:trPr>
          <w:trHeight w:val="115"/>
        </w:trPr>
        <w:tc>
          <w:tcPr>
            <w:tcW w:w="312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576" w:right="25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“Latent Defect”</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A defect in a Batch that was present at the time of Disposition but was discovered after Disposition (but within</w:t>
            </w:r>
          </w:p>
        </w:tc>
      </w:tr>
      <w:tr>
        <w:trPr>
          <w:trHeight w:val="234"/>
        </w:trPr>
        <w:tc>
          <w:tcPr>
            <w:tcW w:w="3160" w:type="dxa"/>
            <w:vAlign w:val="bottom"/>
          </w:tcPr>
          <w:p>
            <w:pPr>
              <w:spacing w:after="0"/>
              <w:rPr>
                <w:sz w:val="20"/>
                <w:szCs w:val="20"/>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the time frame set forth in clause 6 governing Latent Defects) that renders the Batch a Non-Conforming Batch.</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any (i) liabilities of any nature, whether accrued, absolute, contingent or otherwise and whether in contract,</w:t>
            </w:r>
          </w:p>
        </w:tc>
      </w:tr>
      <w:tr>
        <w:trPr>
          <w:trHeight w:val="216"/>
        </w:trPr>
        <w:tc>
          <w:tcPr>
            <w:tcW w:w="3160" w:type="dxa"/>
            <w:vAlign w:val="bottom"/>
          </w:tcPr>
          <w:p>
            <w:pPr>
              <w:spacing w:after="0"/>
              <w:rPr>
                <w:sz w:val="18"/>
                <w:szCs w:val="18"/>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tort (including negligence) or otherwise; (ii) losses, costs (including internal costs/overheads), damages, fines</w:t>
            </w:r>
          </w:p>
        </w:tc>
      </w:tr>
      <w:tr>
        <w:trPr>
          <w:trHeight w:val="212"/>
        </w:trPr>
        <w:tc>
          <w:tcPr>
            <w:tcW w:w="3160" w:type="dxa"/>
            <w:vAlign w:val="bottom"/>
          </w:tcPr>
          <w:p>
            <w:pPr>
              <w:spacing w:after="0"/>
              <w:rPr>
                <w:sz w:val="18"/>
                <w:szCs w:val="18"/>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or expenses including reasonable legal fees; and (iii) claim, demand, proceeding, action or cause of action</w:t>
            </w:r>
          </w:p>
        </w:tc>
      </w:tr>
      <w:tr>
        <w:trPr>
          <w:trHeight w:val="238"/>
        </w:trPr>
        <w:tc>
          <w:tcPr>
            <w:tcW w:w="3160" w:type="dxa"/>
            <w:vAlign w:val="bottom"/>
          </w:tcPr>
          <w:p>
            <w:pPr>
              <w:spacing w:after="0"/>
              <w:rPr>
                <w:sz w:val="20"/>
                <w:szCs w:val="20"/>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including those by third parties; in each case howsoever arising. “</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shall be construed accordingly;</w:t>
            </w:r>
          </w:p>
        </w:tc>
      </w:tr>
      <w:tr>
        <w:trPr>
          <w:trHeight w:val="410"/>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“Material Review Board” or</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cross-functional committee, led by quality assurance, that consists of representation from program</w:t>
            </w:r>
          </w:p>
        </w:tc>
      </w:tr>
      <w:tr>
        <w:trPr>
          <w:trHeight w:val="238"/>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“MRB”</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management, quality control (as applicable), and manufacturing. Customer representation is required;</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“Maximum Annual Quantity”</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has the meaning given to it in the relevant PSA;</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“Minimum Annual Quantity”</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has the meaning given to it in the relevant PSA;</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“Modifications”</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modification to a Facility; or equipment (including Process specific qualification and installation of existing</w:t>
            </w:r>
          </w:p>
        </w:tc>
      </w:tr>
      <w:tr>
        <w:trPr>
          <w:trHeight w:val="214"/>
        </w:trPr>
        <w:tc>
          <w:tcPr>
            <w:tcW w:w="3160" w:type="dxa"/>
            <w:vAlign w:val="bottom"/>
          </w:tcPr>
          <w:p>
            <w:pPr>
              <w:spacing w:after="0"/>
              <w:rPr>
                <w:sz w:val="18"/>
                <w:szCs w:val="18"/>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equipment), required in order to perform a Process and detailed in the applicable Scope of Work or PSA (as</w:t>
            </w:r>
          </w:p>
        </w:tc>
      </w:tr>
      <w:tr>
        <w:trPr>
          <w:trHeight w:val="236"/>
        </w:trPr>
        <w:tc>
          <w:tcPr>
            <w:tcW w:w="3160" w:type="dxa"/>
            <w:vAlign w:val="bottom"/>
          </w:tcPr>
          <w:p>
            <w:pPr>
              <w:spacing w:after="0"/>
              <w:rPr>
                <w:sz w:val="20"/>
                <w:szCs w:val="20"/>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applicable)</w:t>
            </w:r>
            <w:r>
              <w:rPr>
                <w:rFonts w:ascii="Times New Roman" w:cs="Times New Roman" w:eastAsia="Times New Roman" w:hAnsi="Times New Roman"/>
                <w:sz w:val="18"/>
                <w:szCs w:val="18"/>
                <w:i w:val="1"/>
                <w:iCs w:val="1"/>
                <w:color w:val="auto"/>
              </w:rPr>
              <w:t>;</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“Non-Conforming Batch”</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cGMP Batch which has not been produced in accordance with cGMP and/or does not meet the Product</w:t>
            </w:r>
          </w:p>
        </w:tc>
      </w:tr>
      <w:tr>
        <w:trPr>
          <w:trHeight w:val="234"/>
        </w:trPr>
        <w:tc>
          <w:tcPr>
            <w:tcW w:w="3160" w:type="dxa"/>
            <w:vAlign w:val="bottom"/>
          </w:tcPr>
          <w:p>
            <w:pPr>
              <w:spacing w:after="0"/>
              <w:rPr>
                <w:sz w:val="20"/>
                <w:szCs w:val="20"/>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Specification;</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“Non-Manufacturing Stage”</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any Stage of a Program, which is not a manufacturing stage, including (for clarity) the production and testing</w:t>
            </w:r>
          </w:p>
        </w:tc>
      </w:tr>
      <w:tr>
        <w:trPr>
          <w:trHeight w:val="234"/>
        </w:trPr>
        <w:tc>
          <w:tcPr>
            <w:tcW w:w="3160" w:type="dxa"/>
            <w:vAlign w:val="bottom"/>
          </w:tcPr>
          <w:p>
            <w:pPr>
              <w:spacing w:after="0"/>
              <w:rPr>
                <w:sz w:val="20"/>
                <w:szCs w:val="20"/>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of Demonstration Batches;</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“Order”</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has the meaning given to it in Schedule 2;</w:t>
            </w:r>
          </w:p>
        </w:tc>
      </w:tr>
      <w:tr>
        <w:trPr>
          <w:trHeight w:val="432"/>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“Process”</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particular process used, or to be used, for manufacture of a Product;</w:t>
            </w:r>
          </w:p>
        </w:tc>
      </w:tr>
      <w:tr>
        <w:trPr>
          <w:trHeight w:val="414"/>
        </w:trPr>
        <w:tc>
          <w:tcPr>
            <w:tcW w:w="31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PPQ Batch</w:t>
            </w: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shall mean a Conforming Batch which is expected to be distributed commercially and which is produced from</w:t>
            </w:r>
          </w:p>
        </w:tc>
      </w:tr>
      <w:tr>
        <w:trPr>
          <w:trHeight w:val="216"/>
        </w:trPr>
        <w:tc>
          <w:tcPr>
            <w:tcW w:w="3160" w:type="dxa"/>
            <w:vAlign w:val="bottom"/>
          </w:tcPr>
          <w:p>
            <w:pPr>
              <w:spacing w:after="0"/>
              <w:rPr>
                <w:sz w:val="18"/>
                <w:szCs w:val="18"/>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process validation run conducted by Fujifilm to (i) demonstrate and document the consistency and</w:t>
            </w:r>
          </w:p>
        </w:tc>
      </w:tr>
      <w:tr>
        <w:trPr>
          <w:trHeight w:val="216"/>
        </w:trPr>
        <w:tc>
          <w:tcPr>
            <w:tcW w:w="3160" w:type="dxa"/>
            <w:vAlign w:val="bottom"/>
          </w:tcPr>
          <w:p>
            <w:pPr>
              <w:spacing w:after="0"/>
              <w:rPr>
                <w:sz w:val="18"/>
                <w:szCs w:val="18"/>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reproducibility of the manufacturing Process at the Facility, and (ii) support the regulatory approval of both the</w:t>
            </w:r>
          </w:p>
        </w:tc>
      </w:tr>
      <w:tr>
        <w:trPr>
          <w:trHeight w:val="234"/>
        </w:trPr>
        <w:tc>
          <w:tcPr>
            <w:tcW w:w="3160" w:type="dxa"/>
            <w:vAlign w:val="bottom"/>
          </w:tcPr>
          <w:p>
            <w:pPr>
              <w:spacing w:after="0"/>
              <w:rPr>
                <w:sz w:val="20"/>
                <w:szCs w:val="20"/>
                <w:color w:val="auto"/>
              </w:rPr>
            </w:pPr>
          </w:p>
        </w:tc>
        <w:tc>
          <w:tcPr>
            <w:tcW w:w="81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Product manufactured and the manufacturing Process at the Facility each as defined in the Program Plan</w:t>
            </w:r>
          </w:p>
        </w:tc>
      </w:tr>
      <w:tr>
        <w:trPr>
          <w:trHeight w:val="432"/>
        </w:trPr>
        <w:tc>
          <w:tcPr>
            <w:tcW w:w="3160" w:type="dxa"/>
            <w:vAlign w:val="bottom"/>
          </w:tcPr>
          <w:p>
            <w:pPr>
              <w:spacing w:after="0"/>
              <w:rPr>
                <w:sz w:val="24"/>
                <w:szCs w:val="24"/>
                <w:color w:val="auto"/>
              </w:rPr>
            </w:pPr>
          </w:p>
        </w:tc>
        <w:tc>
          <w:tcPr>
            <w:tcW w:w="80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80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576" w:right="25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“Process Specification”</w:t>
            </w: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Process operating parameters and specifications as documented in (i) pre Commercial Trigger: the QA</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Documents (including Deviations) which has been agreed by the parties for cGMP Batch production and (ii)</w:t>
            </w:r>
          </w:p>
        </w:tc>
      </w:tr>
      <w:tr>
        <w:trPr>
          <w:trHeight w:val="234"/>
        </w:trPr>
        <w:tc>
          <w:tcPr>
            <w:tcW w:w="3200" w:type="dxa"/>
            <w:vAlign w:val="bottom"/>
          </w:tcPr>
          <w:p>
            <w:pPr>
              <w:spacing w:after="0"/>
              <w:rPr>
                <w:sz w:val="20"/>
                <w:szCs w:val="20"/>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following the Commercial Trigger: the Biologics License Application (BLA);</w:t>
            </w:r>
          </w:p>
        </w:tc>
      </w:tr>
      <w:tr>
        <w:trPr>
          <w:trHeight w:val="414"/>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“Process-Specific Consumable”</w:t>
            </w: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Consumable which is required to operate the Process and which is specific to the Process or a Consumable</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which is required in such large volumes as would not be possible for Fujifilm to consume during other</w:t>
            </w:r>
          </w:p>
        </w:tc>
      </w:tr>
      <w:tr>
        <w:trPr>
          <w:trHeight w:val="234"/>
        </w:trPr>
        <w:tc>
          <w:tcPr>
            <w:tcW w:w="3200" w:type="dxa"/>
            <w:vAlign w:val="bottom"/>
          </w:tcPr>
          <w:p>
            <w:pPr>
              <w:spacing w:after="0"/>
              <w:rPr>
                <w:sz w:val="20"/>
                <w:szCs w:val="20"/>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manufactures and/or within the shelf life of such Consumable;</w:t>
            </w:r>
          </w:p>
        </w:tc>
      </w:tr>
      <w:tr>
        <w:trPr>
          <w:trHeight w:val="414"/>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“Process-Specific Equipment”</w:t>
            </w: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 item of equipment which is required by Fujifilm to operate the Process and which is specific to the Process</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 addition to that equipment which Fujifilm uses in its Facilities as at the SoW Effective Date or PSA</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Effective Date (as applicable) (which existing equipment is not already dedicated to other customer(s) of</w:t>
            </w:r>
          </w:p>
        </w:tc>
      </w:tr>
      <w:tr>
        <w:trPr>
          <w:trHeight w:val="234"/>
        </w:trPr>
        <w:tc>
          <w:tcPr>
            <w:tcW w:w="3200" w:type="dxa"/>
            <w:vAlign w:val="bottom"/>
          </w:tcPr>
          <w:p>
            <w:pPr>
              <w:spacing w:after="0"/>
              <w:rPr>
                <w:sz w:val="20"/>
                <w:szCs w:val="20"/>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Fujifilm);</w:t>
            </w:r>
          </w:p>
        </w:tc>
      </w:tr>
      <w:tr>
        <w:trPr>
          <w:trHeight w:val="414"/>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particular product or substance (compound, reagent, intermediate or molecule) created during and as a</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result of performing the Process. The name of the relevant Product is identified in the applicable Scope of</w:t>
            </w:r>
          </w:p>
        </w:tc>
      </w:tr>
      <w:tr>
        <w:trPr>
          <w:trHeight w:val="234"/>
        </w:trPr>
        <w:tc>
          <w:tcPr>
            <w:tcW w:w="3200" w:type="dxa"/>
            <w:vAlign w:val="bottom"/>
          </w:tcPr>
          <w:p>
            <w:pPr>
              <w:spacing w:after="0"/>
              <w:rPr>
                <w:sz w:val="20"/>
                <w:szCs w:val="20"/>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Work or PSA (as applicable);</w:t>
            </w:r>
          </w:p>
        </w:tc>
      </w:tr>
      <w:tr>
        <w:trPr>
          <w:trHeight w:val="432"/>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“Product Specification”</w:t>
            </w: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Product specification for Product which is documented in a QA Document.</w:t>
            </w:r>
          </w:p>
        </w:tc>
      </w:tr>
      <w:tr>
        <w:trPr>
          <w:trHeight w:val="414"/>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“Production Year”</w:t>
            </w: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period of time used in conjunction with Commercial Manufacturing Services, being a period of [***] ([***])</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consecutive calendar [***] ending on [***] [***], except that the first Production Year of this Agreement shall</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commence on the applicable Commercial Manufacturing Services PSA Effective Date and end on the next</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following [***] [***], and the last Production Year of this Agreement shall commence on [***] [***] of the</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 in which this Agreement terminates or expires and end on the date of termination or expiry of this</w:t>
            </w:r>
          </w:p>
        </w:tc>
      </w:tr>
      <w:tr>
        <w:trPr>
          <w:trHeight w:val="234"/>
        </w:trPr>
        <w:tc>
          <w:tcPr>
            <w:tcW w:w="3200" w:type="dxa"/>
            <w:vAlign w:val="bottom"/>
          </w:tcPr>
          <w:p>
            <w:pPr>
              <w:spacing w:after="0"/>
              <w:rPr>
                <w:sz w:val="20"/>
                <w:szCs w:val="20"/>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Agreement;</w:t>
            </w:r>
          </w:p>
        </w:tc>
      </w:tr>
      <w:tr>
        <w:trPr>
          <w:trHeight w:val="414"/>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“Program”</w:t>
            </w: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 program of work for development and commercial manufacture of the Product, as set out in the applicable</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Scope of Work (or more than one Scope of Work, as the case may be) and/or PSA and to be carried out by</w:t>
            </w:r>
          </w:p>
        </w:tc>
      </w:tr>
      <w:tr>
        <w:trPr>
          <w:trHeight w:val="234"/>
        </w:trPr>
        <w:tc>
          <w:tcPr>
            <w:tcW w:w="3200" w:type="dxa"/>
            <w:vAlign w:val="bottom"/>
          </w:tcPr>
          <w:p>
            <w:pPr>
              <w:spacing w:after="0"/>
              <w:rPr>
                <w:sz w:val="20"/>
                <w:szCs w:val="20"/>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Fujifilm in accordance with the terms of this Agreement;</w:t>
            </w:r>
          </w:p>
        </w:tc>
      </w:tr>
      <w:tr>
        <w:trPr>
          <w:trHeight w:val="414"/>
        </w:trPr>
        <w:tc>
          <w:tcPr>
            <w:tcW w:w="32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“Program Cancellation Fee”</w:t>
            </w: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 amount equal to the sum of: (i) the relevant Batch Cancellation Fee in respect of any cancelled</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manufacturing stages during the R&amp;D Services; (ii) the amount calculated under clause 14.3.1 in respect of</w:t>
            </w:r>
          </w:p>
        </w:tc>
      </w:tr>
      <w:tr>
        <w:trPr>
          <w:trHeight w:val="216"/>
        </w:trPr>
        <w:tc>
          <w:tcPr>
            <w:tcW w:w="3200" w:type="dxa"/>
            <w:vAlign w:val="bottom"/>
          </w:tcPr>
          <w:p>
            <w:pPr>
              <w:spacing w:after="0"/>
              <w:rPr>
                <w:sz w:val="18"/>
                <w:szCs w:val="18"/>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cancelled Non-manufacturing stages during the R&amp;D Services; and (iii) the sum payable under clause 14.4.1</w:t>
            </w:r>
          </w:p>
        </w:tc>
      </w:tr>
      <w:tr>
        <w:trPr>
          <w:trHeight w:val="234"/>
        </w:trPr>
        <w:tc>
          <w:tcPr>
            <w:tcW w:w="3200" w:type="dxa"/>
            <w:vAlign w:val="bottom"/>
          </w:tcPr>
          <w:p>
            <w:pPr>
              <w:spacing w:after="0"/>
              <w:rPr>
                <w:sz w:val="20"/>
                <w:szCs w:val="20"/>
                <w:color w:val="auto"/>
              </w:rPr>
            </w:pPr>
          </w:p>
        </w:tc>
        <w:tc>
          <w:tcPr>
            <w:tcW w:w="8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where Commercial Manufacturing Services are terminated under clause 14.2;</w:t>
            </w:r>
          </w:p>
        </w:tc>
      </w:tr>
      <w:tr>
        <w:trPr>
          <w:trHeight w:val="432"/>
        </w:trPr>
        <w:tc>
          <w:tcPr>
            <w:tcW w:w="3200" w:type="dxa"/>
            <w:vAlign w:val="bottom"/>
          </w:tcPr>
          <w:p>
            <w:pPr>
              <w:spacing w:after="0"/>
              <w:rPr>
                <w:sz w:val="24"/>
                <w:szCs w:val="24"/>
                <w:color w:val="auto"/>
              </w:rPr>
            </w:pPr>
          </w:p>
        </w:tc>
        <w:tc>
          <w:tcPr>
            <w:tcW w:w="80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80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576" w:right="2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“Program Manager”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Plan”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“PSA”</w:t>
      </w:r>
    </w:p>
    <w:p>
      <w:pPr>
        <w:spacing w:after="0" w:line="200" w:lineRule="exact"/>
        <w:rPr>
          <w:sz w:val="20"/>
          <w:szCs w:val="20"/>
          <w:color w:val="auto"/>
        </w:rPr>
      </w:pPr>
    </w:p>
    <w:p>
      <w:pPr>
        <w:spacing w:after="0" w:line="241" w:lineRule="exact"/>
        <w:rPr>
          <w:sz w:val="20"/>
          <w:szCs w:val="20"/>
          <w:color w:val="auto"/>
        </w:rPr>
      </w:pPr>
    </w:p>
    <w:p>
      <w:pPr>
        <w:ind w:right="480"/>
        <w:spacing w:after="0" w:line="582" w:lineRule="auto"/>
        <w:rPr>
          <w:sz w:val="20"/>
          <w:szCs w:val="20"/>
          <w:color w:val="auto"/>
        </w:rPr>
      </w:pPr>
      <w:r>
        <w:rPr>
          <w:rFonts w:ascii="Times New Roman" w:cs="Times New Roman" w:eastAsia="Times New Roman" w:hAnsi="Times New Roman"/>
          <w:sz w:val="17"/>
          <w:szCs w:val="17"/>
          <w:b w:val="1"/>
          <w:bCs w:val="1"/>
          <w:color w:val="auto"/>
        </w:rPr>
        <w:t>“PSA Effective Date” “QA Documents”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Agreement”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“R&amp;D Services”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Authority”</w:t>
      </w:r>
    </w:p>
    <w:p>
      <w:pPr>
        <w:spacing w:after="0" w:line="200" w:lineRule="exact"/>
        <w:rPr>
          <w:sz w:val="20"/>
          <w:szCs w:val="20"/>
          <w:color w:val="auto"/>
        </w:rPr>
      </w:pPr>
    </w:p>
    <w:p>
      <w:pPr>
        <w:spacing w:after="0" w:line="241" w:lineRule="exact"/>
        <w:rPr>
          <w:sz w:val="20"/>
          <w:szCs w:val="20"/>
          <w:color w:val="auto"/>
        </w:rPr>
      </w:pPr>
    </w:p>
    <w:p>
      <w:pPr>
        <w:spacing w:after="0" w:line="500" w:lineRule="auto"/>
        <w:rPr>
          <w:sz w:val="20"/>
          <w:szCs w:val="20"/>
          <w:color w:val="auto"/>
        </w:rPr>
      </w:pPr>
      <w:r>
        <w:rPr>
          <w:rFonts w:ascii="Times New Roman" w:cs="Times New Roman" w:eastAsia="Times New Roman" w:hAnsi="Times New Roman"/>
          <w:sz w:val="18"/>
          <w:szCs w:val="18"/>
          <w:b w:val="1"/>
          <w:bCs w:val="1"/>
          <w:color w:val="auto"/>
        </w:rPr>
        <w:t>“Scope of Work” or “SoW” “Shelf Life”</w:t>
      </w:r>
    </w:p>
    <w:p>
      <w:pPr>
        <w:spacing w:after="0" w:line="2" w:lineRule="exact"/>
        <w:rPr>
          <w:sz w:val="20"/>
          <w:szCs w:val="20"/>
          <w:color w:val="auto"/>
        </w:rPr>
      </w:pPr>
    </w:p>
    <w:p>
      <w:pPr>
        <w:ind w:right="440"/>
        <w:spacing w:after="0" w:line="582" w:lineRule="auto"/>
        <w:rPr>
          <w:sz w:val="20"/>
          <w:szCs w:val="20"/>
          <w:color w:val="auto"/>
        </w:rPr>
      </w:pPr>
      <w:r>
        <w:rPr>
          <w:rFonts w:ascii="Times New Roman" w:cs="Times New Roman" w:eastAsia="Times New Roman" w:hAnsi="Times New Roman"/>
          <w:sz w:val="17"/>
          <w:szCs w:val="17"/>
          <w:b w:val="1"/>
          <w:bCs w:val="1"/>
          <w:color w:val="auto"/>
        </w:rPr>
        <w:t>“SoW Effective Date” “Special Waste”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“Stage”</w:t>
      </w:r>
    </w:p>
    <w:p>
      <w:pPr>
        <w:spacing w:after="0" w:line="20" w:lineRule="exact"/>
        <w:rPr>
          <w:sz w:val="20"/>
          <w:szCs w:val="20"/>
          <w:color w:val="auto"/>
        </w:rPr>
      </w:pPr>
      <w:r>
        <w:rPr>
          <w:sz w:val="20"/>
          <w:szCs w:val="20"/>
          <w:color w:val="auto"/>
        </w:rPr>
        <w:br w:type="column"/>
      </w:r>
    </w:p>
    <w:p>
      <w:pPr>
        <w:jc w:val="both"/>
        <w:spacing w:after="0" w:line="282" w:lineRule="auto"/>
        <w:rPr>
          <w:sz w:val="20"/>
          <w:szCs w:val="20"/>
          <w:color w:val="auto"/>
        </w:rPr>
      </w:pPr>
      <w:r>
        <w:rPr>
          <w:rFonts w:ascii="Times New Roman" w:cs="Times New Roman" w:eastAsia="Times New Roman" w:hAnsi="Times New Roman"/>
          <w:sz w:val="18"/>
          <w:szCs w:val="18"/>
          <w:color w:val="auto"/>
        </w:rPr>
        <w:t>the Program manager appointed by each of Fujifilm and the Customer under the applicable SoW or PSA, as applicable;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Program plan controlled by Fujifilm’s Program Manager and communicated to the Customer from time to time;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product specific addendum setting out the Commercial Manufacturing Services to be undertaken by Fujifilm for the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PSA, the date that the PSA is fully signed by all relevant parties;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Quality Agreement and the Process Control Strategy and In Process Control (“IPC”) documents produced and approved in accordance with the Quality Agreement or any cGMP documents agreed by the parties in writing;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 agreed by the parties which sets out the mutually agreed quality standards applicable for any cGMP activity under a Program;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technical consultancy services to be provided by Fujifilm under a Scope of Work that are developmental in nature including technology transfer of a process to Fujifilm and any manufacturing that happens before the commencement of Commercial Manufacturing Services;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U.S. Food and Drug Administration, the European Medicines Agency, the Medicines &amp; Healthcare products Regulatory Agency, the Danish Medicines Agency, and any successor to any such entities;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 setting out the detail of the R&amp;D Services to be undertaken by Fujifilm for the Customer;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the meaning given to it in the relevant PSA;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Scope of Work, the date that the Scope of Work is fully signed by all relevant parties;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waste or effluent which requires special handling including waste or effluent which is required to be collected in a special container (for example by tanker) for external disposal or which requires incineration;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stage of a Program as described in a SoW or the manufacture of one cGMP Batch under a PSA, as applicable. For the purposes of clause 9, a sub-stage described in a SoW (for example a Stage that is described by the Stage number and a suffix such as Stage 1A) shall be deemed to be an independent Stage in its own right;</w:t>
      </w: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120" w:space="540"/>
            <w:col w:w="8000"/>
          </w:cols>
          <w:pgMar w:left="980" w:top="576" w:right="25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7"/>
          <w:szCs w:val="17"/>
          <w:b w:val="1"/>
          <w:bCs w:val="1"/>
          <w:color w:val="auto"/>
        </w:rPr>
        <w:t>“Subcontracted Work”</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work subcontracted by Fujifilm under clause 21.3 but excluding any work subcontracted by Fujifilm to its Affiliates;</w:t>
      </w:r>
    </w:p>
    <w:p>
      <w:pPr>
        <w:spacing w:after="0" w:line="158" w:lineRule="exact"/>
        <w:rPr>
          <w:sz w:val="20"/>
          <w:szCs w:val="20"/>
          <w:color w:val="auto"/>
        </w:rPr>
      </w:pPr>
    </w:p>
    <w:p>
      <w:pPr>
        <w:sectPr>
          <w:pgSz w:w="11900" w:h="16838" w:orient="portrait"/>
          <w:cols w:equalWidth="0" w:num="2">
            <w:col w:w="2600" w:space="720"/>
            <w:col w:w="8000"/>
          </w:cols>
          <w:pgMar w:left="320" w:top="576" w:right="259" w:bottom="1440" w:gutter="0" w:footer="0" w:header="0"/>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“Subsequent Term”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has the meaning given to it in the relevant PSA;</w:t>
      </w:r>
    </w:p>
    <w:p>
      <w:pPr>
        <w:spacing w:after="0" w:line="200" w:lineRule="exact"/>
        <w:rPr>
          <w:sz w:val="20"/>
          <w:szCs w:val="20"/>
          <w:color w:val="auto"/>
        </w:rPr>
      </w:pPr>
    </w:p>
    <w:p>
      <w:pPr>
        <w:sectPr>
          <w:pgSz w:w="11900" w:h="16838" w:orient="portrait"/>
          <w:cols w:equalWidth="0" w:num="2">
            <w:col w:w="2600" w:space="720"/>
            <w:col w:w="8000"/>
          </w:cols>
          <w:pgMar w:left="320" w:top="576" w:right="259" w:bottom="1440" w:gutter="0" w:footer="0" w:header="0"/>
          <w:type w:val="continuous"/>
        </w:sectPr>
      </w:pP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“Tax”</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and all taxes, charges, levies, assessments and other fees of any kind imposed by any governmental or other authority (including, but not limited to, value added tax, sales tax or any other similar type of turnover tax); and</w:t>
      </w:r>
    </w:p>
    <w:p>
      <w:pPr>
        <w:spacing w:after="0" w:line="172" w:lineRule="exact"/>
        <w:rPr>
          <w:sz w:val="20"/>
          <w:szCs w:val="20"/>
          <w:color w:val="auto"/>
        </w:rPr>
      </w:pPr>
    </w:p>
    <w:p>
      <w:pPr>
        <w:sectPr>
          <w:pgSz w:w="11900" w:h="16838" w:orient="portrait"/>
          <w:cols w:equalWidth="0" w:num="2">
            <w:col w:w="2600" w:space="720"/>
            <w:col w:w="8000"/>
          </w:cols>
          <w:pgMar w:left="320" w:top="576" w:right="2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“Willful Misconduct”</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 knowing violation of a reasonable and uniformly enforced rule or policy. It means intentionally doing that which should not be done or intentionally failing to do that which should be done, knowing that injury or harm will probably result or recklessly disregarding the possibility that injury or harm may result.</w:t>
      </w:r>
    </w:p>
    <w:p>
      <w:pPr>
        <w:spacing w:after="0" w:line="172" w:lineRule="exact"/>
        <w:rPr>
          <w:sz w:val="20"/>
          <w:szCs w:val="20"/>
          <w:color w:val="auto"/>
        </w:rPr>
      </w:pPr>
    </w:p>
    <w:p>
      <w:pPr>
        <w:sectPr>
          <w:pgSz w:w="11900" w:h="16838" w:orient="portrait"/>
          <w:cols w:equalWidth="0" w:num="2">
            <w:col w:w="2600" w:space="720"/>
            <w:col w:w="8000"/>
          </w:cols>
          <w:pgMar w:left="320" w:top="576" w:right="259" w:bottom="1440" w:gutter="0" w:footer="0" w:header="0"/>
          <w:type w:val="continuous"/>
        </w:sectPr>
      </w:pPr>
    </w:p>
    <w:p>
      <w:pPr>
        <w:jc w:val="both"/>
        <w:ind w:left="660" w:right="8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In this Agreement (except where the context otherwise requires) any words following the terms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 example</w:t>
      </w:r>
      <w:r>
        <w:rPr>
          <w:rFonts w:ascii="Times New Roman" w:cs="Times New Roman" w:eastAsia="Times New Roman" w:hAnsi="Times New Roman"/>
          <w:sz w:val="18"/>
          <w:szCs w:val="18"/>
          <w:color w:val="auto"/>
        </w:rPr>
        <w:t>” or any similar expression are by way of illustration and emphasis only and shall not limit the generality or extent of any other words or expressions.</w:t>
      </w:r>
    </w:p>
    <w:p>
      <w:pPr>
        <w:spacing w:after="0" w:line="159" w:lineRule="exact"/>
        <w:rPr>
          <w:sz w:val="20"/>
          <w:szCs w:val="20"/>
          <w:color w:val="auto"/>
        </w:rPr>
      </w:pPr>
    </w:p>
    <w:p>
      <w:pPr>
        <w:jc w:val="both"/>
        <w:ind w:left="660" w:right="8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Each Scope of Work and each PSA will be entered into by FDBN or FDBD or a combination of FDBN and/or FDBD and, subject to clause 18.3 each reference to Fujifilm or a “party” in this Agreement shall apply only to such of FDBN and/or FDBD as is carrying out the Program under the relevant Scope of Work or PSA. Whichever of FDBN or FDBD has entered into the Scope of Work or PSA in respect of that Program shall be fully and solely responsible for the obligations and liabilities of that party under the Scope of Work or PSA (as applicable).</w:t>
      </w:r>
    </w:p>
    <w:p>
      <w:pPr>
        <w:spacing w:after="0" w:line="180" w:lineRule="exact"/>
        <w:rPr>
          <w:sz w:val="20"/>
          <w:szCs w:val="20"/>
          <w:color w:val="auto"/>
        </w:rPr>
      </w:pPr>
    </w:p>
    <w:p>
      <w:pPr>
        <w:jc w:val="both"/>
        <w:ind w:left="660" w:right="8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Insofar as this Agreement, a Scope of Work or a PSA obliges any party to this Agreement to negotiate, take action or to do something, that party shall conduct such communications, negotiations, take such action or do such thing in good faith acting professionally and, in the case of Fujifilm, using Commercially Reasonable Efforts to achieve the result contemplated in this Agreement. There shall be a general obligation on the parties to act in good faith and with professionalism in relation to the matters contemplated in this Agreement.</w:t>
      </w:r>
    </w:p>
    <w:p>
      <w:pPr>
        <w:spacing w:after="0" w:line="180" w:lineRule="exact"/>
        <w:rPr>
          <w:sz w:val="20"/>
          <w:szCs w:val="20"/>
          <w:color w:val="auto"/>
        </w:rPr>
      </w:pPr>
    </w:p>
    <w:p>
      <w:pPr>
        <w:jc w:val="both"/>
        <w:ind w:left="660" w:right="8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In the case of conflict or ambiguity between terms of the main body of this Agreement, any Schedule to this Agreement or any other terms in any Scope of Work or PSA, the order of priority shall be as follows: (i) the main body of the Agreement; (ii) the Schedules to the Agreement; and (iii) the main body of the Scope of Work or PSA (as applicable) unless a Scope of Work or PSA specifically varies a provision of the Agreement or a Schedule to the Agreement by reference to the provision it is amending in which case the Scope of Work or PSA (as applicable) shall take precedence in that instance.</w:t>
      </w:r>
    </w:p>
    <w:p>
      <w:pPr>
        <w:spacing w:after="0" w:line="183" w:lineRule="exact"/>
        <w:rPr>
          <w:sz w:val="20"/>
          <w:szCs w:val="20"/>
          <w:color w:val="auto"/>
        </w:rPr>
      </w:pPr>
    </w:p>
    <w:p>
      <w:pPr>
        <w:jc w:val="both"/>
        <w:ind w:left="660" w:right="10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In the case of conflict or ambiguity between the terms of this Agreement, a PSA or any Scope of Work and the terms of the QA Documents, the terms of the QA Documents shall prevail solely in relation to cGMP quality matters subject to clause 9.10.</w:t>
      </w:r>
    </w:p>
    <w:p>
      <w:pPr>
        <w:spacing w:after="0" w:line="1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76" w:right="259" w:bottom="1440" w:gutter="0" w:footer="0" w:header="0"/>
          <w:type w:val="continuous"/>
        </w:sectPr>
      </w:pPr>
    </w:p>
    <w:bookmarkStart w:id="99" w:name="page100"/>
    <w:bookmarkEnd w:id="9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Where a defined term is used in clause 9 (Liability) it shall retain its meaning even when the entire word that is a defined term is in capitals.</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Where a provision requires agreement, consent and/or approval of a party, such agreement, consent and/or approval, unless expressly stated otherwise, may not be unreasonably withheld, delayed or conditioned.</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The parties agree that all Scopes of Work, PSAs, Changes, notices and other documents or correspondence under this Agreement and the Quality Agreement shall be in English.</w:t>
      </w:r>
    </w:p>
    <w:p>
      <w:pPr>
        <w:spacing w:after="0" w:line="158"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APPOINTMENT OF FUJIFILM AND SCOPE OF SERVICES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auto"/>
        </w:rPr>
        <w:t>Appointment</w:t>
      </w:r>
    </w:p>
    <w:p>
      <w:pPr>
        <w:spacing w:after="0" w:line="225"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2.1.1</w:t>
        <w:tab/>
        <w:t>This Agreement establishes the general terms and conditions applicable to Fujifilm’s performance of each Program for the Customer and is structured so that a separate, numbered, Scope of Work (or in some cases multiple Scope of Works) and/or a PSA shall be entered into by the parties for the provision of a Program. A purchase order which is issued by the Customer shall be treated exclusively as an ordering mechanism (in accordance with Schedule 2) and a finance tool for the purposes of raising invoices and any terms set out, or referred to, on such purchase order shall have no effect and shall not bind Fujifilm.</w:t>
      </w:r>
    </w:p>
    <w:p>
      <w:pPr>
        <w:spacing w:after="0" w:line="183"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2.1.2</w:t>
        <w:tab/>
        <w:t>The provisions of this Agreement shall apply to each Scope of Work and each PSA and no Scope of Work or PSA shall be effective or binding on any party until it has been signed by an authorized representative of each contracting party.</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2.1.3</w:t>
        <w:tab/>
        <w:t>Nothing in this Agreement, any Scope of Work or any PSA shall oblige any party to enter into any Scope of Work or PSA and each Scope of Work or PSA constitutes a separate contract.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Scope of the Services</w:t>
      </w:r>
    </w:p>
    <w:p>
      <w:pPr>
        <w:spacing w:after="0" w:line="225"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2.2.1</w:t>
        <w:tab/>
        <w:t>The scope of this Agreement covers research and development services (including initial technical transfer activities) through to commercial supply of Product.</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2.2.2</w:t>
        <w:tab/>
        <w:t>The parties may enter into a Scope of Work (or any number of Scopes of Work) for R&amp;D Services and a PSA for Commercial Manufacturing Services. Each Scope of Work and each PSA shall nonetheless clearly identify whether the Fujifilm Services to be provided are R&amp;D Services or Commercial Manufacturing Services.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Forecasting and Orders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2.3.1</w:t>
        <w:tab/>
        <w:t>In respect of a PSA for Commercial Manufacturing Services:</w:t>
      </w:r>
    </w:p>
    <w:p>
      <w:pPr>
        <w:spacing w:after="0" w:line="252" w:lineRule="exact"/>
        <w:rPr>
          <w:sz w:val="20"/>
          <w:szCs w:val="20"/>
          <w:color w:val="auto"/>
        </w:rPr>
      </w:pPr>
    </w:p>
    <w:p>
      <w:pPr>
        <w:ind w:left="2120" w:hanging="654"/>
        <w:spacing w:after="0" w:line="282" w:lineRule="auto"/>
        <w:tabs>
          <w:tab w:leader="none" w:pos="2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Customer’s capacity requirements will be forecasted in accordance with Schedule 2 unless expressly agreed otherwise in the relevant PSA;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0" w:name="page101"/>
    <w:bookmarkEnd w:id="100"/>
    <w:p>
      <w:pPr>
        <w:jc w:val="both"/>
        <w:ind w:left="2120" w:hanging="654"/>
        <w:spacing w:after="0" w:line="266" w:lineRule="auto"/>
        <w:tabs>
          <w:tab w:leader="none" w:pos="2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shall place Orders for Products pursuant to that PSA in accordance with Schedule 2. Any Order placed will be subject to this Agreement and the applicable PSA and any standard terms of the Customer referenced in any such Order shall not apply.</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2.3.2</w:t>
        <w:tab/>
        <w:t>The Customer shall enter into Scope(s) of Work in respect of R&amp;D Services and the Scope of Work shall detail the Customer’s requirements, including the forecasting details associated with that Scope of Work. For the avoidance of doubt Schedule 2 does not apply to R&amp;D Services.</w:t>
      </w:r>
    </w:p>
    <w:p>
      <w:pPr>
        <w:spacing w:after="0" w:line="172"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This Agreement shall come into force on the Effective Date and shall continue until terminated by either party in accordance with the terms of this Agreement.</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 party may terminate this Agreement upon giving [***] ([***]) [***] written notice to the others, provided that there are no uncompleted PSA(s) or Scope of Work(s) existing at the date such notice is given.</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Each Scope of Work will take effect from the SoW Effective Date and shall continue until the earlier of:</w:t>
      </w:r>
    </w:p>
    <w:p>
      <w:pPr>
        <w:spacing w:after="0" w:line="225"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3.3.1</w:t>
        <w:tab/>
        <w:t>the date specified in the Scope of Work, or if no such date is specified, the date the Program, or part of the Program referred to in the Scope of Work is completed; or</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7"/>
          <w:szCs w:val="17"/>
          <w:color w:val="auto"/>
        </w:rPr>
        <w:t>termination of this Agreement or the relevant Scope of Work in accordance with the terms of this Agreement.</w:t>
      </w:r>
    </w:p>
    <w:p>
      <w:pPr>
        <w:spacing w:after="0" w:line="2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Each PSA will take effect from the PSA Effective Date and shall continue until the earlier of:</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3.4.1</w:t>
        <w:tab/>
        <w:t>expiry of the term stated therein (which the parties agree shall not be less than [***]); or</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3.4.2</w:t>
        <w:tab/>
        <w:t>termination of this Agreement or the relevant PSA in accordance with the terms of this Agreement.</w:t>
      </w:r>
    </w:p>
    <w:p>
      <w:pPr>
        <w:spacing w:after="0" w:line="248"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 OF PROGRAM</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Fujifilm shall carry out each Program, or parts of each Program, using Commercially Reasonable Efforts in accordance with:</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the terms of this Agreement and any PSA or Scope of Work (as applicable);</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4.1.2</w:t>
        <w:tab/>
        <w:t>Applicable Laws;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4.1.3</w:t>
        <w:tab/>
        <w:t>the Quality Agreement and cGMP (in both cases when applicable); and</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4.1.4</w:t>
        <w:tab/>
        <w:t>the Process Specification for the applicable cGMP Batch (if 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1" w:name="page102"/>
    <w:bookmarkEnd w:id="101"/>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parties agree that it shall not be considered a breach of this Agreement, any PSA, or any Scope(s) of Work, by Fujifilm if an objective of a Program is not achieved provided that Fujifilm has complied with its obligations set out in clause 4.1. Notwithstanding any contrary provisions in this Agreement, any PSA or any Scope(s) of Work, the parties acknowledge and agree that the services to be performed during the Program prior to the Commercial Trigger (together with any SoWs for R&amp;D Services after the Commercial Trigger) are by their nature developmental and Fujifilm cannot (and consequently does not) guarantee to the Customer the achievement of a successful outcome for the Program, production of Conforming Batches or production of a specified volume of Product.</w:t>
      </w:r>
    </w:p>
    <w:p>
      <w:pPr>
        <w:spacing w:after="0" w:line="187"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Each Scope of Work and each PSA contains assumptions on which Fujifilm’s ability to perform a Program depends. If an assumption set out in the Scope of Work or PSA proves to be incorrect or actual circumstances differ from an assumption (including if such assumption cannot be met at such time as Fujifilm reasonably requires to enable it to perform its obligations) then the parties shall agree a Change to account for the change in assumption.</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The Customer shall:</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4.4.1</w:t>
        <w:tab/>
        <w:t>promptly provide the Customer Deliverables set out in the SoW or PSA (as applicable);</w:t>
      </w:r>
    </w:p>
    <w:p>
      <w:pPr>
        <w:spacing w:after="0" w:line="25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4.4.2</w:t>
        <w:tab/>
        <w:t>meet all its obligations and responsibilities under this Agreement, any PSA(s) and Scopes of Work (including, in particular, any Customer dependencies set out in a PSA or Scope of Work) and the Quality Agreement;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4.4.3</w:t>
        <w:tab/>
        <w:t>comply with Applicable Laws; and</w:t>
      </w:r>
    </w:p>
    <w:p>
      <w:pPr>
        <w:spacing w:after="0" w:line="252" w:lineRule="exact"/>
        <w:rPr>
          <w:sz w:val="20"/>
          <w:szCs w:val="20"/>
          <w:color w:val="auto"/>
        </w:rPr>
      </w:pPr>
    </w:p>
    <w:p>
      <w:pPr>
        <w:jc w:val="center"/>
        <w:ind w:left="980"/>
        <w:spacing w:after="0" w:line="282" w:lineRule="auto"/>
        <w:rPr>
          <w:sz w:val="20"/>
          <w:szCs w:val="20"/>
          <w:color w:val="auto"/>
        </w:rPr>
      </w:pPr>
      <w:r>
        <w:rPr>
          <w:rFonts w:ascii="Times New Roman" w:cs="Times New Roman" w:eastAsia="Times New Roman" w:hAnsi="Times New Roman"/>
          <w:sz w:val="18"/>
          <w:szCs w:val="18"/>
          <w:color w:val="auto"/>
        </w:rPr>
        <w:t>4.4.4   promptly provide all assistance, information, and advice and do all acts which Fujifilm may reasonably request to enable Fujifilm to comply with its obligations and responsibilities under this Agreement, any PSA, any Scope of Work and the Quality Agreement.</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In the case of Commercial Manufacturing Services, Fujifilm shall be entitled, but not obliged, to manufacture more Batches than are ordered by the Customer to create a stock of Product to satisfy Customer’s Orders placed in accordance with Schedule 2 provided that Product that is delivered to Customer must have that number of [***] specified in the applicable PSA remaining before its Shelf Life expires.</w:t>
      </w:r>
    </w:p>
    <w:p>
      <w:pPr>
        <w:spacing w:after="0" w:line="172"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QUALITY AND REGULATORY MATTERS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auto"/>
        </w:rPr>
        <w:t>Quality Agreement</w:t>
      </w:r>
    </w:p>
    <w:p>
      <w:pPr>
        <w:spacing w:after="0" w:line="225"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5.1.1</w:t>
        <w:tab/>
        <w:t>The Parties shall use Commercially Reasonable Efforts to ensure that the applicable Quality Agreement will be drafted and executed prior to the Effective Date).</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5.1.2</w:t>
        <w:tab/>
        <w:t>The Customer acknowledges that Fujifilm shall not commence any cGMP activity until the Quality Agreement is executed by both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2" w:name="page103"/>
    <w:bookmarkEnd w:id="102"/>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Regulatory Assistance</w:t>
      </w:r>
    </w:p>
    <w:p>
      <w:pPr>
        <w:spacing w:after="0" w:line="225"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5.2.1</w:t>
        <w:tab/>
        <w:t>The Customer shall provide Fujifilm with a copy of the Customer’s Chemistry, Manufacturing and Controls section of any submission to a Regulatory Authority supporting the Customer’s regulatory filing activities for the applicable Drug Product or Process which relates to or contains information about the Process; the Facility (including Fujifilm equipment); the Fujifilm Services and/or the Ancillary Services (“</w:t>
      </w:r>
      <w:r>
        <w:rPr>
          <w:rFonts w:ascii="Times New Roman" w:cs="Times New Roman" w:eastAsia="Times New Roman" w:hAnsi="Times New Roman"/>
          <w:sz w:val="18"/>
          <w:szCs w:val="18"/>
          <w:b w:val="1"/>
          <w:bCs w:val="1"/>
          <w:color w:val="auto"/>
        </w:rPr>
        <w:t>CMC Section</w:t>
      </w:r>
      <w:r>
        <w:rPr>
          <w:rFonts w:ascii="Times New Roman" w:cs="Times New Roman" w:eastAsia="Times New Roman" w:hAnsi="Times New Roman"/>
          <w:sz w:val="18"/>
          <w:szCs w:val="18"/>
          <w:color w:val="auto"/>
        </w:rPr>
        <w:t>”) in accordance with the Quality Agreement. The Customer shall provide Fujifilm the opportunity to review and comment on a CMC Section that relates to any information regarding or impacting Fujifilm, or any information provided to the Customer by Fujifilm related to or in accordance with the Quality Agreement. If the CMC Section(s) is/are submitted without Fujifilm’s prior approval, the Customer shall be solely responsible for the CMC Section’s accuracy. Customer acknowledges and agrees that if the CMC Section is not accurate, Fujifilm may not be able to progress the Program due to actions by Regulatory Authorities, and a Delay may result.</w:t>
      </w:r>
    </w:p>
    <w:p>
      <w:pPr>
        <w:spacing w:after="0" w:line="188"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5.2.2</w:t>
        <w:tab/>
        <w:t>During a Program the Customer may request assistance from Fujifilm in respect of the CMC Section, subject to payment by the Customer of a reasonable commercial rate for such assistance and Fujifilm’s reasonable expenses. However, no advice or assistance given by Fujifilm shall be deemed to be or construed as a guarantee that a Drug Product will receive regulatory approval.</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5.2.3</w:t>
        <w:tab/>
        <w:t>Fujifilm will provide one electronic (PDF) copy of any documents which may be reasonably required by the Customer in support of its regulatory filing activities. If the Customer requires copies of the laboratory documents, provision of these will be subject to discussion and agreement by the parties and agreement of an additional fee associated with copying.</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5.2.4</w:t>
        <w:tab/>
        <w:t>The Customer shall have the right and responsibility for determining regulatory strategy, decisions and actions relating to each Program and any Product and/or Drug Product subject to clause 5.2.5 and provided that Fujifilm shall have the right and responsibility for determining regulatory strategy, decisions and actions to the extent relating to:</w:t>
      </w:r>
    </w:p>
    <w:p>
      <w:pPr>
        <w:spacing w:after="0" w:line="176" w:lineRule="exact"/>
        <w:rPr>
          <w:sz w:val="20"/>
          <w:szCs w:val="20"/>
          <w:color w:val="auto"/>
        </w:rPr>
      </w:pPr>
    </w:p>
    <w:p>
      <w:pPr>
        <w:ind w:left="2120" w:hanging="654"/>
        <w:spacing w:after="0"/>
        <w:tabs>
          <w:tab w:leader="none" w:pos="2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Facility (including in particular utilities and equipment);</w:t>
      </w:r>
    </w:p>
    <w:p>
      <w:pPr>
        <w:spacing w:after="0" w:line="252" w:lineRule="exact"/>
        <w:rPr>
          <w:rFonts w:ascii="Times New Roman" w:cs="Times New Roman" w:eastAsia="Times New Roman" w:hAnsi="Times New Roman"/>
          <w:sz w:val="18"/>
          <w:szCs w:val="18"/>
          <w:color w:val="auto"/>
        </w:rPr>
      </w:pPr>
    </w:p>
    <w:p>
      <w:pPr>
        <w:ind w:left="2120" w:hanging="654"/>
        <w:spacing w:after="0"/>
        <w:tabs>
          <w:tab w:leader="none" w:pos="2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Fujifilm’s quality systems, policies and internal procedures;</w:t>
      </w:r>
    </w:p>
    <w:p>
      <w:pPr>
        <w:spacing w:after="0" w:line="252" w:lineRule="exact"/>
        <w:rPr>
          <w:rFonts w:ascii="Times New Roman" w:cs="Times New Roman" w:eastAsia="Times New Roman" w:hAnsi="Times New Roman"/>
          <w:sz w:val="18"/>
          <w:szCs w:val="18"/>
          <w:color w:val="auto"/>
        </w:rPr>
      </w:pPr>
    </w:p>
    <w:p>
      <w:pPr>
        <w:ind w:left="2120" w:hanging="654"/>
        <w:spacing w:after="0"/>
        <w:tabs>
          <w:tab w:leader="none" w:pos="2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 imposed on Fujifilm by a Regulatory Authority; or</w:t>
      </w:r>
    </w:p>
    <w:p>
      <w:pPr>
        <w:spacing w:after="0" w:line="252"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commitments made by Fujifilm prior to the SoW Effective Date of the first SoW in a Program or PSA Effective Date of the first PSA in the Program (as applicable),</w:t>
      </w:r>
    </w:p>
    <w:p>
      <w:pPr>
        <w:spacing w:after="0" w:line="15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b w:val="1"/>
          <w:bCs w:val="1"/>
          <w:color w:val="auto"/>
        </w:rPr>
        <w:t>Fujifilm Regulatory Responsibility</w:t>
      </w:r>
      <w:r>
        <w:rPr>
          <w:rFonts w:ascii="Times New Roman" w:cs="Times New Roman" w:eastAsia="Times New Roman" w:hAnsi="Times New Roman"/>
          <w:sz w:val="18"/>
          <w:szCs w:val="18"/>
          <w:color w:val="auto"/>
        </w:rPr>
        <w:t>”).</w:t>
      </w:r>
    </w:p>
    <w:p>
      <w:pPr>
        <w:spacing w:after="0" w:line="256"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5.2.5</w:t>
        <w:tab/>
        <w:t>The Customer acknowledges that Fujifilm Quality Assurance team reserves the right to Disposition Product to the Customer in accordance with the Quality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3" w:name="page104"/>
    <w:bookmarkEnd w:id="103"/>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5.2.6</w:t>
        <w:tab/>
        <w:t>The Customer shall not make any change to its regulatory filings, including its Investigational New Drug application, which may have an impact on any Fujifilm Regulatory Responsibility without consultation and opportunity to review and comment by Fujifilm.</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No Debarment.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5.3.1</w:t>
        <w:tab/>
        <w:t>Each party represents and warrants to the other that neither it nor any of its officers, directors, or its employees performing services under this Agreement has been debarred, or convicted of a crime which could lead to debarment, under the Generic Drug Enforcement Act of 1992, 21 United States Code §§335(a) and (b).</w:t>
      </w:r>
    </w:p>
    <w:p>
      <w:pPr>
        <w:spacing w:after="0" w:line="172"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CONFORMING BATCHES AND NON-CONFORMING BATCHES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color w:val="auto"/>
        </w:rPr>
        <w:t>Each cGMP Batch will be determined to be a Conforming Batch or a Non-Conforming Batch.</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Deviations will be handled in accordance with the Quality Agreement and, for the avoidance of doubt, the Customer acknowledges that the occurrence of a Deviation does not automatically mean that a Batch is a Non-Conforming Batch.</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In respect of Conforming Batches, Fujifilm will complete Disposition, issue a certificate of analysis, and a Certificate of Compliance. The provisions of clauses 1.1 to 6.5.1 shall apply to Non-Conforming Batches only.</w:t>
      </w:r>
    </w:p>
    <w:p>
      <w:pPr>
        <w:spacing w:after="0" w:line="16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 xml:space="preserve">If a Batch is a Non-Conforming Batch and the cause of that Batch being a Non-Conforming Batch </w:t>
      </w:r>
      <w:r>
        <w:rPr>
          <w:rFonts w:ascii="Times New Roman" w:cs="Times New Roman" w:eastAsia="Times New Roman" w:hAnsi="Times New Roman"/>
          <w:sz w:val="18"/>
          <w:szCs w:val="18"/>
          <w:u w:val="single" w:color="auto"/>
          <w:color w:val="auto"/>
        </w:rPr>
        <w:t>is not</w:t>
      </w:r>
      <w:r>
        <w:rPr>
          <w:rFonts w:ascii="Times New Roman" w:cs="Times New Roman" w:eastAsia="Times New Roman" w:hAnsi="Times New Roman"/>
          <w:sz w:val="18"/>
          <w:szCs w:val="18"/>
          <w:color w:val="auto"/>
        </w:rPr>
        <w:t xml:space="preserve"> a failure by Fujifilm to comply with clause 4.1 then the Customer shall pay the Charges relating to the Non-Conforming Batch in full and the relevant manufacturing stage, Disposition and all related and ancillary activities shall be deemed to have been completed under the Scope of Work or PSA (as applicable). Any further work in relation to the Non-Conforming Batch (such as analysis of the Batch) or manufacture of a replacement cGMP Batch shall be carried out at a time and price to be agreed in writing by the parties in a Change.</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 xml:space="preserve">If a Batch is a Non-Conforming Batch and the cause of the Batch being a Non-Conforming Batch </w:t>
      </w:r>
      <w:r>
        <w:rPr>
          <w:rFonts w:ascii="Times New Roman" w:cs="Times New Roman" w:eastAsia="Times New Roman" w:hAnsi="Times New Roman"/>
          <w:sz w:val="18"/>
          <w:szCs w:val="18"/>
          <w:u w:val="single" w:color="auto"/>
          <w:color w:val="auto"/>
        </w:rPr>
        <w:t>is</w:t>
      </w:r>
      <w:r>
        <w:rPr>
          <w:rFonts w:ascii="Times New Roman" w:cs="Times New Roman" w:eastAsia="Times New Roman" w:hAnsi="Times New Roman"/>
          <w:sz w:val="18"/>
          <w:szCs w:val="18"/>
          <w:color w:val="auto"/>
        </w:rPr>
        <w:t xml:space="preserve"> a failure by Fujifilm to comply with clause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then:</w:t>
      </w:r>
    </w:p>
    <w:p>
      <w:pPr>
        <w:spacing w:after="0" w:line="207"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6.5.1</w:t>
        <w:tab/>
        <w:t>if the Non-Conforming Batch is produced prior to the Commercial Trigger, Fujifilm shall use Commercially Reasonable Efforts to manufacture a replacement cGMP Batch (“</w:t>
      </w:r>
      <w:r>
        <w:rPr>
          <w:rFonts w:ascii="Times New Roman" w:cs="Times New Roman" w:eastAsia="Times New Roman" w:hAnsi="Times New Roman"/>
          <w:sz w:val="18"/>
          <w:szCs w:val="18"/>
          <w:b w:val="1"/>
          <w:bCs w:val="1"/>
          <w:color w:val="auto"/>
        </w:rPr>
        <w:t>Replacement Batch</w:t>
      </w:r>
      <w:r>
        <w:rPr>
          <w:rFonts w:ascii="Times New Roman" w:cs="Times New Roman" w:eastAsia="Times New Roman" w:hAnsi="Times New Roman"/>
          <w:sz w:val="18"/>
          <w:szCs w:val="18"/>
          <w:color w:val="auto"/>
        </w:rPr>
        <w:t>”) as soon as is reasonably practicable ensuring that the Customer is treated equitably in any asset re-scheduling that may be undertaken to accommodate this. In these circumstances the Customer shall pay for (i) all Charges with respect to the original Non-Conforming Batch in accordance with the SoW (save that any installments of the Charges which are not due to be invoiced until a trigger which occurs after the date that the Non-Conforming Batch is determined to be a Non-Conforming Batch shall be invoiced instead on completion of the relevant trigger in relation to the Replacement Batch, for example, vial thaw or delivery) incurred during the manufacture of the Replacement Batch; and (ii) the Ancillary Charges for the Ancillary Services provided in relation to the Replacement Batch shall be payable by the Customer but for the avoidance of doubt the Fujifilm Services provided in relation to the Replacement Batch shall be free of charge; and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6.5.2</w:t>
        <w:tab/>
        <w:t>if the Non-Conforming Batch is produced after the Commercial Trigger then unless clause 6.5.3 applies, Fujifilm shall manufacture a replacement cGMP Batch (also a “</w:t>
      </w:r>
      <w:r>
        <w:rPr>
          <w:rFonts w:ascii="Times New Roman" w:cs="Times New Roman" w:eastAsia="Times New Roman" w:hAnsi="Times New Roman"/>
          <w:sz w:val="18"/>
          <w:szCs w:val="18"/>
          <w:b w:val="1"/>
          <w:bCs w:val="1"/>
          <w:color w:val="auto"/>
        </w:rPr>
        <w:t>Replacement Batch</w:t>
      </w:r>
      <w:r>
        <w:rPr>
          <w:rFonts w:ascii="Times New Roman" w:cs="Times New Roman" w:eastAsia="Times New Roman" w:hAnsi="Times New Roman"/>
          <w:sz w:val="18"/>
          <w:szCs w:val="18"/>
          <w:color w:val="auto"/>
        </w:rPr>
        <w:t>”) so as to satisfy the affected Order and shall use Commercially Reasonable Efforts to manufacture that Replacement Batch as soon as is reasonably practicable ensuring that the Customer is treated equitably in any asset re-scheduling that may be undertaken to accommodate this. In these circumstances the Customer shall pay for (i) all Charges in respect of the original Non-Conforming Batch in accordance with this Agreement save that any instalment of the Charges which have not yet been invoiced will be delayed until the payment trigger for that payment (for example vial thaw or delivery) occurs during the manufacture of the Replacement Batch; and (ii) [***] of the Ancillary Charges for the Ancillary Services provided in relation to the Replacement Batch shall be payable by the Customer but for the avoidance of doubt the Fujifilm Services provided and [***] of the Ancillary Charges in relation to the Replacement Batch shall be free of charge; and</w:t>
      </w:r>
    </w:p>
    <w:p>
      <w:pPr>
        <w:spacing w:after="0" w:line="188"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6.5.3</w:t>
        <w:tab/>
        <w:t>if the Non-Conforming Batch is produced after the Commercial Trigger and is part of a campaign of batches where such campaign commences more than [***] after completion of the last cGMP Batch manufactured by Fujifilm then clause 6.5.1 will apply.</w:t>
      </w:r>
    </w:p>
    <w:p>
      <w:pPr>
        <w:spacing w:after="0" w:line="16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6.5.4</w:t>
        <w:tab/>
        <w:t xml:space="preserve">In respect of any Program in which an Engineering Batch is not executed prior to manufacture of the first cGMP Batch in such Program, if the first cGMP Batch is a Non-Conforming Batch, it will be deemed that the cause of such Batch being a Non-Conforming Batch </w:t>
      </w:r>
      <w:r>
        <w:rPr>
          <w:rFonts w:ascii="Times New Roman" w:cs="Times New Roman" w:eastAsia="Times New Roman" w:hAnsi="Times New Roman"/>
          <w:sz w:val="18"/>
          <w:szCs w:val="18"/>
          <w:u w:val="single" w:color="auto"/>
          <w:color w:val="auto"/>
        </w:rPr>
        <w: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 failure of Fujifilm to comply with clause 4.1 and clause 6.4 shall apply, unless the cause of the cGMP Batch being a Non-Conforming Batch is Fujifilm’s Gross Negligence or Wilful Misconduct, in which case clause 6.5 shall apply.</w:t>
      </w:r>
    </w:p>
    <w:p>
      <w:pPr>
        <w:spacing w:after="0" w:line="180"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If the Customer requests delivery of a Non-Conforming Batch, the parties shall agree in writing (in a Change) on fair consideration payable for that Non-Conforming Batch. Fujifilm agrees to deliver a Non-Conforming Batch to the Customer on the express condition that it (i) will not be used for human or clinical trials; (ii) will be labeled as “Not for Human Use”; and (iii) is subject to the Customer’s indemnity given under clause 9.6.</w:t>
      </w:r>
    </w:p>
    <w:p>
      <w:pPr>
        <w:spacing w:after="0" w:line="180" w:lineRule="exact"/>
        <w:rPr>
          <w:sz w:val="20"/>
          <w:szCs w:val="20"/>
          <w:color w:val="auto"/>
        </w:rPr>
      </w:pPr>
    </w:p>
    <w:p>
      <w:pPr>
        <w:jc w:val="both"/>
        <w:ind w:left="660" w:hanging="647"/>
        <w:spacing w:after="0" w:line="276" w:lineRule="auto"/>
        <w:tabs>
          <w:tab w:leader="none" w:pos="64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color w:val="auto"/>
        </w:rPr>
        <w:t>In the event of a Latent Defect, Customer shall notify Fujifilm of such Latent Defect using Fujifilm’s quality complaints procedure as set out in the Quality Agreement no later than the earlier of: (a) [***] ([***]) Business Days from the date Customer becomes aware of such Latent Defect, or</w:t>
      </w:r>
    </w:p>
    <w:p>
      <w:pPr>
        <w:spacing w:after="0" w:line="1" w:lineRule="exact"/>
        <w:rPr>
          <w:sz w:val="20"/>
          <w:szCs w:val="20"/>
          <w:color w:val="auto"/>
        </w:rPr>
      </w:pPr>
    </w:p>
    <w:p>
      <w:pPr>
        <w:jc w:val="both"/>
        <w:ind w:left="660" w:hanging="4"/>
        <w:spacing w:after="0" w:line="253" w:lineRule="auto"/>
        <w:tabs>
          <w:tab w:leader="none" w:pos="9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 ([***]) [***] following the delivery date. The Parties shall cooperate to identify the cause of such Latent Defect. If the sole cause of the Latent Defect resulted Fujifilm’s failure to comply with clause 4.1.1 of the Agreement, clause 6.5 shall apply. For clarity, in the event the Latent Defect is caused by: (a) inherent Product instability, or (b) subsequent Customer actions, including without limitation, handling, shipping and storage of Product, clause 6.4 shall apply.</w:t>
      </w:r>
    </w:p>
    <w:p>
      <w:pPr>
        <w:spacing w:after="0" w:line="18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If the parties cannot agree if a Batch is a Conforming Batch or a Non-Conforming Batch and/or if the cause of a Batch being a Non-Conforming Batch is not agreed by the parties, then this clause 6.7 shall apply:</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6.8.1</w:t>
        <w:tab/>
        <w:t>the parties will first exhaust the investigation/resolution options set out in the Quality Agreement including reference to the Material Review Board (“MRB”) under the Quality Agreement and transparent disclosure of all applicable reports and analysis on which their respect opinion is based;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6.8.2</w:t>
        <w:tab/>
        <w:t>if the MRB is unable to resolve this matter then the documentation related to the applicable Batch will be reviewed by an independent cGMP consultant acceptable to both parties (acting reasonably). The result of such independent review will be binding for both parties solely for the purpose of determining whether the Batch is a Non-Conforming Batch and/or if a Non-Conforming Batch is caused by a failure by Fujifilm to comply with clause 4.1;</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6.8.3</w:t>
        <w:tab/>
        <w:t>if the independent cGMP consultant finds that the Batch is not a Non-Conforming Batch or that the Non-Conforming Batch was not caused by a failure by Fujifilm to comply with clause 4.1, the Customer will pay Fujifilm for the Batch in question in accordance with clause 1.1 plus the reasonable cost to Fujifilm of the investigation;</w:t>
      </w:r>
    </w:p>
    <w:p>
      <w:pPr>
        <w:spacing w:after="0" w:line="176"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6.8.4</w:t>
        <w:tab/>
        <w:t>if the independent cGMP consultant finds that the Batch is a Non-Conforming Batch and that the Non-Conforming Batch is caused by a failure by Fujifilm to comply with clause 4.1, the remedial procedure set out in clause 6.5 will be applied.</w:t>
      </w:r>
    </w:p>
    <w:p>
      <w:pPr>
        <w:spacing w:after="0" w:line="158"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TITLE AND RISK</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Delivery by Fujifilm to the Customer, or the Customer’s designee, of any material in connection with a Program including any quantity of Product manufactured during the Program, any Process-Specific Equipment and/or Process-Specific Consumables and return of any samples and cell lines supplied by the Customer (“</w:t>
      </w:r>
      <w:r>
        <w:rPr>
          <w:rFonts w:ascii="Times New Roman" w:cs="Times New Roman" w:eastAsia="Times New Roman" w:hAnsi="Times New Roman"/>
          <w:sz w:val="18"/>
          <w:szCs w:val="18"/>
          <w:b w:val="1"/>
          <w:bCs w:val="1"/>
          <w:color w:val="auto"/>
        </w:rPr>
        <w:t>Materials</w:t>
      </w:r>
      <w:r>
        <w:rPr>
          <w:rFonts w:ascii="Times New Roman" w:cs="Times New Roman" w:eastAsia="Times New Roman" w:hAnsi="Times New Roman"/>
          <w:sz w:val="18"/>
          <w:szCs w:val="18"/>
          <w:color w:val="auto"/>
        </w:rPr>
        <w:t>”) will be made Ex Works the Facility (Incoterms 2020) and clauses 7.2 to 7.6 shall apply to such Materials. Fujifilm shall package the relevant Materials ready for shipment in accordance with the Customer’s reasonable instructions.</w:t>
      </w:r>
    </w:p>
    <w:p>
      <w:pPr>
        <w:spacing w:after="0" w:line="18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Delivery of Materials will be deemed to be complete on the date which Fujifilm makes the Materials available for collection by the Customer (which is the point of delivery as set forth in Ex Works (Incoterms 2020)) following notification, of at least [***], by Fujifilm to the Customer that it will make those Materials available for collection (the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in accordance with an indicative delivery schedule which shall be agreed by the parties’ Program teams in advance. For the avoidance of doubt, and unless otherwise expressly agreed by the parties in writing, Fujifilm will not make a cGMP Batch available for collection by the Customer until both: (a) Disposition is complete; and (b) the Customer’s quality assurance team has approved such Product for release in a written notice, following conduct of Customer’s final disposition and release activities (including any release testing required; provided that such final disposition and release must be completed by Customer within [***] of Fujifilm first making available to Customer all production instruction and analytical records relating to the manufacture of such Product, together with the results of any testing of such Product (collectively, the “</w:t>
      </w:r>
      <w:r>
        <w:rPr>
          <w:rFonts w:ascii="Times New Roman" w:cs="Times New Roman" w:eastAsia="Times New Roman" w:hAnsi="Times New Roman"/>
          <w:sz w:val="18"/>
          <w:szCs w:val="18"/>
          <w:b w:val="1"/>
          <w:bCs w:val="1"/>
          <w:color w:val="auto"/>
        </w:rPr>
        <w:t>Disposition Documentation</w:t>
      </w:r>
      <w:r>
        <w:rPr>
          <w:rFonts w:ascii="Times New Roman" w:cs="Times New Roman" w:eastAsia="Times New Roman" w:hAnsi="Times New Roman"/>
          <w:sz w:val="18"/>
          <w:szCs w:val="18"/>
          <w:color w:val="auto"/>
        </w:rPr>
        <w:t>”). For the avoidance of doubt, Materials for which a licence is required under clause 10.3 will not be made available for collection by the Customer until a licence has been signed by the parties.</w:t>
      </w:r>
    </w:p>
    <w:p>
      <w:pPr>
        <w:spacing w:after="0" w:line="194"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If the Customer fails to collect Materials within [***] of the Delivery Date, Fujifilm will issue a further notice to the Customer specifying that the Materials will either be moved to a third party storage facility or destroyed if they are not collected within [***] from the date of the notice. On or after the date [***] from the date of the notice, if Customer has not collected the Materials, Fujifilm may move or destroy the Materials at the Customer’s risk and expense provided that prior to moving or destroying such Materials Fujifilm has issued a further notice to Customer warning that the Materials will either be moved to a third party storage facility or destroyed if they are not collected, giving Customer at least [***] to collect the Materials (such period ending on or after the end of the original [***]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6" w:name="page107"/>
    <w:bookmarkEnd w:id="106"/>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Risk in Materials shall pass to the Customer on the Delivery Date; save for risk in (a) Process-Specific-Equipment or Process-Specific Consumables in relation to which risk shall pass as set forth in clause 7.6 and (b) Materials for which a license is required under clause 10.3 in relation to which risk shall pass on the date on which Fujifilm notifies the Customer it would have made the Materials available for collection if a license had been signed by the parties.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7"/>
          <w:szCs w:val="17"/>
          <w:color w:val="auto"/>
        </w:rPr>
        <w:t>Title to the Product shall pass to the Customer on the Delivery Date.</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color w:val="auto"/>
        </w:rPr>
        <w:t>Title to, and risk in, the Process-Specific Equipment and/or Process-Specific Consumables purchased by the Customer in accordance with Schedule 1 shall pass to the Customer on the earlier of (a) when Fujifilm has received payment in full (in cash or cleared funds) for such items in accordance with paragraph 3.1 of Schedule 1 or (b) the Delivery Date.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color w:val="auto"/>
        </w:rPr>
        <w:t>From time to time Fujifilm may agree to store Materials (including intermediate Product for future processing) for Customer. If Fujifilm agrees to store Materials the parties will enter into a storage agreement on Fujifilm’s standard terms.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color w:val="auto"/>
        </w:rPr>
        <w:t>Delivery of any materials which the Customer is required to supply to Fujifilm pursuant to a SoW or any PSA shall be delivered to Fujifilm DDP, the Facility (Incoterms 2020). Risk in those materials remains with the Customer.</w:t>
      </w:r>
    </w:p>
    <w:p>
      <w:pPr>
        <w:spacing w:after="0" w:line="158"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PRICE AND PAYMENT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Under this Agreement, and the relevant Scope(s) of Work and/or PSA(s), the Customer appoints Fujifilm to carry out services concerning the, testing, manufacture and Disposition of the Product by Fujifilm under each Program. The Charges relate specifically to those services; and are not in consideration of the supply of any material (including Product) which Fujifilm may produce as a consequence of the performance of those services.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color w:val="auto"/>
        </w:rPr>
        <w:t>The Customer shall pay to Fujifilm for each Program:</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8.2.1</w:t>
        <w:tab/>
        <w:t>the Batch Fee(s);</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8.2.2</w:t>
      </w:r>
      <w:r>
        <w:rPr>
          <w:sz w:val="20"/>
          <w:szCs w:val="20"/>
          <w:color w:val="auto"/>
        </w:rPr>
        <w:tab/>
      </w:r>
      <w:r>
        <w:rPr>
          <w:rFonts w:ascii="Times New Roman" w:cs="Times New Roman" w:eastAsia="Times New Roman" w:hAnsi="Times New Roman"/>
          <w:sz w:val="17"/>
          <w:szCs w:val="17"/>
          <w:color w:val="auto"/>
        </w:rPr>
        <w:t>the fees for the Fujifilm Services (other than the Batch Fee(s)) as set out in the relevant Scope(s) of Work and PSA(s);</w:t>
      </w:r>
    </w:p>
    <w:p>
      <w:pPr>
        <w:spacing w:after="0" w:line="2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8.2.3</w:t>
      </w:r>
      <w:r>
        <w:rPr>
          <w:sz w:val="20"/>
          <w:szCs w:val="20"/>
          <w:color w:val="auto"/>
        </w:rPr>
        <w:tab/>
      </w:r>
      <w:r>
        <w:rPr>
          <w:rFonts w:ascii="Times New Roman" w:cs="Times New Roman" w:eastAsia="Times New Roman" w:hAnsi="Times New Roman"/>
          <w:sz w:val="17"/>
          <w:szCs w:val="17"/>
          <w:color w:val="auto"/>
        </w:rPr>
        <w:t>the fees for Ancillary Services in accordance with Schedule 1 (the “</w:t>
      </w:r>
      <w:r>
        <w:rPr>
          <w:rFonts w:ascii="Times New Roman" w:cs="Times New Roman" w:eastAsia="Times New Roman" w:hAnsi="Times New Roman"/>
          <w:sz w:val="17"/>
          <w:szCs w:val="17"/>
          <w:b w:val="1"/>
          <w:bCs w:val="1"/>
          <w:color w:val="auto"/>
        </w:rPr>
        <w:t>Ancillary Charges</w:t>
      </w:r>
      <w:r>
        <w:rPr>
          <w:rFonts w:ascii="Times New Roman" w:cs="Times New Roman" w:eastAsia="Times New Roman" w:hAnsi="Times New Roman"/>
          <w:sz w:val="17"/>
          <w:szCs w:val="17"/>
          <w:color w:val="auto"/>
        </w:rPr>
        <w:t>”); and</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Service Fee in respect of Commercial Manufacturing Services in accordance with Schedule 1, together the “</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Fujifilm may invoice the Customer for the Charges in respect of each Program in accordance with the terms set out in the Scope of Work and/or PSA (as applicable) and Schedule 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7" w:name="page108"/>
    <w:bookmarkEnd w:id="107"/>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The Customer shall pay each invoice issued to it by Fujifilm within [***] of the date of invoice, in full and in cleared funds in the currency specified in the SoW or PSA (as applicable) by electronic transfer to the financial institution specified in the relevant invoice.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8.5</w:t>
      </w:r>
      <w:r>
        <w:rPr>
          <w:sz w:val="20"/>
          <w:szCs w:val="20"/>
          <w:color w:val="auto"/>
        </w:rPr>
        <w:tab/>
      </w:r>
      <w:r>
        <w:rPr>
          <w:rFonts w:ascii="Times New Roman" w:cs="Times New Roman" w:eastAsia="Times New Roman" w:hAnsi="Times New Roman"/>
          <w:sz w:val="17"/>
          <w:szCs w:val="17"/>
          <w:color w:val="auto"/>
        </w:rPr>
        <w:t>The Charges are exclusive of any Tax which may apply and which shall be payable by the Customer to Fujifilm at the rate prescribed by law.</w:t>
      </w:r>
    </w:p>
    <w:p>
      <w:pPr>
        <w:spacing w:after="0" w:line="225"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If there is a change in the rate of Tax payable or in the Tax treatment of some or all of the services provided by Fujifilm or the Product, e.g. due to a change of law or practice or interpretation of the existing legislation or revised determination of a relevant tax legislation or tax practice, then the Customer agrees that Fujifilm shall be entitled, where Tax is imposed on a supply by Fujifilm under or in connection with this Agreement, to invoice the Customer (in a valid Tax invoice) for a sum equal to the amount of the Tax which becomes due on that supply and any fees and/or interest which is being levied on Fujifilm in relation to the outstanding sums and/or non-payment. The Customer shall pay those invoices in accordance with clause 8.4.</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7"/>
          <w:szCs w:val="17"/>
          <w:color w:val="auto"/>
        </w:rPr>
        <w:t>The Customer shall:</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8.7.1</w:t>
        <w:tab/>
        <w:t>be responsible for the collection, remittance and payment of any or all Taxes, in respect of the purchase, importation, exportation, sale or other distribution of any materials delivered to it by Fujifilm in connection with a Program; and</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8.7.2</w:t>
        <w:tab/>
        <w:t>make all payments under this Agreement without withholding or deduction of, or in respect of, any Tax unless required by law. If withholding tax is deducted then the Customer will provide all documentation required to enable Fujifilm to recover the tax withheld.</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color w:val="auto"/>
        </w:rPr>
        <w:t>Without prejudice to any other right or remedy that it may have, if the Customer fails to pay any sum to Fujifilm on the due date for payment: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8.8.1</w:t>
        <w:tab/>
        <w:t>the Customer shall pay interest on the overdue amount at the rate of [***] per [***]. Such interest shall be payable in respect of the period from the due date until actual payment of the overdue amount (whether before or after judgment) in accordance with clause 8.4; and</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8.8.2</w:t>
        <w:tab/>
        <w:t>(except where the Customer has complied with its obligations in clause 8.9 below) Fujifilm may notify the Customer that if it does not pay Fujifilm will suspend work on the Program, including, without limitation, delivery of Materials, in respect of which payment is overdue, and if payment is not made within [***] of such notice, Fujifilm may suspend such work until payment has been made in full.</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8.9</w:t>
      </w:r>
      <w:r>
        <w:rPr>
          <w:sz w:val="20"/>
          <w:szCs w:val="20"/>
          <w:color w:val="auto"/>
        </w:rPr>
        <w:tab/>
      </w:r>
      <w:r>
        <w:rPr>
          <w:rFonts w:ascii="Times New Roman" w:cs="Times New Roman" w:eastAsia="Times New Roman" w:hAnsi="Times New Roman"/>
          <w:sz w:val="17"/>
          <w:szCs w:val="17"/>
          <w:color w:val="auto"/>
        </w:rPr>
        <w:t>If the Customer disputes the payment of any Charges or a part of them, the Customer shall:</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8.9.1</w:t>
        <w:tab/>
        <w:t>notify Fujifilm of the disputed amount within [***] of its receipt of the invoice in which such disputed amount is included giving reasonable details of the dispute; and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8.9.2</w:t>
        <w:tab/>
        <w:t>pay the amount of Charges not in dispute in accordance with clause 8.4,</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the dispute shall be dealt with under the dispute resolution process set out in clause 16.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8" w:name="page109"/>
    <w:bookmarkEnd w:id="108"/>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8.10</w:t>
      </w:r>
      <w:r>
        <w:rPr>
          <w:sz w:val="20"/>
          <w:szCs w:val="20"/>
          <w:color w:val="auto"/>
        </w:rPr>
        <w:tab/>
      </w:r>
      <w:r>
        <w:rPr>
          <w:rFonts w:ascii="Times New Roman" w:cs="Times New Roman" w:eastAsia="Times New Roman" w:hAnsi="Times New Roman"/>
          <w:sz w:val="18"/>
          <w:szCs w:val="18"/>
          <w:color w:val="auto"/>
        </w:rPr>
        <w:t>If the Customer fails to pay any sum which is not the subject of a bona fide dispute under clause 8.9 when the same is due in accordance with clause 8.4 then Fujifilm may elect, at its discretion, to treat such non-payment as a material breach of either the relevant SoW(s) or PSA(s) under clause 14.6.1 or a material breach of this Agreement under clause 14.2.1.</w:t>
      </w:r>
    </w:p>
    <w:p>
      <w:pPr>
        <w:spacing w:after="0" w:line="176"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8"/>
          <w:szCs w:val="18"/>
          <w:color w:val="auto"/>
        </w:rPr>
        <w:t>A party shall not be entitled to withhold, set off or reduce payment of any amounts payable under this Agreement by any amounts which it claims are owed to it by another party under this Agreement or any other agreement.</w:t>
      </w:r>
    </w:p>
    <w:p>
      <w:pPr>
        <w:spacing w:after="0" w:line="15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LIABILITY</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Nothing in this Agreement limits or excludes the liability of any party to the other for any liability that is not permitted to be limited or excluded by law and clauses 9.2 to 9.7 are expressly agreed to be subject to this clause 9.1.</w:t>
      </w:r>
    </w:p>
    <w:p>
      <w:pPr>
        <w:spacing w:after="0" w:line="162"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EXCEPT IN RESPECT OF BREACH BY FUJIFILM OF CLAUSE 12 (CONFIDENTIALITY) OR LIABILITY ARISING UNDER CLAUSE 11.1 (IPR INDEMNITY) AND SUBJECT ALWAYS TO CLAUSES 9.3, 9.6, 9.7, 9.8 AND 9.9, FUJIFILM’S TOTAL LIABILITY, WHETHER OR NOT ARISING PURSUANT TO AN INDEMNITY, IN CONTRACT, TORT (INCLUDING NEGLIGENCE OR BREACH OF STATUTORY DUTY), MISREPRESENTATION, RESTITUTION OR OTHERWISE ARISING UNDER THIS AGREEMENT, A SCOPE OF WORK OR A PSA OR IN CONNECTION WITH THE PERFORMANCE OR CONTEMPLATED PERFORMANCE OF THIS AGREEMENT, A SCOPE OF WORK OR A PSA SHALL IN ALL CIRCUMSTANCES BE LIMITED AS FOLLOWS: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9.2.1</w:t>
      </w:r>
      <w:r>
        <w:rPr>
          <w:sz w:val="20"/>
          <w:szCs w:val="20"/>
          <w:color w:val="auto"/>
        </w:rPr>
        <w:tab/>
      </w:r>
      <w:r>
        <w:rPr>
          <w:rFonts w:ascii="Times New Roman" w:cs="Times New Roman" w:eastAsia="Times New Roman" w:hAnsi="Times New Roman"/>
          <w:sz w:val="17"/>
          <w:szCs w:val="17"/>
          <w:color w:val="auto"/>
        </w:rPr>
        <w:t>TO THE EXTENT THERE HAS BEEN NO GROSS NEGLIGENCE OR WILLFUL MISCONDUCT BY FUJFILM:</w:t>
      </w:r>
    </w:p>
    <w:p>
      <w:pPr>
        <w:spacing w:after="0" w:line="252" w:lineRule="exact"/>
        <w:rPr>
          <w:sz w:val="20"/>
          <w:szCs w:val="20"/>
          <w:color w:val="auto"/>
        </w:rPr>
      </w:pPr>
    </w:p>
    <w:p>
      <w:pPr>
        <w:jc w:val="both"/>
        <w:ind w:left="2120" w:hanging="654"/>
        <w:spacing w:after="0" w:line="261" w:lineRule="auto"/>
        <w:tabs>
          <w:tab w:leader="none" w:pos="2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AND ALL LIABILITY ARISING UNDER OR IN CONNECTION WITH A NON-MANUFACTURING STAGE, FUJIFILM’S TOTAL LIABILITY SHALL BE LIMITED TO AN AMOUNT EQUAL TO THE CHARGES PAID BY CUSTOMER TO FUJIFILM FOR THE FUJIFILM SERVICES PERFORMED UNDER THAT NON-MANUFACTURING STAGE; AND</w:t>
      </w:r>
    </w:p>
    <w:p>
      <w:pPr>
        <w:spacing w:after="0" w:line="179" w:lineRule="exact"/>
        <w:rPr>
          <w:rFonts w:ascii="Times New Roman" w:cs="Times New Roman" w:eastAsia="Times New Roman" w:hAnsi="Times New Roman"/>
          <w:sz w:val="18"/>
          <w:szCs w:val="18"/>
          <w:color w:val="auto"/>
        </w:rPr>
      </w:pPr>
    </w:p>
    <w:p>
      <w:pPr>
        <w:jc w:val="both"/>
        <w:ind w:left="2120" w:hanging="654"/>
        <w:spacing w:after="0" w:line="261" w:lineRule="auto"/>
        <w:tabs>
          <w:tab w:leader="none" w:pos="2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AND ALL LIABILITY ARISING UNDER OR IN CONNECTION WITH A MANUFACTURING STAGE (INCLUDING LIABLITY RELATING TO THE MANUFACTURE OF, OR FAILURE TO MANUFACTURE, A BATCH), FUJIFILM’S TOTAL LIABILITY TO CUSTOMER SHALL BE LIMITED TO AN AMOUNT EQUAL TO THE BATCH FEE PAID BY CUSTOMER TO FUJIFILM UNDER THAT MANUFACTURING STAGE; OR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9.2.2</w:t>
      </w:r>
      <w:r>
        <w:rPr>
          <w:sz w:val="20"/>
          <w:szCs w:val="20"/>
          <w:color w:val="auto"/>
        </w:rPr>
        <w:tab/>
      </w:r>
      <w:r>
        <w:rPr>
          <w:rFonts w:ascii="Times New Roman" w:cs="Times New Roman" w:eastAsia="Times New Roman" w:hAnsi="Times New Roman"/>
          <w:sz w:val="17"/>
          <w:szCs w:val="17"/>
          <w:color w:val="auto"/>
        </w:rPr>
        <w:t>TO THE EXTENT THERE HAS BEEN GROSS NEGLIGENCE OR WILLFUL MISCONDUCT BY FUJFILM:</w:t>
      </w:r>
    </w:p>
    <w:p>
      <w:pPr>
        <w:spacing w:after="0" w:line="252" w:lineRule="exact"/>
        <w:rPr>
          <w:sz w:val="20"/>
          <w:szCs w:val="20"/>
          <w:color w:val="auto"/>
        </w:rPr>
      </w:pPr>
    </w:p>
    <w:p>
      <w:pPr>
        <w:jc w:val="both"/>
        <w:ind w:left="2120" w:hanging="654"/>
        <w:spacing w:after="0" w:line="261" w:lineRule="auto"/>
        <w:tabs>
          <w:tab w:leader="none" w:pos="21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AND ALL LIABILITY ARISING UNDER OR IN CONNECTION WITH A NON-MANUFACTURING STAGE, FUJIFILM’S TOTAL LIABILITY TO CUSTOMER SHALL BE LIMITED TO AN AMOUNT EQUAL TO [***] OF THE CHARGES PAID BY CUSTOMER TO FUJIFILM FOR THE FUJIFILM SERVICES PERFORMED UNDER THAT NON-MANUFACTURING STAGE;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jc w:val="both"/>
        <w:ind w:left="2120" w:hanging="654"/>
        <w:spacing w:after="0" w:line="261" w:lineRule="auto"/>
        <w:tabs>
          <w:tab w:leader="none" w:pos="2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AND ALL LIABILITY ARISING UNDER OR IN CONNECTION WITH A MANUFACTURING STAGE, (INCLUDING LIABLITY RELATING TO THE MANUFACTURE OF, OR FAILURE TO MANUFACTURE, A BATCH), FUJIFILM’S TOTAL LIABILITY TO CUSTOMER SHALL BE LIMITED TO AN AMOUNT EQUAL TO [***]% OF THE BATCH FEE PAID BY CUSTOMER TO FUJIFILM UNDER THAT MANUFACTURING STAGE; AND</w:t>
      </w:r>
    </w:p>
    <w:p>
      <w:pPr>
        <w:spacing w:after="0" w:line="180" w:lineRule="exact"/>
        <w:rPr>
          <w:sz w:val="20"/>
          <w:szCs w:val="20"/>
          <w:color w:val="auto"/>
        </w:rPr>
      </w:pPr>
    </w:p>
    <w:p>
      <w:pPr>
        <w:jc w:val="right"/>
        <w:ind w:left="660"/>
        <w:spacing w:after="0" w:line="261" w:lineRule="auto"/>
        <w:rPr>
          <w:sz w:val="20"/>
          <w:szCs w:val="20"/>
          <w:color w:val="auto"/>
        </w:rPr>
      </w:pPr>
      <w:r>
        <w:rPr>
          <w:rFonts w:ascii="Times New Roman" w:cs="Times New Roman" w:eastAsia="Times New Roman" w:hAnsi="Times New Roman"/>
          <w:sz w:val="18"/>
          <w:szCs w:val="18"/>
          <w:color w:val="auto"/>
        </w:rPr>
        <w:t>9.2.3   IN RESPECT OF ANY AND ALL LIABILITY ARISING UNDER ANY SCOPE OF WORK OR PSA, FUJIFILM’S TOTAL LIABILITY TO CUSTOMER SHALL BE LIMITED IN AGGREGATE PER CALENDAR YEAR TO AN AMOUNT EQUAL TO</w:t>
      </w:r>
    </w:p>
    <w:p>
      <w:pPr>
        <w:jc w:val="both"/>
        <w:ind w:left="1300" w:firstLine="4"/>
        <w:spacing w:after="0" w:line="255" w:lineRule="auto"/>
        <w:tabs>
          <w:tab w:leader="none" w:pos="17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CHARGES PAID BY CUSTOMER FOR FUJIFILM SERVICES IN RESPECT OF THAT SCOPE OF WORK OR PSA DURING THAT CALENDAR YEAR IN WHICH THE LIABLITY AROSE AND CLAUSES 9.2.1 AND 9.2.2 ARE SUBJECT TO THE AGGREGATE LIABILITY LIMITATION SET OUT IN THIS CLAUSE 9.2.3; AND</w:t>
      </w:r>
    </w:p>
    <w:p>
      <w:pPr>
        <w:spacing w:after="0" w:line="18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9.2.4</w:t>
        <w:tab/>
        <w:t>IN RESPECT OF ANY OTHER LIABILITY RELATING TO THIS AGREEMENT FALLING OUTSIDE THE SCOPE OF CLAUSES 9.2.1 AND 9.2.2, FUJIFILM’S TOTAL LIABILITY TO CUSTOMER SHALL BE LIMITED PER CALENDAR YEAR TO $[***] ([***]).</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UNDER NO CIRCUMSTANCES SHALL FUJIFILM BE LIABLE, WHETHER IN CONTRACT, TORT (INCLUDING NEGLIGENCE), FOR BREACH OF STATUTORY DUTY OR OTHERWISE, ARISING UNDER OR IN CONNECTION WITH THIS AGREEMENT FOR: LOSS OF PROFIT; LOSS OF BUSINESS; DEPLETION OF GOODWILL; LOSS OF ANTICIPATED SAVINGS; LOSS OR CORRUPTION OF DATA OR INFORMATION; OR ANY SPECIAL, INDIRECT, CONSEQUENTIAL OR PURE ECONOMIC LOSS, COSTS, DAMAGES, CHARGES OR EXPENSES, INCLUDING THE COSTS OF ANY RECALL OF THE PRODUCT OR DRUG PRODUCT.</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u w:val="single" w:color="auto"/>
          <w:color w:val="auto"/>
        </w:rPr>
        <w:t>Liability for Product and Drug Product</w:t>
      </w:r>
      <w:r>
        <w:rPr>
          <w:rFonts w:ascii="Times New Roman" w:cs="Times New Roman" w:eastAsia="Times New Roman" w:hAnsi="Times New Roman"/>
          <w:sz w:val="18"/>
          <w:szCs w:val="18"/>
          <w:color w:val="auto"/>
        </w:rPr>
        <w:t>: the Customer shall Indemnify Fujifilm from and against all Liabilities incurred by Fujifilm or its Affiliates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arising out of or resulting from the use or resale of the Product or the Drug Product or any other deliverable arising out of a Program except to the extent those Liabilities have arisen pursuant to the Gross Negligence or Willful Misconduct of Fujifilm in which case Fujifilm shall bear such Liabilities up to the amounts for which Fujifilm is liable to the Customer under clause 9.2.2 and the Customer’s indemnity of Fujifilm under this clause 9.4 shall apply to any Liabilities arising thereafter.</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 xml:space="preserve">Liability for the Process: </w:t>
      </w:r>
      <w:r>
        <w:rPr>
          <w:rFonts w:ascii="Times New Roman" w:cs="Times New Roman" w:eastAsia="Times New Roman" w:hAnsi="Times New Roman"/>
          <w:sz w:val="18"/>
          <w:szCs w:val="18"/>
          <w:color w:val="auto"/>
        </w:rPr>
        <w:t>the Customer shall Indemnify Fujifilm from and against all Liabilities arising from third party claims incurred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Fujifilm or its Affiliates arising out of or resulting from the use or operation of the Process (or any part of the Process) except to the extent that Fujifilm is liable under clause 11.1.</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7"/>
          <w:szCs w:val="17"/>
          <w:u w:val="single" w:color="auto"/>
          <w:color w:val="auto"/>
        </w:rPr>
        <w:t>Liability for Non-Conforming Batches:</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9.6.1</w:t>
        <w:tab/>
        <w:t>THE PROVISIONS OF CLAUSE 6 SHALL APPLY TO NON-CONFORMING BATCHES AND FUJIFILM SHALL HAVE NO LIABILITY IN RESPECT OF NON-CONFORMING BATCHES EXCEPT TO COMPLY WITH CLAUSE 6.</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9.6.2</w:t>
        <w:tab/>
        <w:t>FUJIFILM GIVES NO, AND DISCLAIMS ANY, WARRANTIES, UNDERTAKINGS OR SIMILAR TERMS WHATSOEVER (WHETHER AS TO COMPLIANCE WITH CGMP OR OTHERWISE) IN RESPECT OF NON-CONFORMING BATCHES OR THE USE BY THE CUSTOMER OF NON-CONFORMING BATCHES.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0" w:name="page111"/>
    <w:bookmarkEnd w:id="110"/>
    <w:p>
      <w:pPr>
        <w:jc w:val="center"/>
        <w:ind w:left="980"/>
        <w:spacing w:after="0" w:line="282" w:lineRule="auto"/>
        <w:rPr>
          <w:sz w:val="20"/>
          <w:szCs w:val="20"/>
          <w:color w:val="auto"/>
        </w:rPr>
      </w:pPr>
      <w:r>
        <w:rPr>
          <w:rFonts w:ascii="Times New Roman" w:cs="Times New Roman" w:eastAsia="Times New Roman" w:hAnsi="Times New Roman"/>
          <w:sz w:val="18"/>
          <w:szCs w:val="18"/>
          <w:color w:val="auto"/>
        </w:rPr>
        <w:t>9.6.3   If the Non-Conforming Batch is delivered to the Customer pursuant to clause 6, the Customer shall fully Indemnify Fujifilm from and against all Liabilities incurred by Fujifilm or its Affiliates arising out of or resulting from the use of that Non-Conforming Batch.</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9.6.4</w:t>
        <w:tab/>
        <w:t>The Customer uses any material produced in a Non-Conforming Batch at its own risk and shall undertake such tests as are necessary in order to satisfy itself that such materials are fit for the purposes for which the Customer proposes to use such materials.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u w:val="single" w:color="auto"/>
          <w:color w:val="auto"/>
        </w:rPr>
        <w:t>Liability for Demonstration and Engineering Batches</w:t>
      </w:r>
    </w:p>
    <w:p>
      <w:pPr>
        <w:spacing w:after="0" w:line="225" w:lineRule="exact"/>
        <w:rPr>
          <w:sz w:val="20"/>
          <w:szCs w:val="20"/>
          <w:color w:val="auto"/>
        </w:rPr>
      </w:pPr>
    </w:p>
    <w:p>
      <w:pPr>
        <w:jc w:val="both"/>
        <w:ind w:left="1300" w:hanging="647"/>
        <w:spacing w:after="0" w:line="289" w:lineRule="auto"/>
        <w:tabs>
          <w:tab w:leader="none" w:pos="128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color w:val="auto"/>
        </w:rPr>
        <w:t>FUJIFILM GIVES NO, AND DISCLAIMS ANY, WARRANTIES, UNDERTAKINGS OR SIMILAR TERMS WHATSOEVER (WHETHER AS TO COMPLIANCE WITH CGMP OR OTHERWISE) IN RESPECT OF THE DEMONSTRATION BATCHES OR ENGINEERING BATCHES OR THE USE BY THE CUSTOMER OF AN ENGINEERING BATCH OR DEMONSTRATION BATCH.</w:t>
      </w:r>
    </w:p>
    <w:p>
      <w:pPr>
        <w:spacing w:after="0" w:line="158"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9.7.2</w:t>
        <w:tab/>
        <w:t>FUJIFILM SHALL HAVE NO LIABILITY TO THE CUSTOMER IN CONNECTION WITH DEMONSTRATION BATCHES OR ENGINEERING BATCHES OR THE USE BY THE CUSTOMER OF THE DEMONSTRATION BATCHES OR ENGINEERING BATCHES.</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9.7.3</w:t>
        <w:tab/>
        <w:t>The Customer shall fully Indemnify Fujifilm from and against all Liabilities incurred by Fujifilm or its Affiliates arising out of or resulting from the use of the Demonstration Batches or Engineering Batches.</w:t>
      </w:r>
    </w:p>
    <w:p>
      <w:pPr>
        <w:spacing w:after="0" w:line="16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9.7.4</w:t>
        <w:tab/>
        <w:t>The Customer uses any material produced in a Demonstration Batch or Engineering Batch at its own risk and shall undertake such tests as are necessary in order to satisfy itself that such materials are fit for the purposes for which the Customer proposes to use such materials. Customer expressly agrees that Product produced pursuant to a Demonstration Batch or an Engineering Batch is not suitable, and will not be used, for human consumption or use or in clinic trials.</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FUJIFILM GIVES NO, AND DISCLAIMS ANY, WARRANTIES, UNDERTAKINGS OR SIMILAR TERMS WHATSOEVER IN RESPECT OF ANY ADVICE OR ASSISTANCE GIVEN BY FUJIFILM IN CONNECTION WITH THE USE OF THE PRODUCT IN OR AS A DRUG PRODUCT (INCLUDING ADVICE OR ASSISTANCE RELATED TO ANY REGULATORY APPROVAL).</w:t>
      </w:r>
    </w:p>
    <w:p>
      <w:pPr>
        <w:spacing w:after="0" w:line="176"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ALL WARRANTIES, CONDITIONS AND OTHER TERMS, EXPRESS (OTHER THAN THOSE SET OUT IN THIS AGREEMENT) OR IMPLIED, STATUTORY, CUSTOMARY OR OTHERWISE WHICH BUT FOR THIS CLAUSE 9 WOULD OR MIGHT SUBSIST IN FAVOR OF THE CUSTOMER, ARE (TO THE FULLEST EXTENT PERMITTED BY LAW) EXCLUDED FROM THIS AGREEMENT INCLUDING, IN PARTICULAR, ANY IMPLIED WARRANTIES RELATING TO MERCHANTABILITY, FITNESS FOR A PARTICULAR USE AND NON-INFRINGEMENT.</w:t>
      </w:r>
    </w:p>
    <w:p>
      <w:pPr>
        <w:spacing w:after="0" w:line="183"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8"/>
          <w:szCs w:val="18"/>
          <w:color w:val="auto"/>
        </w:rPr>
        <w:t>No claim for Liabilities incurred pursuant to the Quality Agreement may be made under the Quality Agreement by any party. Accordingly, performance of the Quality Agreement shall be deemed to be performance under the relevant SoW or PSA to which the Quality Agreement relates and as such any breach of the Quality Agreement shall be deemed to be a breach of the relevant SoW or PSA and all Liabilities shall be construed and limited in accordance with this clause 9.</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color w:val="auto"/>
        </w:rPr>
        <w:t>If the parties enter into a Scope of Work for stability or analytical services subject to this Agreement, the parties agree that such services shall be incidental and it is therefore reasonable that such Scope of Work may contain lower limits on Fujifilm’s Liability than are contained in this Agreement, in which case such limitation as set out in such Scope of Work shall apply to such Scope of Work.</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color w:val="auto"/>
        </w:rPr>
        <w:t>Each party agrees to take all reasonable steps to mitigate any Liabilities that it may seek to claim from the other under or in connection with this Agreement including pursuant to any indemnity.</w:t>
      </w:r>
    </w:p>
    <w:p>
      <w:pPr>
        <w:spacing w:after="0" w:line="15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color w:val="auto"/>
        </w:rPr>
        <w:t>If a party is entitled to benefit from an indemnity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from another party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accordance with this Agreement (an “</w:t>
      </w:r>
      <w:r>
        <w:rPr>
          <w:rFonts w:ascii="Times New Roman" w:cs="Times New Roman" w:eastAsia="Times New Roman" w:hAnsi="Times New Roman"/>
          <w:sz w:val="18"/>
          <w:szCs w:val="18"/>
          <w:b w:val="1"/>
          <w:bCs w:val="1"/>
          <w:color w:val="auto"/>
        </w:rPr>
        <w:t>Indemnity Claim</w:t>
      </w:r>
      <w:r>
        <w:rPr>
          <w:rFonts w:ascii="Times New Roman" w:cs="Times New Roman" w:eastAsia="Times New Roman" w:hAnsi="Times New Roman"/>
          <w:sz w:val="18"/>
          <w:szCs w:val="18"/>
          <w:color w:val="auto"/>
        </w:rPr>
        <w:t>”), the Indemnified Party shall notify the Indemnifying Party in writing within [***] of identification of the Indemnity Claim (providing all necessary details), provided that absence or delay of such prior written notice will not relieve the Indemnifying Party of its obligation to indemnify except to the extent such absence or delay materially prejudices the Indemnifying Party’s ability to defend the third party claim and the Indemnifying Party shall at its own expense conduct all negotiations and any litigation arising in connection with the Indemnity Claim provided always that:</w:t>
      </w:r>
    </w:p>
    <w:p>
      <w:pPr>
        <w:spacing w:after="0" w:line="186"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9.13.1</w:t>
        <w:tab/>
        <w:t>the Indemnifying Party shall consult the Indemnified Party on all substantive issues which arise during the conduct of such litigation and negotiations and shall take due and proper account of the interests of the Indemnified Party;</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9.13.2</w:t>
        <w:tab/>
        <w:t>the Indemnifying Party shall not settle or compromise the Indemnity Claim without the Indemnified Party’s prior written consent (not to be unreasonably withheld or delayed) and shall ensure that any settlement or compromise does not include a statement as to or an admission of fault, culpability or a failure to act by or on behalf of the Indemnified Party;</w:t>
      </w:r>
    </w:p>
    <w:p>
      <w:pPr>
        <w:spacing w:after="0" w:line="176"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9.13.3</w:t>
        <w:tab/>
        <w:t>the Indemnified Party shall not make any admissions or admit liability in relation to the Indemnity Claim or otherwise settle any Indemnity Claim without the written agreement of the Indemnifying Party; and</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9.13.4</w:t>
        <w:tab/>
        <w:t>the Indemnified Party shall fully cooperate and assist the Indemnifying Party, at the Indemnifying Party’s cost and expense, in relation to the Indemnity Claim (without limiting the extent of the Indemnity).</w:t>
      </w:r>
    </w:p>
    <w:p>
      <w:pPr>
        <w:spacing w:after="0" w:line="162"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color w:val="auto"/>
        </w:rPr>
        <w:t>Each party shall maintain adequate insurance (which may be through self-insurance) to enable it to satisfy its Liabilities under this Agreement as they arise.</w:t>
      </w:r>
    </w:p>
    <w:p>
      <w:pPr>
        <w:spacing w:after="0" w:line="158"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Subject to clause 10.2 neither party shall acquire any right, title or interest in the other party’s Background IP.</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The Customer grants to Fujifilm a royalty-free, non-transferable, revocable, and non-sublicensable worldwide license to use Customer’s Background IP for the exclusive purpose of performance of each Program. Customer warrants that the use by Fujifilm (or its Authorized Third Parties) of Customer’s Background IP in accordance with this clause 10.2 shall not infringe any third party’s Intellectual Property Rights.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2" w:name="page113"/>
    <w:bookmarkEnd w:id="112"/>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Fujifilm shall not be obliged to deliver any materials (including any cell bank or cell paste) comprising Fujifilm Expression Technology unless and until a license is granted in writing on terms to be agreed under the relevant Background IP. Fujifilm shall be entitled to charge the Customer for storage of any such materials which would have been delivered under clause 7.2 if a license had been granted under this clause 10.3 until the time that such license is granted. Customer acknowledges that storage may be at a third party storage facility unless Fujifilm and Customer have agreed in writing otherwise.</w:t>
      </w:r>
    </w:p>
    <w:p>
      <w:pPr>
        <w:spacing w:after="0" w:line="18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All title to and all rights and interest in any Customer Foreground IP shall vest in Customer. Fujifilm hereby assigns to the Customer all title to and all rights and interest it owns in any Customer Foreground IP.</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All title to and all rights and interest in any Fujifilm Foreground IP shall vest in Fujifilm. The Customer hereby assigns to Fujifilm all title to and all rights and interest it owns in any Fujifilm Foreground IP.</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If requested to do so by the other party, each party shall at the expense of the requesting party execute all documents and do all such further acts as the requesting party may reasonably require to perfect the assignment under clause 10.4 or 10.5.</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Fujifilm grants to Customer a royalty free, non-exclusive, worldwide license to use the Fujifilm Foreground IP for the exclusive purpose of manufacturing the Product.</w:t>
      </w:r>
    </w:p>
    <w:p>
      <w:pPr>
        <w:spacing w:after="0" w:line="158"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 INDEMNITY</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color w:val="auto"/>
        </w:rPr>
        <w:t>Fujifilm shall fully Indemnify the Customer from and against all Liabilities incurred by the Customer or its Affiliates arising out of any third party claim that Fujifilm’s use of Fujifilm’s Background IP in performing a Program infringes such third party’s Intellectual Property Rights.</w:t>
      </w:r>
    </w:p>
    <w:p>
      <w:pPr>
        <w:spacing w:after="0" w:line="162"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The Customer shall fully Indemnify Fujifilm from and against all Liabilities incurred by Fujifilm or its Affiliates arising out of any third party claim that:</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11.2.1</w:t>
        <w:tab/>
        <w:t>Fujifilm’s use of (i) materials provided by the Customer to Fujifilm or (ii) Customer’s Intellectual Property Rights, in accordance with this Agreement; or</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(excluding Liabilities in relation to which Fujifilm Indemnifies the Customer pursuant to clause 11.1) the development or manufacture of the Product and/or any other deliverables which are an output of a Program or the use of the Process in accordance with this Agreement, infringes such third party’s Intellectual Property Rights.</w:t>
      </w:r>
    </w:p>
    <w:p>
      <w:pPr>
        <w:spacing w:after="0" w:line="176"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If a third party claim is made in accordance with clause 11.1 or 11.2 then the Indemnified Party may require the Indemnifying Party to prove that it has adequate financial means to pay out under the indemnity provisions provided for in those clauses (for example by way of set aside capital or insurance). If the Indemnifying Party cannot so prove it has the financial standing to meet its obligations with respect to the Indemnities under the applicable clause then the Indemnified Party has the option to terminate this Agreement on written notice. If Fujifilm exercises its option to terminate under this clause 11.3 then (without prejudice to the survival of the relevant Indemnity obligations) such termination shall be treated as a termination under clause 14.3.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ind w:left="660" w:hanging="652"/>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Each party (the “</w:t>
      </w:r>
      <w:r>
        <w:rPr>
          <w:rFonts w:ascii="Times New Roman" w:cs="Times New Roman" w:eastAsia="Times New Roman" w:hAnsi="Times New Roman"/>
          <w:sz w:val="17"/>
          <w:szCs w:val="17"/>
          <w:b w:val="1"/>
          <w:bCs w:val="1"/>
          <w:color w:val="auto"/>
        </w:rPr>
        <w:t>Receiving Party</w:t>
      </w:r>
      <w:r>
        <w:rPr>
          <w:rFonts w:ascii="Times New Roman" w:cs="Times New Roman" w:eastAsia="Times New Roman" w:hAnsi="Times New Roman"/>
          <w:sz w:val="17"/>
          <w:szCs w:val="17"/>
          <w:color w:val="auto"/>
        </w:rPr>
        <w:t>”) agrees with the other (the “</w:t>
      </w:r>
      <w:r>
        <w:rPr>
          <w:rFonts w:ascii="Times New Roman" w:cs="Times New Roman" w:eastAsia="Times New Roman" w:hAnsi="Times New Roman"/>
          <w:sz w:val="17"/>
          <w:szCs w:val="17"/>
          <w:b w:val="1"/>
          <w:bCs w:val="1"/>
          <w:color w:val="auto"/>
        </w:rPr>
        <w:t>Disclosing Party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12.1.1</w:t>
      </w:r>
      <w:r>
        <w:rPr>
          <w:sz w:val="20"/>
          <w:szCs w:val="20"/>
          <w:color w:val="auto"/>
        </w:rPr>
        <w:tab/>
      </w:r>
      <w:r>
        <w:rPr>
          <w:rFonts w:ascii="Times New Roman" w:cs="Times New Roman" w:eastAsia="Times New Roman" w:hAnsi="Times New Roman"/>
          <w:sz w:val="17"/>
          <w:szCs w:val="17"/>
          <w:color w:val="auto"/>
        </w:rPr>
        <w:t>to keep the Disclosing Party’s Confidential Information confidential;</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12.1.2</w:t>
        <w:tab/>
        <w:t>not to access or use the Disclosing Party’s Confidential Information save for the purposes of:</w:t>
      </w:r>
    </w:p>
    <w:p>
      <w:pPr>
        <w:spacing w:after="0" w:line="252" w:lineRule="exact"/>
        <w:rPr>
          <w:sz w:val="20"/>
          <w:szCs w:val="20"/>
          <w:color w:val="auto"/>
        </w:rPr>
      </w:pPr>
    </w:p>
    <w:p>
      <w:pPr>
        <w:ind w:left="2120" w:hanging="654"/>
        <w:spacing w:after="0"/>
        <w:tabs>
          <w:tab w:leader="none" w:pos="2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its obligations under this Agreement, each SoW and/or each PSA;</w:t>
      </w:r>
    </w:p>
    <w:p>
      <w:pPr>
        <w:spacing w:after="0" w:line="252" w:lineRule="exact"/>
        <w:rPr>
          <w:rFonts w:ascii="Times New Roman" w:cs="Times New Roman" w:eastAsia="Times New Roman" w:hAnsi="Times New Roman"/>
          <w:sz w:val="18"/>
          <w:szCs w:val="18"/>
          <w:color w:val="auto"/>
        </w:rPr>
      </w:pPr>
    </w:p>
    <w:p>
      <w:pPr>
        <w:ind w:left="2120" w:hanging="654"/>
        <w:spacing w:after="0"/>
        <w:tabs>
          <w:tab w:leader="none" w:pos="2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or exercising its rights under, any confidentiality disclosure agreement then in force between the Parties; or</w:t>
      </w:r>
    </w:p>
    <w:p>
      <w:pPr>
        <w:spacing w:after="0" w:line="248" w:lineRule="exact"/>
        <w:rPr>
          <w:rFonts w:ascii="Times New Roman" w:cs="Times New Roman" w:eastAsia="Times New Roman" w:hAnsi="Times New Roman"/>
          <w:sz w:val="18"/>
          <w:szCs w:val="18"/>
          <w:color w:val="auto"/>
        </w:rPr>
      </w:pPr>
    </w:p>
    <w:p>
      <w:pPr>
        <w:ind w:left="2120" w:hanging="654"/>
        <w:spacing w:after="0" w:line="286" w:lineRule="auto"/>
        <w:tabs>
          <w:tab w:leader="none" w:pos="21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activity by and between the parties to enable the parties to explore a new business opportunity (“</w:t>
      </w:r>
      <w:r>
        <w:rPr>
          <w:rFonts w:ascii="Times New Roman" w:cs="Times New Roman" w:eastAsia="Times New Roman" w:hAnsi="Times New Roman"/>
          <w:sz w:val="18"/>
          <w:szCs w:val="18"/>
          <w:b w:val="1"/>
          <w:b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Opportunity</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12.1.3</w:t>
      </w:r>
      <w:r>
        <w:rPr>
          <w:sz w:val="20"/>
          <w:szCs w:val="20"/>
          <w:color w:val="auto"/>
        </w:rPr>
        <w:tab/>
      </w:r>
      <w:r>
        <w:rPr>
          <w:rFonts w:ascii="Times New Roman" w:cs="Times New Roman" w:eastAsia="Times New Roman" w:hAnsi="Times New Roman"/>
          <w:sz w:val="17"/>
          <w:szCs w:val="17"/>
          <w:color w:val="auto"/>
        </w:rPr>
        <w:t>not to disclose the Disclosing Party’s Confidential Information to a third party other than to the Receiving Party’s:</w:t>
      </w:r>
    </w:p>
    <w:p>
      <w:pPr>
        <w:spacing w:after="0" w:line="252" w:lineRule="exact"/>
        <w:rPr>
          <w:sz w:val="20"/>
          <w:szCs w:val="20"/>
          <w:color w:val="auto"/>
        </w:rPr>
      </w:pPr>
    </w:p>
    <w:p>
      <w:pPr>
        <w:ind w:left="2120" w:hanging="654"/>
        <w:spacing w:after="0"/>
        <w:tabs>
          <w:tab w:leader="none" w:pos="2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w:t>
      </w:r>
    </w:p>
    <w:p>
      <w:pPr>
        <w:spacing w:after="0" w:line="252"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employees and those of its Affiliates that need to know the Confidential Information for the purpose of performing its obligations under this Agreement, a PSA, a SoW, or in relation to a New Opportunity;</w:t>
      </w:r>
    </w:p>
    <w:p>
      <w:pPr>
        <w:spacing w:after="0" w:line="161" w:lineRule="exact"/>
        <w:rPr>
          <w:rFonts w:ascii="Times New Roman" w:cs="Times New Roman" w:eastAsia="Times New Roman" w:hAnsi="Times New Roman"/>
          <w:sz w:val="18"/>
          <w:szCs w:val="18"/>
          <w:color w:val="auto"/>
        </w:rPr>
      </w:pPr>
    </w:p>
    <w:p>
      <w:pPr>
        <w:ind w:left="2120" w:right="20" w:hanging="654"/>
        <w:spacing w:after="0" w:line="282" w:lineRule="auto"/>
        <w:tabs>
          <w:tab w:leader="none" w:pos="2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and sub-contractors, professional advisers, consultants, and agents and those of its Affiliates who are engaged to advise that party in connection with a Program or this Agreement or in relation to a New Opportunity; and</w:t>
      </w:r>
    </w:p>
    <w:p>
      <w:pPr>
        <w:spacing w:after="0" w:line="161"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to whom the Disclosing Party agrees in writing that Confidential Information may be disclosed in connection with a Program,</w:t>
      </w:r>
    </w:p>
    <w:p>
      <w:pPr>
        <w:spacing w:after="0" w:line="15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Authorized Third Parties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8"/>
          <w:szCs w:val="18"/>
          <w:color w:val="auto"/>
        </w:rPr>
        <w:t>The parties acknowledge and agree that the Disclosing Party Authorized Third Parties may disclose its Confidential Information directly to the Receiving Party or its Authorized Third Parties and that such disclosure shall be governed by this clause 12. The Receiving Party shall procure that each of the Authorized Third Parties keeps the Disclosing Party’s Confidential Information confidential in accordance with this clause 12 and shall remain primarily liable to the Disclosing Party for any act or omission of any of the Authorized Third Parties.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4" w:name="page115"/>
    <w:bookmarkEnd w:id="114"/>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8"/>
          <w:szCs w:val="18"/>
          <w:color w:val="auto"/>
        </w:rPr>
        <w:t>The Receiving Party shall within [***] of receipt of the Disclosing Party’s written request (including after termination of this Agreement, 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SoW and/or any PSA):</w:t>
      </w:r>
    </w:p>
    <w:p>
      <w:pPr>
        <w:spacing w:after="0" w:line="20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12.3.1</w:t>
      </w:r>
      <w:r>
        <w:rPr>
          <w:sz w:val="20"/>
          <w:szCs w:val="20"/>
          <w:color w:val="auto"/>
        </w:rPr>
        <w:tab/>
      </w:r>
      <w:r>
        <w:rPr>
          <w:rFonts w:ascii="Times New Roman" w:cs="Times New Roman" w:eastAsia="Times New Roman" w:hAnsi="Times New Roman"/>
          <w:sz w:val="17"/>
          <w:szCs w:val="17"/>
          <w:color w:val="auto"/>
        </w:rPr>
        <w:t>deliver up to the Disclosing Party all items and copies of all or any Confidential Information of the Disclosing Party;</w:t>
      </w:r>
    </w:p>
    <w:p>
      <w:pPr>
        <w:spacing w:after="0" w:line="25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12.3.2</w:t>
        <w:tab/>
        <w:t>expunge and/or make irretrievable all Confidential Information of the Disclosing Party from any computer or other similar device in which it is stored and, if further requested, certify in writing signed by an authorized representative that it has done the same (provided that this clause 12.3.2 shall not apply to automatically archived electronic files or electronic back-ups made in the ordinary course of business, on secured central servers, which cannot reasonably be deleted and such electronic files shall be retained subject to the obligations of confidence set out in this clause 12); and</w:t>
      </w:r>
    </w:p>
    <w:p>
      <w:pPr>
        <w:spacing w:after="0" w:line="183"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12.3.3</w:t>
        <w:tab/>
        <w:t>destroy all hard copies of notes, analyses or memoranda containing the Disclosing Party’s Confidential Information (and, if further requested, certify in writing signed by an authorized representative that it has done the same)</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provided that the Receiving Party shall be entitled to retain copies of the Confidential Information to enable it to monitor its obligations under this Agreement or which is required to be maintained by Applicable Laws or a Regulatory Authority subject always to the obligations of confidence under this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color w:val="auto"/>
        </w:rPr>
        <w:t>Confidential Information shall not include information, which:</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12.4.1</w:t>
        <w:tab/>
        <w:t>is, or becomes, generally available to the public other than as a direct or indirect result of the information being disclosed by the Receiving Party or its Authorized Third Parties in breach of this Agreement (except that any compilation of otherwise public information in a form not publicly known shall still be treated as Confidential Information);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12.4.2</w:t>
      </w:r>
      <w:r>
        <w:rPr>
          <w:sz w:val="20"/>
          <w:szCs w:val="20"/>
          <w:color w:val="auto"/>
        </w:rPr>
        <w:tab/>
      </w:r>
      <w:r>
        <w:rPr>
          <w:rFonts w:ascii="Times New Roman" w:cs="Times New Roman" w:eastAsia="Times New Roman" w:hAnsi="Times New Roman"/>
          <w:sz w:val="17"/>
          <w:szCs w:val="17"/>
          <w:color w:val="auto"/>
        </w:rPr>
        <w:t>was available to the Receiving Party on a non-confidential basis prior to disclosure by the Disclosing Party;</w:t>
      </w:r>
    </w:p>
    <w:p>
      <w:pPr>
        <w:spacing w:after="0" w:line="252"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12.4.3</w:t>
        <w:tab/>
        <w:t>was, is, or becomes available to the Receiving Party on a non-confidential basis from a person who, to the Receiving Party’s knowledge, is not under any confidentiality obligation in respect of that information;</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12.4.4</w:t>
        <w:tab/>
        <w:t>was lawfully in the possession of the Receiving Party before the information was disclosed by the Disclosing Party as demonstrated by records where such demonstration is reasonably feasible;</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12.4.5</w:t>
        <w:tab/>
        <w:t>is developed by or for the Receiving Party independently of the information disclosed by the Disclosing Party; or</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12.4.6</w:t>
      </w:r>
      <w:r>
        <w:rPr>
          <w:sz w:val="20"/>
          <w:szCs w:val="20"/>
          <w:color w:val="auto"/>
        </w:rPr>
        <w:tab/>
      </w:r>
      <w:r>
        <w:rPr>
          <w:rFonts w:ascii="Times New Roman" w:cs="Times New Roman" w:eastAsia="Times New Roman" w:hAnsi="Times New Roman"/>
          <w:sz w:val="17"/>
          <w:szCs w:val="17"/>
          <w:color w:val="auto"/>
        </w:rPr>
        <w:t>the Disclosing Party and the Receiving Party agree in writing is not confidential.</w:t>
      </w:r>
    </w:p>
    <w:p>
      <w:pPr>
        <w:spacing w:after="0" w:line="25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8"/>
          <w:szCs w:val="18"/>
          <w:color w:val="auto"/>
        </w:rPr>
        <w:t>Receiving Party may disclose Confidential Information of Disclosing Party when necessarily required pursuant to a statutory or regulatory obligation (including any regulatory approvals for the Product in any or all jurisdictions), but then only to the extent of such required disclosure and save that the Receiving Party shall, to the extent it is lawful to do so, give prompt notice to the Disclosing Party of any such potential disclosure and allow the Disclosing Party a reasonable opportunity to limit such disclosure.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5" w:name="page116"/>
    <w:bookmarkEnd w:id="115"/>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Customer may use and disclose Confidential Information of Fujifilm solely to the extent necessary in communications with existing or prospective Customer’s investors, sub-licensees or commercial partners provided that: (a) such recipients are under obligations of confidentiality obligations at least as restrictive as the terms of this clause 12; (b) none of the financial terms of the Agreement, a SoW or a PSA or any proposals are disclosed to any such investor, sublicensee or commercial partner without the prior written consent of Fujifilm; (c) no disclosures are made to contract development and/or manufacturing organizations in the biopharmaceutical industry without Fujifilm’s prior written consent; (d) no disclosures are made with respect to information identified as being confidential information of a third party; and (e) such recipients are treated as Authorized Third Parties for the purposes of clause 12.2. Additionally, Customer shall notify Fujifilm of any disclosure to any investors, sub-licensees or commercial partners, including the name of the recipient and date and nature of disclosure.</w:t>
      </w:r>
    </w:p>
    <w:p>
      <w:pPr>
        <w:spacing w:after="0" w:line="188"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Subject to clause 13.2, if a party wishes to change (“</w:t>
      </w:r>
      <w:r>
        <w:rPr>
          <w:rFonts w:ascii="Times New Roman" w:cs="Times New Roman" w:eastAsia="Times New Roman" w:hAnsi="Times New Roman"/>
          <w:sz w:val="18"/>
          <w:szCs w:val="18"/>
          <w:b w:val="1"/>
          <w:bCs w:val="1"/>
          <w:color w:val="auto"/>
        </w:rPr>
        <w:t>Change</w:t>
      </w:r>
      <w:r>
        <w:rPr>
          <w:rFonts w:ascii="Times New Roman" w:cs="Times New Roman" w:eastAsia="Times New Roman" w:hAnsi="Times New Roman"/>
          <w:sz w:val="18"/>
          <w:szCs w:val="18"/>
          <w:color w:val="auto"/>
        </w:rPr>
        <w:t>”) any aspect of this Agreement, any PSA or any Scope of Work (including if additional or different work is requested or required such as the production of a different number of Batches or if such work is required to be carried out at a different time or if actual circumstances differ from the assumptions set out in a PSA or Scope of Work (including if such assumptions cannot be met at all or in a timely fashion)) then Fujifilm shall draft a Change document using its standard format for that Change and the Change shall not be effective until the applicable Change document (the “</w:t>
      </w:r>
      <w:r>
        <w:rPr>
          <w:rFonts w:ascii="Times New Roman" w:cs="Times New Roman" w:eastAsia="Times New Roman" w:hAnsi="Times New Roman"/>
          <w:sz w:val="18"/>
          <w:szCs w:val="18"/>
          <w:b w:val="1"/>
          <w:bCs w:val="1"/>
          <w:color w:val="auto"/>
        </w:rPr>
        <w:t>Change Order</w:t>
      </w:r>
      <w:r>
        <w:rPr>
          <w:rFonts w:ascii="Times New Roman" w:cs="Times New Roman" w:eastAsia="Times New Roman" w:hAnsi="Times New Roman"/>
          <w:sz w:val="18"/>
          <w:szCs w:val="18"/>
          <w:color w:val="auto"/>
        </w:rPr>
        <w:t>”) is signed by each party.</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color w:val="auto"/>
        </w:rPr>
        <w:t>It is acknowledged that there are greater limits on what can be changed in respect of a PSA for Commercial Manufacturing Services, but notwithstanding this, if there is a change to Applicable Law which comes into effect after the Effective Date that adversely affects, or is likely to adversely affect, production of Product by the Process when conducted in accordance with Fujifilm’s standard operating procedures or methods, and within the declared constraints of the Facility then the parties will enter into a Change to accommodate that change of Applicable Law; the cost of which shall be allocated as follows:</w:t>
      </w:r>
    </w:p>
    <w:p>
      <w:pPr>
        <w:spacing w:after="0" w:line="183"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13.2.1</w:t>
        <w:tab/>
        <w:t>if the change to Applicable Law specifically relates to the Product or Process then the Customer will be liable for the costs of the Change; and</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13.2.2</w:t>
        <w:tab/>
        <w:t>if the change to Applicable Law relates to the Facility as it is operated by Fujifilm across its customer base or the general commercial activities carried out by Fujifilm then Fujifilm will be liable for the costs of the Change.</w:t>
      </w:r>
    </w:p>
    <w:p>
      <w:pPr>
        <w:spacing w:after="0" w:line="16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13.3</w:t>
      </w:r>
      <w:r>
        <w:rPr>
          <w:sz w:val="20"/>
          <w:szCs w:val="20"/>
          <w:color w:val="auto"/>
        </w:rPr>
        <w:tab/>
      </w:r>
      <w:r>
        <w:rPr>
          <w:rFonts w:ascii="Times New Roman" w:cs="Times New Roman" w:eastAsia="Times New Roman" w:hAnsi="Times New Roman"/>
          <w:sz w:val="18"/>
          <w:szCs w:val="18"/>
          <w:color w:val="auto"/>
        </w:rPr>
        <w:t>If the parties are unable to agree the terms of a Change and the dispute resolution process set out in clause 16 has been unsuccessfully exhausted, either party may terminate any affected Scope of Work (or part of it) or PSA (or part of it) (as applicable), Order (or part of it), or this Agreement by giving written notice to the other party if either party reasonably believes that it will be unable to carry out and complete such Scope of Work or Order or PSA (as applicable) in accordance with this Agreement or any future Order (as the case may be) due to the change of Applicable Law. However, any termination or cancellation made pursuant to this clause shall remain subject to all termination, cancellation or other fees provided for in this Agreement, including Batch Cancellation fees. For the sake of clarity, in the case of Commercial Manufacturing Services, Batches delivered or to be delivered as part of the Commercial Manufacturing Services are not cancellable and must be paid in full as stated in this Agreement. Likewise, termination of a PSA pursuant to this clause shall be governed in accordance with clause 14 of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DELAY, CANCELLATION, TERMINATION AND CONSEQUENCES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u w:val="single" w:color="auto"/>
          <w:color w:val="auto"/>
        </w:rPr>
        <w:t>Delay: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14.1.1</w:t>
        <w:tab/>
        <w:t>If the Customer either causes or requests a delay to any Stage; Stages; or a Program as a whole and that delay prevents, or will prevent,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Fujifilm from:</w:t>
      </w:r>
    </w:p>
    <w:p>
      <w:pPr>
        <w:spacing w:after="0" w:line="207" w:lineRule="exact"/>
        <w:rPr>
          <w:sz w:val="20"/>
          <w:szCs w:val="20"/>
          <w:color w:val="auto"/>
        </w:rPr>
      </w:pPr>
    </w:p>
    <w:p>
      <w:pPr>
        <w:ind w:left="2120" w:hanging="654"/>
        <w:spacing w:after="0"/>
        <w:tabs>
          <w:tab w:leader="none" w:pos="2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R&amp;D Services: performing a manufacturing stage or a Program as a whole in accordance with the Program Plan; or</w:t>
      </w:r>
    </w:p>
    <w:p>
      <w:pPr>
        <w:spacing w:after="0" w:line="252" w:lineRule="exact"/>
        <w:rPr>
          <w:rFonts w:ascii="Times New Roman" w:cs="Times New Roman" w:eastAsia="Times New Roman" w:hAnsi="Times New Roman"/>
          <w:sz w:val="18"/>
          <w:szCs w:val="18"/>
          <w:color w:val="auto"/>
        </w:rPr>
      </w:pPr>
    </w:p>
    <w:p>
      <w:pPr>
        <w:ind w:left="2120" w:hanging="654"/>
        <w:spacing w:after="0"/>
        <w:tabs>
          <w:tab w:leader="none" w:pos="2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Commercial Manufacturing Services: manufacturing commercial Batches by the forecast date,</w:t>
      </w:r>
    </w:p>
    <w:p>
      <w:pPr>
        <w:spacing w:after="0" w:line="248" w:lineRule="exact"/>
        <w:rPr>
          <w:rFonts w:ascii="Times New Roman" w:cs="Times New Roman" w:eastAsia="Times New Roman" w:hAnsi="Times New Roman"/>
          <w:sz w:val="18"/>
          <w:szCs w:val="18"/>
          <w:color w:val="auto"/>
        </w:rPr>
      </w:pPr>
    </w:p>
    <w:p>
      <w:pPr>
        <w:ind w:left="21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a “</w:t>
      </w:r>
      <w:r>
        <w:rPr>
          <w:rFonts w:ascii="Times New Roman" w:cs="Times New Roman" w:eastAsia="Times New Roman" w:hAnsi="Times New Roman"/>
          <w:sz w:val="18"/>
          <w:szCs w:val="18"/>
          <w:b w:val="1"/>
          <w:bCs w:val="1"/>
          <w:color w:val="auto"/>
        </w:rPr>
        <w:t>Delay</w:t>
      </w:r>
      <w:r>
        <w:rPr>
          <w:rFonts w:ascii="Times New Roman" w:cs="Times New Roman" w:eastAsia="Times New Roman" w:hAnsi="Times New Roman"/>
          <w:sz w:val="18"/>
          <w:szCs w:val="18"/>
          <w:color w:val="auto"/>
        </w:rPr>
        <w:t>”, and the parties cannot agree a Change to accommodate that Delay; then that Delay will be treated as a termination for convenience by the Customer under clause 14.3 and the parties agree:</w:t>
      </w:r>
    </w:p>
    <w:p>
      <w:pPr>
        <w:spacing w:after="0" w:line="158" w:lineRule="exact"/>
        <w:rPr>
          <w:rFonts w:ascii="Times New Roman" w:cs="Times New Roman" w:eastAsia="Times New Roman" w:hAnsi="Times New Roman"/>
          <w:sz w:val="18"/>
          <w:szCs w:val="18"/>
          <w:color w:val="auto"/>
        </w:rPr>
      </w:pPr>
    </w:p>
    <w:p>
      <w:pPr>
        <w:jc w:val="both"/>
        <w:ind w:left="2120" w:hanging="654"/>
        <w:spacing w:after="0" w:line="266" w:lineRule="auto"/>
        <w:tabs>
          <w:tab w:leader="none" w:pos="21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Batch produced as part of the Commercial Manufacturing Services, entitlement to that Batch does not carry forward to a subsequent Production Year if a Change cannot be agreed that results in the Batch being produced in the same Production Year as it was forecast; and</w:t>
      </w:r>
    </w:p>
    <w:p>
      <w:pPr>
        <w:spacing w:after="0" w:line="176"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14.1.2</w:t>
        <w:tab/>
        <w:t>any Batch Cancellation Fee payable shall be calculated by reference to the date on which notice was given by the Customer in relation to the Delay if such notice is given, or the date on which the Delay becomes apparent to Fujifilm. Notwithstanding anything to the contrary in this Agreement, any applicable Scope of Work or any applicable PSA, in the event that, despite Fujifilm having exercised reasonable efforts to procure all necessary Consumables, such Consumables are not available in the quantities or at the time as may be required to manufacture a Batch for Customer pursuant to Fujifilm’s current asset plan, Fujifilm’s obligation to manufacture and deliver such Batch, and Customer’s obligation to take delivery and pay for such Batch, shall in each case be delayed until such time as sufficient Consumables are available for the manufacture of such Batch (“</w:t>
      </w:r>
      <w:r>
        <w:rPr>
          <w:rFonts w:ascii="Times New Roman" w:cs="Times New Roman" w:eastAsia="Times New Roman" w:hAnsi="Times New Roman"/>
          <w:sz w:val="18"/>
          <w:szCs w:val="18"/>
          <w:b w:val="1"/>
          <w:bCs w:val="1"/>
          <w:color w:val="auto"/>
        </w:rPr>
        <w:t>Consumables Delay</w:t>
      </w:r>
      <w:r>
        <w:rPr>
          <w:rFonts w:ascii="Times New Roman" w:cs="Times New Roman" w:eastAsia="Times New Roman" w:hAnsi="Times New Roman"/>
          <w:sz w:val="18"/>
          <w:szCs w:val="18"/>
          <w:color w:val="auto"/>
        </w:rPr>
        <w:t>”). The Customer agrees that:</w:t>
      </w:r>
    </w:p>
    <w:p>
      <w:pPr>
        <w:spacing w:after="0" w:line="189" w:lineRule="exact"/>
        <w:rPr>
          <w:sz w:val="20"/>
          <w:szCs w:val="20"/>
          <w:color w:val="auto"/>
        </w:rPr>
      </w:pPr>
    </w:p>
    <w:p>
      <w:pPr>
        <w:ind w:left="2120" w:hanging="654"/>
        <w:spacing w:after="0" w:line="282" w:lineRule="auto"/>
        <w:tabs>
          <w:tab w:leader="none" w:pos="2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use reasonable efforts to assist Fujifilm to procure Consumables that are subject to a Consumables Delay (which may include agreeing to allow Fujifilm to procure those Consumables from an alternative supplier); and</w:t>
      </w:r>
    </w:p>
    <w:p>
      <w:pPr>
        <w:spacing w:after="0" w:line="161"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requires Fujifilm to take specified action to mitigate a potential Consumables Delay and this action of itself causes a Delay then clause 14.1.1 will apply; and</w:t>
      </w:r>
    </w:p>
    <w:p>
      <w:pPr>
        <w:spacing w:after="0" w:line="161"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which Customer agrees to provide to Fujifilm under a SoW or a PSA are excluded from the definition of Consumables Delay and will be subject to clause 14.1.1.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7" w:name="page118"/>
    <w:bookmarkEnd w:id="117"/>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14.1.3</w:t>
        <w:tab/>
        <w:t>The parties’ Program teams shall mutually agree on the new manufacturing schedule for any Batches affected by a Consumables Delay, provided that Fujifilm shall use its Commercially Reasonably Efforts to make available sufficient slots for the manufacture of such Batches as soon as reasonably possible ensuring that the Customer is treated equitably in any asset re-scheduling that may be undertaken to accommodate this.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7"/>
          <w:szCs w:val="17"/>
          <w:u w:val="single" w:color="auto"/>
          <w:color w:val="auto"/>
        </w:rPr>
        <w:t>Termination of this Agreement as a whole</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14.2.1</w:t>
        <w:tab/>
        <w:t>Fujifilm or the Customer shall be entitled to terminate this Agreement (and all Scope of Works and PSAs made under it, together with in the case of Commercial Manufacturing Services any Orders made under the applicable PSA(s)) immediately upon giving notice to the other if:</w:t>
      </w:r>
    </w:p>
    <w:p>
      <w:pPr>
        <w:spacing w:after="0" w:line="176" w:lineRule="exact"/>
        <w:rPr>
          <w:sz w:val="20"/>
          <w:szCs w:val="20"/>
          <w:color w:val="auto"/>
        </w:rPr>
      </w:pPr>
    </w:p>
    <w:p>
      <w:pPr>
        <w:ind w:left="2120" w:hanging="654"/>
        <w:spacing w:after="0"/>
        <w:tabs>
          <w:tab w:leader="none" w:pos="2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commits a material breach of clauses 8.4, 9.14, 12, 19 and such breach:</w:t>
      </w:r>
    </w:p>
    <w:p>
      <w:pPr>
        <w:spacing w:after="0" w:line="252"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capable of remedy (a breach shall be considered capable of remedy if the party in breach can comply with the provision in question in all respects other than as to time of performance); or</w:t>
      </w:r>
    </w:p>
    <w:p>
      <w:pPr>
        <w:spacing w:after="0" w:line="161" w:lineRule="exact"/>
        <w:rPr>
          <w:rFonts w:ascii="Times New Roman" w:cs="Times New Roman" w:eastAsia="Times New Roman" w:hAnsi="Times New Roman"/>
          <w:sz w:val="18"/>
          <w:szCs w:val="18"/>
          <w:color w:val="auto"/>
        </w:rPr>
      </w:pPr>
    </w:p>
    <w:p>
      <w:pPr>
        <w:jc w:val="both"/>
        <w:ind w:left="2120" w:hanging="654"/>
        <w:spacing w:after="0" w:line="261" w:lineRule="auto"/>
        <w:tabs>
          <w:tab w:leader="none" w:pos="2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capable of remedy, and the breaching party fails to remedy the breach within a reasonable period after receipt of notice giving full particulars of the breach and requiring it to be remedied, provided, however, that such cure period shall be suspended during any time that a party seeks resolution of a dispute as to whether an alleged material breach occurred pursuant to clause 16;</w:t>
      </w:r>
    </w:p>
    <w:p>
      <w:pPr>
        <w:spacing w:after="0" w:line="179" w:lineRule="exact"/>
        <w:rPr>
          <w:rFonts w:ascii="Times New Roman" w:cs="Times New Roman" w:eastAsia="Times New Roman" w:hAnsi="Times New Roman"/>
          <w:sz w:val="18"/>
          <w:szCs w:val="18"/>
          <w:color w:val="auto"/>
        </w:rPr>
      </w:pPr>
    </w:p>
    <w:p>
      <w:pPr>
        <w:jc w:val="both"/>
        <w:ind w:left="2120" w:hanging="654"/>
        <w:spacing w:after="0" w:line="258" w:lineRule="auto"/>
        <w:tabs>
          <w:tab w:leader="none" w:pos="2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takes any step or action in connection with its entering administration, provisional liquidation or any composition or arrangement with its creditors (other than in relation to a solvent restructuring), being wound up (whether voluntarily or by order of the court, unless for the purpose of a solvent restructuring), having a receiver appointed to any of its assets or ceasing to carry on business or, if the step or action is taken in another jurisdiction, in connection with any analogous procedure in the relevant jurisdiction;</w:t>
      </w:r>
    </w:p>
    <w:p>
      <w:pPr>
        <w:spacing w:after="0" w:line="183"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is reasonably determined by the terminating party to be in material breach of [***] ([***]) or more contracts (including any Scopes of Work or PSAs) it has entered into with the terminating party; or</w:t>
      </w:r>
    </w:p>
    <w:p>
      <w:pPr>
        <w:spacing w:after="0" w:line="161" w:lineRule="exact"/>
        <w:rPr>
          <w:rFonts w:ascii="Times New Roman" w:cs="Times New Roman" w:eastAsia="Times New Roman" w:hAnsi="Times New Roman"/>
          <w:sz w:val="18"/>
          <w:szCs w:val="18"/>
          <w:color w:val="auto"/>
        </w:rPr>
      </w:pPr>
    </w:p>
    <w:p>
      <w:pPr>
        <w:ind w:left="2120" w:right="20" w:hanging="654"/>
        <w:spacing w:after="0" w:line="282" w:lineRule="auto"/>
        <w:tabs>
          <w:tab w:leader="none" w:pos="21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or the person controlling the other party has a change in control and the new controlling entity is reasonably considered by the party giving notice either to be its direct competitor or not to have reasonable financial creditworthiness.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8" w:name="page119"/>
    <w:bookmarkEnd w:id="118"/>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7"/>
          <w:szCs w:val="17"/>
          <w:u w:val="single" w:color="auto"/>
          <w:color w:val="auto"/>
        </w:rPr>
        <w:t>Termination by the Customer for Convenience</w:t>
      </w:r>
    </w:p>
    <w:p>
      <w:pPr>
        <w:spacing w:after="0" w:line="225"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14.3.1</w:t>
        <w:tab/>
        <w:t>The Customer may cancel one or more Non-Manufacturing Stage(s) intended to be delivered as part of R&amp;D Services for convenience by giving written notice to Fujifilm in which case:</w:t>
      </w:r>
    </w:p>
    <w:p>
      <w:pPr>
        <w:spacing w:after="0" w:line="162" w:lineRule="exact"/>
        <w:rPr>
          <w:sz w:val="20"/>
          <w:szCs w:val="20"/>
          <w:color w:val="auto"/>
        </w:rPr>
      </w:pPr>
    </w:p>
    <w:p>
      <w:pPr>
        <w:ind w:left="2120" w:hanging="654"/>
        <w:spacing w:after="0"/>
        <w:tabs>
          <w:tab w:leader="none" w:pos="2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cancelled Non-Manufacturing Stage(s) shall terminate but in all other respects the SoW shall continue in full force; and</w:t>
      </w:r>
    </w:p>
    <w:p>
      <w:pPr>
        <w:spacing w:after="0" w:line="252" w:lineRule="exact"/>
        <w:rPr>
          <w:rFonts w:ascii="Times New Roman" w:cs="Times New Roman" w:eastAsia="Times New Roman" w:hAnsi="Times New Roman"/>
          <w:sz w:val="18"/>
          <w:szCs w:val="18"/>
          <w:color w:val="auto"/>
        </w:rPr>
      </w:pPr>
    </w:p>
    <w:p>
      <w:pPr>
        <w:jc w:val="both"/>
        <w:ind w:left="2120" w:hanging="654"/>
        <w:spacing w:after="0" w:line="258" w:lineRule="auto"/>
        <w:tabs>
          <w:tab w:leader="none" w:pos="2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shall pay Fujifilm the Charges that are due for the Fujifilm Services that have been performed and [***] of the Charges for the Fujifilm Services that have not yet been performed in the cancelled Non-Manufacturing Stage(s) plus (i) any Charges owed in respect of Ancillary Services that have been performed, and (ii) such portion of any Charges that relate to any element of an unperformed Ancillary Service for which Fujifilm has already incurred or has committed to later incur under a non-cancellable order, unrecoverable costs and expenses.</w:t>
      </w:r>
    </w:p>
    <w:p>
      <w:pPr>
        <w:spacing w:after="0" w:line="183"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Customer terminates this Agreement or a Program where there are only Non-Manufacturing Stages contracted, this clause 14.3.1 shall apply when determining cancellation fees.</w:t>
      </w:r>
    </w:p>
    <w:p>
      <w:pPr>
        <w:spacing w:after="0" w:line="162"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14.3.2</w:t>
        <w:tab/>
        <w:t>The Customer may cancel one or more manufacturing stage(s) delivered as part of the R&amp;D Services (i.e. manufacturing stage(s) that are not part of the Commercial Manufacturing Services) for convenience by giving written notice to Fujifilm in which case:</w:t>
      </w:r>
    </w:p>
    <w:p>
      <w:pPr>
        <w:spacing w:after="0" w:line="162" w:lineRule="exact"/>
        <w:rPr>
          <w:sz w:val="20"/>
          <w:szCs w:val="20"/>
          <w:color w:val="auto"/>
        </w:rPr>
      </w:pPr>
    </w:p>
    <w:p>
      <w:pPr>
        <w:ind w:left="2120" w:hanging="654"/>
        <w:spacing w:after="0"/>
        <w:tabs>
          <w:tab w:leader="none" w:pos="2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manufacturing stage shall terminate but in all other respects the SoW shall continue in full force;</w:t>
      </w:r>
    </w:p>
    <w:p>
      <w:pPr>
        <w:spacing w:after="0" w:line="252" w:lineRule="exact"/>
        <w:rPr>
          <w:rFonts w:ascii="Times New Roman" w:cs="Times New Roman" w:eastAsia="Times New Roman" w:hAnsi="Times New Roman"/>
          <w:sz w:val="18"/>
          <w:szCs w:val="18"/>
          <w:color w:val="auto"/>
        </w:rPr>
      </w:pPr>
    </w:p>
    <w:p>
      <w:pPr>
        <w:jc w:val="both"/>
        <w:ind w:left="2120" w:hanging="654"/>
        <w:spacing w:after="0" w:line="261" w:lineRule="auto"/>
        <w:tabs>
          <w:tab w:leader="none" w:pos="2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shall pay the Charges that are due for the Fujifilm Services that have been performed, the relevant Batch Cancellation Fee plus (i) any Charges owed in respect of Ancillary Services that have been performed, and (ii) such portion of any Charges that relate to any element of an unperformed Ancillary Service for which Fujifilm has already incurred or has committed to later incur under a non-cancellable order, unrecoverable costs and expenses.</w:t>
      </w:r>
    </w:p>
    <w:p>
      <w:pPr>
        <w:spacing w:after="0" w:line="180"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14.3.3</w:t>
        <w:tab/>
        <w:t>The Customer may terminate a PSA at any time for convenience by giving not less than [***] [***] written notice to Fujifilm in which case clause 14.4 shall apply.</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14.3.4</w:t>
        <w:tab/>
        <w:t>For clarity, if Customer cancels R&amp;D Services which facilitate Commercial Manufacturing Services (for example technical transfer of the Process or Process Performance Qualification), Customer will be deemed to have also cancelled such Commercial Manufacturing Services for convenience.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9" w:name="page120"/>
    <w:bookmarkEnd w:id="119"/>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7"/>
          <w:szCs w:val="17"/>
          <w:u w:val="single" w:color="auto"/>
          <w:color w:val="auto"/>
        </w:rPr>
        <w:t>Consequences of Termination of the Commercial Manufacturing Services</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14.4.1</w:t>
        <w:tab/>
        <w:t>If Fujifilm terminates this Agreement under clause 14.2 or the PSA for Commercial Manufacturing Services under clause 14.6 or if the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Customer terminates a PSA under clause 14.3.3, Customer shall pay the greater of:</w:t>
      </w:r>
    </w:p>
    <w:p>
      <w:pPr>
        <w:spacing w:after="0" w:line="207" w:lineRule="exact"/>
        <w:rPr>
          <w:sz w:val="20"/>
          <w:szCs w:val="20"/>
          <w:color w:val="auto"/>
        </w:rPr>
      </w:pPr>
    </w:p>
    <w:p>
      <w:pPr>
        <w:ind w:left="2120" w:hanging="654"/>
        <w:spacing w:after="0" w:line="282" w:lineRule="auto"/>
        <w:tabs>
          <w:tab w:leader="none" w:pos="2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was more than [***] [***] remaining on that term: the unpaid Charges for the Minimum Annual Quantity for each Production Year during the Initial Term or Subsequent Term in which the termination took place;</w:t>
      </w:r>
    </w:p>
    <w:p>
      <w:pPr>
        <w:spacing w:after="0" w:line="161" w:lineRule="exact"/>
        <w:rPr>
          <w:rFonts w:ascii="Times New Roman" w:cs="Times New Roman" w:eastAsia="Times New Roman" w:hAnsi="Times New Roman"/>
          <w:sz w:val="18"/>
          <w:szCs w:val="18"/>
          <w:color w:val="auto"/>
        </w:rPr>
      </w:pPr>
    </w:p>
    <w:p>
      <w:pPr>
        <w:jc w:val="both"/>
        <w:ind w:left="2120" w:hanging="654"/>
        <w:spacing w:after="0" w:line="261" w:lineRule="auto"/>
        <w:tabs>
          <w:tab w:leader="none" w:pos="2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was less than [***] [***] remaining on that term: the unpaid Charges for the Minimum Annual Quantity for each Production Year during the Initial Term or Subsequent Term in which the termination took place plus the unpaid Charges for the Minimum Annual Quantity for each Production Year during the following Subsequent Term in aggregate capped at a total duration of [***]; and</w:t>
      </w:r>
    </w:p>
    <w:p>
      <w:pPr>
        <w:spacing w:after="0" w:line="179" w:lineRule="exact"/>
        <w:rPr>
          <w:rFonts w:ascii="Times New Roman" w:cs="Times New Roman" w:eastAsia="Times New Roman" w:hAnsi="Times New Roman"/>
          <w:sz w:val="18"/>
          <w:szCs w:val="18"/>
          <w:color w:val="auto"/>
        </w:rPr>
      </w:pPr>
    </w:p>
    <w:p>
      <w:pPr>
        <w:ind w:left="2120" w:right="20" w:hanging="654"/>
        <w:spacing w:after="0" w:line="282" w:lineRule="auto"/>
        <w:tabs>
          <w:tab w:leader="none" w:pos="21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binding Orders placed over (i) the preceding [***] or (ii) the period of time that the Customer has been placing Orders under this Agreement if less than [***];</w:t>
      </w:r>
    </w:p>
    <w:p>
      <w:pPr>
        <w:spacing w:after="0" w:line="162"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PLUS, in each case, unpaid Ancillary Charges for Ancillary Services that have been performed, and (ii) such portion of any Ancillary Charges that relate to any element of an unperformed Ancillary Service for which Fujifilm has already incurred or has committed to later incur under a non-cancellable order, unrecoverable costs and expenses.</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7"/>
          <w:szCs w:val="17"/>
          <w:u w:val="single" w:color="auto"/>
          <w:color w:val="auto"/>
        </w:rPr>
        <w:t>Termination of the Program Due to Technical Issues.</w:t>
      </w:r>
    </w:p>
    <w:p>
      <w:pPr>
        <w:spacing w:after="0" w:line="22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14.5.1</w:t>
        <w:tab/>
        <w:t>With respect to a Program, Fujifilm may terminate a Program at any time up to commencement of the manufacturing stages for such Program by giving written notice to the Customer if Fujifilm reasonably believes that it will be unable to carry out and complete the Program in accordance with the Scope of Work(s) or PSA(s) (as applicable) due to discovery of a factor (other than an breach by Fujifilm of clause 4.1) which:</w:t>
      </w:r>
    </w:p>
    <w:p>
      <w:pPr>
        <w:spacing w:after="0" w:line="180" w:lineRule="exact"/>
        <w:rPr>
          <w:sz w:val="20"/>
          <w:szCs w:val="20"/>
          <w:color w:val="auto"/>
        </w:rPr>
      </w:pPr>
    </w:p>
    <w:p>
      <w:pPr>
        <w:ind w:left="2120" w:hanging="654"/>
        <w:spacing w:after="0"/>
        <w:tabs>
          <w:tab w:leader="none" w:pos="21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development of the Process; or</w:t>
      </w:r>
    </w:p>
    <w:p>
      <w:pPr>
        <w:spacing w:after="0" w:line="252" w:lineRule="exact"/>
        <w:rPr>
          <w:sz w:val="20"/>
          <w:szCs w:val="20"/>
          <w:color w:val="auto"/>
        </w:rPr>
      </w:pPr>
    </w:p>
    <w:p>
      <w:pPr>
        <w:ind w:left="2120" w:right="20" w:hanging="654"/>
        <w:spacing w:after="0" w:line="282" w:lineRule="auto"/>
        <w:tabs>
          <w:tab w:leader="none" w:pos="2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or is likely to adversely affect, production of Product in the Facility when conducted in accordance with Fujifilm’s standard operating procedures or methods; or</w:t>
      </w:r>
    </w:p>
    <w:p>
      <w:pPr>
        <w:spacing w:after="0" w:line="161" w:lineRule="exact"/>
        <w:rPr>
          <w:rFonts w:ascii="Times New Roman" w:cs="Times New Roman" w:eastAsia="Times New Roman" w:hAnsi="Times New Roman"/>
          <w:sz w:val="18"/>
          <w:szCs w:val="18"/>
          <w:color w:val="auto"/>
        </w:rPr>
      </w:pPr>
    </w:p>
    <w:p>
      <w:pPr>
        <w:jc w:val="both"/>
        <w:ind w:left="2120" w:hanging="654"/>
        <w:spacing w:after="0" w:line="258" w:lineRule="auto"/>
        <w:tabs>
          <w:tab w:leader="none" w:pos="2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likely to have an adverse effect on a customer’s Product license (being the license authorizing marketing of a medicinal product granted by a Regulatory Authority (also known as a “Marketing Authorisation” in [***])) or Manufacturing License (being the license to manufacture biotechnology-derived Drug Substances issued to Fujifilm by the applicable Regulatory Authority) as a result of the Product being introduced into the Facility and that customer was a customer of Fujifilm prior to the Program commencement,</w:t>
      </w:r>
    </w:p>
    <w:p>
      <w:pPr>
        <w:spacing w:after="0" w:line="183" w:lineRule="exact"/>
        <w:rPr>
          <w:sz w:val="20"/>
          <w:szCs w:val="20"/>
          <w:color w:val="auto"/>
        </w:rPr>
      </w:pPr>
    </w:p>
    <w:p>
      <w:pPr>
        <w:jc w:val="both"/>
        <w:ind w:left="1280" w:firstLine="36"/>
        <w:spacing w:after="0" w:line="266" w:lineRule="auto"/>
        <w:rPr>
          <w:sz w:val="20"/>
          <w:szCs w:val="20"/>
          <w:color w:val="auto"/>
        </w:rPr>
      </w:pPr>
      <w:r>
        <w:rPr>
          <w:rFonts w:ascii="Times New Roman" w:cs="Times New Roman" w:eastAsia="Times New Roman" w:hAnsi="Times New Roman"/>
          <w:sz w:val="18"/>
          <w:szCs w:val="18"/>
          <w:color w:val="auto"/>
        </w:rPr>
        <w:t>provided that, in each case, the factor was not known and could not reasonably have been known at the commencement of the Program and provided further that Fujifilm has used Commercially Reasonable Efforts in its attempts to address the factor prior to such termination.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0" w:name="page121"/>
    <w:bookmarkEnd w:id="120"/>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14.5.2</w:t>
        <w:tab/>
        <w:t>If Fujifilm terminates a Program under clause 14.5.1 then the Customer shall pay the Charges that are due for the Fujifilm Services that have been performed and [***] of the Program Cancellation Fee plus (i) any Charges owed in respect of Ancillary Services that have been performed, and (ii) such portion of any Charges that relate to any element of an unperformed Ancillary Service for which Fujifilm has already incurred or has committed to later incur under a non-cancellable order, unrecoverable costs and expenses.</w:t>
      </w:r>
    </w:p>
    <w:p>
      <w:pPr>
        <w:spacing w:after="0" w:line="18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14.6</w:t>
      </w:r>
      <w:r>
        <w:rPr>
          <w:sz w:val="20"/>
          <w:szCs w:val="20"/>
          <w:color w:val="auto"/>
        </w:rPr>
        <w:tab/>
      </w:r>
      <w:r>
        <w:rPr>
          <w:rFonts w:ascii="Times New Roman" w:cs="Times New Roman" w:eastAsia="Times New Roman" w:hAnsi="Times New Roman"/>
          <w:sz w:val="17"/>
          <w:szCs w:val="17"/>
          <w:u w:val="single" w:color="auto"/>
          <w:color w:val="auto"/>
        </w:rPr>
        <w:t>Termination of a Scope of Work or PSA for material breach</w:t>
      </w:r>
    </w:p>
    <w:p>
      <w:pPr>
        <w:spacing w:after="0" w:line="225"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14.6.1</w:t>
        <w:tab/>
        <w:t>If any party commits a material breach of a Scope of Work or PSA, the non-breaching party may give written notice to the other party, specifying the nature of the material breach and, if such material breach is not remedied within a reasonable period after receipt of such notice (provided, however, that the cure period shall be suspended during any time that a party seeks resolution of a dispute as to whether an alleged material breach occurred pursuant to clause 16), then the non-breaching party shall have the right, in its sole discretion, to immediately terminate that Scope of Work or PSA (as applicable).</w:t>
      </w:r>
    </w:p>
    <w:p>
      <w:pPr>
        <w:spacing w:after="0" w:line="183"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14.6.2</w:t>
        <w:tab/>
        <w:t>If Fujifilm terminates a Scope of Work or PSA under this clause 14.6 or all Scopes of Work or PSAs under clause 14.2 then, without prejudice to Fujifilm’s other rights and remedies, the Program Cancellation Fee shall be payable by the Customer to Fujifilm plus (i) any Charges owed in respect of Ancillary Services that have been performed, and (ii) such portion of any Charges that relate to any element of an unperformed Ancillary Service for which Fujifilm has already incurred or has committed to later incur under a non-cancellable order, unrecoverable costs and expenses.</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If a party exercises any of its rights of termination in respect of only one or more SoWs or PSAs then:</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14.7.1</w:t>
        <w:tab/>
        <w:t>this Agreement shall terminate in respect of those SoWs or PSAs (as applicable) and the provisions of this Agreement relating to termination of this Agreement shall apply in relation to those SoWs or PSAs (as applicable); and</w:t>
      </w:r>
    </w:p>
    <w:p>
      <w:pPr>
        <w:spacing w:after="0" w:line="16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14.7.2</w:t>
        <w:tab/>
        <w:t>in all other respects this Agreement shall continue in full force and those SoWs or PSAs (as applicable) in respect of which the party has terminated this Agreement will be deemed to be removed from the definition of the SoWs or PSAs (as applicable).</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7"/>
          <w:szCs w:val="17"/>
          <w:u w:val="single" w:color="auto"/>
          <w:color w:val="auto"/>
        </w:rPr>
        <w:t>Additional Consequences of Termination</w:t>
      </w:r>
    </w:p>
    <w:p>
      <w:pPr>
        <w:spacing w:after="0" w:line="225"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14.8.1</w:t>
        <w:tab/>
        <w:t>The termination of this Agreement, any PSA or any Scope of Work shall be without prejudice to the rights and remedies of any party which may have accrued up to the date of termination.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1" w:name="page122"/>
    <w:bookmarkEnd w:id="121"/>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14.8.2</w:t>
        <w:tab/>
        <w:t>On termination of this Agreement, any PSA or any SoW (as applicable) for any reason whatsoever:</w:t>
      </w:r>
    </w:p>
    <w:p>
      <w:pPr>
        <w:spacing w:after="0" w:line="252" w:lineRule="exact"/>
        <w:rPr>
          <w:sz w:val="20"/>
          <w:szCs w:val="20"/>
          <w:color w:val="auto"/>
        </w:rPr>
      </w:pPr>
    </w:p>
    <w:p>
      <w:pPr>
        <w:ind w:left="2120" w:right="20" w:hanging="654"/>
        <w:spacing w:after="0" w:line="282" w:lineRule="auto"/>
        <w:tabs>
          <w:tab w:leader="none" w:pos="2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set out in clause 9.14 the relationship of the parties shall cease and any rights or licenses granted under or pursuant to this Agreement shall cease to have effect save as (and to the extent) expressly provided for in this clause 14;</w:t>
      </w:r>
    </w:p>
    <w:p>
      <w:pPr>
        <w:spacing w:after="0" w:line="162" w:lineRule="exact"/>
        <w:rPr>
          <w:sz w:val="20"/>
          <w:szCs w:val="20"/>
          <w:color w:val="auto"/>
        </w:rPr>
      </w:pPr>
    </w:p>
    <w:p>
      <w:pPr>
        <w:jc w:val="both"/>
        <w:ind w:left="2120" w:hanging="654"/>
        <w:spacing w:after="0" w:line="266" w:lineRule="auto"/>
        <w:tabs>
          <w:tab w:leader="none" w:pos="2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following clauses together with any provision which expressly or by implication is intended to come into or remain in force on or after termination shall continue in full force and effect clauses 1, 8, 9, 9.14, 10, 11, 12, 14, 16, 18, and 23; and</w:t>
      </w:r>
    </w:p>
    <w:p>
      <w:pPr>
        <w:spacing w:after="0" w:line="175" w:lineRule="exact"/>
        <w:rPr>
          <w:rFonts w:ascii="Times New Roman" w:cs="Times New Roman" w:eastAsia="Times New Roman" w:hAnsi="Times New Roman"/>
          <w:sz w:val="18"/>
          <w:szCs w:val="18"/>
          <w:color w:val="auto"/>
        </w:rPr>
      </w:pPr>
    </w:p>
    <w:p>
      <w:pPr>
        <w:jc w:val="both"/>
        <w:ind w:left="2120" w:hanging="654"/>
        <w:spacing w:after="0" w:line="266" w:lineRule="auto"/>
        <w:tabs>
          <w:tab w:leader="none" w:pos="21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shall immediately pay to Fujifilm all of Fujifilm’s outstanding unpaid invoices and interest and, in respect of Fujifilm Services and Ancillary Services supplied but for which no invoice has been submitted, Fujifilm may submit an invoice, which shall be payable immediately on receipt.</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FORCE MAJEURE</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color w:val="auto"/>
        </w:rPr>
        <w:t>Subject to clause 15.2, no party shall be liable to the other(s) in respect of, and neither party will be entitled to any remedy from any party affected by the Force Majeure Event for, any delay or non-performance of such affected party’s obligations under any Scope of Work or PSA (except for the payment of money) arising from a Force Majeure Event.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color w:val="auto"/>
        </w:rPr>
        <w:t>If a party is delayed or prevented from performing its obligations due to a Force Majeure Event such party shall:</w:t>
      </w:r>
    </w:p>
    <w:p>
      <w:pPr>
        <w:spacing w:after="0" w:line="225"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15.2.1</w:t>
        <w:tab/>
        <w:t>give notice of such delay or prevention due to the Force Majeure Event to the non-affected parties as soon as reasonably practical stating the commencement date and extent of such delay or prevention, the cause thereof and its estimated duration;</w:t>
      </w:r>
    </w:p>
    <w:p>
      <w:pPr>
        <w:spacing w:after="0" w:line="16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15.2.2</w:t>
        <w:tab/>
        <w:t>use reasonable endeavors to mitigate the effects of such Force Majeure Event, provided that such party shall not be required to procure materials or services at unreasonable prices or under unreasonable terms; and</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15.2.3</w:t>
        <w:tab/>
        <w:t>resume performance of its obligations as soon as reasonably practicable.</w:t>
      </w:r>
    </w:p>
    <w:p>
      <w:pPr>
        <w:spacing w:after="0" w:line="25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color w:val="auto"/>
        </w:rPr>
        <w:t>If a party’s delay or prevention caused by the Force Majeure Event in question continues for more than [***] any party to the affected Scope of Work or PSA (as applicable) may give notice in writing to the other(s) to terminate that Scope of Work or PSA (as applicable). The notice to terminate must specify the termination date, which must not be less than [***] after the date on which the notice is given, and once such notice has been validly given, that Scope of Work or PSA (as applicable) will terminate on that termination date.</w:t>
      </w:r>
    </w:p>
    <w:p>
      <w:pPr>
        <w:spacing w:after="0" w:line="176"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DISPUTE RESOLUTION</w:t>
      </w:r>
    </w:p>
    <w:p>
      <w:pPr>
        <w:spacing w:after="0" w:line="225" w:lineRule="exact"/>
        <w:rPr>
          <w:sz w:val="20"/>
          <w:szCs w:val="20"/>
          <w:color w:val="auto"/>
        </w:rPr>
      </w:pPr>
    </w:p>
    <w:p>
      <w:pPr>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Quality Disputes: </w:t>
      </w:r>
      <w:r>
        <w:rPr>
          <w:rFonts w:ascii="Times New Roman" w:cs="Times New Roman" w:eastAsia="Times New Roman" w:hAnsi="Times New Roman"/>
          <w:sz w:val="18"/>
          <w:szCs w:val="18"/>
          <w:color w:val="auto"/>
        </w:rPr>
        <w:t>If there is a dispute in relation to or in connection with the QA Documents, such dispute shall be dealt with in accordance with</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the procedures set out in the Quality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2" w:name="page123"/>
    <w:bookmarkEnd w:id="122"/>
    <w:p>
      <w:pPr>
        <w:spacing w:after="0"/>
        <w:tabs>
          <w:tab w:leader="none" w:pos="640" w:val="left"/>
        </w:tabs>
        <w:rPr>
          <w:sz w:val="20"/>
          <w:szCs w:val="20"/>
          <w:color w:val="auto"/>
        </w:rPr>
      </w:pPr>
      <w:r>
        <w:rPr>
          <w:rFonts w:ascii="Times New Roman" w:cs="Times New Roman" w:eastAsia="Times New Roman" w:hAnsi="Times New Roman"/>
          <w:sz w:val="18"/>
          <w:szCs w:val="18"/>
          <w:color w:val="auto"/>
        </w:rPr>
        <w:t>16.2</w:t>
      </w:r>
      <w:r>
        <w:rPr>
          <w:sz w:val="20"/>
          <w:szCs w:val="20"/>
          <w:color w:val="auto"/>
        </w:rPr>
        <w:tab/>
      </w:r>
      <w:r>
        <w:rPr>
          <w:rFonts w:ascii="Times New Roman" w:cs="Times New Roman" w:eastAsia="Times New Roman" w:hAnsi="Times New Roman"/>
          <w:sz w:val="17"/>
          <w:szCs w:val="17"/>
          <w:b w:val="1"/>
          <w:bCs w:val="1"/>
          <w:u w:val="single" w:color="auto"/>
          <w:color w:val="auto"/>
        </w:rPr>
        <w:t>Business Escalation:</w:t>
      </w:r>
    </w:p>
    <w:p>
      <w:pPr>
        <w:spacing w:after="0" w:line="229" w:lineRule="exact"/>
        <w:rPr>
          <w:sz w:val="20"/>
          <w:szCs w:val="20"/>
          <w:color w:val="auto"/>
        </w:rPr>
      </w:pPr>
    </w:p>
    <w:p>
      <w:pPr>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16.2.1</w:t>
        <w:tab/>
        <w:t>In respect of any dispute concerning this Agreement (other than a dispute in connection with the QA Documents) the parties shall seek to resolve the matter as follows:</w:t>
      </w:r>
    </w:p>
    <w:p>
      <w:pPr>
        <w:spacing w:after="0" w:line="162" w:lineRule="exact"/>
        <w:rPr>
          <w:sz w:val="20"/>
          <w:szCs w:val="20"/>
          <w:color w:val="auto"/>
        </w:rPr>
      </w:pPr>
    </w:p>
    <w:p>
      <w:pPr>
        <w:ind w:left="2120" w:right="20" w:hanging="654"/>
        <w:spacing w:after="0" w:line="282" w:lineRule="auto"/>
        <w:tabs>
          <w:tab w:leader="none" w:pos="2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referral in writing summarizing the nature of the dispute by a party in the first instance to the decision of each party’s Program Manager;</w:t>
      </w:r>
    </w:p>
    <w:p>
      <w:pPr>
        <w:spacing w:after="0" w:line="161" w:lineRule="exact"/>
        <w:rPr>
          <w:rFonts w:ascii="Times New Roman" w:cs="Times New Roman" w:eastAsia="Times New Roman" w:hAnsi="Times New Roman"/>
          <w:sz w:val="18"/>
          <w:szCs w:val="18"/>
          <w:color w:val="auto"/>
        </w:rPr>
      </w:pPr>
    </w:p>
    <w:p>
      <w:pPr>
        <w:ind w:left="2120" w:hanging="654"/>
        <w:spacing w:after="0" w:line="282" w:lineRule="auto"/>
        <w:tabs>
          <w:tab w:leader="none" w:pos="2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dispute is not resolved within [***] of its referral to the Program Managers it shall be referred to the decision of Fujifilm’s Site Head and the Customer’s [SVP Biologics Operations]; and</w:t>
      </w:r>
    </w:p>
    <w:p>
      <w:pPr>
        <w:spacing w:after="0" w:line="161" w:lineRule="exact"/>
        <w:rPr>
          <w:rFonts w:ascii="Times New Roman" w:cs="Times New Roman" w:eastAsia="Times New Roman" w:hAnsi="Times New Roman"/>
          <w:sz w:val="18"/>
          <w:szCs w:val="18"/>
          <w:color w:val="auto"/>
        </w:rPr>
      </w:pPr>
    </w:p>
    <w:p>
      <w:pPr>
        <w:ind w:left="2120" w:right="20" w:hanging="654"/>
        <w:spacing w:after="0" w:line="282" w:lineRule="auto"/>
        <w:tabs>
          <w:tab w:leader="none" w:pos="2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dispute is not resolved within [***] of its referral to Fujifilm’s Site Head and the Customer’s SVP Biologics Operations it shall be referred to the decision of each party’s President or Chief Executive Officer (as applicable/appropriate).</w:t>
      </w:r>
    </w:p>
    <w:p>
      <w:pPr>
        <w:spacing w:after="0" w:line="158"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Arbitration: </w:t>
      </w:r>
      <w:r>
        <w:rPr>
          <w:rFonts w:ascii="Times New Roman" w:cs="Times New Roman" w:eastAsia="Times New Roman" w:hAnsi="Times New Roman"/>
          <w:sz w:val="18"/>
          <w:szCs w:val="18"/>
          <w:color w:val="auto"/>
        </w:rPr>
        <w:t>Any dispute, claim or controversy arising out of or relating to this Agreement or the breach, termination, enforcement, interpretation</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or validity thereof (including all issues or disputes regarding the existence, validity, scope or applicability of this agreement to arbitrate, the arbitrability of any claims, and the proper parties to the arbitration) shall be determined by confidential arbitration in New York under JAMS International Arbitration Rules before three arbitrators. Judgment on the award may be entered in any court having jurisdiction.</w:t>
      </w:r>
    </w:p>
    <w:p>
      <w:pPr>
        <w:spacing w:after="0" w:line="17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16.4</w:t>
      </w:r>
      <w:r>
        <w:rPr>
          <w:sz w:val="20"/>
          <w:szCs w:val="20"/>
          <w:color w:val="auto"/>
        </w:rPr>
        <w:tab/>
      </w:r>
      <w:r>
        <w:rPr>
          <w:rFonts w:ascii="Times New Roman" w:cs="Times New Roman" w:eastAsia="Times New Roman" w:hAnsi="Times New Roman"/>
          <w:sz w:val="18"/>
          <w:szCs w:val="18"/>
          <w:b w:val="1"/>
          <w:bCs w:val="1"/>
          <w:u w:val="single" w:color="auto"/>
          <w:color w:val="auto"/>
        </w:rPr>
        <w:t xml:space="preserve">General: </w:t>
      </w:r>
      <w:r>
        <w:rPr>
          <w:rFonts w:ascii="Times New Roman" w:cs="Times New Roman" w:eastAsia="Times New Roman" w:hAnsi="Times New Roman"/>
          <w:sz w:val="18"/>
          <w:szCs w:val="18"/>
          <w:color w:val="auto"/>
        </w:rPr>
        <w:t>Notwithstanding the provisions of this clause 16 any party may commence or take proceedings or seek remedies before the courts or any</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color w:val="auto"/>
        </w:rPr>
        <w:t>other competent authority for interim, interlocutory or injunctive remedies in relation to this Agreement.</w:t>
      </w:r>
    </w:p>
    <w:p>
      <w:pPr>
        <w:spacing w:after="0" w:line="155"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u w:val="single" w:color="auto"/>
          <w:color w:val="auto"/>
        </w:rPr>
        <w:t>Quality Audit:</w:t>
      </w:r>
    </w:p>
    <w:p>
      <w:pPr>
        <w:spacing w:after="0" w:line="22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17.1.1</w:t>
        <w:tab/>
        <w:t>The Customer may carry out quality audits at the times, and in accordance with the terms, set out in the Quality Agreement provided that access by the Customer and/or its representatives to records, information and systems shall be on a supervised basis, subject to the Customer complying with the security and confidentiality requirements of Fujifilm to protect information which relates to anything other than a Program and shall be limited to a maximum of two people for [***] [***] per annum.</w:t>
      </w:r>
    </w:p>
    <w:p>
      <w:pPr>
        <w:spacing w:after="0" w:line="180"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17.1.2</w:t>
        <w:tab/>
        <w:t>Audit access shall not be extended to Fujifilm’s confidential records, including details of financial transactions and contracts with third parties that relate to this Agreement.</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17.1.3</w:t>
        <w:tab/>
        <w:t>If Fujifilm is in material breach of clause 4.1.3 of this Agreement or if the Customer reasonably believes that Fujifilm is in material breach of clause 4.1.3 of this Agreement, the Customer may upon giving reasonable written notice to Fujifilm carry out an audit on the same basis as in clauses 17.1.1 and 17.1.2.</w:t>
      </w:r>
    </w:p>
    <w:p>
      <w:pPr>
        <w:spacing w:after="0" w:line="176"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17.1.4</w:t>
        <w:tab/>
        <w:t>Additional audits (other than those carried out pursuant to clause 17.1.3) may be carried out on the same basis as in clauses 17.1.1 and 17.1.2 subject to (i) payment of Fujifilm’s costs and expenses and the agreement of a commercial rate; and (ii) the Customer ensuring such audit will not delay or disrupt Fujifilm’s operations at the Facility.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23" w:name="page124"/>
    <w:bookmarkEnd w:id="123"/>
    <w:p>
      <w:pPr>
        <w:spacing w:after="0"/>
        <w:tabs>
          <w:tab w:leader="none" w:pos="640"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Financial evidence and assistance:</w:t>
      </w:r>
    </w:p>
    <w:p>
      <w:pPr>
        <w:spacing w:after="0" w:line="225" w:lineRule="exact"/>
        <w:rPr>
          <w:sz w:val="20"/>
          <w:szCs w:val="20"/>
          <w:color w:val="auto"/>
        </w:rPr>
      </w:pPr>
    </w:p>
    <w:p>
      <w:pPr>
        <w:jc w:val="both"/>
        <w:ind w:left="130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17.2.1</w:t>
        <w:tab/>
        <w:t>Together with each invoice issued by Fujifilm to the Customer hereunder, Fujifilm shall provide reasonably detailed documentation to validate the amounts included on each invoice which are subject to the true-up mechanism contemplated in Schedule 1. The Customer may request reasonable additional validating information provided that (i) the Customer shall not request evidence validating a given amount more than once and (ii) it is acknowledged that Fujifilm may not provide copies of vendor invoices because Fujifilm may be prevented from doing so by law (including by vendor confidentiality obligations) and/or those invoices may not accurately represent the amounts invoiced to the Customer because of Fujifilm’s use of SAP weighted average “actual cost”.</w:t>
      </w:r>
    </w:p>
    <w:p>
      <w:pPr>
        <w:spacing w:after="0" w:line="187"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17.2.2</w:t>
        <w:tab/>
        <w:t>Fujifilm will provide reasonable support to the Customer in the event that the Customer is audited by a third party and requires information to demonstrate proper payment of Fujifilm invoices under a SoW or PSA (as applicable).</w:t>
      </w:r>
    </w:p>
    <w:p>
      <w:pPr>
        <w:spacing w:after="0" w:line="158"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18.1</w:t>
      </w:r>
      <w:r>
        <w:rPr>
          <w:sz w:val="20"/>
          <w:szCs w:val="20"/>
          <w:color w:val="auto"/>
        </w:rPr>
        <w:tab/>
      </w:r>
      <w:r>
        <w:rPr>
          <w:rFonts w:ascii="Times New Roman" w:cs="Times New Roman" w:eastAsia="Times New Roman" w:hAnsi="Times New Roman"/>
          <w:sz w:val="18"/>
          <w:szCs w:val="18"/>
          <w:color w:val="auto"/>
        </w:rPr>
        <w:t>Subject to clause 18.2 the parties may communicate with each other in any way that is normal in the course of their business.</w:t>
      </w:r>
    </w:p>
    <w:p>
      <w:pPr>
        <w:spacing w:after="0" w:line="225"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18.2</w:t>
      </w:r>
      <w:r>
        <w:rPr>
          <w:sz w:val="20"/>
          <w:szCs w:val="20"/>
          <w:color w:val="auto"/>
        </w:rPr>
        <w:tab/>
      </w:r>
      <w:r>
        <w:rPr>
          <w:rFonts w:ascii="Times New Roman" w:cs="Times New Roman" w:eastAsia="Times New Roman" w:hAnsi="Times New Roman"/>
          <w:sz w:val="18"/>
          <w:szCs w:val="18"/>
          <w:color w:val="auto"/>
        </w:rPr>
        <w:t>Any notice given under clauses 3, 8, 9, 11, 12, 14, 15, 16, 17, 18.2, 19, 20 or 21 shall only be effective if it is in writing, sent to a party at its address or email address and for the attention of the individual, as set out in Schedule 3 (or such other address, email address or individual as that party may notify the other in accordance with this clause 18) and is given in accordance with clauses 18.2 to 18.4 below.</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18.3</w:t>
      </w:r>
      <w:r>
        <w:rPr>
          <w:sz w:val="20"/>
          <w:szCs w:val="20"/>
          <w:color w:val="auto"/>
        </w:rPr>
        <w:tab/>
      </w:r>
      <w:r>
        <w:rPr>
          <w:rFonts w:ascii="Times New Roman" w:cs="Times New Roman" w:eastAsia="Times New Roman" w:hAnsi="Times New Roman"/>
          <w:sz w:val="17"/>
          <w:szCs w:val="17"/>
          <w:color w:val="auto"/>
        </w:rPr>
        <w:t>Notice may be given by hand or sent by email, recorded delivery, registered post or airmail and will be deemed to have been duly served: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18.3.1</w:t>
      </w:r>
      <w:r>
        <w:rPr>
          <w:sz w:val="20"/>
          <w:szCs w:val="20"/>
          <w:color w:val="auto"/>
        </w:rPr>
        <w:tab/>
      </w:r>
      <w:r>
        <w:rPr>
          <w:rFonts w:ascii="Times New Roman" w:cs="Times New Roman" w:eastAsia="Times New Roman" w:hAnsi="Times New Roman"/>
          <w:sz w:val="17"/>
          <w:szCs w:val="17"/>
          <w:color w:val="auto"/>
        </w:rPr>
        <w:t>if delivered by hand, at the time and date of delivery;</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18.3.2</w:t>
      </w:r>
      <w:r>
        <w:rPr>
          <w:sz w:val="20"/>
          <w:szCs w:val="20"/>
          <w:color w:val="auto"/>
        </w:rPr>
        <w:tab/>
      </w:r>
      <w:r>
        <w:rPr>
          <w:rFonts w:ascii="Times New Roman" w:cs="Times New Roman" w:eastAsia="Times New Roman" w:hAnsi="Times New Roman"/>
          <w:sz w:val="17"/>
          <w:szCs w:val="17"/>
          <w:color w:val="auto"/>
        </w:rPr>
        <w:t>if sent by email, at the time and date of sending;</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18.3.3</w:t>
        <w:tab/>
        <w:t>if sent by recorded delivery or registered post, [***] ([***]) [***] from the date of posting (such date as evidenced by postal receipt); and</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18.3.4</w:t>
      </w:r>
      <w:r>
        <w:rPr>
          <w:sz w:val="20"/>
          <w:szCs w:val="20"/>
          <w:color w:val="auto"/>
        </w:rPr>
        <w:tab/>
      </w:r>
      <w:r>
        <w:rPr>
          <w:rFonts w:ascii="Times New Roman" w:cs="Times New Roman" w:eastAsia="Times New Roman" w:hAnsi="Times New Roman"/>
          <w:sz w:val="17"/>
          <w:szCs w:val="17"/>
          <w:color w:val="auto"/>
        </w:rPr>
        <w:t>if sent by registered airmail, five days from the date of posting,</w:t>
      </w:r>
    </w:p>
    <w:p>
      <w:pPr>
        <w:spacing w:after="0" w:line="25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provided that, where in the case of delivery by hand or transmission by email, such delivery or transmission occurs either after 4.00pm on a Business Day, or on a day other than a Business Day, service will be deemed to occur at 9.00am on the next Business Day.</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18.4</w:t>
      </w:r>
      <w:r>
        <w:rPr>
          <w:sz w:val="20"/>
          <w:szCs w:val="20"/>
          <w:color w:val="auto"/>
        </w:rPr>
        <w:tab/>
      </w:r>
      <w:r>
        <w:rPr>
          <w:rFonts w:ascii="Times New Roman" w:cs="Times New Roman" w:eastAsia="Times New Roman" w:hAnsi="Times New Roman"/>
          <w:sz w:val="18"/>
          <w:szCs w:val="18"/>
          <w:color w:val="auto"/>
        </w:rPr>
        <w:t>In proving service of a notice it will be sufficient to prove that delivery was made or that the envelope containing the notice or document was properly addressed and posted (either by prepaid first class recorded delivery post or by prepaid airmail, as the case may be) or that no failed delivery message was received, as the case may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4" w:name="page125"/>
    <w:bookmarkEnd w:id="124"/>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EXPORT/IMPORT CONTROLS AND SANCTIONS COMPLIANCE</w:t>
      </w:r>
    </w:p>
    <w:p>
      <w:pPr>
        <w:spacing w:after="0" w:line="229" w:lineRule="exact"/>
        <w:rPr>
          <w:sz w:val="20"/>
          <w:szCs w:val="20"/>
          <w:color w:val="auto"/>
        </w:rPr>
      </w:pPr>
    </w:p>
    <w:p>
      <w:pPr>
        <w:jc w:val="both"/>
        <w:ind w:left="660" w:right="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8"/>
          <w:szCs w:val="18"/>
          <w:color w:val="auto"/>
        </w:rPr>
        <w:t>The Customer shall at all times during the term of this Agreement comply with applicable Sanctions or Export/Import Laws and ensure that it has in place appropriate controls and safeguards to prevent any action being taken by it that would amount to or result in a violation of or non-compliance with any Sanctions or Export/Import Laws.</w:t>
      </w:r>
    </w:p>
    <w:p>
      <w:pPr>
        <w:spacing w:after="0" w:line="176" w:lineRule="exact"/>
        <w:rPr>
          <w:sz w:val="20"/>
          <w:szCs w:val="20"/>
          <w:color w:val="auto"/>
        </w:rPr>
      </w:pPr>
    </w:p>
    <w:p>
      <w:pPr>
        <w:jc w:val="both"/>
        <w:ind w:left="660" w:right="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19.2</w:t>
      </w:r>
      <w:r>
        <w:rPr>
          <w:sz w:val="20"/>
          <w:szCs w:val="20"/>
          <w:color w:val="auto"/>
        </w:rPr>
        <w:tab/>
      </w:r>
      <w:r>
        <w:rPr>
          <w:rFonts w:ascii="Times New Roman" w:cs="Times New Roman" w:eastAsia="Times New Roman" w:hAnsi="Times New Roman"/>
          <w:sz w:val="18"/>
          <w:szCs w:val="18"/>
          <w:color w:val="auto"/>
        </w:rPr>
        <w:t>The Customer shall provide all information that Fujifilm may reasonably require from time to time in order for Fujifilm to assess and/or manage its compliance with Sanctions and Export/Import Laws (including provision of end-user statements or applicable Authorizations and notifying Fujifilm of any restrictions or export compliance obligations prior to providing Fujifilm access to controlled information/technology).</w:t>
      </w:r>
    </w:p>
    <w:p>
      <w:pPr>
        <w:spacing w:after="0" w:line="176" w:lineRule="exact"/>
        <w:rPr>
          <w:sz w:val="20"/>
          <w:szCs w:val="20"/>
          <w:color w:val="auto"/>
        </w:rPr>
      </w:pPr>
    </w:p>
    <w:p>
      <w:pPr>
        <w:jc w:val="both"/>
        <w:ind w:left="660" w:right="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19.3</w:t>
      </w:r>
      <w:r>
        <w:rPr>
          <w:sz w:val="20"/>
          <w:szCs w:val="20"/>
          <w:color w:val="auto"/>
        </w:rPr>
        <w:tab/>
      </w:r>
      <w:r>
        <w:rPr>
          <w:rFonts w:ascii="Times New Roman" w:cs="Times New Roman" w:eastAsia="Times New Roman" w:hAnsi="Times New Roman"/>
          <w:sz w:val="18"/>
          <w:szCs w:val="18"/>
          <w:color w:val="auto"/>
        </w:rPr>
        <w:t>The Customer will not directly or indirectly use, sell, dispose of, (re)export, transship or otherwise transfer any Product, software, technology or Confidential Information: (i) unlawfully to any country in respect of which a Sanctions Authority maintains Sanctions or a Sanctioned Person; (ii) in a manner that would expose Fujifilm to the risk of negative consequences under Sanctions; or (iii) in violation of Export/Import Laws.</w:t>
      </w:r>
    </w:p>
    <w:p>
      <w:pPr>
        <w:spacing w:after="0" w:line="176" w:lineRule="exact"/>
        <w:rPr>
          <w:sz w:val="20"/>
          <w:szCs w:val="20"/>
          <w:color w:val="auto"/>
        </w:rPr>
      </w:pPr>
    </w:p>
    <w:p>
      <w:pPr>
        <w:jc w:val="both"/>
        <w:ind w:left="660" w:right="80" w:hanging="647"/>
        <w:spacing w:after="0" w:line="253" w:lineRule="auto"/>
        <w:tabs>
          <w:tab w:leader="none" w:pos="640" w:val="left"/>
        </w:tabs>
        <w:rPr>
          <w:sz w:val="20"/>
          <w:szCs w:val="20"/>
          <w:color w:val="auto"/>
        </w:rPr>
      </w:pPr>
      <w:r>
        <w:rPr>
          <w:rFonts w:ascii="Times New Roman" w:cs="Times New Roman" w:eastAsia="Times New Roman" w:hAnsi="Times New Roman"/>
          <w:sz w:val="18"/>
          <w:szCs w:val="18"/>
          <w:color w:val="auto"/>
        </w:rPr>
        <w:t>19.4</w:t>
      </w:r>
      <w:r>
        <w:rPr>
          <w:sz w:val="20"/>
          <w:szCs w:val="20"/>
          <w:color w:val="auto"/>
        </w:rPr>
        <w:tab/>
      </w:r>
      <w:r>
        <w:rPr>
          <w:rFonts w:ascii="Times New Roman" w:cs="Times New Roman" w:eastAsia="Times New Roman" w:hAnsi="Times New Roman"/>
          <w:sz w:val="18"/>
          <w:szCs w:val="18"/>
          <w:color w:val="auto"/>
        </w:rPr>
        <w:t>If any Authorization is required so that the performance of a Program does not contravene any Sanctions or Export/Import Laws, the Customer will at its own cost and expense obtain that Authorization and Fujifilm shall provide any commercially reasonable assistance (including reasonable information) that the Customer may require for the purposes of obtaining that Authorization. The Customer’s rights and Fujifilm’s obligations under this Agreement, any SoW or a PSA in relation to a Program shall immediately be suspended if any required Authorization is not obtained. In the event that the Customer’s rights and Fujifilm’s obligations are suspended for more than [***], a Program may be terminated immediately by Fujifilm giving written notice to the Customer. If Fujifilm terminates a Program under this clause 19.4 then the Customer shall pay the Charges that are due for the Fujifilm Services that have been performed during the Program and [***]% of the Program Cancellation Fee plus (i) any Charges owed in respect of Ancillary Services that have been performed, and (ii) such portion of any Charges that relate to any element of an unperformed Ancillary Service for which Fujifilm has already incurred or has committed to later incur under a non-cancellable order, unrecoverable costs and expenses.</w:t>
      </w:r>
    </w:p>
    <w:p>
      <w:pPr>
        <w:spacing w:after="0" w:line="194" w:lineRule="exact"/>
        <w:rPr>
          <w:sz w:val="20"/>
          <w:szCs w:val="20"/>
          <w:color w:val="auto"/>
        </w:rPr>
      </w:pPr>
    </w:p>
    <w:p>
      <w:pPr>
        <w:jc w:val="both"/>
        <w:ind w:left="660" w:right="8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19.5</w:t>
      </w:r>
      <w:r>
        <w:rPr>
          <w:sz w:val="20"/>
          <w:szCs w:val="20"/>
          <w:color w:val="auto"/>
        </w:rPr>
        <w:tab/>
      </w:r>
      <w:r>
        <w:rPr>
          <w:rFonts w:ascii="Times New Roman" w:cs="Times New Roman" w:eastAsia="Times New Roman" w:hAnsi="Times New Roman"/>
          <w:sz w:val="18"/>
          <w:szCs w:val="18"/>
          <w:color w:val="auto"/>
        </w:rPr>
        <w:t>The Customer shall Indemnify Fujifilm against any and all Liabilities which Fujifilm incurs as a result of the Customer’s non-compliance with the terms of this clause 19.</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19.6</w:t>
      </w:r>
      <w:r>
        <w:rPr>
          <w:sz w:val="20"/>
          <w:szCs w:val="20"/>
          <w:color w:val="auto"/>
        </w:rPr>
        <w:tab/>
      </w:r>
      <w:r>
        <w:rPr>
          <w:rFonts w:ascii="Times New Roman" w:cs="Times New Roman" w:eastAsia="Times New Roman" w:hAnsi="Times New Roman"/>
          <w:sz w:val="17"/>
          <w:szCs w:val="17"/>
          <w:color w:val="auto"/>
        </w:rPr>
        <w:t>In this clause 19 the following terms have the following meanings: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“Authorization”</w:t>
            </w:r>
          </w:p>
        </w:tc>
        <w:tc>
          <w:tcPr>
            <w:tcW w:w="8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all consents, licenses, authorisations, approvals, permissions, registrations, certificates and clearances and any</w:t>
            </w:r>
          </w:p>
        </w:tc>
      </w:tr>
      <w:tr>
        <w:trPr>
          <w:trHeight w:val="234"/>
        </w:trPr>
        <w:tc>
          <w:tcPr>
            <w:tcW w:w="2880" w:type="dxa"/>
            <w:vAlign w:val="bottom"/>
          </w:tcPr>
          <w:p>
            <w:pPr>
              <w:spacing w:after="0"/>
              <w:rPr>
                <w:sz w:val="20"/>
                <w:szCs w:val="20"/>
                <w:color w:val="auto"/>
              </w:rPr>
            </w:pPr>
          </w:p>
        </w:tc>
        <w:tc>
          <w:tcPr>
            <w:tcW w:w="8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precondition in any relevant jurisdiction;</w:t>
            </w:r>
          </w:p>
        </w:tc>
      </w:tr>
      <w:tr>
        <w:trPr>
          <w:trHeight w:val="414"/>
        </w:trPr>
        <w:tc>
          <w:tcPr>
            <w:tcW w:w="2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“Export/Import Laws”</w:t>
            </w:r>
          </w:p>
        </w:tc>
        <w:tc>
          <w:tcPr>
            <w:tcW w:w="8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 any laws of the United States of America, the United Kingdom, the European Union or of any of its</w:t>
            </w:r>
          </w:p>
        </w:tc>
      </w:tr>
      <w:tr>
        <w:trPr>
          <w:trHeight w:val="216"/>
        </w:trPr>
        <w:tc>
          <w:tcPr>
            <w:tcW w:w="2880" w:type="dxa"/>
            <w:vAlign w:val="bottom"/>
          </w:tcPr>
          <w:p>
            <w:pPr>
              <w:spacing w:after="0"/>
              <w:rPr>
                <w:sz w:val="18"/>
                <w:szCs w:val="18"/>
                <w:color w:val="auto"/>
              </w:rPr>
            </w:pPr>
          </w:p>
        </w:tc>
        <w:tc>
          <w:tcPr>
            <w:tcW w:w="8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Member States or Japan that relate to the control of (re)export, transfer or import of Products, software or</w:t>
            </w:r>
          </w:p>
        </w:tc>
      </w:tr>
      <w:tr>
        <w:trPr>
          <w:trHeight w:val="216"/>
        </w:trPr>
        <w:tc>
          <w:tcPr>
            <w:tcW w:w="2880" w:type="dxa"/>
            <w:vAlign w:val="bottom"/>
          </w:tcPr>
          <w:p>
            <w:pPr>
              <w:spacing w:after="0"/>
              <w:rPr>
                <w:sz w:val="18"/>
                <w:szCs w:val="18"/>
                <w:color w:val="auto"/>
              </w:rPr>
            </w:pPr>
          </w:p>
        </w:tc>
        <w:tc>
          <w:tcPr>
            <w:tcW w:w="8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technology and technical data; or (b) any other (re)export, transfer or import controls or restrictions imposed</w:t>
            </w:r>
          </w:p>
        </w:tc>
      </w:tr>
      <w:tr>
        <w:trPr>
          <w:trHeight w:val="216"/>
        </w:trPr>
        <w:tc>
          <w:tcPr>
            <w:tcW w:w="2880" w:type="dxa"/>
            <w:vAlign w:val="bottom"/>
          </w:tcPr>
          <w:p>
            <w:pPr>
              <w:spacing w:after="0"/>
              <w:rPr>
                <w:sz w:val="18"/>
                <w:szCs w:val="18"/>
                <w:color w:val="auto"/>
              </w:rPr>
            </w:pPr>
          </w:p>
        </w:tc>
        <w:tc>
          <w:tcPr>
            <w:tcW w:w="8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or adopted by any government, state or regulatory authority in a country in which obligations under this</w:t>
            </w:r>
          </w:p>
        </w:tc>
      </w:tr>
      <w:tr>
        <w:trPr>
          <w:trHeight w:val="234"/>
        </w:trPr>
        <w:tc>
          <w:tcPr>
            <w:tcW w:w="2880" w:type="dxa"/>
            <w:vAlign w:val="bottom"/>
          </w:tcPr>
          <w:p>
            <w:pPr>
              <w:spacing w:after="0"/>
              <w:rPr>
                <w:sz w:val="20"/>
                <w:szCs w:val="20"/>
                <w:color w:val="auto"/>
              </w:rPr>
            </w:pPr>
          </w:p>
        </w:tc>
        <w:tc>
          <w:tcPr>
            <w:tcW w:w="84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Agreement are to be performed;</w:t>
            </w:r>
          </w:p>
        </w:tc>
      </w:tr>
      <w:tr>
        <w:trPr>
          <w:trHeight w:val="432"/>
        </w:trPr>
        <w:tc>
          <w:tcPr>
            <w:tcW w:w="2880" w:type="dxa"/>
            <w:vAlign w:val="bottom"/>
          </w:tcPr>
          <w:p>
            <w:pPr>
              <w:spacing w:after="0"/>
              <w:rPr>
                <w:sz w:val="24"/>
                <w:szCs w:val="24"/>
                <w:color w:val="auto"/>
              </w:rPr>
            </w:pPr>
          </w:p>
        </w:tc>
        <w:tc>
          <w:tcPr>
            <w:tcW w:w="836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4"/>
                <w:szCs w:val="24"/>
                <w:color w:val="auto"/>
              </w:rPr>
            </w:pPr>
          </w:p>
        </w:tc>
      </w:tr>
      <w:tr>
        <w:trPr>
          <w:trHeight w:val="115"/>
        </w:trPr>
        <w:tc>
          <w:tcPr>
            <w:tcW w:w="2880" w:type="dxa"/>
            <w:vAlign w:val="bottom"/>
            <w:tcBorders>
              <w:bottom w:val="single" w:sz="8" w:color="auto"/>
            </w:tcBorders>
          </w:tcPr>
          <w:p>
            <w:pPr>
              <w:spacing w:after="0"/>
              <w:rPr>
                <w:sz w:val="10"/>
                <w:szCs w:val="10"/>
                <w:color w:val="auto"/>
              </w:rPr>
            </w:pPr>
          </w:p>
        </w:tc>
        <w:tc>
          <w:tcPr>
            <w:tcW w:w="8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ectPr>
          <w:pgSz w:w="11900" w:h="16838" w:orient="portrait"/>
          <w:cols w:equalWidth="0" w:num="1">
            <w:col w:w="11320"/>
          </w:cols>
          <w:pgMar w:left="320" w:top="576" w:right="25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7"/>
          <w:szCs w:val="17"/>
          <w:b w:val="1"/>
          <w:bCs w:val="1"/>
          <w:color w:val="auto"/>
        </w:rPr>
        <w:t>“Sanctions”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any economic, financial, trade or other sanction, embargo, import or export ban, prohibition on transfer of funds or assets or on performing services or equivalent measure imposed by any Sanctions Authority or by the laws of any state or any union of states from time to time;</w:t>
      </w:r>
    </w:p>
    <w:p>
      <w:pPr>
        <w:spacing w:after="0" w:line="172" w:lineRule="exact"/>
        <w:rPr>
          <w:sz w:val="20"/>
          <w:szCs w:val="20"/>
          <w:color w:val="auto"/>
        </w:rPr>
      </w:pPr>
    </w:p>
    <w:p>
      <w:pPr>
        <w:sectPr>
          <w:pgSz w:w="11900" w:h="16838" w:orient="portrait"/>
          <w:cols w:equalWidth="0" w:num="2">
            <w:col w:w="2600" w:space="720"/>
            <w:col w:w="8000"/>
          </w:cols>
          <w:pgMar w:left="320" w:top="576" w:right="259" w:bottom="1440" w:gutter="0" w:footer="0" w:header="0"/>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“Sanctions Authority”</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Times New Roman" w:cs="Times New Roman" w:eastAsia="Times New Roman" w:hAnsi="Times New Roman"/>
          <w:sz w:val="18"/>
          <w:szCs w:val="18"/>
          <w:color w:val="auto"/>
        </w:rPr>
        <w:t>means (a) the Security Council of the United Nations, (b) the Organization for Security and Co-operation in Europe (c) the United Kingdom, (d) the European Union, (e) any Member State of the European Union, (f) the United States of America, (g) Japan (h) the governments and official institutions or agencies of any of paragraphs (a) to (h) above and (i) any other regulatory body imposing or enforcing sanctions legislation in any country or territory from which or into which the Customer is exporting or importing; and</w:t>
      </w:r>
    </w:p>
    <w:p>
      <w:pPr>
        <w:spacing w:after="0" w:line="179" w:lineRule="exact"/>
        <w:rPr>
          <w:sz w:val="20"/>
          <w:szCs w:val="20"/>
          <w:color w:val="auto"/>
        </w:rPr>
      </w:pPr>
    </w:p>
    <w:p>
      <w:pPr>
        <w:sectPr>
          <w:pgSz w:w="11900" w:h="16838" w:orient="portrait"/>
          <w:cols w:equalWidth="0" w:num="2">
            <w:col w:w="2600" w:space="720"/>
            <w:col w:w="8000"/>
          </w:cols>
          <w:pgMar w:left="320" w:top="576" w:right="2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b w:val="1"/>
          <w:bCs w:val="1"/>
          <w:color w:val="auto"/>
        </w:rPr>
        <w:t>“Sanctioned Person”</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any person who appears on or is owned, operated or controlled by any person who appears on any list issued or maintained by any Sanctions Authority or is referred to in any list or public announcement issued by any Sanctions Authority, in each case as amended, supplemented or substituted from time to time.</w:t>
      </w:r>
    </w:p>
    <w:p>
      <w:pPr>
        <w:spacing w:after="0" w:line="172" w:lineRule="exact"/>
        <w:rPr>
          <w:sz w:val="20"/>
          <w:szCs w:val="20"/>
          <w:color w:val="auto"/>
        </w:rPr>
      </w:pPr>
    </w:p>
    <w:p>
      <w:pPr>
        <w:sectPr>
          <w:pgSz w:w="11900" w:h="16838" w:orient="portrait"/>
          <w:cols w:equalWidth="0" w:num="2">
            <w:col w:w="2600" w:space="720"/>
            <w:col w:w="8000"/>
          </w:cols>
          <w:pgMar w:left="320" w:top="576" w:right="259" w:bottom="1440" w:gutter="0" w:footer="0" w:header="0"/>
          <w:type w:val="continuous"/>
        </w:sect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MODERN SLAVERY AND CORRUPTION</w:t>
      </w:r>
    </w:p>
    <w:p>
      <w:pPr>
        <w:spacing w:after="0" w:line="229" w:lineRule="exact"/>
        <w:rPr>
          <w:sz w:val="20"/>
          <w:szCs w:val="20"/>
          <w:color w:val="auto"/>
        </w:rPr>
      </w:pPr>
    </w:p>
    <w:p>
      <w:pPr>
        <w:jc w:val="both"/>
        <w:ind w:left="660" w:right="8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8"/>
          <w:szCs w:val="18"/>
          <w:color w:val="auto"/>
        </w:rPr>
        <w:t>Each party shall endeavour to hold itself and its suppliers to the highest performance, ethical and compliance standards, including basic human rights, not engaging in any activity, practice or conduct which would constitute an offence under anti-slavery legislation in the United Kingdom, the U.S.A or Denmark, encouraging fair and equal treatment for all persons, the provision of safe and healthy working conditions, respect for the environment, the adoption of appropriate management systems and the conduct of business in an ethical manner. In performing its duties under this Agreement, each party acknowledges the value and importance of performance and ethical behaviour in its performance under this Agreement.</w:t>
      </w:r>
    </w:p>
    <w:p>
      <w:pPr>
        <w:spacing w:after="0" w:line="187" w:lineRule="exact"/>
        <w:rPr>
          <w:sz w:val="20"/>
          <w:szCs w:val="20"/>
          <w:color w:val="auto"/>
        </w:rPr>
      </w:pPr>
    </w:p>
    <w:p>
      <w:pPr>
        <w:jc w:val="both"/>
        <w:ind w:left="660" w:right="8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20.2</w:t>
      </w:r>
      <w:r>
        <w:rPr>
          <w:sz w:val="20"/>
          <w:szCs w:val="20"/>
          <w:color w:val="auto"/>
        </w:rPr>
        <w:tab/>
      </w:r>
      <w:r>
        <w:rPr>
          <w:rFonts w:ascii="Times New Roman" w:cs="Times New Roman" w:eastAsia="Times New Roman" w:hAnsi="Times New Roman"/>
          <w:sz w:val="18"/>
          <w:szCs w:val="18"/>
          <w:color w:val="auto"/>
        </w:rPr>
        <w:t>Each party warrants that on the Effective Date, each SoW Effective Date and each PSA Effective Date, it, its directors, officers or employees have not offered, promised, given, authorized, solicited or accepted any undue pecuniary or other advantage of any kind (or implied that they will or might do any such thing at any time in the future) in any way connected with this Agreement, a SoW or a PSA and that it has taken reasonable measures to prevent subcontractors, agents or other third parties, subject to its control or determining influence, from doing so.</w:t>
      </w:r>
    </w:p>
    <w:p>
      <w:pPr>
        <w:spacing w:after="0" w:line="180" w:lineRule="exact"/>
        <w:rPr>
          <w:sz w:val="20"/>
          <w:szCs w:val="20"/>
          <w:color w:val="auto"/>
        </w:rPr>
      </w:pPr>
    </w:p>
    <w:p>
      <w:pPr>
        <w:jc w:val="both"/>
        <w:ind w:left="660" w:right="8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20.3</w:t>
      </w:r>
      <w:r>
        <w:rPr>
          <w:sz w:val="20"/>
          <w:szCs w:val="20"/>
          <w:color w:val="auto"/>
        </w:rPr>
        <w:tab/>
      </w:r>
      <w:r>
        <w:rPr>
          <w:rFonts w:ascii="Times New Roman" w:cs="Times New Roman" w:eastAsia="Times New Roman" w:hAnsi="Times New Roman"/>
          <w:sz w:val="18"/>
          <w:szCs w:val="18"/>
          <w:color w:val="auto"/>
        </w:rPr>
        <w:t>The parties agree that, at all times in connection with and throughout the term of this Agreement, they will comply with and that they will take reasonable measures to ensure that their subcontractors, agents or other third parties will comply with all applicable anti-corruption legislation including the Bribery Act 2010, the Foreign Corrupt Practices Act 1977.</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576" w:right="259" w:bottom="1440" w:gutter="0" w:footer="0" w:header="0"/>
          <w:type w:val="continuous"/>
        </w:sectPr>
      </w:pPr>
    </w:p>
    <w:bookmarkStart w:id="126" w:name="page127"/>
    <w:bookmarkEnd w:id="126"/>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Each party shall not do, or omit to do, any act that would cause one of the other parties to be in breach of any anti-corruption legislation including the Bribery Act 2010, the Foreign Corrupt Practices Act 1977.</w:t>
      </w:r>
    </w:p>
    <w:p>
      <w:pPr>
        <w:spacing w:after="0" w:line="158"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AND SUB-CONTRACTING</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Either party may assign or transfer all of its rights and responsibilities under this Agreement to: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21.1.1</w:t>
      </w:r>
      <w:r>
        <w:rPr>
          <w:sz w:val="20"/>
          <w:szCs w:val="20"/>
          <w:color w:val="auto"/>
        </w:rPr>
        <w:tab/>
      </w:r>
      <w:r>
        <w:rPr>
          <w:rFonts w:ascii="Times New Roman" w:cs="Times New Roman" w:eastAsia="Times New Roman" w:hAnsi="Times New Roman"/>
          <w:sz w:val="17"/>
          <w:szCs w:val="17"/>
          <w:color w:val="auto"/>
        </w:rPr>
        <w:t>an Affiliate, provided that such Affiliate has reasonable financial creditworthiness; or</w:t>
      </w:r>
    </w:p>
    <w:p>
      <w:pPr>
        <w:spacing w:after="0" w:line="25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21.1.2</w:t>
        <w:tab/>
        <w:t>a purchaser of all or substantially all of the equity of the assigning party provided that such third party has reasonable financial creditworthiness and, in the case of assignment by Customer, is not a Competitor; or</w:t>
      </w:r>
    </w:p>
    <w:p>
      <w:pPr>
        <w:spacing w:after="0" w:line="162"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21.1.3</w:t>
        <w:tab/>
        <w:t>a purchaser of all or substantially all of assets to which this Agreement relates provided that such third party has reasonable financial creditworthiness and, in the case of assignment by Customer, is not a Competitor; or</w:t>
      </w:r>
    </w:p>
    <w:p>
      <w:pPr>
        <w:spacing w:after="0" w:line="16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21.1.4</w:t>
        <w:tab/>
        <w:t>an exclusive licensee of the Product provided that (i) provided that such third party has reasonable financial creditworthiness in the case of assignment by Customer, is not a Competitor and (ii) that the Customer no longer requires services from Fujifilm under this Agreement,</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but not otherwise without written consent of the other party (such consent not to be unreasonably withheld or delayed) and provided that (a) the assignee agrees in writing to assume all obligations undertaken by its assignor in this Agreement and (b) in relation to assignment in part no such assignment shall relieve the assigning party of responsibility for the performance of any of its obligations under this Agreement.</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If a party assigns or transfers all or any of its rights and responsibilities under clause 21.1 it shall immediately notify the other parties in writing.</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Fujifilm may sub-contract all or any of its obligations under this Agreement provided that in relation to any subcontract manufacture, processing or handling of Product, Fujifilm will obtain the Customer’s written consent (which may be by signature of the relevant SoW(s) or PSA(s) which specify that an obligation will be sub-contracted). Notwithstanding the foregoing, Fujifilm may utilize on-site third party personnel, such as temporary employees, contractors and consultants, to perform Fujifilm Services without obtaining the prior consent of the Customer.</w:t>
      </w:r>
    </w:p>
    <w:p>
      <w:pPr>
        <w:spacing w:after="0" w:line="180"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8"/>
          <w:szCs w:val="18"/>
          <w:color w:val="auto"/>
        </w:rPr>
        <w:t>The appointment of any subcontractor shall not relieve the party sub-contracting from any liability or obligation under this Agreement and the party sub-contracting shall be responsible for all acts and omissions of the subcontractor to the same extent as if they were its own acts or omissions.</w:t>
      </w:r>
    </w:p>
    <w:p>
      <w:pPr>
        <w:spacing w:after="0" w:line="172"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22.1</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Historic Documents contain all the terms which the parties have agreed with respect to their subject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matter and supersede all previous agreements and understandings between the parties (whether oral or in writing) relating to such subject matter. Each party acknowledges and agrees that it has not been induced to enter into this Agreement by a statement or promise which it does not contain. Each party confirms that save as otherwise expressly set out in this Agreement and the Historic Documents, the other party gives no warranties either in this Agreement or elsewhere in connection with the provision of each Program. Nothing in this clause 22.1 shall exclude or limit a party’s liability for fraud, including fraudulent misrepresentation.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7" w:name="page128"/>
    <w:bookmarkEnd w:id="127"/>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8"/>
          <w:szCs w:val="18"/>
          <w:u w:val="single" w:color="auto"/>
          <w:color w:val="auto"/>
        </w:rPr>
        <w:t>Third party rights</w:t>
      </w:r>
      <w:r>
        <w:rPr>
          <w:rFonts w:ascii="Times New Roman" w:cs="Times New Roman" w:eastAsia="Times New Roman" w:hAnsi="Times New Roman"/>
          <w:sz w:val="18"/>
          <w:szCs w:val="18"/>
          <w:color w:val="auto"/>
        </w:rPr>
        <w:t>: Save as expressly set out in this Agreement, the parties do not intend that any person who is not a party to this Agreement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have any right to enjoy the benefit or enforce any of the terms of this Agreement.</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8"/>
          <w:szCs w:val="18"/>
          <w:u w:val="single" w:color="auto"/>
          <w:color w:val="auto"/>
        </w:rPr>
        <w:t>Variations</w:t>
      </w:r>
      <w:r>
        <w:rPr>
          <w:rFonts w:ascii="Times New Roman" w:cs="Times New Roman" w:eastAsia="Times New Roman" w:hAnsi="Times New Roman"/>
          <w:sz w:val="18"/>
          <w:szCs w:val="18"/>
          <w:color w:val="auto"/>
        </w:rPr>
        <w:t>: With the exception of Changes, which shall be subject to clause 13, no variation of this Agreement shall be valid unless in writing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signed by a duly authorized representative of each of the parties. A party is entitled assume that a representative of another party is authorized to act on that party’s behalf if that individual is apparently or seemingly acting in the normal course of the business relationship. An exchange of emails shall not be capable of constituting an agreement to vary this Agreement.</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failure or delay by a party to exercise any right or remedy provided under this Agreement or by law shall constitute a waiver of that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other right or remedy, nor shall it preclude or restrict the further exercise of that or any other right or remedy. The single or partial exercise by any party of any right, power or remedy under this Agreement shall not in any circumstances preclude any other or further exercise of it, or the exercise of any right, power or remedy. A waiver by any party of a breach of any provision of this Agreement shall not be considered as a waiver of a subsequent breach of the same or any other provision of this Agreement.</w:t>
      </w:r>
    </w:p>
    <w:p>
      <w:pPr>
        <w:spacing w:after="0" w:line="183"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a SoW or a PSA is found by any court or administrative body of competent jurisdiction to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invalid, illegal or unenforceable in any jurisdiction then it shall be deemed modified to the minimum extent necessary to make it valid, legal and enforceable. If such modification is not possible that provision shall be deemed to be omitted from this Agreement, the SoW or the PSA (as applicable) in so far as this Agreement, that SoW or that PSA relates to that jurisdiction and the validity and enforceability of that provision in other jurisdictions and the other provisions of this Agreement, SoW or PSA shall not be affected or impaired.</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22.6.1</w:t>
        <w:tab/>
        <w:t>This Agreement may be executed in any number of counterparts. Any party may enter into this Agreement by executing a counterpart and all the counterparts taken together will constitute one and the same agreement. This Agreement shall not be effective until each party has signed one counterpart.</w:t>
      </w:r>
    </w:p>
    <w:p>
      <w:pPr>
        <w:spacing w:after="0" w:line="17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22.6.2</w:t>
        <w:tab/>
        <w:t>Transmission of an executed counterpart of this Agreement (but for the avoidance of doubt not just a signature page) by email (in PDF, JPEG or other agreed format) shall take effect as delivery of an executed counterpart of this Agreement. If this method of delivery is adopted, without prejudice to the validity of the Agreement so made, each party shall provide the others with the original of such counterpart as soon as reasonably possible thereafter.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8" w:name="page129"/>
    <w:bookmarkEnd w:id="128"/>
    <w:p>
      <w:pPr>
        <w:jc w:val="both"/>
        <w:ind w:left="660" w:hanging="647"/>
        <w:spacing w:after="0" w:line="254" w:lineRule="auto"/>
        <w:tabs>
          <w:tab w:leader="none" w:pos="64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parties anticipate that there may be opportunities for joint or independent press releases or other announcements relating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activities contemplated hereby. Notwithstanding the foregoing, no party shall use the name of the other party(ies) or the names of the employees of the other party(ies) nor disclose the terms of this Agreement, any SoW or any PSA in any press releases, advertising, or sales promotional material or in any publication without prior written permission of such party(ies). Such consent shall not be unreasonably withheld. This provision shall not restrict a party’s ability to use the other parties names and to disclose the terms of this Agreement, any SoW or any PSA to the extent, in the reasonable opinion of such party’s legal counsel, required by law or by the requirements of any nationally recognized securities exchange, quotation system or over-the-counter market on which such party has its securities listed or traded. In the event that such disclosure is required as aforesaid, the disclosing party shall make reasonable efforts to provide the other parties with advance notice and to coordinate reasonably with the other parties with respect to the wording and timing of any such disclosure, subject to the requirements of such securities laws.</w:t>
      </w:r>
    </w:p>
    <w:p>
      <w:pPr>
        <w:spacing w:after="0" w:line="184"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color w:val="auto"/>
        </w:rPr>
        <w:t>The formation, existence, construction, performance, validity and all aspects whatsoever of this Agreement or any term of it and any issues, disputes or claims arising out of or in connection with it (whether contractual or non-contractual in nature) shall be governed by, and construed in accordance with the State Law of Delaware, and subject to clause 16 the parties irrevocably submit to the jurisdiction of the courts of Delaware.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 WITNESS </w:t>
      </w:r>
      <w:r>
        <w:rPr>
          <w:rFonts w:ascii="Times New Roman" w:cs="Times New Roman" w:eastAsia="Times New Roman" w:hAnsi="Times New Roman"/>
          <w:sz w:val="18"/>
          <w:szCs w:val="18"/>
          <w:color w:val="auto"/>
        </w:rPr>
        <w:t>of the above the parties have signed this Agreement on the dates set out next to their signature.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9" w:name="page130"/>
    <w:bookmarkEnd w:id="129"/>
    <w:p>
      <w:pPr>
        <w:jc w:val="center"/>
        <w:ind w:right="160"/>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Schedule 1</w:t>
        <w:tab/>
        <w:t>Charges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calculation of Charges for Fujifilm Services differs whether the Fujifilm Services are R&amp;D Services (details of which are contained in Part 1 of this Schedule 1) or Commercial Manufacturing Services (details of which are contained in Part 2 of this Schedule 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OF SCHEDULE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CHARGES IN RESPECT OF R&amp;D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Customer will pay to Fujifilm the Charges for the R&amp;D Services in accordance with the Scope of Work and clause 8 (the R&amp;D Services being the services to be performed by Fujifilm that are described in the relevant Scope of Work that are not Ancillary Services).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Customer will also pay Ancillary Charges to Fujifilm in consideration of the research and development and technical consultancy services in relation to the procurement, testing and management of Consumables; Subcontracted Work (including delivery of material to and from such subcontractors); Process-Specific Equipment (including installation, qualification and maintenance thereof); Modifications; Special Waste; and delivery to Fujifilm’s subcontractors and to the Customer (including packaging, insurance, export clearance and transport of Materials) (the “</w:t>
      </w:r>
      <w:r>
        <w:rPr>
          <w:rFonts w:ascii="Times New Roman" w:cs="Times New Roman" w:eastAsia="Times New Roman" w:hAnsi="Times New Roman"/>
          <w:sz w:val="18"/>
          <w:szCs w:val="18"/>
          <w:b w:val="1"/>
          <w:bCs w:val="1"/>
          <w:color w:val="auto"/>
        </w:rPr>
        <w:t>Ancillary Services</w:t>
      </w:r>
      <w:r>
        <w:rPr>
          <w:rFonts w:ascii="Times New Roman" w:cs="Times New Roman" w:eastAsia="Times New Roman" w:hAnsi="Times New Roman"/>
          <w:sz w:val="18"/>
          <w:szCs w:val="18"/>
          <w:color w:val="auto"/>
        </w:rPr>
        <w:t>”) as calculated in accordance with this Schedule 1.</w:t>
      </w:r>
    </w:p>
    <w:p>
      <w:pPr>
        <w:spacing w:after="0" w:line="179" w:lineRule="exact"/>
        <w:rPr>
          <w:sz w:val="20"/>
          <w:szCs w:val="20"/>
          <w:color w:val="auto"/>
        </w:rPr>
      </w:pPr>
    </w:p>
    <w:p>
      <w:pPr>
        <w:ind w:left="660" w:hanging="652"/>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Charges for Consumables in Non-Manufacturing Stage and Manufacturing Stage</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At the time set out in the Scope of Work, or in the course of a Program as mutually agreed in writing by the parties, the Customer shall pay to Fujifilm an amount in advance in consideration of the Ancillary Services relating to the purchase of Consumables intended to be used during the applicable Non-Manufacturing Stages and manufacturing stages. This will be an amount based upon an estimation of the sums required to purchase Consumables based upon Fujifilm’s historical data from previous manufactures at the applicable scale of production plus [***] of such sums (the “</w:t>
      </w:r>
      <w:r>
        <w:rPr>
          <w:rFonts w:ascii="Times New Roman" w:cs="Times New Roman" w:eastAsia="Times New Roman" w:hAnsi="Times New Roman"/>
          <w:sz w:val="18"/>
          <w:szCs w:val="18"/>
          <w:b w:val="1"/>
          <w:bCs w:val="1"/>
          <w:color w:val="auto"/>
        </w:rPr>
        <w:t>Consumables Advance Payment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On completion of each applicable Non-Manufacturing Stage or manufacturing stage, Fujifilm shall calculate the expenditure incurred in respect of Consumables procured for use during such Non-Manufacturing Stage or manufacturing stage and shall add a sum equivalent to [***] of all such expenditure on to such sum, the aggregate amount being referred to as “</w:t>
      </w:r>
      <w:r>
        <w:rPr>
          <w:rFonts w:ascii="Times New Roman" w:cs="Times New Roman" w:eastAsia="Times New Roman" w:hAnsi="Times New Roman"/>
          <w:sz w:val="18"/>
          <w:szCs w:val="18"/>
          <w:b w:val="1"/>
          <w:bCs w:val="1"/>
          <w:color w:val="auto"/>
        </w:rPr>
        <w:t>Actual Production Expenditure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If the Actual Production Expenditure is greater than the Consumables Advance Payment plus any other amounts paid under paragraph 1.4, Fujifilm shall issue a further invoice for the Ancillary Services in relation to the Consumables for a sum equivalent to the difference on a [***] basis. If the Actual Production Expenditure is less than the Consumables Advance Payment, upon reconciliation, Fujifilm shall issue a credit note against the earlier invoice for a sum equivalent to the difference to be applied to the Charges for the following Stage (if there is one).</w:t>
      </w:r>
    </w:p>
    <w:p>
      <w:pPr>
        <w:spacing w:after="0" w:line="180" w:lineRule="exact"/>
        <w:rPr>
          <w:sz w:val="20"/>
          <w:szCs w:val="20"/>
          <w:color w:val="auto"/>
        </w:rPr>
      </w:pPr>
    </w:p>
    <w:p>
      <w:pPr>
        <w:jc w:val="both"/>
        <w:ind w:left="660" w:right="2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Each [***], Fujifilm may issue an invoice to the Customer in relation to the Ancillary Services regarding any Consumables used during or procured for use in any Stage during the previous [***] (or if longer, since the last invoice under this paragraph 1.4 was issued) in amounts which are not covered by the Consumables Advance Payment equivalent to the expenditure on such additional Consumables during the previous [***] plus an amount equal to [***] of such expenditure.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0" w:name="page131"/>
    <w:bookmarkEnd w:id="130"/>
    <w:p>
      <w:pPr>
        <w:ind w:left="660" w:hanging="652"/>
        <w:spacing w:after="0" w:line="28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Additional Charges in Respect of Subcontracted Work, Process-Specific Equipment, Modifications, Special Waste and delivery of Materials</w:t>
      </w:r>
    </w:p>
    <w:p>
      <w:pPr>
        <w:spacing w:after="0" w:line="15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Fujifilm shall invoice the Customer for the Ancillary Services relating to the Subcontracted Work, Process-Specific Equipment, Modifications, disposal of Special Waste and delivery of Materials as the case may be in the same amount as the expenditure which Fujifilm incurs in respect of such Ancillary Services plus a sum equivalent to [***] of such expenditure.</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Fujifilm shall issue invoices for such Ancillary Services either at the time Fujifilm incurs expenditure in respect of the Subcontracted Work, Process-Specific Equipment, Modifications, disposal of Special Waste and/or delivery of Materials or as set out in the relevant SoW as the case may be.</w:t>
      </w:r>
    </w:p>
    <w:p>
      <w:pPr>
        <w:spacing w:after="0" w:line="172" w:lineRule="exact"/>
        <w:rPr>
          <w:sz w:val="20"/>
          <w:szCs w:val="20"/>
          <w:color w:val="auto"/>
        </w:rPr>
      </w:pPr>
    </w:p>
    <w:p>
      <w:pPr>
        <w:ind w:left="660" w:hanging="652"/>
        <w:spacing w:after="0" w:line="286"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Purchase of Process-Specific Consumables and Process-Specific Equipment by the Customer on completion of the relevant Stage or termination</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Subject to:</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color w:val="auto"/>
        </w:rPr>
        <w:t>clause 10.3;</w:t>
      </w:r>
    </w:p>
    <w:p>
      <w:pPr>
        <w:spacing w:after="0" w:line="252"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3.1.2</w:t>
        <w:tab/>
        <w:t>the manufacturer’s consent and requirements (if applicable) and subject to the Customer’s warranty that it will purchase a direct license of any relevant firmware/software required to operate the Process-Specific Equipment;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3.1.3</w:t>
        <w:tab/>
        <w:t>and the payment of all relevant Charges,</w:t>
      </w:r>
    </w:p>
    <w:p>
      <w:pPr>
        <w:spacing w:after="0" w:line="25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Customer shall have an option to purchase from Fujifilm such Process-Specific Equipment and/or Process-Specific Consumables purchased by Fujifilm under paragraphs 1 and 2 of this Schedule 1 as remain following completion of the relevant Stage for which such Process-Specific Equipment and/or Process-Specific Consumables were purchased for consideration of [***] payable, if the work is performed in the USA respectively, at the time of such sale.</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option in paragraph 3.1 shall be exercised within [***] following completion of the relevant Stage under which such Process-Specific Equipment and/or Process-Specific Consumables were purchased or termination of this Agreement, (whichever occurs first).</w:t>
      </w:r>
    </w:p>
    <w:p>
      <w:pPr>
        <w:spacing w:after="0" w:line="16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Customer shall be responsible for any cost and expense associated with removal/delivery of such Process-Specific Equipment and/or Process-Specific Consumables and documenting such sale. Such Process-Specific Equipment and/or Process-Specific Consumables shall be delivered Ex Works the Facility (Incoterms 2020). Risk in and title to such Process-Specific Equipment and/or Process-Specific Consumables shall pass on delivery.</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Fujifilm shall be free to use or destroy (at the Customer’s cost) any item(s) of Process-Specific Equipment or Process-Specific Consumables in respect of which the option referred to in this paragraph 3 is not exercised or for which their assigned expiry date has passed.</w:t>
      </w:r>
    </w:p>
    <w:p>
      <w:pPr>
        <w:spacing w:after="0" w:line="158"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Product Samples, Cell Banks and other materials on completion or termination</w:t>
      </w:r>
    </w:p>
    <w:p>
      <w:pPr>
        <w:spacing w:after="0" w:line="229"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8"/>
          <w:szCs w:val="18"/>
          <w:color w:val="auto"/>
        </w:rPr>
        <w:t>4.1     Prior to completion of the R&amp;D Services element of a Program, the Customer shall notify Fujifilm what (if any) samples and/or cell banks used during the Program the Customer wishes Fujifilm to deliver to the Customer and, subject to clause 10.3, delivery of those samples/cell banks shall</w:t>
      </w:r>
    </w:p>
    <w:p>
      <w:pPr>
        <w:jc w:val="both"/>
        <w:ind w:left="660" w:hanging="4"/>
        <w:spacing w:after="0" w:line="255" w:lineRule="auto"/>
        <w:tabs>
          <w:tab w:leader="none" w:pos="91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payment of all Charges for such Program and (b) take place in accordance with clause 7. If the Customer does not give any such notification to Fujifilm prior to completion of the R&amp;D Services element of a Program, Fujifilm may destroy such samples and/or cell banks without further notice at the Customer’s cost.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1" w:name="page132"/>
    <w:bookmarkEnd w:id="131"/>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Fujifilm shall be required to return or destroy, in a manner of its choosing and without further notice to the Customer, any Product, samples, cell banks or other property of the Customer which remains in the possession of Fujifilm in excess of [***] ([***]) [***] following the effective date of termination.</w:t>
      </w:r>
    </w:p>
    <w:p>
      <w:pPr>
        <w:spacing w:after="0" w:line="172"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Batch Cancellation Fees</w:t>
      </w:r>
    </w:p>
    <w:p>
      <w:pPr>
        <w:spacing w:after="0" w:line="229"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Batch Cancellation Fees are only applicable to R&amp;D Services (Batches delivered or to be delivered as part of the Commercial Manufacturing Services are not cancellable and must be paid in full).</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6660" w:type="dxa"/>
            <w:vAlign w:val="bottom"/>
            <w:tcBorders>
              <w:top w:val="single" w:sz="8" w:color="auto"/>
              <w:bottom w:val="single" w:sz="8" w:color="auto"/>
              <w:right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Period prior to Commencement of Stage</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 Batch Fee</w:t>
            </w:r>
          </w:p>
        </w:tc>
        <w:tc>
          <w:tcPr>
            <w:tcW w:w="160" w:type="dxa"/>
            <w:vAlign w:val="bottom"/>
          </w:tcPr>
          <w:p>
            <w:pPr>
              <w:spacing w:after="0"/>
              <w:rPr>
                <w:sz w:val="21"/>
                <w:szCs w:val="21"/>
                <w:color w:val="auto"/>
              </w:rPr>
            </w:pPr>
          </w:p>
        </w:tc>
      </w:tr>
      <w:tr>
        <w:trPr>
          <w:trHeight w:val="193"/>
        </w:trPr>
        <w:tc>
          <w:tcPr>
            <w:tcW w:w="66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4900" w:type="dxa"/>
            <w:vAlign w:val="bottom"/>
            <w:tcBorders>
              <w:bottom w:val="single" w:sz="8" w:color="auto"/>
            </w:tcBorders>
          </w:tcPr>
          <w:p>
            <w:pPr>
              <w:jc w:val="center"/>
              <w:ind w:left="1590"/>
              <w:spacing w:after="0" w:line="193" w:lineRule="exact"/>
              <w:rPr>
                <w:sz w:val="20"/>
                <w:szCs w:val="20"/>
                <w:color w:val="auto"/>
              </w:rPr>
            </w:pPr>
            <w:r>
              <w:rPr>
                <w:rFonts w:ascii="Times New Roman" w:cs="Times New Roman" w:eastAsia="Times New Roman" w:hAnsi="Times New Roman"/>
                <w:sz w:val="18"/>
                <w:szCs w:val="18"/>
                <w:color w:val="auto"/>
                <w:w w:val="97"/>
              </w:rPr>
              <w:t>[***]</w:t>
            </w:r>
          </w:p>
        </w:tc>
        <w:tc>
          <w:tcPr>
            <w:tcW w:w="1760" w:type="dxa"/>
            <w:vAlign w:val="bottom"/>
            <w:tcBorders>
              <w:bottom w:val="single" w:sz="8" w:color="auto"/>
              <w:right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r>
      <w:tr>
        <w:trPr>
          <w:trHeight w:val="210"/>
        </w:trPr>
        <w:tc>
          <w:tcPr>
            <w:tcW w:w="6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900" w:type="dxa"/>
            <w:vAlign w:val="bottom"/>
            <w:tcBorders>
              <w:bottom w:val="single" w:sz="8" w:color="auto"/>
            </w:tcBorders>
          </w:tcPr>
          <w:p>
            <w:pPr>
              <w:jc w:val="center"/>
              <w:ind w:left="1590"/>
              <w:spacing w:after="0"/>
              <w:rPr>
                <w:sz w:val="20"/>
                <w:szCs w:val="20"/>
                <w:color w:val="auto"/>
              </w:rPr>
            </w:pPr>
            <w:r>
              <w:rPr>
                <w:rFonts w:ascii="Times New Roman" w:cs="Times New Roman" w:eastAsia="Times New Roman" w:hAnsi="Times New Roman"/>
                <w:sz w:val="18"/>
                <w:szCs w:val="18"/>
                <w:color w:val="auto"/>
                <w:w w:val="97"/>
              </w:rPr>
              <w:t>[***]</w:t>
            </w:r>
          </w:p>
        </w:tc>
        <w:tc>
          <w:tcPr>
            <w:tcW w:w="176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900" w:type="dxa"/>
            <w:vAlign w:val="bottom"/>
            <w:tcBorders>
              <w:bottom w:val="single" w:sz="8" w:color="auto"/>
            </w:tcBorders>
          </w:tcPr>
          <w:p>
            <w:pPr>
              <w:jc w:val="center"/>
              <w:ind w:left="1590"/>
              <w:spacing w:after="0"/>
              <w:rPr>
                <w:sz w:val="20"/>
                <w:szCs w:val="20"/>
                <w:color w:val="auto"/>
              </w:rPr>
            </w:pPr>
            <w:r>
              <w:rPr>
                <w:rFonts w:ascii="Times New Roman" w:cs="Times New Roman" w:eastAsia="Times New Roman" w:hAnsi="Times New Roman"/>
                <w:sz w:val="18"/>
                <w:szCs w:val="18"/>
                <w:color w:val="auto"/>
                <w:w w:val="97"/>
              </w:rPr>
              <w:t>[***]</w:t>
            </w:r>
          </w:p>
        </w:tc>
        <w:tc>
          <w:tcPr>
            <w:tcW w:w="176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4900" w:type="dxa"/>
            <w:vAlign w:val="bottom"/>
            <w:tcBorders>
              <w:bottom w:val="single" w:sz="8" w:color="auto"/>
            </w:tcBorders>
          </w:tcPr>
          <w:p>
            <w:pPr>
              <w:jc w:val="center"/>
              <w:ind w:left="1590"/>
              <w:spacing w:after="0"/>
              <w:rPr>
                <w:sz w:val="20"/>
                <w:szCs w:val="20"/>
                <w:color w:val="auto"/>
              </w:rPr>
            </w:pPr>
            <w:r>
              <w:rPr>
                <w:rFonts w:ascii="Times New Roman" w:cs="Times New Roman" w:eastAsia="Times New Roman" w:hAnsi="Times New Roman"/>
                <w:sz w:val="18"/>
                <w:szCs w:val="18"/>
                <w:color w:val="auto"/>
                <w:w w:val="97"/>
              </w:rPr>
              <w:t>[***]</w:t>
            </w:r>
          </w:p>
        </w:tc>
        <w:tc>
          <w:tcPr>
            <w:tcW w:w="176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601"/>
        </w:trPr>
        <w:tc>
          <w:tcPr>
            <w:tcW w:w="660" w:type="dxa"/>
            <w:vAlign w:val="bottom"/>
          </w:tcPr>
          <w:p>
            <w:pPr>
              <w:spacing w:after="0"/>
              <w:rPr>
                <w:sz w:val="24"/>
                <w:szCs w:val="24"/>
                <w:color w:val="auto"/>
              </w:rPr>
            </w:pPr>
          </w:p>
        </w:tc>
        <w:tc>
          <w:tcPr>
            <w:tcW w:w="5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*For clarity, this will include manufacturing stages that have commenced</w:t>
            </w:r>
          </w:p>
        </w:tc>
        <w:tc>
          <w:tcPr>
            <w:tcW w:w="1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59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9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PART 2 OF SCHEDULE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CHARGES IN RESPECT OF COMMERCIAL MANUFACTURING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Customer will pay to Fujifilm the Charges for the Commercial Manufacturing Services in accordance with the PSA and clause 8 (the Commercial Manufacturing Services being the services to be performed by Fujifilm that are described in the relevant PSA that are not Ancillary Services).</w:t>
      </w:r>
    </w:p>
    <w:p>
      <w:pPr>
        <w:spacing w:after="0" w:line="162" w:lineRule="exact"/>
        <w:rPr>
          <w:sz w:val="20"/>
          <w:szCs w:val="20"/>
          <w:color w:val="auto"/>
        </w:rPr>
      </w:pPr>
    </w:p>
    <w:p>
      <w:pPr>
        <w:ind w:left="660" w:hanging="652"/>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Batch Fee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Batch Fee for the Product will be specified in the relevant PSA.</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In respect of each Batch the Customer shall pay:</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2.2.1</w:t>
        <w:tab/>
        <w:t>[***] of the Batch Fee no later than [***] prior to Batch production (vial thaw of the Batch);</w:t>
      </w:r>
    </w:p>
    <w:p>
      <w:pPr>
        <w:spacing w:after="0" w:line="252" w:lineRule="exact"/>
        <w:rPr>
          <w:sz w:val="20"/>
          <w:szCs w:val="20"/>
          <w:color w:val="auto"/>
        </w:rPr>
      </w:pPr>
    </w:p>
    <w:p>
      <w:pPr>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2.2.2</w:t>
        <w:tab/>
        <w:t>[***] of the Batch Fee on initiation of pre-production activities relating to the Batch, which shall occur no earlier than [***] prior to vial thaw;</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2.2.3</w:t>
        <w:tab/>
        <w:t>[***] of the Batch Fee on vial thaw; and</w:t>
      </w:r>
    </w:p>
    <w:p>
      <w:pPr>
        <w:spacing w:after="0" w:line="2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color w:val="auto"/>
        </w:rPr>
        <w:t>[***]of the Batch Fee upon delivery or deemed delivery in accordance with clause 7.2.</w:t>
      </w:r>
    </w:p>
    <w:p>
      <w:pPr>
        <w:spacing w:after="0" w:line="25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Customer agrees that for every Production Year it will pay for the number of Batches in the Binding Forecast for that Production Year even if it Orders less Batches than the number of Batches provided for in the Binding Forecast for that Production Year and Fujifilm will invoice the Customer for any such shortfall in Batches at the Batch Fee at the end of each Production Year.</w:t>
      </w:r>
    </w:p>
    <w:p>
      <w:pPr>
        <w:spacing w:after="0" w:line="172" w:lineRule="exact"/>
        <w:rPr>
          <w:sz w:val="20"/>
          <w:szCs w:val="20"/>
          <w:color w:val="auto"/>
        </w:rPr>
      </w:pPr>
    </w:p>
    <w:p>
      <w:pPr>
        <w:ind w:left="660" w:hanging="652"/>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Charges for Consumables and Sub-Contracted Work</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In addition to the Batch Fee for each Batch, the Customer will pay Fujifilm the Ancillary Charges for Consumables and Subcontracted Work (which for the purposes of the Commercial Manufacturing Services are the “</w:t>
      </w:r>
      <w:r>
        <w:rPr>
          <w:rFonts w:ascii="Times New Roman" w:cs="Times New Roman" w:eastAsia="Times New Roman" w:hAnsi="Times New Roman"/>
          <w:sz w:val="18"/>
          <w:szCs w:val="18"/>
          <w:b w:val="1"/>
          <w:bCs w:val="1"/>
          <w:color w:val="auto"/>
        </w:rPr>
        <w:t>Ancillary Services</w:t>
      </w:r>
      <w:r>
        <w:rPr>
          <w:rFonts w:ascii="Times New Roman" w:cs="Times New Roman" w:eastAsia="Times New Roman" w:hAnsi="Times New Roman"/>
          <w:sz w:val="18"/>
          <w:szCs w:val="18"/>
          <w:color w:val="auto"/>
        </w:rPr>
        <w:t>”) at a rate of actual cost to Fujifilm plus [***]. The Ancillary Charges shall be payable when invoiced by Fujifilm in accordance with the provisions of paragraphs 2.3 and 3.4 below.</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Fujifilm will estimate the Ancillary Charges per Batch in the PSA, based upon Fujifilm’s historical data from previous manufactures at the applicable scale of production (“</w:t>
      </w:r>
      <w:r>
        <w:rPr>
          <w:rFonts w:ascii="Times New Roman" w:cs="Times New Roman" w:eastAsia="Times New Roman" w:hAnsi="Times New Roman"/>
          <w:sz w:val="18"/>
          <w:szCs w:val="18"/>
          <w:b w:val="1"/>
          <w:bCs w:val="1"/>
          <w:color w:val="auto"/>
        </w:rPr>
        <w:t>Estimated Ancillary Charges</w:t>
      </w:r>
      <w:r>
        <w:rPr>
          <w:rFonts w:ascii="Times New Roman" w:cs="Times New Roman" w:eastAsia="Times New Roman" w:hAnsi="Times New Roman"/>
          <w:sz w:val="18"/>
          <w:szCs w:val="18"/>
          <w:color w:val="auto"/>
        </w:rPr>
        <w:t>”). If the cost of Consumables and Subcontracted Work increases by more than [***] Fujifilm shall revise the Estimated Ancillary Charges and will notify the Customer of the same.</w:t>
      </w:r>
    </w:p>
    <w:p>
      <w:pPr>
        <w:spacing w:after="0" w:line="176"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On or at any time after receipt of an Order Fujifilm may invoice to Customer an amount equal to [***] of the Estimated Ancillary Charges for Batches in that Order.</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On completion of each Batch, Fujifilm shall calculate the actual Ancillary Charges (with Fujifilm’s [***] margin added) in respect of such Batch and issue a further invoice for the Ancillary Services for a sum equivalent to the difference between the Estimated Ancillary Charges in respect of that Batch and the amount already invoiced under paragraph 3.3.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3" w:name="page134"/>
    <w:bookmarkEnd w:id="133"/>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Customer Deliverables and other materials on termination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The PSA shall specify what Customer Deliverables are required.</w:t>
      </w:r>
    </w:p>
    <w:p>
      <w:pPr>
        <w:spacing w:after="0" w:line="22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Within [***] ([***]) [***] of termination of this Agreement, the Customer shall notify Fujifilm what (if any) Customer Deliverables the Customer wishes Fujifilm to deliver to the Customer and, subject to clause 10.3, delivery of those Customer Deliverables shall take place in accordance with clause 7. If the Customer does not give any such notification to Fujifilm within [***] of termination of this Agreement, Fujifilm may destroy such samples and/or cell banks without further notice at the Customer’s cost.</w:t>
      </w:r>
    </w:p>
    <w:p>
      <w:pPr>
        <w:spacing w:after="0" w:line="18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Provided that the Customer has paid for any Materials in relation to which payment is due, Fujifilm shall deliver Materials to Customer in accordance with clause 7.</w:t>
      </w:r>
    </w:p>
    <w:p>
      <w:pPr>
        <w:spacing w:after="0" w:line="158"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Price Increases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The Batch Fee and Annual Service Fee shall increase on [***] of each year during each of the Initial Term or Subsequent Term in an amount equal to the increase, if any, in the pharmaceutical preparation manufacturing index [***] (from [***] of the preceding year to [***] of the last year) since the PSA Effective Date or the last change in such price.</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The Batch Fee shall not decrease.</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Notwithstanding the foregoing, if Fujifilm documented operating expenses increase by [***]% or more the parties will negotiate an equitable increase to Batch Fee.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4" w:name="page135"/>
    <w:bookmarkEnd w:id="134"/>
    <w:p>
      <w:pPr>
        <w:ind w:left="4700"/>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Schedule 2</w:t>
        <w:tab/>
        <w:t>FORECASTING AND ORDERS</w:t>
      </w:r>
    </w:p>
    <w:p>
      <w:pPr>
        <w:spacing w:after="0" w:line="225"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Application of Schedule 2</w:t>
      </w:r>
    </w:p>
    <w:p>
      <w:pPr>
        <w:spacing w:after="0" w:line="229" w:lineRule="exact"/>
        <w:rPr>
          <w:sz w:val="20"/>
          <w:szCs w:val="20"/>
          <w:color w:val="auto"/>
        </w:rPr>
      </w:pPr>
    </w:p>
    <w:p>
      <w:pPr>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This Schedule 2 applies only to PSAs for Commercial Manufacturing Services and Orders placed under such PSAs. Any reference to a PSA or an Order, shall be deemed to relate to PSAs or Orders for Commercial Manufacturing Services.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For the avoidance of doubt this Schedule 2 does not apply to Scopes of Work for R&amp;D Services.</w:t>
      </w:r>
    </w:p>
    <w:p>
      <w:pPr>
        <w:spacing w:after="0" w:line="221"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Minimum Orders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Minimum Annual Quantity is the number of Batches that the Customer agrees to order and pay for during the applicable Production Year.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The Minimum Annual Quantity for each Production Year of the PSA’s Initial Term will be set out in the applicable PSA.</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Maximum Annual Quantity is the maximum number of Batches that Fujifilm agrees it can manufacture for the Customer during the applicable Production Year.</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The Maximum Annual Quantity for each Production Year of the PSA’s Initial Term will be set out in the applicable PSA.</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In each Subsequent Term of a PSA, the Minimum Annual Quantity and Maximum Annual Quantity for each Production Year during that Subsequent Term will be the same as for the Initial Term or previous Subsequent Term (as applicable) unless when the parties agree to extend the PSA the parties agree otherwise in writing in the Change in which such Subsequent Term has been agreed.</w:t>
      </w:r>
    </w:p>
    <w:p>
      <w:pPr>
        <w:spacing w:after="0" w:line="172"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Forecasting</w:t>
      </w:r>
    </w:p>
    <w:p>
      <w:pPr>
        <w:spacing w:after="0" w:line="229"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Starting on [***], Customer shall provide a rolling [***] Batch forecast on or before [***] [***] of each [***]. The first forecast shall be for relevant Batches (i.e., Batches ordered pursuant to a PSA) manufactured in [***]. The first [***] of each forecast shall be binding, in that Customer shall be obligated to pay for the Batches provided therein, regardless of circumstances. Customer may deviate between [***] and [***] of the forecasted number of Batches identified in the [***] [***]of each forecast. [***] of each forecast shall be for information and planning purposes only.</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For each subsequent year, [***] of the previous year’s forecast shall become [***], [***] shall become [***] (which shall become binding, and may only deviate between [***] and [***] of what was forecasted in the previous year), and [***] shall become [***] (since [***] is for information purposes only, it may be deviated from, but in no case shall it be greater than [***] Batches or less than [***] Batches), and a new [***] shall be provided, and so on.</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Starting in the year [***], Customer shall order and pay for at least [***] Batches per year and Fujifilm shall be obligated to manufacture no more than [***] Batches each year. Should Customer request more than [***] Batches in a [***], Fujifilm may use reasonable efforts to manufacture those excess Batches but shall be under no obligation to do so.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5" w:name="page136"/>
    <w:bookmarkEnd w:id="135"/>
    <w:p>
      <w:pPr>
        <w:ind w:left="660"/>
        <w:spacing w:after="0"/>
        <w:rPr>
          <w:sz w:val="20"/>
          <w:szCs w:val="20"/>
          <w:color w:val="auto"/>
        </w:rPr>
      </w:pPr>
      <w:r>
        <w:rPr>
          <w:rFonts w:ascii="Times New Roman" w:cs="Times New Roman" w:eastAsia="Times New Roman" w:hAnsi="Times New Roman"/>
          <w:sz w:val="18"/>
          <w:szCs w:val="18"/>
          <w:color w:val="auto"/>
        </w:rPr>
        <w:t>For illustrative purposes only, the below chart lays out an example of how the rolling forecast may look:</w:t>
      </w:r>
    </w:p>
    <w:p>
      <w:pPr>
        <w:spacing w:after="0" w:line="220"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29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780" w:type="dxa"/>
            <w:vAlign w:val="bottom"/>
            <w:tcBorders>
              <w:top w:val="single" w:sz="8" w:color="auto"/>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7"/>
              </w:rPr>
              <w:t>[***]</w:t>
            </w:r>
          </w:p>
        </w:tc>
        <w:tc>
          <w:tcPr>
            <w:tcW w:w="1520" w:type="dxa"/>
            <w:vAlign w:val="bottom"/>
            <w:tcBorders>
              <w:top w:val="single" w:sz="8" w:color="auto"/>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7"/>
              </w:rPr>
              <w:t>[***]</w:t>
            </w:r>
          </w:p>
        </w:tc>
        <w:tc>
          <w:tcPr>
            <w:tcW w:w="1820" w:type="dxa"/>
            <w:vAlign w:val="bottom"/>
            <w:tcBorders>
              <w:top w:val="single" w:sz="8" w:color="auto"/>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w w:val="87"/>
              </w:rPr>
              <w:t>[***]</w:t>
            </w:r>
          </w:p>
        </w:tc>
        <w:tc>
          <w:tcPr>
            <w:tcW w:w="2060" w:type="dxa"/>
            <w:vAlign w:val="bottom"/>
            <w:tcBorders>
              <w:top w:val="single" w:sz="8" w:color="auto"/>
              <w:bottom w:val="single" w:sz="8" w:color="auto"/>
              <w:right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w w:val="87"/>
              </w:rPr>
              <w:t>[***]</w:t>
            </w:r>
          </w:p>
        </w:tc>
      </w:tr>
      <w:tr>
        <w:trPr>
          <w:trHeight w:val="193"/>
        </w:trPr>
        <w:tc>
          <w:tcPr>
            <w:tcW w:w="292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Percent Binding</w:t>
            </w:r>
          </w:p>
        </w:tc>
        <w:tc>
          <w:tcPr>
            <w:tcW w:w="1780" w:type="dxa"/>
            <w:vAlign w:val="bottom"/>
            <w:tcBorders>
              <w:bottom w:val="single" w:sz="8" w:color="auto"/>
              <w:right w:val="single" w:sz="8" w:color="auto"/>
            </w:tcBorders>
          </w:tcPr>
          <w:p>
            <w:pPr>
              <w:jc w:val="right"/>
              <w:ind w:right="1330"/>
              <w:spacing w:after="0" w:line="193" w:lineRule="exact"/>
              <w:rPr>
                <w:sz w:val="20"/>
                <w:szCs w:val="20"/>
                <w:color w:val="auto"/>
              </w:rPr>
            </w:pPr>
            <w:r>
              <w:rPr>
                <w:rFonts w:ascii="Times New Roman" w:cs="Times New Roman" w:eastAsia="Times New Roman" w:hAnsi="Times New Roman"/>
                <w:sz w:val="18"/>
                <w:szCs w:val="18"/>
                <w:color w:val="auto"/>
                <w:w w:val="87"/>
              </w:rPr>
              <w:t>[***]</w:t>
            </w:r>
          </w:p>
        </w:tc>
        <w:tc>
          <w:tcPr>
            <w:tcW w:w="1520" w:type="dxa"/>
            <w:vAlign w:val="bottom"/>
            <w:tcBorders>
              <w:bottom w:val="single" w:sz="8" w:color="auto"/>
              <w:right w:val="single" w:sz="8" w:color="auto"/>
            </w:tcBorders>
          </w:tcPr>
          <w:p>
            <w:pPr>
              <w:jc w:val="right"/>
              <w:ind w:right="1070"/>
              <w:spacing w:after="0" w:line="193" w:lineRule="exact"/>
              <w:rPr>
                <w:sz w:val="20"/>
                <w:szCs w:val="20"/>
                <w:color w:val="auto"/>
              </w:rPr>
            </w:pPr>
            <w:r>
              <w:rPr>
                <w:rFonts w:ascii="Times New Roman" w:cs="Times New Roman" w:eastAsia="Times New Roman" w:hAnsi="Times New Roman"/>
                <w:sz w:val="18"/>
                <w:szCs w:val="18"/>
                <w:color w:val="auto"/>
                <w:w w:val="87"/>
              </w:rPr>
              <w:t>[***]</w:t>
            </w:r>
          </w:p>
        </w:tc>
        <w:tc>
          <w:tcPr>
            <w:tcW w:w="1820" w:type="dxa"/>
            <w:vAlign w:val="bottom"/>
            <w:tcBorders>
              <w:bottom w:val="single" w:sz="8" w:color="auto"/>
              <w:right w:val="single" w:sz="8" w:color="auto"/>
            </w:tcBorders>
          </w:tcPr>
          <w:p>
            <w:pPr>
              <w:jc w:val="right"/>
              <w:ind w:right="1370"/>
              <w:spacing w:after="0" w:line="193" w:lineRule="exact"/>
              <w:rPr>
                <w:sz w:val="20"/>
                <w:szCs w:val="20"/>
                <w:color w:val="auto"/>
              </w:rPr>
            </w:pPr>
            <w:r>
              <w:rPr>
                <w:rFonts w:ascii="Times New Roman" w:cs="Times New Roman" w:eastAsia="Times New Roman" w:hAnsi="Times New Roman"/>
                <w:sz w:val="18"/>
                <w:szCs w:val="18"/>
                <w:color w:val="auto"/>
                <w:w w:val="87"/>
              </w:rPr>
              <w:t>[***]</w:t>
            </w:r>
          </w:p>
        </w:tc>
        <w:tc>
          <w:tcPr>
            <w:tcW w:w="2060" w:type="dxa"/>
            <w:vAlign w:val="bottom"/>
            <w:tcBorders>
              <w:bottom w:val="single" w:sz="8" w:color="auto"/>
              <w:right w:val="single" w:sz="8" w:color="auto"/>
            </w:tcBorders>
          </w:tcPr>
          <w:p>
            <w:pPr>
              <w:jc w:val="right"/>
              <w:ind w:right="1610"/>
              <w:spacing w:after="0" w:line="193" w:lineRule="exact"/>
              <w:rPr>
                <w:sz w:val="20"/>
                <w:szCs w:val="20"/>
                <w:color w:val="auto"/>
              </w:rPr>
            </w:pPr>
            <w:r>
              <w:rPr>
                <w:rFonts w:ascii="Times New Roman" w:cs="Times New Roman" w:eastAsia="Times New Roman" w:hAnsi="Times New Roman"/>
                <w:sz w:val="18"/>
                <w:szCs w:val="18"/>
                <w:color w:val="auto"/>
                <w:w w:val="87"/>
              </w:rPr>
              <w:t>[***]</w:t>
            </w:r>
          </w:p>
        </w:tc>
      </w:tr>
      <w:tr>
        <w:trPr>
          <w:trHeight w:val="210"/>
        </w:trPr>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7"/>
              </w:rPr>
              <w:t>[***]</w:t>
            </w:r>
          </w:p>
        </w:tc>
        <w:tc>
          <w:tcPr>
            <w:tcW w:w="1520" w:type="dxa"/>
            <w:vAlign w:val="bottom"/>
            <w:tcBorders>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7"/>
              </w:rPr>
              <w:t>[***]</w:t>
            </w:r>
          </w:p>
        </w:tc>
        <w:tc>
          <w:tcPr>
            <w:tcW w:w="18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w w:val="87"/>
              </w:rPr>
              <w:t>[***]</w:t>
            </w:r>
          </w:p>
        </w:tc>
        <w:tc>
          <w:tcPr>
            <w:tcW w:w="2060" w:type="dxa"/>
            <w:vAlign w:val="bottom"/>
            <w:tcBorders>
              <w:bottom w:val="single" w:sz="8" w:color="auto"/>
              <w:right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w w:val="87"/>
              </w:rPr>
              <w:t>[***]</w:t>
            </w:r>
          </w:p>
        </w:tc>
      </w:tr>
      <w:tr>
        <w:trPr>
          <w:trHeight w:val="209"/>
        </w:trPr>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7"/>
              </w:rPr>
              <w:t>[***]</w:t>
            </w:r>
          </w:p>
        </w:tc>
        <w:tc>
          <w:tcPr>
            <w:tcW w:w="1520" w:type="dxa"/>
            <w:vAlign w:val="bottom"/>
            <w:tcBorders>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7"/>
              </w:rPr>
              <w:t>[***]</w:t>
            </w:r>
          </w:p>
        </w:tc>
        <w:tc>
          <w:tcPr>
            <w:tcW w:w="18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w w:val="87"/>
              </w:rPr>
              <w:t>[***]</w:t>
            </w:r>
          </w:p>
        </w:tc>
        <w:tc>
          <w:tcPr>
            <w:tcW w:w="2060" w:type="dxa"/>
            <w:vAlign w:val="bottom"/>
            <w:tcBorders>
              <w:bottom w:val="single" w:sz="8" w:color="auto"/>
              <w:right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w w:val="87"/>
              </w:rPr>
              <w:t>[***]</w:t>
            </w:r>
          </w:p>
        </w:tc>
      </w:tr>
      <w:tr>
        <w:trPr>
          <w:trHeight w:val="209"/>
        </w:trPr>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right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7"/>
              </w:rPr>
              <w:t>[***]</w:t>
            </w:r>
          </w:p>
        </w:tc>
        <w:tc>
          <w:tcPr>
            <w:tcW w:w="1520" w:type="dxa"/>
            <w:vAlign w:val="bottom"/>
            <w:tcBorders>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7"/>
              </w:rPr>
              <w:t>[***]</w:t>
            </w:r>
          </w:p>
        </w:tc>
        <w:tc>
          <w:tcPr>
            <w:tcW w:w="1820" w:type="dxa"/>
            <w:vAlign w:val="bottom"/>
            <w:tcBorders>
              <w:bottom w:val="single" w:sz="8" w:color="auto"/>
              <w:right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w w:val="87"/>
              </w:rPr>
              <w:t>[***]</w:t>
            </w:r>
          </w:p>
        </w:tc>
        <w:tc>
          <w:tcPr>
            <w:tcW w:w="2060" w:type="dxa"/>
            <w:vAlign w:val="bottom"/>
            <w:tcBorders>
              <w:bottom w:val="single" w:sz="8" w:color="auto"/>
              <w:right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w w:val="87"/>
              </w:rPr>
              <w:t>[***]</w:t>
            </w:r>
          </w:p>
        </w:tc>
      </w:tr>
    </w:tbl>
    <w:p>
      <w:pPr>
        <w:spacing w:after="0" w:line="200" w:lineRule="exact"/>
        <w:rPr>
          <w:sz w:val="20"/>
          <w:szCs w:val="20"/>
          <w:color w:val="auto"/>
        </w:rPr>
      </w:pPr>
    </w:p>
    <w:p>
      <w:pPr>
        <w:spacing w:after="0" w:line="21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parties will agree in good faith to amend the forecasting requirements in this clause if Commercial Manufacturing Services cannot be provided by Fujifilm or if the Commercial Trigger is not achieved solely due to a reason within Fujifilm’s reasonable control.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Ordering</w:t>
      </w:r>
    </w:p>
    <w:p>
      <w:pPr>
        <w:spacing w:after="0" w:line="221" w:lineRule="exact"/>
        <w:rPr>
          <w:sz w:val="20"/>
          <w:szCs w:val="20"/>
          <w:color w:val="auto"/>
        </w:rPr>
      </w:pPr>
    </w:p>
    <w:p>
      <w:pPr>
        <w:jc w:val="both"/>
        <w:ind w:left="660" w:right="20" w:hanging="647"/>
        <w:spacing w:after="0" w:line="286" w:lineRule="auto"/>
        <w:tabs>
          <w:tab w:leader="none" w:pos="6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The Customer will issue a written purchase order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for the Batches to be delivered each Production Year to Customer under a PSA not less than [***] prior to commencement of the relevant Production Year.</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color w:val="auto"/>
        </w:rPr>
        <w:t>Fujifilm shall acknowledge Orders in writing within [***] of receipt.</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7"/>
          <w:szCs w:val="17"/>
          <w:color w:val="auto"/>
        </w:rPr>
        <w:t>Once acknowledged by Fujifilm Orders are non-cancellable by either party.</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Orders, Order acknowledgements and/or other similar documentation submitted by either party in conducting activities under this Agreement are for administration purposes only and (notwithstanding any statement or terms stated within such documentation) shall not add to or modify the terms of this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6" w:name="page137"/>
    <w:bookmarkEnd w:id="136"/>
    <w:tbl>
      <w:tblPr>
        <w:tblLayout w:type="fixed"/>
        <w:tblInd w:w="1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64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Schedule 3   Addresses for Notice</w:t>
            </w:r>
          </w:p>
        </w:tc>
        <w:tc>
          <w:tcPr>
            <w:tcW w:w="560" w:type="dxa"/>
            <w:vAlign w:val="bottom"/>
          </w:tcPr>
          <w:p>
            <w:pPr>
              <w:spacing w:after="0"/>
              <w:rPr>
                <w:sz w:val="20"/>
                <w:szCs w:val="20"/>
                <w:color w:val="auto"/>
              </w:rPr>
            </w:pPr>
          </w:p>
        </w:tc>
      </w:tr>
      <w:tr>
        <w:trPr>
          <w:trHeight w:val="253"/>
        </w:trPr>
        <w:tc>
          <w:tcPr>
            <w:tcW w:w="8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r>
      <w:tr>
        <w:trPr>
          <w:trHeight w:val="198"/>
        </w:trPr>
        <w:tc>
          <w:tcPr>
            <w:tcW w:w="880" w:type="dxa"/>
            <w:vAlign w:val="bottom"/>
            <w:tcBorders>
              <w:left w:val="single" w:sz="8" w:color="auto"/>
            </w:tcBorders>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w w:val="98"/>
              </w:rPr>
              <w:t>Fujifilm:</w:t>
            </w:r>
          </w:p>
        </w:tc>
        <w:tc>
          <w:tcPr>
            <w:tcW w:w="3320" w:type="dxa"/>
            <w:vAlign w:val="bottom"/>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c>
          <w:tcPr>
            <w:tcW w:w="4400" w:type="dxa"/>
            <w:vAlign w:val="bottom"/>
            <w:tcBorders>
              <w:right w:val="single" w:sz="8" w:color="auto"/>
            </w:tcBorders>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Copied to:</w:t>
            </w:r>
          </w:p>
        </w:tc>
        <w:tc>
          <w:tcPr>
            <w:tcW w:w="560" w:type="dxa"/>
            <w:vAlign w:val="bottom"/>
          </w:tcPr>
          <w:p>
            <w:pPr>
              <w:spacing w:after="0"/>
              <w:rPr>
                <w:sz w:val="17"/>
                <w:szCs w:val="17"/>
                <w:color w:val="auto"/>
              </w:rPr>
            </w:pPr>
          </w:p>
        </w:tc>
      </w:tr>
      <w:tr>
        <w:trPr>
          <w:trHeight w:val="388"/>
        </w:trPr>
        <w:tc>
          <w:tcPr>
            <w:tcW w:w="420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80" w:type="dxa"/>
            <w:vAlign w:val="bottom"/>
            <w:tcBorders>
              <w:right w:val="single" w:sz="8" w:color="auto"/>
            </w:tcBorders>
          </w:tcPr>
          <w:p>
            <w:pPr>
              <w:spacing w:after="0"/>
              <w:rPr>
                <w:sz w:val="24"/>
                <w:szCs w:val="24"/>
                <w:color w:val="auto"/>
              </w:rPr>
            </w:pPr>
          </w:p>
        </w:tc>
        <w:tc>
          <w:tcPr>
            <w:tcW w:w="4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General Counsel</w:t>
            </w:r>
          </w:p>
        </w:tc>
        <w:tc>
          <w:tcPr>
            <w:tcW w:w="560" w:type="dxa"/>
            <w:vAlign w:val="bottom"/>
          </w:tcPr>
          <w:p>
            <w:pPr>
              <w:spacing w:after="0"/>
              <w:rPr>
                <w:sz w:val="24"/>
                <w:szCs w:val="24"/>
                <w:color w:val="auto"/>
              </w:rPr>
            </w:pPr>
          </w:p>
        </w:tc>
      </w:tr>
      <w:tr>
        <w:trPr>
          <w:trHeight w:val="216"/>
        </w:trPr>
        <w:tc>
          <w:tcPr>
            <w:tcW w:w="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23.2</w:t>
            </w: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FUJIFILM Diosynth Biotechnologies</w:t>
            </w:r>
          </w:p>
        </w:tc>
        <w:tc>
          <w:tcPr>
            <w:tcW w:w="2080" w:type="dxa"/>
            <w:vAlign w:val="bottom"/>
            <w:tcBorders>
              <w:right w:val="single" w:sz="8" w:color="auto"/>
            </w:tcBorders>
          </w:tcPr>
          <w:p>
            <w:pPr>
              <w:spacing w:after="0"/>
              <w:rPr>
                <w:sz w:val="18"/>
                <w:szCs w:val="18"/>
                <w:color w:val="auto"/>
              </w:rPr>
            </w:pPr>
          </w:p>
        </w:tc>
        <w:tc>
          <w:tcPr>
            <w:tcW w:w="4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FUJIFILM Diosynth Biotechnologies</w:t>
            </w:r>
          </w:p>
        </w:tc>
        <w:tc>
          <w:tcPr>
            <w:tcW w:w="56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23.3</w:t>
            </w: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Belasis Avenue</w:t>
            </w:r>
          </w:p>
        </w:tc>
        <w:tc>
          <w:tcPr>
            <w:tcW w:w="2080" w:type="dxa"/>
            <w:vAlign w:val="bottom"/>
            <w:tcBorders>
              <w:right w:val="single" w:sz="8" w:color="auto"/>
            </w:tcBorders>
          </w:tcPr>
          <w:p>
            <w:pPr>
              <w:spacing w:after="0"/>
              <w:rPr>
                <w:sz w:val="18"/>
                <w:szCs w:val="18"/>
                <w:color w:val="auto"/>
              </w:rPr>
            </w:pPr>
          </w:p>
        </w:tc>
        <w:tc>
          <w:tcPr>
            <w:tcW w:w="4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Belasis Avenue</w:t>
            </w:r>
          </w:p>
        </w:tc>
        <w:tc>
          <w:tcPr>
            <w:tcW w:w="56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23.4</w:t>
            </w: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Billingham, TS23 1LH</w:t>
            </w:r>
          </w:p>
        </w:tc>
        <w:tc>
          <w:tcPr>
            <w:tcW w:w="2080" w:type="dxa"/>
            <w:vAlign w:val="bottom"/>
            <w:tcBorders>
              <w:right w:val="single" w:sz="8" w:color="auto"/>
            </w:tcBorders>
          </w:tcPr>
          <w:p>
            <w:pPr>
              <w:spacing w:after="0"/>
              <w:rPr>
                <w:sz w:val="18"/>
                <w:szCs w:val="18"/>
                <w:color w:val="auto"/>
              </w:rPr>
            </w:pPr>
          </w:p>
        </w:tc>
        <w:tc>
          <w:tcPr>
            <w:tcW w:w="4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Billingham, TS23 1LH</w:t>
            </w:r>
          </w:p>
        </w:tc>
        <w:tc>
          <w:tcPr>
            <w:tcW w:w="560" w:type="dxa"/>
            <w:vAlign w:val="bottom"/>
          </w:tcPr>
          <w:p>
            <w:pPr>
              <w:spacing w:after="0"/>
              <w:rPr>
                <w:sz w:val="18"/>
                <w:szCs w:val="18"/>
                <w:color w:val="auto"/>
              </w:rPr>
            </w:pPr>
          </w:p>
        </w:tc>
      </w:tr>
      <w:tr>
        <w:trPr>
          <w:trHeight w:val="216"/>
        </w:trPr>
        <w:tc>
          <w:tcPr>
            <w:tcW w:w="8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23.5</w:t>
            </w:r>
          </w:p>
        </w:tc>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w:t>
            </w:r>
          </w:p>
        </w:tc>
        <w:tc>
          <w:tcPr>
            <w:tcW w:w="2080" w:type="dxa"/>
            <w:vAlign w:val="bottom"/>
            <w:tcBorders>
              <w:right w:val="single" w:sz="8" w:color="auto"/>
            </w:tcBorders>
          </w:tcPr>
          <w:p>
            <w:pPr>
              <w:spacing w:after="0"/>
              <w:rPr>
                <w:sz w:val="18"/>
                <w:szCs w:val="18"/>
                <w:color w:val="auto"/>
              </w:rPr>
            </w:pPr>
          </w:p>
        </w:tc>
        <w:tc>
          <w:tcPr>
            <w:tcW w:w="4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England</w:t>
            </w:r>
          </w:p>
        </w:tc>
        <w:tc>
          <w:tcPr>
            <w:tcW w:w="560" w:type="dxa"/>
            <w:vAlign w:val="bottom"/>
          </w:tcPr>
          <w:p>
            <w:pPr>
              <w:spacing w:after="0"/>
              <w:rPr>
                <w:sz w:val="18"/>
                <w:szCs w:val="18"/>
                <w:color w:val="auto"/>
              </w:rPr>
            </w:pPr>
          </w:p>
        </w:tc>
      </w:tr>
      <w:tr>
        <w:trPr>
          <w:trHeight w:val="234"/>
        </w:trPr>
        <w:tc>
          <w:tcPr>
            <w:tcW w:w="420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Email: [***]</w:t>
            </w:r>
          </w:p>
        </w:tc>
        <w:tc>
          <w:tcPr>
            <w:tcW w:w="2080" w:type="dxa"/>
            <w:vAlign w:val="bottom"/>
            <w:tcBorders>
              <w:right w:val="single" w:sz="8" w:color="auto"/>
            </w:tcBorders>
          </w:tcPr>
          <w:p>
            <w:pPr>
              <w:spacing w:after="0"/>
              <w:rPr>
                <w:sz w:val="20"/>
                <w:szCs w:val="20"/>
                <w:color w:val="auto"/>
              </w:rPr>
            </w:pPr>
          </w:p>
        </w:tc>
        <w:tc>
          <w:tcPr>
            <w:tcW w:w="4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Email: [***]</w:t>
            </w:r>
          </w:p>
        </w:tc>
        <w:tc>
          <w:tcPr>
            <w:tcW w:w="560" w:type="dxa"/>
            <w:vAlign w:val="bottom"/>
          </w:tcPr>
          <w:p>
            <w:pPr>
              <w:spacing w:after="0"/>
              <w:rPr>
                <w:sz w:val="20"/>
                <w:szCs w:val="20"/>
                <w:color w:val="auto"/>
              </w:rPr>
            </w:pPr>
          </w:p>
        </w:tc>
      </w:tr>
      <w:tr>
        <w:trPr>
          <w:trHeight w:val="213"/>
        </w:trPr>
        <w:tc>
          <w:tcPr>
            <w:tcW w:w="4200" w:type="dxa"/>
            <w:vAlign w:val="bottom"/>
            <w:tcBorders>
              <w:left w:val="single" w:sz="8" w:color="auto"/>
              <w:bottom w:val="single" w:sz="8" w:color="auto"/>
            </w:tcBorders>
            <w:gridSpan w:val="2"/>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38"/>
        </w:trPr>
        <w:tc>
          <w:tcPr>
            <w:tcW w:w="420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080" w:type="dxa"/>
            <w:vAlign w:val="bottom"/>
            <w:tcBorders>
              <w:right w:val="single" w:sz="8" w:color="auto"/>
            </w:tcBorders>
          </w:tcPr>
          <w:p>
            <w:pPr>
              <w:spacing w:after="0"/>
              <w:rPr>
                <w:sz w:val="20"/>
                <w:szCs w:val="20"/>
                <w:color w:val="auto"/>
              </w:rPr>
            </w:pPr>
          </w:p>
        </w:tc>
        <w:tc>
          <w:tcPr>
            <w:tcW w:w="4400" w:type="dxa"/>
            <w:vAlign w:val="bottom"/>
            <w:tcBorders>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406"/>
        </w:trPr>
        <w:tc>
          <w:tcPr>
            <w:tcW w:w="420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Contact: Senior Vice President, Operations</w:t>
            </w:r>
          </w:p>
        </w:tc>
        <w:tc>
          <w:tcPr>
            <w:tcW w:w="2080" w:type="dxa"/>
            <w:vAlign w:val="bottom"/>
            <w:tcBorders>
              <w:right w:val="single" w:sz="8" w:color="auto"/>
            </w:tcBorders>
          </w:tcPr>
          <w:p>
            <w:pPr>
              <w:spacing w:after="0"/>
              <w:rPr>
                <w:sz w:val="24"/>
                <w:szCs w:val="24"/>
                <w:color w:val="auto"/>
              </w:rPr>
            </w:pPr>
          </w:p>
        </w:tc>
        <w:tc>
          <w:tcPr>
            <w:tcW w:w="4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Contact: Legal Counsel</w:t>
            </w:r>
          </w:p>
        </w:tc>
        <w:tc>
          <w:tcPr>
            <w:tcW w:w="560" w:type="dxa"/>
            <w:vAlign w:val="bottom"/>
          </w:tcPr>
          <w:p>
            <w:pPr>
              <w:spacing w:after="0"/>
              <w:rPr>
                <w:sz w:val="24"/>
                <w:szCs w:val="24"/>
                <w:color w:val="auto"/>
              </w:rPr>
            </w:pPr>
          </w:p>
        </w:tc>
      </w:tr>
      <w:tr>
        <w:trPr>
          <w:trHeight w:val="432"/>
        </w:trPr>
        <w:tc>
          <w:tcPr>
            <w:tcW w:w="420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Address: 3020 Carrington Mill BLVD, Suite 475</w:t>
            </w:r>
          </w:p>
        </w:tc>
        <w:tc>
          <w:tcPr>
            <w:tcW w:w="2080" w:type="dxa"/>
            <w:vAlign w:val="bottom"/>
            <w:tcBorders>
              <w:right w:val="single" w:sz="8" w:color="auto"/>
            </w:tcBorders>
          </w:tcPr>
          <w:p>
            <w:pPr>
              <w:spacing w:after="0"/>
              <w:rPr>
                <w:sz w:val="24"/>
                <w:szCs w:val="24"/>
                <w:color w:val="auto"/>
              </w:rPr>
            </w:pPr>
          </w:p>
        </w:tc>
        <w:tc>
          <w:tcPr>
            <w:tcW w:w="4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Address: 3020 Carrington Mill Blvd, Suite 475</w:t>
            </w:r>
          </w:p>
        </w:tc>
        <w:tc>
          <w:tcPr>
            <w:tcW w:w="560" w:type="dxa"/>
            <w:vAlign w:val="bottom"/>
          </w:tcPr>
          <w:p>
            <w:pPr>
              <w:spacing w:after="0"/>
              <w:rPr>
                <w:sz w:val="24"/>
                <w:szCs w:val="24"/>
                <w:color w:val="auto"/>
              </w:rPr>
            </w:pPr>
          </w:p>
        </w:tc>
      </w:tr>
      <w:tr>
        <w:trPr>
          <w:trHeight w:val="432"/>
        </w:trPr>
        <w:tc>
          <w:tcPr>
            <w:tcW w:w="420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Morrisville, NC 27560</w:t>
            </w:r>
          </w:p>
        </w:tc>
        <w:tc>
          <w:tcPr>
            <w:tcW w:w="2080" w:type="dxa"/>
            <w:vAlign w:val="bottom"/>
            <w:tcBorders>
              <w:right w:val="single" w:sz="8" w:color="auto"/>
            </w:tcBorders>
          </w:tcPr>
          <w:p>
            <w:pPr>
              <w:spacing w:after="0"/>
              <w:rPr>
                <w:sz w:val="24"/>
                <w:szCs w:val="24"/>
                <w:color w:val="auto"/>
              </w:rPr>
            </w:pPr>
          </w:p>
        </w:tc>
        <w:tc>
          <w:tcPr>
            <w:tcW w:w="4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Morrisville, NC 27560</w:t>
            </w:r>
          </w:p>
        </w:tc>
        <w:tc>
          <w:tcPr>
            <w:tcW w:w="560" w:type="dxa"/>
            <w:vAlign w:val="bottom"/>
          </w:tcPr>
          <w:p>
            <w:pPr>
              <w:spacing w:after="0"/>
              <w:rPr>
                <w:sz w:val="24"/>
                <w:szCs w:val="24"/>
                <w:color w:val="auto"/>
              </w:rPr>
            </w:pPr>
          </w:p>
        </w:tc>
      </w:tr>
      <w:tr>
        <w:trPr>
          <w:trHeight w:val="432"/>
        </w:trPr>
        <w:tc>
          <w:tcPr>
            <w:tcW w:w="4200" w:type="dxa"/>
            <w:vAlign w:val="bottom"/>
            <w:tcBorders>
              <w:lef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Nominated email address: [***]</w:t>
            </w:r>
          </w:p>
        </w:tc>
        <w:tc>
          <w:tcPr>
            <w:tcW w:w="2080" w:type="dxa"/>
            <w:vAlign w:val="bottom"/>
            <w:tcBorders>
              <w:right w:val="single" w:sz="8" w:color="auto"/>
            </w:tcBorders>
          </w:tcPr>
          <w:p>
            <w:pPr>
              <w:spacing w:after="0"/>
              <w:rPr>
                <w:sz w:val="24"/>
                <w:szCs w:val="24"/>
                <w:color w:val="auto"/>
              </w:rPr>
            </w:pPr>
          </w:p>
        </w:tc>
        <w:tc>
          <w:tcPr>
            <w:tcW w:w="440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Nominated email address: [***]</w:t>
            </w:r>
          </w:p>
        </w:tc>
        <w:tc>
          <w:tcPr>
            <w:tcW w:w="560" w:type="dxa"/>
            <w:vAlign w:val="bottom"/>
          </w:tcPr>
          <w:p>
            <w:pPr>
              <w:spacing w:after="0"/>
              <w:rPr>
                <w:sz w:val="24"/>
                <w:szCs w:val="24"/>
                <w:color w:val="auto"/>
              </w:rPr>
            </w:pPr>
          </w:p>
        </w:tc>
      </w:tr>
      <w:tr>
        <w:trPr>
          <w:trHeight w:val="216"/>
        </w:trPr>
        <w:tc>
          <w:tcPr>
            <w:tcW w:w="880" w:type="dxa"/>
            <w:vAlign w:val="bottom"/>
            <w:tcBorders>
              <w:left w:val="single" w:sz="8" w:color="auto"/>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426"/>
        </w:trPr>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48</w:t>
            </w:r>
          </w:p>
        </w:tc>
        <w:tc>
          <w:tcPr>
            <w:tcW w:w="4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37" w:name="page138"/>
    <w:bookmarkEnd w:id="137"/>
    <w:p>
      <w:pPr>
        <w:jc w:val="right"/>
        <w:ind w:right="3359"/>
        <w:spacing w:after="0"/>
        <w:rPr>
          <w:sz w:val="20"/>
          <w:szCs w:val="20"/>
          <w:color w:val="auto"/>
        </w:rPr>
      </w:pPr>
      <w:r>
        <w:rPr>
          <w:rFonts w:ascii="Times New Roman" w:cs="Times New Roman" w:eastAsia="Times New Roman" w:hAnsi="Times New Roman"/>
          <w:sz w:val="18"/>
          <w:szCs w:val="18"/>
          <w:b w:val="1"/>
          <w:bCs w:val="1"/>
          <w:color w:val="auto"/>
        </w:rPr>
        <w:t xml:space="preserve">Schedule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Attachments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138" w:name="page139"/>
    <w:bookmarkEnd w:id="138"/>
    <w:p>
      <w:pPr>
        <w:ind w:left="340"/>
        <w:spacing w:after="0"/>
        <w:rPr>
          <w:sz w:val="20"/>
          <w:szCs w:val="20"/>
          <w:color w:val="auto"/>
        </w:rPr>
      </w:pPr>
      <w:r>
        <w:rPr>
          <w:rFonts w:ascii="Times New Roman" w:cs="Times New Roman" w:eastAsia="Times New Roman" w:hAnsi="Times New Roman"/>
          <w:sz w:val="18"/>
          <w:szCs w:val="18"/>
          <w:b w:val="1"/>
          <w:bCs w:val="1"/>
          <w:color w:val="auto"/>
        </w:rPr>
        <w:t>PSA Template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This PSA is made subject to, and incorporates the terms of, the Master Services and Supply Agreement made between </w:t>
      </w:r>
      <w:r>
        <w:rPr>
          <w:rFonts w:ascii="Times New Roman" w:cs="Times New Roman" w:eastAsia="Times New Roman" w:hAnsi="Times New Roman"/>
          <w:sz w:val="18"/>
          <w:szCs w:val="18"/>
          <w:b w:val="1"/>
          <w:bCs w:val="1"/>
          <w:color w:val="auto"/>
        </w:rPr>
        <w:t>FUJIFILM DIOSYNTH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BIOTECHNOLOGIES NORTH CAROLINA, INC. </w:t>
      </w:r>
      <w:r>
        <w:rPr>
          <w:rFonts w:ascii="Times New Roman" w:cs="Times New Roman" w:eastAsia="Times New Roman" w:hAnsi="Times New Roman"/>
          <w:sz w:val="18"/>
          <w:szCs w:val="18"/>
          <w:color w:val="auto"/>
        </w:rPr>
        <w:t>at 100 Biotechnology Avenue, Holly Springs, NC 27540 United States of America(“</w:t>
      </w:r>
      <w:r>
        <w:rPr>
          <w:rFonts w:ascii="Times New Roman" w:cs="Times New Roman" w:eastAsia="Times New Roman" w:hAnsi="Times New Roman"/>
          <w:sz w:val="18"/>
          <w:szCs w:val="18"/>
          <w:b w:val="1"/>
          <w:bCs w:val="1"/>
          <w:color w:val="auto"/>
        </w:rPr>
        <w:t>Fujifilm</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TG Therapeutics, Inc. </w:t>
      </w:r>
      <w:r>
        <w:rPr>
          <w:rFonts w:ascii="Times New Roman" w:cs="Times New Roman" w:eastAsia="Times New Roman" w:hAnsi="Times New Roman"/>
          <w:sz w:val="18"/>
          <w:szCs w:val="18"/>
          <w:color w:val="auto"/>
        </w:rPr>
        <w:t>incorporated and registered in [a Delaware corporation] with company whose registered office is at 3020 Carrington Mill Blvd,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Suite 475, Morrisville, North Carolina 27560 (the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dated [INSERT DATE OF MSSA]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Defined terms used in this PSA shall have the meaning given to them in the Agreement unless the context otherwise requires or unless otherwise defined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have agreed the following in relation to the commercial manufacture of Product by Fujifilm in accordance with the Agreement: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5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[[INSERT]</w:t>
            </w:r>
          </w:p>
        </w:tc>
        <w:tc>
          <w:tcPr>
            <w:tcW w:w="7280" w:type="dxa"/>
            <w:vAlign w:val="bottom"/>
            <w:tcBorders>
              <w:top w:val="single" w:sz="8" w:color="auto"/>
              <w:bottom w:val="single" w:sz="8" w:color="auto"/>
              <w:right w:val="single" w:sz="8" w:color="auto"/>
            </w:tcBorders>
          </w:tcPr>
          <w:p>
            <w:pPr>
              <w:spacing w:after="0"/>
              <w:rPr>
                <w:sz w:val="21"/>
                <w:szCs w:val="21"/>
                <w:color w:val="auto"/>
              </w:rPr>
            </w:pPr>
          </w:p>
        </w:tc>
        <w:tc>
          <w:tcPr>
            <w:tcW w:w="560" w:type="dxa"/>
            <w:vAlign w:val="bottom"/>
          </w:tcPr>
          <w:p>
            <w:pPr>
              <w:spacing w:after="0"/>
              <w:rPr>
                <w:sz w:val="21"/>
                <w:szCs w:val="21"/>
                <w:color w:val="auto"/>
              </w:rPr>
            </w:pPr>
          </w:p>
        </w:tc>
      </w:tr>
      <w:tr>
        <w:trPr>
          <w:trHeight w:val="170"/>
        </w:trPr>
        <w:tc>
          <w:tcPr>
            <w:tcW w:w="2580" w:type="dxa"/>
            <w:vAlign w:val="bottom"/>
            <w:tcBorders>
              <w:right w:val="single" w:sz="8" w:color="auto"/>
            </w:tcBorders>
          </w:tcPr>
          <w:p>
            <w:pPr>
              <w:ind w:left="20"/>
              <w:spacing w:after="0" w:line="170" w:lineRule="exact"/>
              <w:rPr>
                <w:sz w:val="20"/>
                <w:szCs w:val="20"/>
                <w:color w:val="auto"/>
              </w:rPr>
            </w:pPr>
            <w:r>
              <w:rPr>
                <w:rFonts w:ascii="Times New Roman" w:cs="Times New Roman" w:eastAsia="Times New Roman" w:hAnsi="Times New Roman"/>
                <w:sz w:val="18"/>
                <w:szCs w:val="18"/>
                <w:color w:val="auto"/>
              </w:rPr>
              <w:t>Term of this PSA:</w:t>
            </w:r>
          </w:p>
        </w:tc>
        <w:tc>
          <w:tcPr>
            <w:tcW w:w="8100" w:type="dxa"/>
            <w:vAlign w:val="bottom"/>
            <w:tcBorders>
              <w:right w:val="single" w:sz="8" w:color="auto"/>
            </w:tcBorders>
            <w:gridSpan w:val="2"/>
          </w:tcPr>
          <w:p>
            <w:pPr>
              <w:spacing w:after="0" w:line="170" w:lineRule="exact"/>
              <w:rPr>
                <w:sz w:val="20"/>
                <w:szCs w:val="20"/>
                <w:color w:val="auto"/>
              </w:rPr>
            </w:pPr>
            <w:r>
              <w:rPr>
                <w:rFonts w:ascii="Times New Roman" w:cs="Times New Roman" w:eastAsia="Times New Roman" w:hAnsi="Times New Roman"/>
                <w:sz w:val="18"/>
                <w:szCs w:val="18"/>
                <w:color w:val="auto"/>
              </w:rPr>
              <w:t>This PSA shall come into force on the PSA Effective Date and shall, unless terminated sooner by a party in</w:t>
            </w:r>
          </w:p>
        </w:tc>
        <w:tc>
          <w:tcPr>
            <w:tcW w:w="560" w:type="dxa"/>
            <w:vAlign w:val="bottom"/>
          </w:tcPr>
          <w:p>
            <w:pPr>
              <w:spacing w:after="0"/>
              <w:rPr>
                <w:sz w:val="14"/>
                <w:szCs w:val="14"/>
                <w:color w:val="auto"/>
              </w:rPr>
            </w:pPr>
          </w:p>
        </w:tc>
      </w:tr>
      <w:tr>
        <w:trPr>
          <w:trHeight w:val="238"/>
        </w:trPr>
        <w:tc>
          <w:tcPr>
            <w:tcW w:w="2580" w:type="dxa"/>
            <w:vAlign w:val="bottom"/>
            <w:tcBorders>
              <w:right w:val="single" w:sz="8" w:color="auto"/>
            </w:tcBorders>
          </w:tcPr>
          <w:p>
            <w:pPr>
              <w:spacing w:after="0"/>
              <w:rPr>
                <w:sz w:val="20"/>
                <w:szCs w:val="20"/>
                <w:color w:val="auto"/>
              </w:rPr>
            </w:pPr>
          </w:p>
        </w:tc>
        <w:tc>
          <w:tcPr>
            <w:tcW w:w="8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accordance with the terms of the Agreement, continue for an initial period of [***] (the “</w:t>
            </w:r>
            <w:r>
              <w:rPr>
                <w:rFonts w:ascii="Times New Roman" w:cs="Times New Roman" w:eastAsia="Times New Roman" w:hAnsi="Times New Roman"/>
                <w:sz w:val="18"/>
                <w:szCs w:val="18"/>
                <w:b w:val="1"/>
                <w:bCs w:val="1"/>
                <w:color w:val="auto"/>
              </w:rPr>
              <w:t>Initial Term</w:t>
            </w: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432"/>
        </w:trPr>
        <w:tc>
          <w:tcPr>
            <w:tcW w:w="2580" w:type="dxa"/>
            <w:vAlign w:val="bottom"/>
            <w:tcBorders>
              <w:right w:val="single" w:sz="8" w:color="auto"/>
            </w:tcBorders>
          </w:tcPr>
          <w:p>
            <w:pPr>
              <w:spacing w:after="0"/>
              <w:rPr>
                <w:sz w:val="24"/>
                <w:szCs w:val="24"/>
                <w:color w:val="auto"/>
              </w:rPr>
            </w:pPr>
          </w:p>
        </w:tc>
        <w:tc>
          <w:tcPr>
            <w:tcW w:w="8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term of this PSA shall renew automatically for a period of [***] (the “</w:t>
            </w:r>
            <w:r>
              <w:rPr>
                <w:rFonts w:ascii="Times New Roman" w:cs="Times New Roman" w:eastAsia="Times New Roman" w:hAnsi="Times New Roman"/>
                <w:sz w:val="18"/>
                <w:szCs w:val="18"/>
                <w:b w:val="1"/>
                <w:bCs w:val="1"/>
                <w:color w:val="auto"/>
              </w:rPr>
              <w:t>Subsequent Term</w:t>
            </w:r>
            <w:r>
              <w:rPr>
                <w:rFonts w:ascii="Times New Roman" w:cs="Times New Roman" w:eastAsia="Times New Roman" w:hAnsi="Times New Roman"/>
                <w:sz w:val="18"/>
                <w:szCs w:val="18"/>
                <w:color w:val="auto"/>
              </w:rPr>
              <w:t>”) on expiry of:</w:t>
            </w:r>
          </w:p>
        </w:tc>
        <w:tc>
          <w:tcPr>
            <w:tcW w:w="560" w:type="dxa"/>
            <w:vAlign w:val="bottom"/>
          </w:tcPr>
          <w:p>
            <w:pPr>
              <w:spacing w:after="0"/>
              <w:rPr>
                <w:sz w:val="24"/>
                <w:szCs w:val="24"/>
                <w:color w:val="auto"/>
              </w:rPr>
            </w:pPr>
          </w:p>
        </w:tc>
      </w:tr>
      <w:tr>
        <w:trPr>
          <w:trHeight w:val="432"/>
        </w:trPr>
        <w:tc>
          <w:tcPr>
            <w:tcW w:w="2580" w:type="dxa"/>
            <w:vAlign w:val="bottom"/>
            <w:tcBorders>
              <w:right w:val="single" w:sz="8" w:color="auto"/>
            </w:tcBorders>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23.5.1</w:t>
            </w:r>
          </w:p>
        </w:tc>
        <w:tc>
          <w:tcPr>
            <w:tcW w:w="7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Initial Term; and</w:t>
            </w:r>
          </w:p>
        </w:tc>
        <w:tc>
          <w:tcPr>
            <w:tcW w:w="560" w:type="dxa"/>
            <w:vAlign w:val="bottom"/>
          </w:tcPr>
          <w:p>
            <w:pPr>
              <w:spacing w:after="0"/>
              <w:rPr>
                <w:sz w:val="24"/>
                <w:szCs w:val="24"/>
                <w:color w:val="auto"/>
              </w:rPr>
            </w:pPr>
          </w:p>
        </w:tc>
      </w:tr>
      <w:tr>
        <w:trPr>
          <w:trHeight w:val="432"/>
        </w:trPr>
        <w:tc>
          <w:tcPr>
            <w:tcW w:w="2580" w:type="dxa"/>
            <w:vAlign w:val="bottom"/>
            <w:tcBorders>
              <w:right w:val="single" w:sz="8" w:color="auto"/>
            </w:tcBorders>
          </w:tcPr>
          <w:p>
            <w:pPr>
              <w:spacing w:after="0"/>
              <w:rPr>
                <w:sz w:val="24"/>
                <w:szCs w:val="24"/>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23.5.2</w:t>
            </w:r>
          </w:p>
        </w:tc>
        <w:tc>
          <w:tcPr>
            <w:tcW w:w="7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each Subsequent Term,</w:t>
            </w:r>
          </w:p>
        </w:tc>
        <w:tc>
          <w:tcPr>
            <w:tcW w:w="560" w:type="dxa"/>
            <w:vAlign w:val="bottom"/>
          </w:tcPr>
          <w:p>
            <w:pPr>
              <w:spacing w:after="0"/>
              <w:rPr>
                <w:sz w:val="24"/>
                <w:szCs w:val="24"/>
                <w:color w:val="auto"/>
              </w:rPr>
            </w:pPr>
          </w:p>
        </w:tc>
      </w:tr>
      <w:tr>
        <w:trPr>
          <w:trHeight w:val="414"/>
        </w:trPr>
        <w:tc>
          <w:tcPr>
            <w:tcW w:w="2580" w:type="dxa"/>
            <w:vAlign w:val="bottom"/>
            <w:tcBorders>
              <w:right w:val="single" w:sz="8" w:color="auto"/>
            </w:tcBorders>
          </w:tcPr>
          <w:p>
            <w:pPr>
              <w:spacing w:after="0"/>
              <w:rPr>
                <w:sz w:val="24"/>
                <w:szCs w:val="24"/>
                <w:color w:val="auto"/>
              </w:rPr>
            </w:pPr>
          </w:p>
        </w:tc>
        <w:tc>
          <w:tcPr>
            <w:tcW w:w="81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unless and until terminated by either party giving no less than [***] prior written notice to the other, such notice</w:t>
            </w:r>
          </w:p>
        </w:tc>
        <w:tc>
          <w:tcPr>
            <w:tcW w:w="560" w:type="dxa"/>
            <w:vAlign w:val="bottom"/>
          </w:tcPr>
          <w:p>
            <w:pPr>
              <w:spacing w:after="0"/>
              <w:rPr>
                <w:sz w:val="24"/>
                <w:szCs w:val="24"/>
                <w:color w:val="auto"/>
              </w:rPr>
            </w:pPr>
          </w:p>
        </w:tc>
      </w:tr>
      <w:tr>
        <w:trPr>
          <w:trHeight w:val="234"/>
        </w:trPr>
        <w:tc>
          <w:tcPr>
            <w:tcW w:w="2580" w:type="dxa"/>
            <w:vAlign w:val="bottom"/>
            <w:tcBorders>
              <w:bottom w:val="single" w:sz="8" w:color="auto"/>
              <w:right w:val="single" w:sz="8" w:color="auto"/>
            </w:tcBorders>
          </w:tcPr>
          <w:p>
            <w:pPr>
              <w:spacing w:after="0"/>
              <w:rPr>
                <w:sz w:val="20"/>
                <w:szCs w:val="20"/>
                <w:color w:val="auto"/>
              </w:rPr>
            </w:pPr>
          </w:p>
        </w:tc>
        <w:tc>
          <w:tcPr>
            <w:tcW w:w="81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 expire on the last day of the Initial Term or of any Subsequent Term.</w:t>
            </w:r>
          </w:p>
        </w:tc>
        <w:tc>
          <w:tcPr>
            <w:tcW w:w="560" w:type="dxa"/>
            <w:vAlign w:val="bottom"/>
          </w:tcPr>
          <w:p>
            <w:pPr>
              <w:spacing w:after="0"/>
              <w:rPr>
                <w:sz w:val="20"/>
                <w:szCs w:val="20"/>
                <w:color w:val="auto"/>
              </w:rPr>
            </w:pPr>
          </w:p>
        </w:tc>
      </w:tr>
      <w:tr>
        <w:trPr>
          <w:trHeight w:val="209"/>
        </w:trPr>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Batch Price:</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[INSERT]</w:t>
            </w:r>
          </w:p>
        </w:tc>
        <w:tc>
          <w:tcPr>
            <w:tcW w:w="7280" w:type="dxa"/>
            <w:vAlign w:val="bottom"/>
            <w:tcBorders>
              <w:bottom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191"/>
        </w:trPr>
        <w:tc>
          <w:tcPr>
            <w:tcW w:w="2580" w:type="dxa"/>
            <w:vAlign w:val="bottom"/>
            <w:tcBorders>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Estimated  Pass  Through  Costs</w:t>
            </w:r>
          </w:p>
        </w:tc>
        <w:tc>
          <w:tcPr>
            <w:tcW w:w="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[INSERT]</w:t>
            </w:r>
          </w:p>
        </w:tc>
        <w:tc>
          <w:tcPr>
            <w:tcW w:w="728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 Batch):</w:t>
            </w:r>
          </w:p>
        </w:tc>
        <w:tc>
          <w:tcPr>
            <w:tcW w:w="820" w:type="dxa"/>
            <w:vAlign w:val="bottom"/>
            <w:tcBorders>
              <w:bottom w:val="single" w:sz="8" w:color="auto"/>
            </w:tcBorders>
          </w:tcPr>
          <w:p>
            <w:pPr>
              <w:spacing w:after="0"/>
              <w:rPr>
                <w:sz w:val="20"/>
                <w:szCs w:val="20"/>
                <w:color w:val="auto"/>
              </w:rPr>
            </w:pPr>
          </w:p>
        </w:tc>
        <w:tc>
          <w:tcPr>
            <w:tcW w:w="72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Annual Service Fees</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[INSERT]</w:t>
            </w:r>
          </w:p>
        </w:tc>
        <w:tc>
          <w:tcPr>
            <w:tcW w:w="7280" w:type="dxa"/>
            <w:vAlign w:val="bottom"/>
            <w:tcBorders>
              <w:bottom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Minimum Annual Quantity:</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[INSERT]</w:t>
            </w:r>
          </w:p>
        </w:tc>
        <w:tc>
          <w:tcPr>
            <w:tcW w:w="7280" w:type="dxa"/>
            <w:vAlign w:val="bottom"/>
            <w:tcBorders>
              <w:bottom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Annual Quantity:</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[INSERT]</w:t>
            </w:r>
          </w:p>
        </w:tc>
        <w:tc>
          <w:tcPr>
            <w:tcW w:w="7280" w:type="dxa"/>
            <w:vAlign w:val="bottom"/>
            <w:tcBorders>
              <w:bottom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Shelf Life (of Product)</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[INSERT]</w:t>
            </w:r>
          </w:p>
        </w:tc>
        <w:tc>
          <w:tcPr>
            <w:tcW w:w="7280" w:type="dxa"/>
            <w:vAlign w:val="bottom"/>
            <w:tcBorders>
              <w:bottom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Program Manager:</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[INSERT]</w:t>
            </w:r>
          </w:p>
        </w:tc>
        <w:tc>
          <w:tcPr>
            <w:tcW w:w="7280" w:type="dxa"/>
            <w:vAlign w:val="bottom"/>
            <w:tcBorders>
              <w:bottom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25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Customer Deliverables:</w:t>
            </w: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[INSERT]</w:t>
            </w:r>
          </w:p>
        </w:tc>
        <w:tc>
          <w:tcPr>
            <w:tcW w:w="7280" w:type="dxa"/>
            <w:vAlign w:val="bottom"/>
            <w:tcBorders>
              <w:bottom w:val="single" w:sz="8" w:color="auto"/>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r>
      <w:tr>
        <w:trPr>
          <w:trHeight w:val="189"/>
        </w:trPr>
        <w:tc>
          <w:tcPr>
            <w:tcW w:w="2580" w:type="dxa"/>
            <w:vAlign w:val="bottom"/>
            <w:tcBorders>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Applicable Quality Agreement:</w:t>
            </w:r>
          </w:p>
        </w:tc>
        <w:tc>
          <w:tcPr>
            <w:tcW w:w="8100" w:type="dxa"/>
            <w:vAlign w:val="bottom"/>
            <w:tcBorders>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color w:val="auto"/>
              </w:rPr>
              <w:t>The Quality Agreement signed by the parties on [INSERT DATE] [</w:t>
            </w:r>
            <w:r>
              <w:rPr>
                <w:rFonts w:ascii="Times New Roman" w:cs="Times New Roman" w:eastAsia="Times New Roman" w:hAnsi="Times New Roman"/>
                <w:sz w:val="18"/>
                <w:szCs w:val="18"/>
                <w:i w:val="1"/>
                <w:iCs w:val="1"/>
                <w:color w:val="auto"/>
              </w:rPr>
              <w:t>and having document reference number</w:t>
            </w:r>
          </w:p>
        </w:tc>
        <w:tc>
          <w:tcPr>
            <w:tcW w:w="560" w:type="dxa"/>
            <w:vAlign w:val="bottom"/>
          </w:tcPr>
          <w:p>
            <w:pPr>
              <w:spacing w:after="0"/>
              <w:rPr>
                <w:sz w:val="16"/>
                <w:szCs w:val="16"/>
                <w:color w:val="auto"/>
              </w:rPr>
            </w:pPr>
          </w:p>
        </w:tc>
      </w:tr>
      <w:tr>
        <w:trPr>
          <w:trHeight w:val="236"/>
        </w:trPr>
        <w:tc>
          <w:tcPr>
            <w:tcW w:w="25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[INSERT]</w:t>
            </w:r>
            <w:r>
              <w:rPr>
                <w:rFonts w:ascii="Times New Roman" w:cs="Times New Roman" w:eastAsia="Times New Roman" w:hAnsi="Times New Roman"/>
                <w:sz w:val="18"/>
                <w:szCs w:val="18"/>
                <w:color w:val="auto"/>
              </w:rPr>
              <w:t>.</w:t>
            </w:r>
          </w:p>
        </w:tc>
        <w:tc>
          <w:tcPr>
            <w:tcW w:w="728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425"/>
        </w:trPr>
        <w:tc>
          <w:tcPr>
            <w:tcW w:w="2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tcPr>
          <w:p>
            <w:pPr>
              <w:jc w:val="right"/>
              <w:ind w:right="4870"/>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tcPr>
          <w:p>
            <w:pPr>
              <w:spacing w:after="0"/>
              <w:rPr>
                <w:sz w:val="24"/>
                <w:szCs w:val="24"/>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color w:val="auto"/>
        </w:rPr>
        <w:t>This PSA is hereby agreed between the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r>
        <w:rPr>
          <w:rFonts w:ascii="Times New Roman" w:cs="Times New Roman" w:eastAsia="Times New Roman" w:hAnsi="Times New Roman"/>
          <w:sz w:val="18"/>
          <w:szCs w:val="18"/>
          <w:b w:val="1"/>
          <w:bCs w:val="1"/>
          <w:color w:val="auto"/>
        </w:rPr>
        <w:t xml:space="preserve"> FUJIFILM DIOSYNTH BIOTECHNOLOGIES NORTH CAROLINA, INC. :</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r>
              <w:rPr>
                <w:rFonts w:ascii="Times New Roman" w:cs="Times New Roman" w:eastAsia="Times New Roman" w:hAnsi="Times New Roman"/>
                <w:sz w:val="18"/>
                <w:szCs w:val="18"/>
                <w:b w:val="1"/>
                <w:bCs w:val="1"/>
                <w:color w:val="auto"/>
              </w:rPr>
              <w:t xml:space="preserve"> TG THERAPEUTICS, INC</w:t>
            </w:r>
            <w:r>
              <w:rPr>
                <w:rFonts w:ascii="Times New Roman" w:cs="Times New Roman" w:eastAsia="Times New Roman" w:hAnsi="Times New Roman"/>
                <w:sz w:val="18"/>
                <w:szCs w:val="18"/>
                <w:color w:val="auto"/>
              </w:rPr>
              <w:t>:</w:t>
            </w:r>
          </w:p>
        </w:tc>
        <w:tc>
          <w:tcPr>
            <w:tcW w:w="6260" w:type="dxa"/>
            <w:vAlign w:val="bottom"/>
          </w:tcPr>
          <w:p>
            <w:pPr>
              <w:spacing w:after="0"/>
              <w:rPr>
                <w:sz w:val="20"/>
                <w:szCs w:val="20"/>
                <w:color w:val="auto"/>
              </w:rPr>
            </w:pPr>
          </w:p>
        </w:tc>
      </w:tr>
      <w:tr>
        <w:trPr>
          <w:trHeight w:val="64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Signature:</w:t>
            </w:r>
          </w:p>
        </w:tc>
      </w:tr>
      <w:tr>
        <w:trPr>
          <w:trHeight w:val="64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648"/>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2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32"/>
        </w:trPr>
        <w:tc>
          <w:tcPr>
            <w:tcW w:w="4980" w:type="dxa"/>
            <w:vAlign w:val="bottom"/>
          </w:tcPr>
          <w:p>
            <w:pPr>
              <w:spacing w:after="0"/>
              <w:rPr>
                <w:sz w:val="24"/>
                <w:szCs w:val="24"/>
                <w:color w:val="auto"/>
              </w:rPr>
            </w:pPr>
          </w:p>
        </w:tc>
        <w:tc>
          <w:tcPr>
            <w:tcW w:w="626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51</w:t>
            </w:r>
          </w:p>
        </w:tc>
      </w:tr>
      <w:tr>
        <w:trPr>
          <w:trHeight w:val="115"/>
        </w:trPr>
        <w:tc>
          <w:tcPr>
            <w:tcW w:w="4980" w:type="dxa"/>
            <w:vAlign w:val="bottom"/>
            <w:tcBorders>
              <w:bottom w:val="single" w:sz="8" w:color="auto"/>
            </w:tcBorders>
          </w:tcPr>
          <w:p>
            <w:pPr>
              <w:spacing w:after="0"/>
              <w:rPr>
                <w:sz w:val="10"/>
                <w:szCs w:val="10"/>
                <w:color w:val="auto"/>
              </w:rPr>
            </w:pPr>
          </w:p>
        </w:tc>
        <w:tc>
          <w:tcPr>
            <w:tcW w:w="6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40" w:name="page141"/>
    <w:bookmarkEnd w:id="140"/>
    <w:p>
      <w:pPr>
        <w:jc w:val="right"/>
        <w:ind w:right="3479"/>
        <w:spacing w:after="0"/>
        <w:rPr>
          <w:sz w:val="20"/>
          <w:szCs w:val="20"/>
          <w:color w:val="auto"/>
        </w:rPr>
      </w:pPr>
      <w:r>
        <w:rPr>
          <w:rFonts w:ascii="Times New Roman" w:cs="Times New Roman" w:eastAsia="Times New Roman" w:hAnsi="Times New Roman"/>
          <w:sz w:val="18"/>
          <w:szCs w:val="18"/>
          <w:b w:val="1"/>
          <w:bCs w:val="1"/>
          <w:u w:val="single" w:color="auto"/>
          <w:color w:val="auto"/>
        </w:rPr>
        <w:t>Agreement Signature Page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SIGNED for and on behalf of FUJIFILM DIOSYNTH NORTH CAROLINA, INC.:</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SIGNED for and on behalf of FUJIFILM DIOSYNTH DENMARK APS:</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r>
        <w:rPr>
          <w:rFonts w:ascii="Times New Roman" w:cs="Times New Roman" w:eastAsia="Times New Roman" w:hAnsi="Times New Roman"/>
          <w:sz w:val="18"/>
          <w:szCs w:val="18"/>
          <w:b w:val="1"/>
          <w:bCs w:val="1"/>
          <w:color w:val="auto"/>
        </w:rPr>
        <w:t xml:space="preserve"> TG THERAPEUTICS, INC.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139"/>
          </w:cols>
          <w:pgMar w:left="320" w:top="576"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Weiss, certify that:</w:t>
      </w:r>
    </w:p>
    <w:p>
      <w:pPr>
        <w:spacing w:after="0" w:line="225" w:lineRule="exact"/>
        <w:rPr>
          <w:sz w:val="20"/>
          <w:szCs w:val="20"/>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A. Power, certify that:</w:t>
      </w:r>
    </w:p>
    <w:p>
      <w:pPr>
        <w:spacing w:after="0" w:line="225" w:lineRule="exact"/>
        <w:rPr>
          <w:sz w:val="20"/>
          <w:szCs w:val="20"/>
          <w:color w:val="auto"/>
        </w:rPr>
      </w:pPr>
    </w:p>
    <w:p>
      <w:pPr>
        <w:ind w:left="340" w:hanging="332"/>
        <w:spacing w:after="0"/>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TG Therapeutics,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6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17" w:right="33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7,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2">
            <w:col w:w="4900" w:space="720"/>
            <w:col w:w="5620"/>
          </w:cols>
          <w:pgMar w:left="320" w:top="117" w:right="33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EXECUTIVE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September 30, 2024 as filed with the Securities and Exchange Commission (the “Report”), I, Michael S. Weiss, Chairman, Chief Executive Officer and President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 Weiss</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S. Weiss</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CHIEF FINANCIAL OFFICER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TG Therapeutics, Inc. (the “Company”) on Form 10-Q for the period ended September 30, 2024 as filed with the Securities and Exchange Commission (the “Report”), I, Sean A. Power, Chief Financial Officer of the Company, certify, pursuant to 18 U.S.C. §1350, as adopted pursuant to §906 of the Sarbanes-Oxley Act of 2002, that, based on my knowledge:</w:t>
      </w:r>
    </w:p>
    <w:p>
      <w:pPr>
        <w:spacing w:after="0" w:line="176"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17"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7, 2024</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3566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Sean A. Power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2">
        <w:col w:w="4900" w:space="720"/>
        <w:col w:w="562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1)"/>
      <w:numFmt w:val="decimal"/>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1)"/>
      <w:numFmt w:val="lowerRoman"/>
      <w:start w:val="2"/>
    </w:lvl>
    <w:lvl w:ilvl="1">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abstractNum>
  <w:abstractNum w:abstractNumId="41">
    <w:nsid w:val="661E3F1E"/>
    <w:multiLevelType w:val="hybridMultilevel"/>
    <w:lvl w:ilvl="0">
      <w:lvlJc w:val="left"/>
      <w:lvlText w:val="(%1)"/>
      <w:numFmt w:val="decimal"/>
      <w:start w:val="1"/>
    </w:lvl>
  </w:abstractNum>
  <w:abstractNum w:abstractNumId="42">
    <w:nsid w:val="5DC79EA8"/>
    <w:multiLevelType w:val="hybridMultilevel"/>
    <w:lvl w:ilvl="0">
      <w:lvlJc w:val="left"/>
      <w:lvlText w:val="(%1)"/>
      <w:numFmt w:val="upperLetter"/>
      <w:start w:val="1"/>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1."/>
      <w:numFmt w:val="decimal"/>
      <w:start w:val="2"/>
    </w:lvl>
  </w:abstractNum>
  <w:abstractNum w:abstractNumId="45">
    <w:nsid w:val="51D9C564"/>
    <w:multiLevelType w:val="hybridMultilevel"/>
    <w:lvl w:ilvl="0">
      <w:lvlJc w:val="left"/>
      <w:lvlText w:val="(%1)"/>
      <w:numFmt w:val="lowerLetter"/>
      <w:start w:val="1"/>
    </w:lvl>
  </w:abstractNum>
  <w:abstractNum w:abstractNumId="46">
    <w:nsid w:val="613EFDC5"/>
    <w:multiLevelType w:val="hybridMultilevel"/>
    <w:lvl w:ilvl="0">
      <w:lvlJc w:val="left"/>
      <w:lvlText w:val="(%1)"/>
      <w:numFmt w:val="lowerLetter"/>
      <w:start w:val="2"/>
    </w:lvl>
  </w:abstractNum>
  <w:abstractNum w:abstractNumId="47">
    <w:nsid w:val="BF72B14"/>
    <w:multiLevelType w:val="hybridMultilevel"/>
    <w:lvl w:ilvl="0">
      <w:lvlJc w:val="left"/>
      <w:lvlText w:val="%1."/>
      <w:numFmt w:val="decimal"/>
      <w:start w:val="3"/>
    </w:lvl>
  </w:abstractNum>
  <w:abstractNum w:abstractNumId="48">
    <w:nsid w:val="11447B73"/>
    <w:multiLevelType w:val="hybridMultilevel"/>
    <w:lvl w:ilvl="0">
      <w:lvlJc w:val="left"/>
      <w:lvlText w:val="%1."/>
      <w:numFmt w:val="decimal"/>
      <w:start w:val="4"/>
    </w:lvl>
  </w:abstractNum>
  <w:abstractNum w:abstractNumId="49">
    <w:nsid w:val="42963E5A"/>
    <w:multiLevelType w:val="hybridMultilevel"/>
    <w:lvl w:ilvl="0">
      <w:lvlJc w:val="left"/>
      <w:lvlText w:val="%1."/>
      <w:numFmt w:val="decimal"/>
      <w:start w:val="5"/>
    </w:lvl>
  </w:abstractNum>
  <w:abstractNum w:abstractNumId="50">
    <w:nsid w:val="A0382C5"/>
    <w:multiLevelType w:val="hybridMultilevel"/>
    <w:lvl w:ilvl="0">
      <w:lvlJc w:val="left"/>
      <w:lvlText w:val="(%1)"/>
      <w:numFmt w:val="lowerLetter"/>
      <w:start w:val="3"/>
    </w:lvl>
  </w:abstractNum>
  <w:abstractNum w:abstractNumId="51">
    <w:nsid w:val="8F2B15E"/>
    <w:multiLevelType w:val="hybridMultilevel"/>
    <w:lvl w:ilvl="0">
      <w:lvlJc w:val="left"/>
      <w:lvlText w:val="%1."/>
      <w:numFmt w:val="decimal"/>
      <w:start w:val="6"/>
    </w:lvl>
  </w:abstractNum>
  <w:abstractNum w:abstractNumId="52">
    <w:nsid w:val="1A32234B"/>
    <w:multiLevelType w:val="hybridMultilevel"/>
    <w:lvl w:ilvl="0">
      <w:lvlJc w:val="left"/>
      <w:lvlText w:val="(%1)"/>
      <w:numFmt w:val="lowerLetter"/>
      <w:start w:val="2"/>
    </w:lvl>
  </w:abstractNum>
  <w:abstractNum w:abstractNumId="53">
    <w:nsid w:val="3B0FD379"/>
    <w:multiLevelType w:val="hybridMultilevel"/>
    <w:lvl w:ilvl="0">
      <w:lvlJc w:val="left"/>
      <w:lvlText w:val="%1."/>
      <w:numFmt w:val="decimal"/>
      <w:start w:val="7"/>
    </w:lvl>
  </w:abstractNum>
  <w:abstractNum w:abstractNumId="54">
    <w:nsid w:val="68EB2F63"/>
    <w:multiLevelType w:val="hybridMultilevel"/>
    <w:lvl w:ilvl="0">
      <w:lvlJc w:val="left"/>
      <w:lvlText w:val="%1."/>
      <w:numFmt w:val="decimal"/>
      <w:start w:val="8"/>
    </w:lvl>
  </w:abstractNum>
  <w:abstractNum w:abstractNumId="55">
    <w:nsid w:val="4962813B"/>
    <w:multiLevelType w:val="hybridMultilevel"/>
    <w:lvl w:ilvl="0">
      <w:lvlJc w:val="left"/>
      <w:lvlText w:val="%1."/>
      <w:numFmt w:val="decimal"/>
      <w:start w:val="9"/>
    </w:lvl>
  </w:abstractNum>
  <w:abstractNum w:abstractNumId="56">
    <w:nsid w:val="60B6DF70"/>
    <w:multiLevelType w:val="hybridMultilevel"/>
    <w:lvl w:ilvl="0">
      <w:lvlJc w:val="left"/>
      <w:lvlText w:val="(%1)"/>
      <w:numFmt w:val="lowerLetter"/>
      <w:start w:val="1"/>
    </w:lvl>
  </w:abstractNum>
  <w:abstractNum w:abstractNumId="57">
    <w:nsid w:val="6A5EE64"/>
    <w:multiLevelType w:val="hybridMultilevel"/>
    <w:lvl w:ilvl="0">
      <w:lvlJc w:val="left"/>
      <w:lvlText w:val="(%1)"/>
      <w:numFmt w:val="lowerLetter"/>
      <w:start w:val="1"/>
    </w:lvl>
  </w:abstractNum>
  <w:abstractNum w:abstractNumId="58">
    <w:nsid w:val="14330624"/>
    <w:multiLevelType w:val="hybridMultilevel"/>
    <w:lvl w:ilvl="0">
      <w:lvlJc w:val="left"/>
      <w:lvlText w:val="(%1)"/>
      <w:numFmt w:val="lowerLetter"/>
      <w:start w:val="2"/>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1."/>
      <w:numFmt w:val="decimal"/>
      <w:start w:val="10"/>
    </w:lvl>
  </w:abstractNum>
  <w:abstractNum w:abstractNumId="61">
    <w:nsid w:val="71EA1109"/>
    <w:multiLevelType w:val="hybridMultilevel"/>
    <w:lvl w:ilvl="0">
      <w:lvlJc w:val="left"/>
      <w:lvlText w:val="%1."/>
      <w:numFmt w:val="decimal"/>
      <w:start w:val="11"/>
    </w:lvl>
  </w:abstractNum>
  <w:abstractNum w:abstractNumId="62">
    <w:nsid w:val="100F59DC"/>
    <w:multiLevelType w:val="hybridMultilevel"/>
    <w:lvl w:ilvl="0">
      <w:lvlJc w:val="left"/>
      <w:lvlText w:val="%1."/>
      <w:numFmt w:val="decimal"/>
      <w:start w:val="12"/>
    </w:lvl>
  </w:abstractNum>
  <w:abstractNum w:abstractNumId="63">
    <w:nsid w:val="7FB7E0AA"/>
    <w:multiLevelType w:val="hybridMultilevel"/>
    <w:lvl w:ilvl="0">
      <w:lvlJc w:val="left"/>
      <w:lvlText w:val="(%1)"/>
      <w:numFmt w:val="lowerLetter"/>
      <w:start w:val="1"/>
    </w:lvl>
  </w:abstractNum>
  <w:abstractNum w:abstractNumId="64">
    <w:nsid w:val="6EB5BD4"/>
    <w:multiLevelType w:val="hybridMultilevel"/>
    <w:lvl w:ilvl="0">
      <w:lvlJc w:val="left"/>
      <w:lvlText w:val="(%1)"/>
      <w:numFmt w:val="lowerLetter"/>
      <w:start w:val="1"/>
    </w:lvl>
  </w:abstractNum>
  <w:abstractNum w:abstractNumId="65">
    <w:nsid w:val="6F6DD9AC"/>
    <w:multiLevelType w:val="hybridMultilevel"/>
    <w:lvl w:ilvl="0">
      <w:lvlJc w:val="left"/>
      <w:lvlText w:val="%1."/>
      <w:numFmt w:val="decimal"/>
      <w:start w:val="13"/>
    </w:lvl>
  </w:abstractNum>
  <w:abstractNum w:abstractNumId="66">
    <w:nsid w:val="94211F2"/>
    <w:multiLevelType w:val="hybridMultilevel"/>
    <w:lvl w:ilvl="0">
      <w:lvlJc w:val="left"/>
      <w:lvlText w:val="%1."/>
      <w:numFmt w:val="decimal"/>
      <w:start w:val="14"/>
    </w:lvl>
  </w:abstractNum>
  <w:abstractNum w:abstractNumId="67">
    <w:nsid w:val="885E1B"/>
    <w:multiLevelType w:val="hybridMultilevel"/>
    <w:lvl w:ilvl="0">
      <w:lvlJc w:val="left"/>
      <w:lvlText w:val="(%1)"/>
      <w:numFmt w:val="lowerLetter"/>
      <w:start w:val="1"/>
    </w:lvl>
  </w:abstractNum>
  <w:abstractNum w:abstractNumId="68">
    <w:nsid w:val="76272110"/>
    <w:multiLevelType w:val="hybridMultilevel"/>
    <w:lvl w:ilvl="0">
      <w:lvlJc w:val="left"/>
      <w:lvlText w:val="(%1)"/>
      <w:numFmt w:val="lowerLetter"/>
      <w:start w:val="1"/>
    </w:lvl>
  </w:abstractNum>
  <w:abstractNum w:abstractNumId="69">
    <w:nsid w:val="4C04A8AF"/>
    <w:multiLevelType w:val="hybridMultilevel"/>
    <w:lvl w:ilvl="0">
      <w:lvlJc w:val="left"/>
      <w:lvlText w:val="(%1)"/>
      <w:numFmt w:val="lowerLetter"/>
      <w:start w:val="1"/>
    </w:lvl>
  </w:abstractNum>
  <w:abstractNum w:abstractNumId="70">
    <w:nsid w:val="1716703B"/>
    <w:multiLevelType w:val="hybridMultilevel"/>
    <w:lvl w:ilvl="0">
      <w:lvlJc w:val="left"/>
      <w:lvlText w:val="(%1)"/>
      <w:numFmt w:val="lowerLetter"/>
      <w:start w:val="1"/>
    </w:lvl>
  </w:abstractNum>
  <w:abstractNum w:abstractNumId="71">
    <w:nsid w:val="14E17E33"/>
    <w:multiLevelType w:val="hybridMultilevel"/>
    <w:lvl w:ilvl="0">
      <w:lvlJc w:val="left"/>
      <w:lvlText w:val="(%1)"/>
      <w:numFmt w:val="lowerLetter"/>
      <w:start w:val="1"/>
    </w:lvl>
  </w:abstractNum>
  <w:abstractNum w:abstractNumId="72">
    <w:nsid w:val="3222E7CD"/>
    <w:multiLevelType w:val="hybridMultilevel"/>
    <w:lvl w:ilvl="0">
      <w:lvlJc w:val="left"/>
      <w:lvlText w:val="(%1)"/>
      <w:numFmt w:val="lowerLetter"/>
      <w:start w:val="1"/>
    </w:lvl>
  </w:abstractNum>
  <w:abstractNum w:abstractNumId="73">
    <w:nsid w:val="74DE0EE3"/>
    <w:multiLevelType w:val="hybridMultilevel"/>
    <w:lvl w:ilvl="0">
      <w:lvlJc w:val="left"/>
      <w:lvlText w:val="(%1)"/>
      <w:numFmt w:val="lowerLetter"/>
      <w:start w:val="1"/>
    </w:lvl>
  </w:abstractNum>
  <w:abstractNum w:abstractNumId="74">
    <w:nsid w:val="68EBC550"/>
    <w:multiLevelType w:val="hybridMultilevel"/>
    <w:lvl w:ilvl="0">
      <w:lvlJc w:val="left"/>
      <w:lvlText w:val="(%1)"/>
      <w:numFmt w:val="lowerLetter"/>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1"/>
      <w:numFmt w:val="decimal"/>
      <w:start w:val="1"/>
    </w:lvl>
    <w:lvl w:ilvl="1">
      <w:lvlJc w:val="left"/>
      <w:lvlText w:val="(%2)"/>
      <w:numFmt w:val="lowerLetter"/>
      <w:start w:val="1"/>
    </w:lvl>
  </w:abstractNum>
  <w:abstractNum w:abstractNumId="77">
    <w:nsid w:val="4A2AC315"/>
    <w:multiLevelType w:val="hybridMultilevel"/>
    <w:lvl w:ilvl="0">
      <w:lvlJc w:val="left"/>
      <w:lvlText w:val="%1."/>
      <w:numFmt w:val="decimal"/>
      <w:start w:val="15"/>
    </w:lvl>
    <w:lvl w:ilvl="1">
      <w:lvlJc w:val="left"/>
      <w:lvlText w:val="%2"/>
      <w:numFmt w:val="lowerLetter"/>
      <w:start w:val="1"/>
    </w:lvl>
  </w:abstractNum>
  <w:abstractNum w:abstractNumId="78">
    <w:nsid w:val="39EE015C"/>
    <w:multiLevelType w:val="hybridMultilevel"/>
    <w:lvl w:ilvl="0">
      <w:lvlJc w:val="left"/>
      <w:lvlText w:val="%1."/>
      <w:numFmt w:val="decimal"/>
      <w:start w:val="16"/>
    </w:lvl>
  </w:abstractNum>
  <w:abstractNum w:abstractNumId="79">
    <w:nsid w:val="57FC4FBB"/>
    <w:multiLevelType w:val="hybridMultilevel"/>
    <w:lvl w:ilvl="0">
      <w:lvlJc w:val="left"/>
      <w:lvlText w:val="(%1)"/>
      <w:numFmt w:val="lowerLetter"/>
      <w:start w:val="1"/>
    </w:lvl>
  </w:abstractNum>
  <w:abstractNum w:abstractNumId="80">
    <w:nsid w:val="CC1016F"/>
    <w:multiLevelType w:val="hybridMultilevel"/>
    <w:lvl w:ilvl="0">
      <w:lvlJc w:val="left"/>
      <w:lvlText w:val="%1."/>
      <w:numFmt w:val="decimal"/>
      <w:start w:val="17"/>
    </w:lvl>
  </w:abstractNum>
  <w:abstractNum w:abstractNumId="81">
    <w:nsid w:val="43F18422"/>
    <w:multiLevelType w:val="hybridMultilevel"/>
    <w:lvl w:ilvl="0">
      <w:lvlJc w:val="left"/>
      <w:lvlText w:val="%1."/>
      <w:numFmt w:val="decimal"/>
      <w:start w:val="18"/>
    </w:lvl>
  </w:abstractNum>
  <w:abstractNum w:abstractNumId="82">
    <w:nsid w:val="60EF0119"/>
    <w:multiLevelType w:val="hybridMultilevel"/>
    <w:lvl w:ilvl="0">
      <w:lvlJc w:val="left"/>
      <w:lvlText w:val="%1."/>
      <w:numFmt w:val="decimal"/>
      <w:start w:val="19"/>
    </w:lvl>
  </w:abstractNum>
  <w:abstractNum w:abstractNumId="83">
    <w:nsid w:val="26F324BA"/>
    <w:multiLevelType w:val="hybridMultilevel"/>
    <w:lvl w:ilvl="0">
      <w:lvlJc w:val="left"/>
      <w:lvlText w:val="%1."/>
      <w:numFmt w:val="decimal"/>
      <w:start w:val="20"/>
    </w:lvl>
  </w:abstractNum>
  <w:abstractNum w:abstractNumId="84">
    <w:nsid w:val="7F01579B"/>
    <w:multiLevelType w:val="hybridMultilevel"/>
    <w:lvl w:ilvl="0">
      <w:lvlJc w:val="left"/>
      <w:lvlText w:val="%1."/>
      <w:numFmt w:val="decimal"/>
      <w:start w:val="21"/>
    </w:lvl>
  </w:abstractNum>
  <w:abstractNum w:abstractNumId="85">
    <w:nsid w:val="49DA307D"/>
    <w:multiLevelType w:val="hybridMultilevel"/>
    <w:lvl w:ilvl="0">
      <w:lvlJc w:val="left"/>
      <w:lvlText w:val="%1."/>
      <w:numFmt w:val="decimal"/>
      <w:start w:val="22"/>
    </w:lvl>
  </w:abstractNum>
  <w:abstractNum w:abstractNumId="86">
    <w:nsid w:val="7055A5F5"/>
    <w:multiLevelType w:val="hybridMultilevel"/>
    <w:lvl w:ilvl="0">
      <w:lvlJc w:val="left"/>
      <w:lvlText w:val="%1."/>
      <w:numFmt w:val="decimal"/>
      <w:start w:val="23"/>
    </w:lvl>
  </w:abstractNum>
  <w:abstractNum w:abstractNumId="87">
    <w:nsid w:val="5FB8370B"/>
    <w:multiLevelType w:val="hybridMultilevel"/>
    <w:lvl w:ilvl="0">
      <w:lvlJc w:val="left"/>
      <w:lvlText w:val="%1."/>
      <w:numFmt w:val="decimal"/>
      <w:start w:val="1"/>
    </w:lvl>
  </w:abstractNum>
  <w:abstractNum w:abstractNumId="88">
    <w:nsid w:val="50801EE1"/>
    <w:multiLevelType w:val="hybridMultilevel"/>
    <w:lvl w:ilvl="0">
      <w:lvlJc w:val="left"/>
      <w:lvlText w:val="%1."/>
      <w:numFmt w:val="decimal"/>
      <w:start w:val="2"/>
    </w:lvl>
  </w:abstractNum>
  <w:abstractNum w:abstractNumId="89">
    <w:nsid w:val="488AC1A"/>
    <w:multiLevelType w:val="hybridMultilevel"/>
    <w:lvl w:ilvl="0">
      <w:lvlJc w:val="left"/>
      <w:lvlText w:val="%1."/>
      <w:numFmt w:val="decimal"/>
      <w:start w:val="3"/>
    </w:lvl>
  </w:abstractNum>
  <w:abstractNum w:abstractNumId="90">
    <w:nsid w:val="5FB8011C"/>
    <w:multiLevelType w:val="hybridMultilevel"/>
    <w:lvl w:ilvl="0">
      <w:lvlJc w:val="left"/>
      <w:lvlText w:val="%1."/>
      <w:numFmt w:val="decimal"/>
      <w:start w:val="4"/>
    </w:lvl>
  </w:abstractNum>
  <w:abstractNum w:abstractNumId="91">
    <w:nsid w:val="6AA78F7F"/>
    <w:multiLevelType w:val="hybridMultilevel"/>
    <w:lvl w:ilvl="0">
      <w:lvlJc w:val="left"/>
      <w:lvlText w:val="(%1)"/>
      <w:numFmt w:val="lowerLetter"/>
      <w:start w:val="1"/>
    </w:lvl>
  </w:abstractNum>
  <w:abstractNum w:abstractNumId="92">
    <w:nsid w:val="7672BD23"/>
    <w:multiLevelType w:val="hybridMultilevel"/>
    <w:lvl w:ilvl="0">
      <w:lvlJc w:val="left"/>
      <w:lvlText w:val="%1."/>
      <w:numFmt w:val="decimal"/>
      <w:start w:val="5"/>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decimal"/>
      <w:start w:val="2"/>
    </w:lvl>
  </w:abstractNum>
  <w:abstractNum w:abstractNumId="95">
    <w:nsid w:val="7D5E18F8"/>
    <w:multiLevelType w:val="hybridMultilevel"/>
    <w:lvl w:ilvl="0">
      <w:lvlJc w:val="left"/>
      <w:lvlText w:val="%1."/>
      <w:numFmt w:val="decimal"/>
      <w:start w:val="3"/>
    </w:lvl>
  </w:abstractNum>
  <w:abstractNum w:abstractNumId="96">
    <w:nsid w:val="5F3534A4"/>
    <w:multiLevelType w:val="hybridMultilevel"/>
    <w:lvl w:ilvl="0">
      <w:lvlJc w:val="left"/>
      <w:lvlText w:val="%1."/>
      <w:numFmt w:val="decimal"/>
      <w:start w:val="4"/>
    </w:lvl>
  </w:abstractNum>
  <w:abstractNum w:abstractNumId="97">
    <w:nsid w:val="73A1821B"/>
    <w:multiLevelType w:val="hybridMultilevel"/>
    <w:lvl w:ilvl="0">
      <w:lvlJc w:val="left"/>
      <w:lvlText w:val="%1."/>
      <w:numFmt w:val="decimal"/>
      <w:start w:val="5"/>
    </w:lvl>
  </w:abstractNum>
  <w:abstractNum w:abstractNumId="98">
    <w:nsid w:val="7DE67713"/>
    <w:multiLevelType w:val="hybridMultilevel"/>
    <w:lvl w:ilvl="0">
      <w:lvlJc w:val="left"/>
      <w:lvlText w:val="%1."/>
      <w:numFmt w:val="decimal"/>
      <w:start w:val="1"/>
    </w:lvl>
  </w:abstractNum>
  <w:abstractNum w:abstractNumId="99">
    <w:nsid w:val="555C55B5"/>
    <w:multiLevelType w:val="hybridMultilevel"/>
    <w:lvl w:ilvl="0">
      <w:lvlJc w:val="left"/>
      <w:lvlText w:val="%1."/>
      <w:numFmt w:val="decimal"/>
      <w:start w:val="2"/>
    </w:lvl>
  </w:abstractNum>
  <w:abstractNum w:abstractNumId="100">
    <w:nsid w:val="3FA62ACA"/>
    <w:multiLevelType w:val="hybridMultilevel"/>
    <w:lvl w:ilvl="0">
      <w:lvlJc w:val="left"/>
      <w:lvlText w:val="%1."/>
      <w:numFmt w:val="decimal"/>
      <w:start w:val="3"/>
    </w:lvl>
  </w:abstractNum>
  <w:abstractNum w:abstractNumId="101">
    <w:nsid w:val="14FCE74E"/>
    <w:multiLevelType w:val="hybridMultilevel"/>
    <w:lvl w:ilvl="0">
      <w:lvlJc w:val="left"/>
      <w:lvlText w:val="%1."/>
      <w:numFmt w:val="decimal"/>
      <w:start w:val="1"/>
    </w:lvl>
    <w:lvl w:ilvl="1">
      <w:lvlJc w:val="left"/>
      <w:lvlText w:val="%2)"/>
      <w:numFmt w:val="lowerLetter"/>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2024-11-07T16:13:38Z</dcterms:created>
  <dcterms:modified xsi:type="dcterms:W3CDTF">2024-11-07T16:13:38Z</dcterms:modified>
</cp:coreProperties>
</file>