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ind w:left="340" w:right="2620" w:hanging="332"/>
        <w:spacing w:after="0" w:line="257" w:lineRule="auto"/>
        <w:tabs>
          <w:tab w:leader="none" w:pos="21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2016.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3" w:lineRule="exact"/>
        <w:rPr>
          <w:sz w:val="24"/>
          <w:szCs w:val="24"/>
          <w:color w:val="auto"/>
        </w:rPr>
      </w:pPr>
    </w:p>
    <w:p>
      <w:pPr>
        <w:ind w:left="340" w:right="2260" w:hanging="332"/>
        <w:spacing w:after="0" w:line="275" w:lineRule="auto"/>
        <w:tabs>
          <w:tab w:leader="none" w:pos="219"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 to ________.</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1-32639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TG THERAPEUTICS, INC.</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080" w:type="dxa"/>
        <w:tblCellMar>
          <w:top w:w="0" w:type="dxa"/>
          <w:left w:w="0" w:type="dxa"/>
          <w:bottom w:w="0" w:type="dxa"/>
          <w:right w:w="0" w:type="dxa"/>
        </w:tblCellMar>
      </w:tblPr>
      <w:tr>
        <w:trPr>
          <w:trHeight w:val="222"/>
        </w:trPr>
        <w:tc>
          <w:tcPr>
            <w:tcW w:w="4340" w:type="dxa"/>
            <w:vAlign w:val="bottom"/>
          </w:tcPr>
          <w:p>
            <w:pPr>
              <w:jc w:val="center"/>
              <w:ind w:right="1152"/>
              <w:spacing w:after="0"/>
              <w:rPr>
                <w:sz w:val="20"/>
                <w:szCs w:val="20"/>
                <w:color w:val="auto"/>
              </w:rPr>
            </w:pPr>
            <w:r>
              <w:rPr>
                <w:rFonts w:ascii="Arial" w:cs="Arial" w:eastAsia="Arial" w:hAnsi="Arial"/>
                <w:sz w:val="18"/>
                <w:szCs w:val="18"/>
                <w:b w:val="1"/>
                <w:bCs w:val="1"/>
                <w:color w:val="auto"/>
                <w:w w:val="88"/>
              </w:rPr>
              <w:t>Delaware</w:t>
            </w:r>
          </w:p>
        </w:tc>
        <w:tc>
          <w:tcPr>
            <w:tcW w:w="4620" w:type="dxa"/>
            <w:vAlign w:val="bottom"/>
          </w:tcPr>
          <w:p>
            <w:pPr>
              <w:jc w:val="right"/>
              <w:ind w:right="1192"/>
              <w:spacing w:after="0"/>
              <w:rPr>
                <w:sz w:val="20"/>
                <w:szCs w:val="20"/>
                <w:color w:val="auto"/>
              </w:rPr>
            </w:pPr>
            <w:r>
              <w:rPr>
                <w:rFonts w:ascii="Arial" w:cs="Arial" w:eastAsia="Arial" w:hAnsi="Arial"/>
                <w:sz w:val="18"/>
                <w:szCs w:val="18"/>
                <w:b w:val="1"/>
                <w:bCs w:val="1"/>
                <w:color w:val="auto"/>
              </w:rPr>
              <w:t>36-3898269</w:t>
            </w:r>
          </w:p>
        </w:tc>
      </w:tr>
      <w:tr>
        <w:trPr>
          <w:trHeight w:val="216"/>
        </w:trPr>
        <w:tc>
          <w:tcPr>
            <w:tcW w:w="4340" w:type="dxa"/>
            <w:vAlign w:val="bottom"/>
          </w:tcPr>
          <w:p>
            <w:pPr>
              <w:jc w:val="center"/>
              <w:ind w:right="1132"/>
              <w:spacing w:after="0"/>
              <w:rPr>
                <w:sz w:val="20"/>
                <w:szCs w:val="20"/>
                <w:color w:val="auto"/>
              </w:rPr>
            </w:pPr>
            <w:r>
              <w:rPr>
                <w:rFonts w:ascii="Arial" w:cs="Arial" w:eastAsia="Arial" w:hAnsi="Arial"/>
                <w:sz w:val="18"/>
                <w:szCs w:val="18"/>
                <w:color w:val="auto"/>
                <w:w w:val="90"/>
              </w:rPr>
              <w:t>(State or other jurisdiction of</w:t>
            </w:r>
          </w:p>
        </w:tc>
        <w:tc>
          <w:tcPr>
            <w:tcW w:w="4620" w:type="dxa"/>
            <w:vAlign w:val="bottom"/>
          </w:tcPr>
          <w:p>
            <w:pPr>
              <w:jc w:val="center"/>
              <w:ind w:left="1132"/>
              <w:spacing w:after="0"/>
              <w:rPr>
                <w:sz w:val="20"/>
                <w:szCs w:val="20"/>
                <w:color w:val="auto"/>
              </w:rPr>
            </w:pPr>
            <w:r>
              <w:rPr>
                <w:rFonts w:ascii="Arial" w:cs="Arial" w:eastAsia="Arial" w:hAnsi="Arial"/>
                <w:sz w:val="18"/>
                <w:szCs w:val="18"/>
                <w:color w:val="auto"/>
                <w:w w:val="90"/>
              </w:rPr>
              <w:t>(I.R.S. Employer</w:t>
            </w:r>
          </w:p>
        </w:tc>
      </w:tr>
      <w:tr>
        <w:trPr>
          <w:trHeight w:val="222"/>
        </w:trPr>
        <w:tc>
          <w:tcPr>
            <w:tcW w:w="4340" w:type="dxa"/>
            <w:vAlign w:val="bottom"/>
          </w:tcPr>
          <w:p>
            <w:pPr>
              <w:jc w:val="center"/>
              <w:ind w:right="1132"/>
              <w:spacing w:after="0"/>
              <w:rPr>
                <w:sz w:val="20"/>
                <w:szCs w:val="20"/>
                <w:color w:val="auto"/>
              </w:rPr>
            </w:pPr>
            <w:r>
              <w:rPr>
                <w:rFonts w:ascii="Arial" w:cs="Arial" w:eastAsia="Arial" w:hAnsi="Arial"/>
                <w:sz w:val="18"/>
                <w:szCs w:val="18"/>
                <w:color w:val="auto"/>
                <w:w w:val="90"/>
              </w:rPr>
              <w:t>incorporation or organization)</w:t>
            </w:r>
          </w:p>
        </w:tc>
        <w:tc>
          <w:tcPr>
            <w:tcW w:w="4620" w:type="dxa"/>
            <w:vAlign w:val="bottom"/>
          </w:tcPr>
          <w:p>
            <w:pPr>
              <w:jc w:val="center"/>
              <w:ind w:left="1132"/>
              <w:spacing w:after="0"/>
              <w:rPr>
                <w:sz w:val="20"/>
                <w:szCs w:val="20"/>
                <w:color w:val="auto"/>
              </w:rPr>
            </w:pPr>
            <w:r>
              <w:rPr>
                <w:rFonts w:ascii="Arial" w:cs="Arial" w:eastAsia="Arial" w:hAnsi="Arial"/>
                <w:sz w:val="18"/>
                <w:szCs w:val="18"/>
                <w:color w:val="auto"/>
                <w:w w:val="94"/>
              </w:rPr>
              <w:t>Identification No.)</w:t>
            </w:r>
          </w:p>
        </w:tc>
      </w:tr>
      <w:tr>
        <w:trPr>
          <w:trHeight w:val="419"/>
        </w:trPr>
        <w:tc>
          <w:tcPr>
            <w:tcW w:w="4340" w:type="dxa"/>
            <w:vAlign w:val="bottom"/>
          </w:tcPr>
          <w:p>
            <w:pPr>
              <w:jc w:val="center"/>
              <w:ind w:right="1132"/>
              <w:spacing w:after="0"/>
              <w:rPr>
                <w:sz w:val="20"/>
                <w:szCs w:val="20"/>
                <w:color w:val="auto"/>
              </w:rPr>
            </w:pPr>
            <w:r>
              <w:rPr>
                <w:rFonts w:ascii="Arial" w:cs="Arial" w:eastAsia="Arial" w:hAnsi="Arial"/>
                <w:sz w:val="18"/>
                <w:szCs w:val="18"/>
                <w:b w:val="1"/>
                <w:bCs w:val="1"/>
                <w:color w:val="auto"/>
                <w:w w:val="86"/>
              </w:rPr>
              <w:t>2 Gansevoort St.</w:t>
            </w:r>
          </w:p>
        </w:tc>
        <w:tc>
          <w:tcPr>
            <w:tcW w:w="4620" w:type="dxa"/>
            <w:vAlign w:val="bottom"/>
          </w:tcPr>
          <w:p>
            <w:pPr>
              <w:spacing w:after="0"/>
              <w:rPr>
                <w:sz w:val="24"/>
                <w:szCs w:val="24"/>
                <w:color w:val="auto"/>
              </w:rPr>
            </w:pPr>
          </w:p>
        </w:tc>
      </w:tr>
      <w:tr>
        <w:trPr>
          <w:trHeight w:val="217"/>
        </w:trPr>
        <w:tc>
          <w:tcPr>
            <w:tcW w:w="4340" w:type="dxa"/>
            <w:vAlign w:val="bottom"/>
          </w:tcPr>
          <w:p>
            <w:pPr>
              <w:jc w:val="center"/>
              <w:ind w:right="1152"/>
              <w:spacing w:after="0" w:line="217" w:lineRule="exact"/>
              <w:rPr>
                <w:sz w:val="20"/>
                <w:szCs w:val="20"/>
                <w:color w:val="auto"/>
              </w:rPr>
            </w:pPr>
            <w:r>
              <w:rPr>
                <w:rFonts w:ascii="Arial" w:cs="Arial" w:eastAsia="Arial" w:hAnsi="Arial"/>
                <w:sz w:val="18"/>
                <w:szCs w:val="18"/>
                <w:b w:val="1"/>
                <w:bCs w:val="1"/>
                <w:color w:val="auto"/>
                <w:w w:val="87"/>
              </w:rPr>
              <w:t>9</w:t>
            </w:r>
            <w:r>
              <w:rPr>
                <w:rFonts w:ascii="Arial" w:cs="Arial" w:eastAsia="Arial" w:hAnsi="Arial"/>
                <w:sz w:val="24"/>
                <w:szCs w:val="24"/>
                <w:b w:val="1"/>
                <w:bCs w:val="1"/>
                <w:color w:val="auto"/>
                <w:w w:val="87"/>
                <w:vertAlign w:val="superscript"/>
              </w:rPr>
              <w:t>th</w:t>
            </w:r>
            <w:r>
              <w:rPr>
                <w:rFonts w:ascii="Arial" w:cs="Arial" w:eastAsia="Arial" w:hAnsi="Arial"/>
                <w:sz w:val="18"/>
                <w:szCs w:val="18"/>
                <w:b w:val="1"/>
                <w:bCs w:val="1"/>
                <w:color w:val="auto"/>
                <w:w w:val="87"/>
              </w:rPr>
              <w:t xml:space="preserve"> Floor</w:t>
            </w:r>
          </w:p>
        </w:tc>
        <w:tc>
          <w:tcPr>
            <w:tcW w:w="4620" w:type="dxa"/>
            <w:vAlign w:val="bottom"/>
          </w:tcPr>
          <w:p>
            <w:pPr>
              <w:jc w:val="right"/>
              <w:ind w:right="1392"/>
              <w:spacing w:after="0"/>
              <w:rPr>
                <w:sz w:val="20"/>
                <w:szCs w:val="20"/>
                <w:color w:val="auto"/>
              </w:rPr>
            </w:pPr>
            <w:r>
              <w:rPr>
                <w:rFonts w:ascii="Arial" w:cs="Arial" w:eastAsia="Arial" w:hAnsi="Arial"/>
                <w:sz w:val="18"/>
                <w:szCs w:val="18"/>
                <w:b w:val="1"/>
                <w:bCs w:val="1"/>
                <w:color w:val="auto"/>
              </w:rPr>
              <w:t>10014</w:t>
            </w:r>
          </w:p>
        </w:tc>
      </w:tr>
      <w:tr>
        <w:trPr>
          <w:trHeight w:val="222"/>
        </w:trPr>
        <w:tc>
          <w:tcPr>
            <w:tcW w:w="4340" w:type="dxa"/>
            <w:vAlign w:val="bottom"/>
          </w:tcPr>
          <w:p>
            <w:pPr>
              <w:jc w:val="center"/>
              <w:ind w:right="1152"/>
              <w:spacing w:after="0"/>
              <w:rPr>
                <w:sz w:val="20"/>
                <w:szCs w:val="20"/>
                <w:color w:val="auto"/>
              </w:rPr>
            </w:pPr>
            <w:r>
              <w:rPr>
                <w:rFonts w:ascii="Arial" w:cs="Arial" w:eastAsia="Arial" w:hAnsi="Arial"/>
                <w:sz w:val="18"/>
                <w:szCs w:val="18"/>
                <w:b w:val="1"/>
                <w:bCs w:val="1"/>
                <w:color w:val="auto"/>
                <w:w w:val="90"/>
              </w:rPr>
              <w:t>New York, New York</w:t>
            </w:r>
          </w:p>
        </w:tc>
        <w:tc>
          <w:tcPr>
            <w:tcW w:w="4620" w:type="dxa"/>
            <w:vAlign w:val="bottom"/>
          </w:tcPr>
          <w:p>
            <w:pPr>
              <w:jc w:val="center"/>
              <w:ind w:left="1132"/>
              <w:spacing w:after="0"/>
              <w:rPr>
                <w:sz w:val="20"/>
                <w:szCs w:val="20"/>
                <w:color w:val="auto"/>
              </w:rPr>
            </w:pPr>
            <w:r>
              <w:rPr>
                <w:rFonts w:ascii="Arial" w:cs="Arial" w:eastAsia="Arial" w:hAnsi="Arial"/>
                <w:sz w:val="18"/>
                <w:szCs w:val="18"/>
                <w:color w:val="auto"/>
                <w:w w:val="89"/>
              </w:rPr>
              <w:t>(Zip Code)</w:t>
            </w:r>
          </w:p>
        </w:tc>
      </w:tr>
      <w:tr>
        <w:trPr>
          <w:trHeight w:val="222"/>
        </w:trPr>
        <w:tc>
          <w:tcPr>
            <w:tcW w:w="4340" w:type="dxa"/>
            <w:vAlign w:val="bottom"/>
          </w:tcPr>
          <w:p>
            <w:pPr>
              <w:jc w:val="center"/>
              <w:ind w:right="1152"/>
              <w:spacing w:after="0"/>
              <w:rPr>
                <w:sz w:val="20"/>
                <w:szCs w:val="20"/>
                <w:color w:val="auto"/>
              </w:rPr>
            </w:pPr>
            <w:r>
              <w:rPr>
                <w:rFonts w:ascii="Arial" w:cs="Arial" w:eastAsia="Arial" w:hAnsi="Arial"/>
                <w:sz w:val="18"/>
                <w:szCs w:val="18"/>
                <w:color w:val="auto"/>
                <w:w w:val="90"/>
              </w:rPr>
              <w:t>(Address of principal executive offices)</w:t>
            </w:r>
          </w:p>
        </w:tc>
        <w:tc>
          <w:tcPr>
            <w:tcW w:w="4620" w:type="dxa"/>
            <w:vAlign w:val="bottom"/>
          </w:tcPr>
          <w:p>
            <w:pPr>
              <w:spacing w:after="0"/>
              <w:rPr>
                <w:sz w:val="19"/>
                <w:szCs w:val="19"/>
                <w:color w:val="auto"/>
              </w:rPr>
            </w:pPr>
          </w:p>
        </w:tc>
      </w:tr>
      <w:tr>
        <w:trPr>
          <w:trHeight w:val="432"/>
        </w:trPr>
        <w:tc>
          <w:tcPr>
            <w:tcW w:w="8960" w:type="dxa"/>
            <w:vAlign w:val="bottom"/>
            <w:gridSpan w:val="2"/>
          </w:tcPr>
          <w:p>
            <w:pPr>
              <w:ind w:left="2360"/>
              <w:spacing w:after="0"/>
              <w:rPr>
                <w:sz w:val="20"/>
                <w:szCs w:val="20"/>
                <w:color w:val="auto"/>
              </w:rPr>
            </w:pPr>
            <w:r>
              <w:rPr>
                <w:rFonts w:ascii="Arial" w:cs="Arial" w:eastAsia="Arial" w:hAnsi="Arial"/>
                <w:sz w:val="18"/>
                <w:szCs w:val="18"/>
                <w:b w:val="1"/>
                <w:bCs w:val="1"/>
                <w:color w:val="auto"/>
              </w:rPr>
              <w:t>Registrant’s telephone number, including area code: (212) 554-4484</w:t>
            </w:r>
          </w:p>
        </w:tc>
      </w:tr>
      <w:tr>
        <w:trPr>
          <w:trHeight w:val="432"/>
        </w:trPr>
        <w:tc>
          <w:tcPr>
            <w:tcW w:w="8960" w:type="dxa"/>
            <w:vAlign w:val="bottom"/>
            <w:gridSpan w:val="2"/>
          </w:tcPr>
          <w:p>
            <w:pPr>
              <w:ind w:left="2500"/>
              <w:spacing w:after="0"/>
              <w:rPr>
                <w:sz w:val="20"/>
                <w:szCs w:val="20"/>
                <w:color w:val="auto"/>
              </w:rPr>
            </w:pPr>
            <w:r>
              <w:rPr>
                <w:rFonts w:ascii="Arial" w:cs="Arial" w:eastAsia="Arial" w:hAnsi="Arial"/>
                <w:sz w:val="18"/>
                <w:szCs w:val="18"/>
                <w:b w:val="1"/>
                <w:bCs w:val="1"/>
                <w:color w:val="auto"/>
              </w:rPr>
              <w:t>Securities registered pursuant to Section 12(b) of the Act:</w:t>
            </w:r>
          </w:p>
        </w:tc>
      </w:tr>
      <w:tr>
        <w:trPr>
          <w:trHeight w:val="426"/>
        </w:trPr>
        <w:tc>
          <w:tcPr>
            <w:tcW w:w="4340" w:type="dxa"/>
            <w:vAlign w:val="bottom"/>
          </w:tcPr>
          <w:p>
            <w:pPr>
              <w:jc w:val="center"/>
              <w:ind w:right="1132"/>
              <w:spacing w:after="0"/>
              <w:rPr>
                <w:sz w:val="20"/>
                <w:szCs w:val="20"/>
                <w:color w:val="auto"/>
              </w:rPr>
            </w:pPr>
            <w:r>
              <w:rPr>
                <w:rFonts w:ascii="Arial" w:cs="Arial" w:eastAsia="Arial" w:hAnsi="Arial"/>
                <w:sz w:val="18"/>
                <w:szCs w:val="18"/>
                <w:color w:val="auto"/>
                <w:w w:val="87"/>
              </w:rPr>
              <w:t>Common Stock, Par Value $0.001 Per Share</w:t>
            </w:r>
          </w:p>
        </w:tc>
        <w:tc>
          <w:tcPr>
            <w:tcW w:w="4620" w:type="dxa"/>
            <w:vAlign w:val="bottom"/>
          </w:tcPr>
          <w:p>
            <w:pPr>
              <w:jc w:val="center"/>
              <w:ind w:left="1132"/>
              <w:spacing w:after="0"/>
              <w:rPr>
                <w:sz w:val="20"/>
                <w:szCs w:val="20"/>
                <w:color w:val="auto"/>
              </w:rPr>
            </w:pPr>
            <w:r>
              <w:rPr>
                <w:rFonts w:ascii="Arial" w:cs="Arial" w:eastAsia="Arial" w:hAnsi="Arial"/>
                <w:sz w:val="18"/>
                <w:szCs w:val="18"/>
                <w:color w:val="auto"/>
                <w:w w:val="89"/>
              </w:rPr>
              <w:t>The Nasdaq Capital Market</w:t>
            </w:r>
          </w:p>
        </w:tc>
      </w:tr>
      <w:tr>
        <w:trPr>
          <w:trHeight w:val="222"/>
        </w:trPr>
        <w:tc>
          <w:tcPr>
            <w:tcW w:w="4340" w:type="dxa"/>
            <w:vAlign w:val="bottom"/>
          </w:tcPr>
          <w:p>
            <w:pPr>
              <w:jc w:val="center"/>
              <w:ind w:right="1152"/>
              <w:spacing w:after="0"/>
              <w:rPr>
                <w:sz w:val="20"/>
                <w:szCs w:val="20"/>
                <w:color w:val="auto"/>
              </w:rPr>
            </w:pPr>
            <w:r>
              <w:rPr>
                <w:rFonts w:ascii="Arial" w:cs="Arial" w:eastAsia="Arial" w:hAnsi="Arial"/>
                <w:sz w:val="18"/>
                <w:szCs w:val="18"/>
                <w:color w:val="auto"/>
                <w:w w:val="91"/>
              </w:rPr>
              <w:t>(Title of Class)</w:t>
            </w:r>
          </w:p>
        </w:tc>
        <w:tc>
          <w:tcPr>
            <w:tcW w:w="4620" w:type="dxa"/>
            <w:vAlign w:val="bottom"/>
          </w:tcPr>
          <w:p>
            <w:pPr>
              <w:jc w:val="center"/>
              <w:ind w:left="1132"/>
              <w:spacing w:after="0"/>
              <w:rPr>
                <w:sz w:val="20"/>
                <w:szCs w:val="20"/>
                <w:color w:val="auto"/>
              </w:rPr>
            </w:pPr>
            <w:r>
              <w:rPr>
                <w:rFonts w:ascii="Arial" w:cs="Arial" w:eastAsia="Arial" w:hAnsi="Arial"/>
                <w:sz w:val="18"/>
                <w:szCs w:val="18"/>
                <w:color w:val="auto"/>
                <w:w w:val="88"/>
              </w:rPr>
              <w:t>(Name of Each Exchange on Which Registered)</w:t>
            </w: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1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5"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5"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9" w:lineRule="exact"/>
        <w:rPr>
          <w:sz w:val="24"/>
          <w:szCs w:val="24"/>
          <w:color w:val="auto"/>
        </w:rPr>
      </w:pPr>
    </w:p>
    <w:p>
      <w:pPr>
        <w:ind w:right="20" w:firstLine="648"/>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ind w:right="300" w:firstLine="648"/>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ind w:firstLine="648"/>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sectPr>
      </w:pPr>
    </w:p>
    <w:bookmarkStart w:id="1" w:name="page2"/>
    <w:bookmarkEnd w:id="1"/>
    <w:p>
      <w:pPr>
        <w:ind w:right="60" w:firstLine="648"/>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509" w:right="239" w:bottom="1440" w:gutter="0" w:footer="0" w:header="0"/>
        </w:sectPr>
      </w:pPr>
    </w:p>
    <w:p>
      <w:pPr>
        <w:spacing w:after="0" w:line="107"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0"/>
          <w:szCs w:val="20"/>
          <w:color w:val="auto"/>
        </w:rPr>
      </w:pPr>
    </w:p>
    <w:p>
      <w:pPr>
        <w:ind w:left="2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4380" w:space="720"/>
            <w:col w:w="6320"/>
          </w:cols>
          <w:pgMar w:left="240" w:top="509" w:right="239" w:bottom="1440" w:gutter="0" w:footer="0" w:header="0"/>
          <w:type w:val="continuous"/>
        </w:sectPr>
      </w:pPr>
    </w:p>
    <w:p>
      <w:pPr>
        <w:spacing w:after="0" w:line="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aggregate market value of voting common stock held by non-affiliates of the registrant (assuming, for purposes of this calculation, without conceding, that all executive officers and directors are “affiliates”) was $221,001,116 as of June 30, 2016, based on the closing sale price of such stock as reported on the NASDAQ Capital Market.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56,908,544 shares of the registrant’s common stock, $0.001 par value, outstanding as of March 1, 2017.</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Portions of the registrant’s Proxy Statement for the 2016 Annual Meeting of Stockholders are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40" w:type="dxa"/>
            <w:vAlign w:val="bottom"/>
          </w:tcPr>
          <w:p>
            <w:pPr>
              <w:ind w:left="3680"/>
              <w:spacing w:after="0"/>
              <w:rPr>
                <w:sz w:val="20"/>
                <w:szCs w:val="20"/>
                <w:color w:val="auto"/>
              </w:rPr>
            </w:pPr>
            <w:r>
              <w:rPr>
                <w:rFonts w:ascii="Arial" w:cs="Arial" w:eastAsia="Arial" w:hAnsi="Arial"/>
                <w:sz w:val="18"/>
                <w:szCs w:val="18"/>
                <w:b w:val="1"/>
                <w:bCs w:val="1"/>
                <w:color w:val="auto"/>
              </w:rPr>
              <w:t>TABLE OF CONTENTS</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9920" w:type="dxa"/>
            <w:vAlign w:val="bottom"/>
            <w:gridSpan w:val="2"/>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CAUTIONARY NOTICE REGARDING FORWARD-LOOKING STATEMENTS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88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8840" w:type="dxa"/>
            <w:vAlign w:val="bottom"/>
          </w:tcPr>
          <w:p>
            <w:pPr>
              <w:ind w:left="400"/>
              <w:spacing w:after="0"/>
              <w:rPr>
                <w:sz w:val="20"/>
                <w:szCs w:val="20"/>
                <w:color w:val="auto"/>
              </w:rPr>
            </w:pPr>
            <w:r>
              <w:rPr>
                <w:rFonts w:ascii="Arial" w:cs="Arial" w:eastAsia="Arial" w:hAnsi="Arial"/>
                <w:sz w:val="18"/>
                <w:szCs w:val="18"/>
                <w:color w:val="auto"/>
              </w:rPr>
              <w:t>Business</w:t>
            </w: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Risk Factors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8840" w:type="dxa"/>
            <w:vAlign w:val="bottom"/>
          </w:tcPr>
          <w:p>
            <w:pPr>
              <w:ind w:left="400"/>
              <w:spacing w:after="0"/>
              <w:rPr>
                <w:sz w:val="20"/>
                <w:szCs w:val="20"/>
                <w:color w:val="auto"/>
              </w:rPr>
            </w:pPr>
            <w:r>
              <w:rPr>
                <w:rFonts w:ascii="Arial" w:cs="Arial" w:eastAsia="Arial" w:hAnsi="Arial"/>
                <w:sz w:val="18"/>
                <w:szCs w:val="18"/>
                <w:color w:val="auto"/>
              </w:rPr>
              <w:t>Properties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Legal Proceedings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88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Market for Registrant’s Common Equity, Related Stockholder Matters and Issuer Purchases of Equity Securities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ITEM 6</w:t>
            </w:r>
          </w:p>
        </w:tc>
        <w:tc>
          <w:tcPr>
            <w:tcW w:w="8840" w:type="dxa"/>
            <w:vAlign w:val="bottom"/>
          </w:tcPr>
          <w:p>
            <w:pPr>
              <w:ind w:left="400"/>
              <w:spacing w:after="0"/>
              <w:rPr>
                <w:sz w:val="20"/>
                <w:szCs w:val="20"/>
                <w:color w:val="auto"/>
              </w:rPr>
            </w:pPr>
            <w:r>
              <w:rPr>
                <w:rFonts w:ascii="Arial" w:cs="Arial" w:eastAsia="Arial" w:hAnsi="Arial"/>
                <w:sz w:val="18"/>
                <w:szCs w:val="18"/>
                <w:color w:val="auto"/>
              </w:rPr>
              <w:t>Selected Financial Data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ITEM 7</w:t>
            </w: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ITEM 7A</w:t>
            </w:r>
          </w:p>
        </w:tc>
        <w:tc>
          <w:tcPr>
            <w:tcW w:w="8840" w:type="dxa"/>
            <w:vAlign w:val="bottom"/>
          </w:tcPr>
          <w:p>
            <w:pPr>
              <w:ind w:left="400"/>
              <w:spacing w:after="0"/>
              <w:rPr>
                <w:sz w:val="20"/>
                <w:szCs w:val="20"/>
                <w:color w:val="auto"/>
              </w:rPr>
            </w:pPr>
            <w:r>
              <w:rPr>
                <w:rFonts w:ascii="Arial" w:cs="Arial" w:eastAsia="Arial" w:hAnsi="Arial"/>
                <w:sz w:val="18"/>
                <w:szCs w:val="18"/>
                <w:color w:val="auto"/>
              </w:rPr>
              <w:t>Quantitative and Qualitative Disclosure About Market Risk</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ITEM 8</w:t>
            </w: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Financial Statements and Supplementary Data</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ITEM 9</w:t>
            </w:r>
          </w:p>
        </w:tc>
        <w:tc>
          <w:tcPr>
            <w:tcW w:w="8840" w:type="dxa"/>
            <w:vAlign w:val="bottom"/>
          </w:tcPr>
          <w:p>
            <w:pPr>
              <w:ind w:left="400"/>
              <w:spacing w:after="0"/>
              <w:rPr>
                <w:sz w:val="20"/>
                <w:szCs w:val="20"/>
                <w:color w:val="auto"/>
              </w:rPr>
            </w:pPr>
            <w:r>
              <w:rPr>
                <w:rFonts w:ascii="Arial" w:cs="Arial" w:eastAsia="Arial" w:hAnsi="Arial"/>
                <w:sz w:val="18"/>
                <w:szCs w:val="18"/>
                <w:color w:val="auto"/>
              </w:rPr>
              <w:t>Changes in and Disagreements With Accountants on Accounting and Financial Disclosures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ITEM 9A</w:t>
            </w: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Controls and Procedures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ITEM 9B</w:t>
            </w:r>
          </w:p>
        </w:tc>
        <w:tc>
          <w:tcPr>
            <w:tcW w:w="8840" w:type="dxa"/>
            <w:vAlign w:val="bottom"/>
          </w:tcPr>
          <w:p>
            <w:pPr>
              <w:ind w:left="400"/>
              <w:spacing w:after="0"/>
              <w:rPr>
                <w:sz w:val="20"/>
                <w:szCs w:val="20"/>
                <w:color w:val="auto"/>
              </w:rPr>
            </w:pPr>
            <w:r>
              <w:rPr>
                <w:rFonts w:ascii="Arial" w:cs="Arial" w:eastAsia="Arial" w:hAnsi="Arial"/>
                <w:sz w:val="18"/>
                <w:szCs w:val="18"/>
                <w:color w:val="auto"/>
              </w:rPr>
              <w:t>Other Information</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8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ITEM 10</w:t>
            </w:r>
          </w:p>
        </w:tc>
        <w:tc>
          <w:tcPr>
            <w:tcW w:w="8840" w:type="dxa"/>
            <w:vAlign w:val="bottom"/>
          </w:tcPr>
          <w:p>
            <w:pPr>
              <w:ind w:left="400"/>
              <w:spacing w:after="0"/>
              <w:rPr>
                <w:sz w:val="20"/>
                <w:szCs w:val="20"/>
                <w:color w:val="auto"/>
              </w:rPr>
            </w:pPr>
            <w:r>
              <w:rPr>
                <w:rFonts w:ascii="Arial" w:cs="Arial" w:eastAsia="Arial" w:hAnsi="Arial"/>
                <w:sz w:val="18"/>
                <w:szCs w:val="18"/>
                <w:color w:val="auto"/>
              </w:rPr>
              <w:t>Directors, Executive Officers and Corporate Governance</w:t>
            </w:r>
          </w:p>
        </w:tc>
        <w:tc>
          <w:tcPr>
            <w:tcW w:w="1480" w:type="dxa"/>
            <w:vAlign w:val="bottom"/>
          </w:tcPr>
          <w:p>
            <w:pPr>
              <w:jc w:val="right"/>
              <w:ind w:right="55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ITEM 11</w:t>
            </w: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Executive Compensation</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ITEM 12</w:t>
            </w:r>
          </w:p>
        </w:tc>
        <w:tc>
          <w:tcPr>
            <w:tcW w:w="8840" w:type="dxa"/>
            <w:vAlign w:val="bottom"/>
          </w:tcPr>
          <w:p>
            <w:pPr>
              <w:ind w:left="40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ITEM 14</w:t>
            </w:r>
          </w:p>
        </w:tc>
        <w:tc>
          <w:tcPr>
            <w:tcW w:w="8840" w:type="dxa"/>
            <w:vAlign w:val="bottom"/>
          </w:tcPr>
          <w:p>
            <w:pPr>
              <w:ind w:left="400"/>
              <w:spacing w:after="0"/>
              <w:rPr>
                <w:sz w:val="20"/>
                <w:szCs w:val="20"/>
                <w:color w:val="auto"/>
              </w:rPr>
            </w:pPr>
            <w:r>
              <w:rPr>
                <w:rFonts w:ascii="Arial" w:cs="Arial" w:eastAsia="Arial" w:hAnsi="Arial"/>
                <w:sz w:val="18"/>
                <w:szCs w:val="18"/>
                <w:color w:val="auto"/>
              </w:rPr>
              <w:t>Principal Accountant Fees and Services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8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ITEM 15</w:t>
            </w:r>
          </w:p>
        </w:tc>
        <w:tc>
          <w:tcPr>
            <w:tcW w:w="8840" w:type="dxa"/>
            <w:vAlign w:val="bottom"/>
          </w:tcPr>
          <w:p>
            <w:pPr>
              <w:ind w:left="400"/>
              <w:spacing w:after="0"/>
              <w:rPr>
                <w:sz w:val="20"/>
                <w:szCs w:val="20"/>
                <w:color w:val="auto"/>
              </w:rPr>
            </w:pPr>
            <w:r>
              <w:rPr>
                <w:rFonts w:ascii="Arial" w:cs="Arial" w:eastAsia="Arial" w:hAnsi="Arial"/>
                <w:sz w:val="18"/>
                <w:szCs w:val="18"/>
                <w:color w:val="auto"/>
              </w:rPr>
              <w:t>Exhibits and Financial Statement Schedules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This Annual Report on Form 10-K contains trademarks and trade names of TG Therapeutics, Inc., including our name and logo. All other trademarks, service marks, or trade names referenced in this Annual Report on Form 10-K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3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09"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157" w:lineRule="exact"/>
        <w:rPr>
          <w:rFonts w:ascii="Arial" w:cs="Arial" w:eastAsia="Arial" w:hAnsi="Arial"/>
          <w:sz w:val="18"/>
          <w:szCs w:val="18"/>
          <w:color w:val="auto"/>
        </w:rPr>
      </w:pPr>
    </w:p>
    <w:p>
      <w:pPr>
        <w:ind w:left="1300" w:hanging="320"/>
        <w:spacing w:after="0" w:line="268"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spacing w:after="0" w:line="118"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expectations as to the timing of commencing or completing pre-clinical and clinical trials and the expected outcomes of those trials;</w:t>
      </w:r>
    </w:p>
    <w:p>
      <w:pPr>
        <w:spacing w:after="0" w:line="180" w:lineRule="exact"/>
        <w:rPr>
          <w:rFonts w:ascii="Arial" w:cs="Arial" w:eastAsia="Arial" w:hAnsi="Arial"/>
          <w:sz w:val="16"/>
          <w:szCs w:val="16"/>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acceptance of our products by doctors, patients or payors;</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reimbursement for our products;</w:t>
      </w:r>
    </w:p>
    <w:p>
      <w:pPr>
        <w:spacing w:after="0" w:line="157" w:lineRule="exact"/>
        <w:rPr>
          <w:rFonts w:ascii="Arial" w:cs="Arial" w:eastAsia="Arial" w:hAnsi="Arial"/>
          <w:sz w:val="18"/>
          <w:szCs w:val="18"/>
          <w:color w:val="auto"/>
        </w:rPr>
      </w:pPr>
    </w:p>
    <w:p>
      <w:pPr>
        <w:ind w:left="1300" w:hanging="320"/>
        <w:spacing w:after="0" w:line="268"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spacing w:after="0" w:line="118"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price and its volatility; and</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158"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86" w:lineRule="exact"/>
        <w:rPr>
          <w:sz w:val="20"/>
          <w:szCs w:val="20"/>
          <w:color w:val="auto"/>
        </w:rPr>
      </w:pPr>
    </w:p>
    <w:p>
      <w:pPr>
        <w:ind w:right="200" w:firstLine="648"/>
        <w:spacing w:after="0" w:line="33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w:t>
      </w:r>
    </w:p>
    <w:p>
      <w:pPr>
        <w:spacing w:after="0" w:line="231" w:lineRule="exact"/>
        <w:rPr>
          <w:sz w:val="20"/>
          <w:szCs w:val="20"/>
          <w:color w:val="auto"/>
        </w:rPr>
      </w:pPr>
    </w:p>
    <w:p>
      <w:pPr>
        <w:ind w:right="340" w:firstLine="648"/>
        <w:spacing w:after="0" w:line="268" w:lineRule="auto"/>
        <w:rPr>
          <w:sz w:val="20"/>
          <w:szCs w:val="20"/>
          <w:color w:val="auto"/>
        </w:rPr>
      </w:pPr>
      <w:r>
        <w:rPr>
          <w:rFonts w:ascii="Arial" w:cs="Arial" w:eastAsia="Arial" w:hAnsi="Arial"/>
          <w:sz w:val="18"/>
          <w:szCs w:val="18"/>
          <w:i w:val="1"/>
          <w:iCs w:val="1"/>
          <w:color w:val="auto"/>
        </w:rPr>
        <w:t>Unless the context requires otherwise, references in this report to “TG,” “Company,” “we,” “us” and “our” refer to TG Therapeutics, Inc. and our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20" w:firstLine="648"/>
        <w:spacing w:after="0" w:line="290"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novel treatments for B-cell malignancies and autoimmune diseases. Currently, the Company is developing two therapies targeting hematological malignancies. TG-1101 (ublituximab) is a novel, glycoengineered monoclonal antibody that targets a specific and unique epitope on the CD20 antigen found on mature B-lymphocytes. We are also developing TGR-1202,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We also have pre-clinical programs seeking to develop IRAK4 (interleukin-1 receptor-associated kinase 4) inhibitors, BET (Bromodomain and Extra Terminal) inhibitors, and anti-PD-L1 and anti-GITR antibodies.</w:t>
      </w:r>
    </w:p>
    <w:p>
      <w:pPr>
        <w:spacing w:after="0" w:line="17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8"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We were incorporated in Delaware in 1993. Our executive offices are located at 2 Gansevoort St., 9</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Floor, New York, New York 10014. Our telephone number is 212-554-4484, and our e-mail address is info@tgtxinc.com.</w:t>
      </w:r>
    </w:p>
    <w:p>
      <w:pPr>
        <w:spacing w:after="0" w:line="211"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We maintain a website with the address www.tgtherapeutics.com. We make available free of charge through our Internet website our annual reports on Form 10-K, quarterly reports on Form 10-Q and current reports on Form 8-K, and any amendments to these reports, as soon as reasonably practicable after we electronically file such material with, or furnish such material to, the SEC. We are not including the information on our website as a part of, nor incorporating it by reference into, this report. You may read and copy any such reports and amendments thereto at the SEC’s Public Reference Room at 100 F Street, N.E., Washington, D.C. 20549 on official business days during the hours of 10:00 a.m. to 3:00 p.m. Please call the SEC at 1-800-SEC-0330 for information on the Public Reference Room. Additionally, the SEC maintains a website that contains annual, quarterly, and current reports, proxy statements, and other information that issuers (including us) file electronically with the SEC. The SEC’s website address is http://www.sec.gov.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UNDER DEVELOPMENT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TG-1101 (ublituximab) is a chimeric, glycoengineered monoclonal antibody that targets a unique epitope on the CD20 antigen found on the surface of B-lymphocytes developed to aid in the depletion of circulating B-cells. We hold exclusive worldwide rights to develop and commercialize TG-1101 for all indications, except for the territories of France and Belgium which have been retained by LFB Biotechnologies (“LFB”), and South Korea and Southeast Asia which were licensed by us to Ildong Pharmaceutical Co. Ltd (“Ildong”) in November 2012.</w:t>
      </w:r>
    </w:p>
    <w:p>
      <w:pPr>
        <w:spacing w:after="0" w:line="197"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Generally, anti-CD20 antibodies are believed to exert their B-cell depleting effects through three primary mechanisms: antibody dependent cell-mediated cytotoxicity (“ADCC”), complement dependent cytotoxicity (“CDC”), and direct or programmed cell death (“DCD” or “PCD”). TG-1101 has been specifically glycoengineered to enhance ADCC activity, which should enhance its ability to deplete B-cells and may improve its anti-cancer effects when compared to Rituxan®, the leading anti-CD20 monoclonal antibody, which had worldwide sales in 2015 of more than $7 billion.</w:t>
      </w:r>
    </w:p>
    <w:p>
      <w:pPr>
        <w:spacing w:after="0" w:line="167" w:lineRule="exact"/>
        <w:rPr>
          <w:sz w:val="20"/>
          <w:szCs w:val="20"/>
          <w:color w:val="auto"/>
        </w:rPr>
      </w:pPr>
    </w:p>
    <w:p>
      <w:pPr>
        <w:ind w:right="180" w:firstLine="648"/>
        <w:spacing w:after="0" w:line="294" w:lineRule="auto"/>
        <w:rPr>
          <w:sz w:val="20"/>
          <w:szCs w:val="20"/>
          <w:color w:val="auto"/>
        </w:rPr>
      </w:pPr>
      <w:r>
        <w:rPr>
          <w:rFonts w:ascii="Arial" w:cs="Arial" w:eastAsia="Arial" w:hAnsi="Arial"/>
          <w:sz w:val="16"/>
          <w:szCs w:val="16"/>
          <w:color w:val="auto"/>
        </w:rPr>
        <w:t>Two single-agent, dose-escalation, Phase I studies were undertaken with TG-1101 to establish an optimal dose in patients with Non-Hodgkin’s Lymphoma (“NHL”) and Chronic Lymphocytic Leukemia (“CLL”). A two part first-in-human Phase I clinical trial was first completed in France in which TG-1101 was evaluated in relapsed or refractory CLL patients at doses as high as 450mg per infusion. Subsequently, a single-agent Phase I study was undertaken in the US enrolling patients with both NHL and CLL, dosing patients up to 1200mg per infusion. In both studies, single agent therapy with TG-1101 was deemed well tolerated by treating investigators and displayed promising clinical activity in relapsed and refractory patients.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ind w:right="40" w:firstLine="648"/>
        <w:spacing w:after="0" w:line="253" w:lineRule="auto"/>
        <w:rPr>
          <w:sz w:val="20"/>
          <w:szCs w:val="20"/>
          <w:color w:val="auto"/>
        </w:rPr>
      </w:pPr>
      <w:r>
        <w:rPr>
          <w:rFonts w:ascii="Arial" w:cs="Arial" w:eastAsia="Arial" w:hAnsi="Arial"/>
          <w:sz w:val="18"/>
          <w:szCs w:val="18"/>
          <w:color w:val="auto"/>
        </w:rPr>
        <w:t>In oncology settings, anti-CD20 therapy is generally used in combination with other anti-cancer agents where it demonstrates maximum activity as opposed to single agent usage. As a result, subsequent clinical development for TG-1101 has focused on combination therapy. Currently, our priority combination trials for TG-1101 are:</w:t>
      </w:r>
    </w:p>
    <w:p>
      <w:pPr>
        <w:ind w:left="1300" w:right="20" w:hanging="320"/>
        <w:spacing w:after="0" w:line="25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GENUINE Trial – a randomized controlled Phase 3 trial evaluating TG-1101 in combination with ibrutinib, for previously treated CLL patients with high risk cytogenetics;</w:t>
      </w:r>
    </w:p>
    <w:p>
      <w:pPr>
        <w:ind w:left="1300" w:hanging="320"/>
        <w:spacing w:after="0" w:line="25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UNITY-CLL Trial – a randomized controlled Phase 3 trial evaluating TG-1101 in combination with TGR-1202, the Company’s development stage PI3Kd inhibitor, for patients with front line and previously treated CLL;</w:t>
      </w:r>
    </w:p>
    <w:p>
      <w:pPr>
        <w:ind w:left="1300" w:hanging="320"/>
        <w:spacing w:after="0" w:line="25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UNITY-DLBCL Trial – registration-directed UNITY-DLBCL Phase 2b clinical study evaluating TG-1101, in combination with TGR-1202, as well as TGR-1202 alone, in patients with previously treated Diffuse Large B-Cell Lymphoma (DLBCL); and</w:t>
      </w: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TG-1101 + TGR-1202 + Pembrolizumab for patients with CLL.</w:t>
      </w:r>
    </w:p>
    <w:p>
      <w:pPr>
        <w:spacing w:after="0" w:line="21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addition, we have announced our intent of evaluating TG-1101 for the treatment of certain autoimmune diseases. Currently, TG-1101 is being evaluated in a Phase 2 study for the treatment of Multiple Sclerosis (MS) and in an investigator initiated Phase 1 study for the treatment of acute neuromyelitis optica (NMO) relapses, with additional autoimmune related indications planned to be studied. Preliminary data from this Phase 1 study in NMO was presented at the 32nd Congress of the European Committee for Treatment and Research in Multiple Sclerosis (ECTRIMS), in London, UK in September 2016. Data from the poster presentation demonstrated that TG-1101 was well tolerated with minimal adverse events (AEs) observed and rapid and robust B-cell depletion observed following a single 450 mg infusion of TG-1101. In August 2016, it was also announced that TG-1101 received orphan drug designation for the Treatment of Neuromyelitis Optica and Neuromyelitis Optica Spectrum Disorder.</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Manufacturing of TG-1101 is currently performed by our partner, LFB Biotechnologies, and a secondary contract manufacturer based in the 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 Overview</w:t>
      </w:r>
    </w:p>
    <w:p>
      <w:pPr>
        <w:spacing w:after="0" w:line="225" w:lineRule="exact"/>
        <w:rPr>
          <w:sz w:val="20"/>
          <w:szCs w:val="20"/>
          <w:color w:val="auto"/>
        </w:rPr>
      </w:pPr>
    </w:p>
    <w:p>
      <w:pPr>
        <w:jc w:val="both"/>
        <w:ind w:right="560" w:firstLine="648"/>
        <w:spacing w:after="0" w:line="259" w:lineRule="auto"/>
        <w:rPr>
          <w:sz w:val="20"/>
          <w:szCs w:val="20"/>
          <w:color w:val="auto"/>
        </w:rPr>
      </w:pPr>
      <w:r>
        <w:rPr>
          <w:rFonts w:ascii="Arial" w:cs="Arial" w:eastAsia="Arial" w:hAnsi="Arial"/>
          <w:sz w:val="18"/>
          <w:szCs w:val="18"/>
          <w:color w:val="auto"/>
        </w:rPr>
        <w:t>The mechanism of action of anti-CD20 antibodies, including rituximab and TG-1101 has been elucidated and detailed in numerous academic and clinical studies. Upon conjugation of the antibody to the CD20 surface antigen, rituximab has been found to deplete B-lymphocytes through three primary mechanisms: ADCC, CDC, and DCD or PCD.</w:t>
      </w:r>
    </w:p>
    <w:p>
      <w:pPr>
        <w:spacing w:after="0" w:line="194" w:lineRule="exact"/>
        <w:rPr>
          <w:sz w:val="20"/>
          <w:szCs w:val="20"/>
          <w:color w:val="auto"/>
        </w:rPr>
      </w:pPr>
    </w:p>
    <w:p>
      <w:pPr>
        <w:ind w:right="120" w:firstLine="648"/>
        <w:spacing w:after="0" w:line="298" w:lineRule="auto"/>
        <w:rPr>
          <w:sz w:val="20"/>
          <w:szCs w:val="20"/>
          <w:color w:val="auto"/>
        </w:rPr>
      </w:pPr>
      <w:r>
        <w:rPr>
          <w:rFonts w:ascii="Arial" w:cs="Arial" w:eastAsia="Arial" w:hAnsi="Arial"/>
          <w:sz w:val="16"/>
          <w:szCs w:val="16"/>
          <w:color w:val="auto"/>
        </w:rPr>
        <w:t>Antibody dependent cellular cytotoxicity, or ADCC, is a mechanism that is dependent on interactions between the Fc region of the antibody and the FccR receptors on immune system effector cells, most notably the FccRIIIA (CD16) receptor found on NK cells. These interactions trigger cells to release cytotoxic molecules and proteases resulting in B-cell death. TG-1101 is a third generation, type I chimeric IgG1 monoclonal antibody with a glycoengineered Fc region designed specifically to induce higher ADCC activity in comparison to rituximab, which has been demonstrated in pre-clinical models.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Data Overview and 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TG-1101 in Relapsed/Refractory NHL &amp; CLL</w:t>
      </w:r>
    </w:p>
    <w:p>
      <w:pPr>
        <w:spacing w:after="0" w:line="225"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Our first US based trial entitled "An Open Label Phase I/II Trial of the Efficacy and Safety of TG-1101 in Patients with B-cell Non-Hodgkin’s Lymphoma who have Relapsed or are Refractory After CD20 Directed Antibody Therapy," was launched in the third quarter of 2012. In July 2014, this trial completed enrollment at 35 patients, of which 12 patients were included in the dose escalation component and 23 patients in various expansion cohorts. All enrolled patients were relapsed or refractory to Rituxan</w:t>
      </w:r>
      <w:r>
        <w:rPr>
          <w:rFonts w:ascii="Arial" w:cs="Arial" w:eastAsia="Arial" w:hAnsi="Arial"/>
          <w:sz w:val="24"/>
          <w:szCs w:val="24"/>
          <w:color w:val="auto"/>
          <w:vertAlign w:val="superscript"/>
        </w:rPr>
        <w:t>®</w:t>
      </w:r>
      <w:r>
        <w:rPr>
          <w:rFonts w:ascii="Arial" w:cs="Arial" w:eastAsia="Arial" w:hAnsi="Arial"/>
          <w:sz w:val="18"/>
          <w:szCs w:val="18"/>
          <w:color w:val="auto"/>
        </w:rPr>
        <w:t xml:space="preserve"> or a Rituxan</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containing regimen, and in most cases multiple other lines of therapy. Dr. Owen O'Connor, Professor of Medicine and Director, Center for Lymphoid Malignancies at New York Presbyterian Columbia Medical Center was the Principal Investigator for the multi-center study.</w:t>
      </w:r>
    </w:p>
    <w:p>
      <w:pPr>
        <w:spacing w:after="0" w:line="210" w:lineRule="exact"/>
        <w:rPr>
          <w:sz w:val="20"/>
          <w:szCs w:val="20"/>
          <w:color w:val="auto"/>
        </w:rPr>
      </w:pPr>
    </w:p>
    <w:p>
      <w:pPr>
        <w:ind w:right="280" w:firstLine="648"/>
        <w:spacing w:after="0" w:line="219" w:lineRule="auto"/>
        <w:rPr>
          <w:sz w:val="20"/>
          <w:szCs w:val="20"/>
          <w:color w:val="auto"/>
        </w:rPr>
      </w:pPr>
      <w:r>
        <w:rPr>
          <w:rFonts w:ascii="Arial" w:cs="Arial" w:eastAsia="Arial" w:hAnsi="Arial"/>
          <w:sz w:val="18"/>
          <w:szCs w:val="18"/>
          <w:color w:val="auto"/>
        </w:rPr>
        <w:t>Preliminary data from this study was presented at the 50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American Society of Clinical Oncology (ASCO) 2014 Annual Meeting in Chicago, IL, and was recently published in full in the </w:t>
      </w:r>
      <w:r>
        <w:rPr>
          <w:rFonts w:ascii="Arial" w:cs="Arial" w:eastAsia="Arial" w:hAnsi="Arial"/>
          <w:sz w:val="18"/>
          <w:szCs w:val="18"/>
          <w:i w:val="1"/>
          <w:iCs w:val="1"/>
          <w:color w:val="auto"/>
        </w:rPr>
        <w:t>British Journal of Haematology</w:t>
      </w:r>
      <w:r>
        <w:rPr>
          <w:rFonts w:ascii="Arial" w:cs="Arial" w:eastAsia="Arial" w:hAnsi="Arial"/>
          <w:sz w:val="18"/>
          <w:szCs w:val="18"/>
          <w:color w:val="auto"/>
        </w:rPr>
        <w:t xml:space="preserve"> and is summarized below:</w:t>
      </w:r>
    </w:p>
    <w:p>
      <w:pPr>
        <w:spacing w:after="0" w:line="211"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TG-1101 was well tolerated at all dose levels tested in the 35 patients evaluable for safety, with Day 1 infusion related reactions (IRR) being the most frequently reported adverse event. The combined overall response rate (ORR) for the Phase 1 dose escalation component and expansion cohorts was 45% (32% PR, 13% CR) among the 31 rituximab relapsed/refractory patients evaluable for efficacy at the time of the presentation. TG-1101 displayed marked clinical activity as a single agent in a variety of lymphoma subtypes, reporting a 50% (3/6) response rate in patients with CLL and 53% (10/19) response rate in patients with indolent NHL (21% CR, 32% PR). Responses were durable, with a median duration of response of 9.2 months and duration of progression free survival (PFS) of 7.7 months (n=31) amongst evaluable patients.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for Relapsed/Refractory NHL &amp; CLL</w:t>
      </w:r>
    </w:p>
    <w:p>
      <w:pPr>
        <w:spacing w:after="0" w:line="225"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color w:val="auto"/>
        </w:rPr>
        <w:t>In November 2013, we initiated a multi-center, Phase I study to evaluate the safety and efficacy of the combination of TG-1101 and TGR-1202, the Company's novel, once per day, PI3Kd inhibitor, for patients with relapsed and/or refractory CLL and NHL. In this study, dosing of TGR-1202 commenced at 800mg (initial formulation) once per day (QD) with dose escalation proceeding in a 3+3 design. Dose-escalation up to 1200mg micronized formulation has been completed and expansion cohorts were also evaluated at various doses. Additional cohorts were added to this study to explore the triple therapy combination of TG-1101, TGR-1202, and ibrutinib and the triple therapy of TG-1101, TGR-1202 and bendamustine.</w:t>
      </w:r>
    </w:p>
    <w:p>
      <w:pPr>
        <w:spacing w:after="0" w:line="170" w:lineRule="exact"/>
        <w:rPr>
          <w:sz w:val="20"/>
          <w:szCs w:val="20"/>
          <w:color w:val="auto"/>
        </w:rPr>
      </w:pPr>
    </w:p>
    <w:p>
      <w:pPr>
        <w:ind w:right="80" w:firstLine="648"/>
        <w:spacing w:after="0" w:line="306" w:lineRule="auto"/>
        <w:rPr>
          <w:sz w:val="20"/>
          <w:szCs w:val="20"/>
          <w:color w:val="auto"/>
        </w:rPr>
      </w:pPr>
      <w:r>
        <w:rPr>
          <w:rFonts w:ascii="Arial" w:cs="Arial" w:eastAsia="Arial" w:hAnsi="Arial"/>
          <w:sz w:val="16"/>
          <w:szCs w:val="16"/>
          <w:color w:val="auto"/>
        </w:rPr>
        <w:t>The MD Anderson Cancer Center is the lead center for the trial with Nathan Fowler, MD, Assistant Professor and Co-Director of Clinical Research in the Department of Lymphoma, as the Study Chair for the NHL patient group and Susan O’Brien, MD, formerly of MD Anderson and now Professor and Medical Director for Cancer Clinical Trials and Research at UC Irvine as the Study Chair for the CLL patient group.</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 w:name="page7"/>
    <w:bookmarkEnd w:id="6"/>
    <w:p>
      <w:pPr>
        <w:ind w:right="440" w:firstLine="648"/>
        <w:spacing w:after="0" w:line="268" w:lineRule="auto"/>
        <w:rPr>
          <w:sz w:val="20"/>
          <w:szCs w:val="20"/>
          <w:color w:val="auto"/>
        </w:rPr>
      </w:pPr>
      <w:r>
        <w:rPr>
          <w:rFonts w:ascii="Arial" w:cs="Arial" w:eastAsia="Arial" w:hAnsi="Arial"/>
          <w:sz w:val="18"/>
          <w:szCs w:val="18"/>
          <w:color w:val="auto"/>
        </w:rPr>
        <w:t>Preliminary data from this study was presented at the 57th Annual American Society of Hematology (ASH) meeting held in December 2015 and is summarized below:</w:t>
      </w:r>
    </w:p>
    <w:p>
      <w:pPr>
        <w:spacing w:after="0" w:line="18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combination of TG-1101 and TGR-1202 was well tolerated in the 71 patients evaluable for safety, with only 8% of patients discontinuing due to an adverse event. Notably, the only Grade 3/4 adverse event occurring in &gt; 5% of patients was neutropenia. As of the data presentation, twenty-six patients had been on the combination of TG-1101 plus TGR-1202 for 6+ months, with no events of colitis reported. The combination displayed marked clinical activity in a variety of lymphoma subtypes, reporting an 80% (8/10) response rate in patients with CLL, a 71% (12/17) response rate in patients with indolent NHL, and a 35% (6/17) response rate in patients with DLBCL and Richter’s Transformation. The data from this study supports the current Phase 3 UNITY-CLL study of TG-1101 + TGR-1202 in CLL.</w:t>
      </w:r>
    </w:p>
    <w:p>
      <w:pPr>
        <w:spacing w:after="0" w:line="19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Preliminary data from the combination of TG-1101 + TGR-1202 + ibrutinib and TG-1101 + TGR-1202 + bendamustine were presented at the American Society of Clinical Oncology (ASCO) 2015 meeting and the American Society of Hematology (ASH) 2016 meeting respectively. Both combinations demonstrated acceptable levels of tolerability with promising activity and continue to enroll as of today.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Ibrutinib for Relapsed/Refractory MCL &amp; CLL</w:t>
      </w:r>
    </w:p>
    <w:p>
      <w:pPr>
        <w:spacing w:after="0" w:line="225" w:lineRule="exact"/>
        <w:rPr>
          <w:sz w:val="20"/>
          <w:szCs w:val="20"/>
          <w:color w:val="auto"/>
        </w:rPr>
      </w:pPr>
    </w:p>
    <w:p>
      <w:pPr>
        <w:ind w:firstLine="648"/>
        <w:spacing w:after="0" w:line="332" w:lineRule="auto"/>
        <w:rPr>
          <w:sz w:val="20"/>
          <w:szCs w:val="20"/>
          <w:color w:val="auto"/>
        </w:rPr>
      </w:pPr>
      <w:r>
        <w:rPr>
          <w:rFonts w:ascii="Arial" w:cs="Arial" w:eastAsia="Arial" w:hAnsi="Arial"/>
          <w:sz w:val="16"/>
          <w:szCs w:val="16"/>
          <w:color w:val="auto"/>
        </w:rPr>
        <w:t>In December 2013, we initiated a multi-center Phase 2 clinical trial to evaluate the safety and efficacy of the combination of TG-1101 and ibrutinib for patients with CLL and MCL. This is the first clinical trial evaluating the combination of TG-1101 and ibrutinib, an oral Bruton’s Tyrosine Kinase (BTK) inhibitor.</w:t>
      </w:r>
    </w:p>
    <w:p>
      <w:pPr>
        <w:spacing w:after="0" w:line="139" w:lineRule="exact"/>
        <w:rPr>
          <w:sz w:val="20"/>
          <w:szCs w:val="20"/>
          <w:color w:val="auto"/>
        </w:rPr>
      </w:pPr>
    </w:p>
    <w:p>
      <w:pPr>
        <w:ind w:right="180" w:firstLine="648"/>
        <w:spacing w:after="0" w:line="332" w:lineRule="auto"/>
        <w:rPr>
          <w:sz w:val="20"/>
          <w:szCs w:val="20"/>
          <w:color w:val="auto"/>
        </w:rPr>
      </w:pPr>
      <w:r>
        <w:rPr>
          <w:rFonts w:ascii="Arial" w:cs="Arial" w:eastAsia="Arial" w:hAnsi="Arial"/>
          <w:sz w:val="16"/>
          <w:szCs w:val="16"/>
          <w:color w:val="auto"/>
        </w:rPr>
        <w:t>TG Therapeutics partnered with the US Oncology Network and other select centers throughout the United States on the study, with Jeff Sharman, MD, Medical Director for Hematology Research, US Oncology Network, as the Study Chair. This trial has completed enrollment.</w:t>
      </w:r>
    </w:p>
    <w:p>
      <w:pPr>
        <w:spacing w:after="0" w:line="13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Final data from this study was presented on the MCL cohort at the 57th Annual American Society of Hematology (ASH) meeting held in December 2015, and on the CLL cohort at the 13th International Congress on Malignant Lymphoma (ICML), held in June 2015 and recently published in full in the </w:t>
      </w:r>
      <w:r>
        <w:rPr>
          <w:rFonts w:ascii="Arial" w:cs="Arial" w:eastAsia="Arial" w:hAnsi="Arial"/>
          <w:sz w:val="18"/>
          <w:szCs w:val="18"/>
          <w:i w:val="1"/>
          <w:iCs w:val="1"/>
          <w:color w:val="auto"/>
        </w:rPr>
        <w:t>British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of Haematology </w:t>
      </w:r>
      <w:r>
        <w:rPr>
          <w:rFonts w:ascii="Arial" w:cs="Arial" w:eastAsia="Arial" w:hAnsi="Arial"/>
          <w:sz w:val="18"/>
          <w:szCs w:val="18"/>
          <w:color w:val="auto"/>
        </w:rPr>
        <w:t>and is summarized below:</w:t>
      </w:r>
    </w:p>
    <w:p>
      <w:pPr>
        <w:spacing w:after="0" w:line="19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the CLL cohort, TG-1101 in combination with ibrutinib was well tolerated in the 45 patients evaluable for safety, with day 1 infusion related reactions (IRR) being the most frequently reported adverse event (regardless of causality). In the MCL cohort, the combination was well tolerated in the 15 patients evaluable for safety, with fatigue being the most frequently reported adverse event (regardless of causality). Overall, in both CLL and MCL, aside from day 1 IRR, the addition of TG-1101 did not appear to alter the safety profile seen historically with single agent ibrutinib. Of the 60 patients treated, 41 CLL and 15 MCL patients were evaluable for response. The combination displayed marked clinical activity, reporting an 88% (35/41) response rate in patients with CLL, a 95% (19/21) response rate in those CLL patients with high-risk cytogenetics, and an 87% (13/15) response rate in patients with MCL.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 Ibrutinib Phase 3 Study Program – The GENUINE Trial</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GENUINE trial is a randomized controlled clinical trial in patients with previously treated CLL with specific high-risk cytogenetic abnormalities, with patients randomized to receive either TG-1101 plus ibrutinib or ibrutinib alone. In October 2016, we announced revisions to the design of the GENUINE study to accelerate its completion. Initially the study was being conducted pursuant to a Special Protocol Assessment (SPA) with the U.S. Food and Drug Administration (FDA), and was designed to enroll approximately 330 patients, with a two-part analysis of both overall response rate (ORR) and progression-free survival (PFS). The trial was amended in October 2016 to enroll approximately 120 patients, with the PFS analysis component removed. Following the revisions, the sole primary endpoint of the study is ORR, and the SPA is no longer in effect. We have communicated with the FDA regarding our intention to file a Biologics Licensing Application (BLA) for accelerated approval and the FDA has agreed that a pre-BLA meeting can be requested based on ORR data from the GENUINE study.</w:t>
      </w:r>
    </w:p>
    <w:p>
      <w:pPr>
        <w:spacing w:after="0" w:line="17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On March 6, 2017, we announced positive topline results from our Phase 3 GENUINE clinical trial of TG-1101 plus ibrutinib in patients with previously treated high risk CLL. For the study, high risk was defined as having any one or more of the following: 17p deletion, 11q deletion or p53 mutation.The multicenter, randomized trial (NCT02301156), which assessed the efficacy and safety of TG-1101 plus ibrutinib, met its primary endpoint, demonstrating a statistically significant improvement in Overall Response Rate (ORR) compared to ibrutinib alone in both the Intent to Treat (ITT) population (p=0.001) and Treated population (p &lt; 0.001). The ITT population includes all 126 randomized patients (64 in the TG-1101 + ibrutinib arm and 62 in the ibrutinib alone arm) while the Treated population includes all ITT patients that received at least one dose of either study drug (59 in the TG-1101 + ibrutinib arm and 58 in the ibrutinib alone arm).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60" w:type="dxa"/>
            <w:vAlign w:val="bottom"/>
          </w:tcPr>
          <w:p>
            <w:pPr>
              <w:spacing w:after="0"/>
              <w:rPr>
                <w:sz w:val="19"/>
                <w:szCs w:val="19"/>
                <w:color w:val="auto"/>
              </w:rPr>
            </w:pPr>
          </w:p>
        </w:tc>
        <w:tc>
          <w:tcPr>
            <w:tcW w:w="3900" w:type="dxa"/>
            <w:vAlign w:val="bottom"/>
          </w:tcPr>
          <w:p>
            <w:pPr>
              <w:ind w:left="2060"/>
              <w:spacing w:after="0"/>
              <w:rPr>
                <w:sz w:val="20"/>
                <w:szCs w:val="20"/>
                <w:color w:val="auto"/>
              </w:rPr>
            </w:pPr>
            <w:r>
              <w:rPr>
                <w:rFonts w:ascii="Arial" w:cs="Arial" w:eastAsia="Arial" w:hAnsi="Arial"/>
                <w:sz w:val="18"/>
                <w:szCs w:val="18"/>
                <w:b w:val="1"/>
                <w:bCs w:val="1"/>
                <w:color w:val="auto"/>
                <w:w w:val="88"/>
              </w:rPr>
              <w:t>Overall Response Rates</w:t>
            </w:r>
          </w:p>
        </w:tc>
        <w:tc>
          <w:tcPr>
            <w:tcW w:w="18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41"/>
        </w:trPr>
        <w:tc>
          <w:tcPr>
            <w:tcW w:w="2760" w:type="dxa"/>
            <w:vAlign w:val="bottom"/>
          </w:tcPr>
          <w:p>
            <w:pPr>
              <w:spacing w:after="0"/>
              <w:rPr>
                <w:sz w:val="24"/>
                <w:szCs w:val="24"/>
                <w:color w:val="auto"/>
              </w:rPr>
            </w:pPr>
          </w:p>
        </w:tc>
        <w:tc>
          <w:tcPr>
            <w:tcW w:w="390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TG-1101 plus Ibrutinib</w:t>
            </w:r>
          </w:p>
        </w:tc>
        <w:tc>
          <w:tcPr>
            <w:tcW w:w="18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Ibrutinib</w:t>
            </w: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P-value</w:t>
            </w:r>
          </w:p>
        </w:tc>
      </w:tr>
      <w:tr>
        <w:trPr>
          <w:trHeight w:val="208"/>
        </w:trPr>
        <w:tc>
          <w:tcPr>
            <w:tcW w:w="2760" w:type="dxa"/>
            <w:vAlign w:val="bottom"/>
          </w:tcPr>
          <w:p>
            <w:pPr>
              <w:spacing w:after="0"/>
              <w:rPr>
                <w:sz w:val="20"/>
                <w:szCs w:val="20"/>
                <w:color w:val="auto"/>
              </w:rPr>
            </w:pPr>
            <w:r>
              <w:rPr>
                <w:rFonts w:ascii="Arial" w:cs="Arial" w:eastAsia="Arial" w:hAnsi="Arial"/>
                <w:sz w:val="18"/>
                <w:szCs w:val="18"/>
                <w:color w:val="auto"/>
              </w:rPr>
              <w:t>Treated Population (n)</w:t>
            </w:r>
          </w:p>
        </w:tc>
        <w:tc>
          <w:tcPr>
            <w:tcW w:w="3900" w:type="dxa"/>
            <w:vAlign w:val="bottom"/>
          </w:tcPr>
          <w:p>
            <w:pPr>
              <w:jc w:val="center"/>
              <w:ind w:right="932"/>
              <w:spacing w:after="0"/>
              <w:rPr>
                <w:sz w:val="20"/>
                <w:szCs w:val="20"/>
                <w:color w:val="auto"/>
              </w:rPr>
            </w:pPr>
            <w:r>
              <w:rPr>
                <w:rFonts w:ascii="Arial" w:cs="Arial" w:eastAsia="Arial" w:hAnsi="Arial"/>
                <w:sz w:val="18"/>
                <w:szCs w:val="18"/>
                <w:color w:val="auto"/>
                <w:w w:val="88"/>
              </w:rPr>
              <w:t>n=59</w:t>
            </w:r>
          </w:p>
        </w:tc>
        <w:tc>
          <w:tcPr>
            <w:tcW w:w="1880" w:type="dxa"/>
            <w:vAlign w:val="bottom"/>
          </w:tcPr>
          <w:p>
            <w:pPr>
              <w:jc w:val="center"/>
              <w:ind w:right="952"/>
              <w:spacing w:after="0"/>
              <w:rPr>
                <w:sz w:val="20"/>
                <w:szCs w:val="20"/>
                <w:color w:val="auto"/>
              </w:rPr>
            </w:pPr>
            <w:r>
              <w:rPr>
                <w:rFonts w:ascii="Arial" w:cs="Arial" w:eastAsia="Arial" w:hAnsi="Arial"/>
                <w:sz w:val="18"/>
                <w:szCs w:val="18"/>
                <w:color w:val="auto"/>
                <w:w w:val="88"/>
              </w:rPr>
              <w:t>n=58</w:t>
            </w:r>
          </w:p>
        </w:tc>
        <w:tc>
          <w:tcPr>
            <w:tcW w:w="2880" w:type="dxa"/>
            <w:vAlign w:val="bottom"/>
          </w:tcPr>
          <w:p>
            <w:pPr>
              <w:spacing w:after="0"/>
              <w:rPr>
                <w:sz w:val="18"/>
                <w:szCs w:val="18"/>
                <w:color w:val="auto"/>
              </w:rPr>
            </w:pP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Overall Response Rate</w:t>
            </w:r>
          </w:p>
        </w:tc>
        <w:tc>
          <w:tcPr>
            <w:tcW w:w="3900" w:type="dxa"/>
            <w:vAlign w:val="bottom"/>
          </w:tcPr>
          <w:p>
            <w:pPr>
              <w:jc w:val="right"/>
              <w:ind w:right="2212"/>
              <w:spacing w:after="0"/>
              <w:rPr>
                <w:sz w:val="20"/>
                <w:szCs w:val="20"/>
                <w:color w:val="auto"/>
              </w:rPr>
            </w:pPr>
            <w:r>
              <w:rPr>
                <w:rFonts w:ascii="Arial" w:cs="Arial" w:eastAsia="Arial" w:hAnsi="Arial"/>
                <w:sz w:val="18"/>
                <w:szCs w:val="18"/>
                <w:color w:val="auto"/>
              </w:rPr>
              <w:t>80%</w:t>
            </w:r>
          </w:p>
        </w:tc>
        <w:tc>
          <w:tcPr>
            <w:tcW w:w="1880" w:type="dxa"/>
            <w:vAlign w:val="bottom"/>
          </w:tcPr>
          <w:p>
            <w:pPr>
              <w:jc w:val="right"/>
              <w:ind w:right="1212"/>
              <w:spacing w:after="0"/>
              <w:rPr>
                <w:sz w:val="20"/>
                <w:szCs w:val="20"/>
                <w:color w:val="auto"/>
              </w:rPr>
            </w:pPr>
            <w:r>
              <w:rPr>
                <w:rFonts w:ascii="Arial" w:cs="Arial" w:eastAsia="Arial" w:hAnsi="Arial"/>
                <w:sz w:val="18"/>
                <w:szCs w:val="18"/>
                <w:color w:val="auto"/>
              </w:rPr>
              <w:t>47%</w:t>
            </w:r>
          </w:p>
        </w:tc>
        <w:tc>
          <w:tcPr>
            <w:tcW w:w="2880" w:type="dxa"/>
            <w:vAlign w:val="bottom"/>
          </w:tcPr>
          <w:p>
            <w:pPr>
              <w:jc w:val="center"/>
              <w:spacing w:after="0"/>
              <w:rPr>
                <w:sz w:val="20"/>
                <w:szCs w:val="20"/>
                <w:color w:val="auto"/>
              </w:rPr>
            </w:pPr>
            <w:r>
              <w:rPr>
                <w:rFonts w:ascii="Arial" w:cs="Arial" w:eastAsia="Arial" w:hAnsi="Arial"/>
                <w:sz w:val="18"/>
                <w:szCs w:val="18"/>
                <w:color w:val="auto"/>
                <w:w w:val="87"/>
              </w:rPr>
              <w:t>P &lt; 0.001</w:t>
            </w:r>
          </w:p>
        </w:tc>
      </w:tr>
    </w:tbl>
    <w:p>
      <w:pPr>
        <w:spacing w:after="0" w:line="210"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All responses were assessed by independent blinded central review using the iwCLL 2008 guidelines. Per iwCLL guidelines, responders require confirmation of response for a minimum duration of 2 months. As of the date of the analysis, each arm had responders that were awaiting confirmation visits which are scheduled to occur over the next two months. During the study it was infrequent (less than 3% in the combination arm) for initial responses to fail to be confirmed. Median follow-up for the study was approximately 12 months.</w:t>
      </w:r>
    </w:p>
    <w:p>
      <w:pPr>
        <w:spacing w:after="0" w:line="197"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color w:val="auto"/>
        </w:rPr>
        <w:t>In addition to ORR, observed advantages were seen for the combination in a number of secondary and other efficacy measures, including radiographic Complete Response (CR) rate, Progression Free Survival and Time to Response. Sufficient data on MRD negative status and bone marrow confirmation of radiographic CRs were not available at the time of analysis. From a safety standpoint, the combination was well tolerated with a safety profile consistent with the Phase 2 study of ublituximab plus ibrutinib recently published in the British Journal of Haematology.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999" w:gutter="0" w:footer="0" w:header="0"/>
        </w:sectPr>
      </w:pPr>
    </w:p>
    <w:bookmarkStart w:id="7" w:name="page8"/>
    <w:bookmarkEnd w:id="7"/>
    <w:p>
      <w:pPr>
        <w:ind w:right="200" w:firstLine="648"/>
        <w:spacing w:after="0" w:line="332" w:lineRule="auto"/>
        <w:rPr>
          <w:sz w:val="20"/>
          <w:szCs w:val="20"/>
          <w:color w:val="auto"/>
        </w:rPr>
      </w:pPr>
      <w:r>
        <w:rPr>
          <w:rFonts w:ascii="Arial" w:cs="Arial" w:eastAsia="Arial" w:hAnsi="Arial"/>
          <w:sz w:val="16"/>
          <w:szCs w:val="16"/>
          <w:color w:val="auto"/>
        </w:rPr>
        <w:t>A full analysis of the Phase 3 GENUINE data along with detailed efficacy and safety results will be submitted for presentation at a medical meeting in the first half of 2017 and we plan to request a meeting with the FDA as soon as possible thereafter to discuss the filing of the data for accelerated approval.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Phase 3 Study Program – The UNITY-CLL Trial</w:t>
      </w:r>
    </w:p>
    <w:p>
      <w:pPr>
        <w:spacing w:after="0" w:line="225" w:lineRule="exact"/>
        <w:rPr>
          <w:sz w:val="20"/>
          <w:szCs w:val="20"/>
          <w:color w:val="auto"/>
        </w:rPr>
      </w:pPr>
    </w:p>
    <w:p>
      <w:pPr>
        <w:jc w:val="both"/>
        <w:ind w:right="320" w:firstLine="648"/>
        <w:spacing w:after="0" w:line="335" w:lineRule="auto"/>
        <w:rPr>
          <w:sz w:val="20"/>
          <w:szCs w:val="20"/>
          <w:color w:val="auto"/>
        </w:rPr>
      </w:pPr>
      <w:r>
        <w:rPr>
          <w:rFonts w:ascii="Arial" w:cs="Arial" w:eastAsia="Arial" w:hAnsi="Arial"/>
          <w:sz w:val="15"/>
          <w:szCs w:val="15"/>
          <w:color w:val="auto"/>
        </w:rPr>
        <w:t>In September 2015, we reached an agreement with the FDA regarding an SPA on the design, endpoints and statistical analysis approach of a Phase 3 clinical trial for the proprietary combination of TG-1101 plus TGR-1202, for the treatment of CLL. The SPA provides agreement that the Phase 3 trial design adequately addresses objectives that, if met, would support the regulatory submission for drug approval of both TG-1101 and TGR-1202 in combination.</w:t>
      </w:r>
    </w:p>
    <w:p>
      <w:pPr>
        <w:spacing w:after="0" w:line="142"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The Phase 3 trial, called the UNITY-CLL trial, is a randomized controlled clinical trial that includes two key objectives: first, to demonstrate contribution of each agent in the TG-1101 + TGR-1202 regimen (the combination sometimes referred to as "1303"), and second, to demonstrate superiority in Progression Free Survival (PFS) over the standard of care to support the submission for full approval of the combination. The study will randomize patients into four treatment arms: TG-1101 + TGR-1202, TG-1101 alone, TGR-1202 alone, and an active control arm of obinutuzumab (GAZYVA®) + chlorambucil. An early interim analysis will assess contribution of each single agent in the TG-1101 + TGR-1202 combination regimen, which, if successful, will allow early termination of both single agent arms. A second interim analysis will be conducted following full enrollment into the study, which, if positive, we plan to utilize for accelerated approval. Assuming early termination of the TG-1101 and TGR-1202 single agent arms, the study will enroll approximately 450 patients.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Phase 2b Registration-Directed Program – The UNITY-DLBCL Trial</w:t>
      </w:r>
    </w:p>
    <w:p>
      <w:pPr>
        <w:spacing w:after="0" w:line="225" w:lineRule="exact"/>
        <w:rPr>
          <w:sz w:val="20"/>
          <w:szCs w:val="20"/>
          <w:color w:val="auto"/>
        </w:rPr>
      </w:pPr>
    </w:p>
    <w:p>
      <w:pPr>
        <w:ind w:right="260" w:firstLine="648"/>
        <w:spacing w:after="0" w:line="268" w:lineRule="auto"/>
        <w:rPr>
          <w:sz w:val="20"/>
          <w:szCs w:val="20"/>
          <w:color w:val="auto"/>
        </w:rPr>
      </w:pPr>
      <w:r>
        <w:rPr>
          <w:rFonts w:ascii="Arial" w:cs="Arial" w:eastAsia="Arial" w:hAnsi="Arial"/>
          <w:sz w:val="18"/>
          <w:szCs w:val="18"/>
          <w:color w:val="auto"/>
        </w:rPr>
        <w:t>In June 2016, we commenced a registration-directed UNITY-DLBCL Phase 2b clinical study evaluating TG-1101 in combination with TGR-1202, as well as TGR-1202 alone, in patients with previously treated DLBCL.</w:t>
      </w:r>
    </w:p>
    <w:p>
      <w:pPr>
        <w:spacing w:after="0" w:line="186"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The study, entitled "A Phase 2b Randomized Study to Assess the Efficacy and Safety of the Combination of Ublituximab + TGR-1202 and TGR-1202 alone in Patients with Previously Treated Diffuse Large B-Cell Lymphoma," is being led by Owen A. O'Connor, MD, PhD, Professor of Medicine and Experimental Therapeutics, and Director of the Center for Lymphoid Malignancies at Columbia University Medical Center. The primary objective of the study is to assess the efficacy of TGR-1202 alone and in combination with TG-1101 in patients with previously treated DLBCL as measured by Overall Response Rate (ORR). The study will also provide important information as to the contribution of each agent, TGR-1202 and TG-1101, to the combination regimen of both agents. In addition to monitoring for safety and efficacy this study will analyze the impact of cell of origin (GCB vs. non-GCB), mutational status and select biomarkers of efficacy.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TG-1101 in Relapsing Forms of Multiple Sclerosis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In May 2016, we commenced our first study of TG-1101 in patients with relapsing remitting multiple sclerosis (RRMS), a chronic demyelinating disease of the central nervous system (CNS).</w:t>
      </w:r>
    </w:p>
    <w:p>
      <w:pPr>
        <w:spacing w:after="0" w:line="18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study, entitled "A Placebo-Controlled Multi-Center Phase 2 Dose Finding Study of Ublituximab, a Third-Generation Anti-CD20 Monoclonal Antibody, in Patients with Relapsing Forms of Multiple Sclerosis," is being led by Edward Fox, MD, PhD, Director of the Multiple Sclerosis Clinic of Central Texas and Clinical Assistant Professor at the University of Texas Medical Branch in Round Rock, TX. The primary objective of the study is to determine the optimal dosing regimen for TG-1101 with a focus on accelerating infusion times. In addition to monitoring for safety and tolerability at each dosing cohort, B-cell depletion and established MS efficacy endpoints will also be evaluated.</w:t>
      </w:r>
    </w:p>
    <w:p>
      <w:pPr>
        <w:spacing w:after="0" w:line="19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January 2017, we announced the completion of enrollment into Part 1 of this study and B-cell depletion data from patients treated to date. Part 1 of the study explored TG-1101 at an initial dose of 600 mg administered as a 150 mg infusion on day 1 and 450 mg infusion on day 15, followed by either 450 mg or 600 mg at week 24. The day 15 and week 24 doses were subject to accelerated infusion times by cohort, down to a 1-hour infusion by cohort 3. The median B-cell depletion for all patients in Part 1 was 99% and TG-1101 was well-tolerated with no grade 3/4 adverse events reported, including in patients receiving the one-hour infusion at the target Phase 3 dose and infusion rate. For Part 2 of the trial, the Company has added expansion cohorts and will explore accelerated dosing of the initial 150mg dose.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phosphoinositide-3-kinases (“PI3Ks”) are a family of enzymes involved in various cellular functions, including cell proliferation and survival, cell differentiation, intracellular trafficking, and immunity. There are four isoforms of PI3K (alpha, beta, delta, and gamma), of which the delta (d) isoform is strongly expressed in cells of hematopoietic origin, and often implicated in B-cell related lymphomas.</w:t>
      </w:r>
    </w:p>
    <w:p>
      <w:pPr>
        <w:spacing w:after="0" w:line="194" w:lineRule="exact"/>
        <w:rPr>
          <w:sz w:val="20"/>
          <w:szCs w:val="20"/>
          <w:color w:val="auto"/>
        </w:rPr>
      </w:pPr>
    </w:p>
    <w:p>
      <w:pPr>
        <w:ind w:right="140" w:firstLine="648"/>
        <w:spacing w:after="0" w:line="332" w:lineRule="auto"/>
        <w:rPr>
          <w:sz w:val="20"/>
          <w:szCs w:val="20"/>
          <w:color w:val="auto"/>
        </w:rPr>
      </w:pPr>
      <w:r>
        <w:rPr>
          <w:rFonts w:ascii="Arial" w:cs="Arial" w:eastAsia="Arial" w:hAnsi="Arial"/>
          <w:sz w:val="16"/>
          <w:szCs w:val="16"/>
          <w:color w:val="auto"/>
        </w:rPr>
        <w:t>TGR-1202 is an orally available PI3K delta inhibitor with nanomolar potency to the delta isoform and high selectivity over the alpha, beta, and gamma isoforms. TGR-1202 has demonstrated activity in several pre-clinical models and primary cells from patients with various hematologic malignancies.</w:t>
      </w:r>
    </w:p>
    <w:p>
      <w:pPr>
        <w:spacing w:after="0" w:line="139" w:lineRule="exact"/>
        <w:rPr>
          <w:sz w:val="20"/>
          <w:szCs w:val="20"/>
          <w:color w:val="auto"/>
        </w:rPr>
      </w:pPr>
    </w:p>
    <w:p>
      <w:pPr>
        <w:ind w:right="540" w:firstLine="648"/>
        <w:spacing w:after="0" w:line="268" w:lineRule="auto"/>
        <w:rPr>
          <w:sz w:val="20"/>
          <w:szCs w:val="20"/>
          <w:color w:val="auto"/>
        </w:rPr>
      </w:pPr>
      <w:r>
        <w:rPr>
          <w:rFonts w:ascii="Arial" w:cs="Arial" w:eastAsia="Arial" w:hAnsi="Arial"/>
          <w:sz w:val="18"/>
          <w:szCs w:val="18"/>
          <w:color w:val="auto"/>
        </w:rPr>
        <w:t>We hold exclusive rights to develop and commercialize TGR-1202 for all indications worldwide, except India which has been retained by Rhizen Pharmaceuticals, SA.</w:t>
      </w:r>
    </w:p>
    <w:p>
      <w:pPr>
        <w:spacing w:after="0" w:line="186"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The Company’s Investigational New Drug (“IND”) application for TGR-1202 was accepted by the FDA in December 2012 and a first in-human Phase I clinical trial was initiated in January 2013.</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Updates for TGR-1202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August 2016, we announced that TGR-1202 had received orphan drug designation for the treatment of CLL.</w:t>
      </w:r>
    </w:p>
    <w:p>
      <w:pPr>
        <w:spacing w:after="0" w:line="225"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In October 2016, a manuscript titled, "Silencing c-Myc Translation as a Therapeutic Strategy through Targeting PI3K Delta and CK1 Epsilon in Hematological Malignancies," was published online in the First Edition section of Blood, the Journal of the American Society of Hematology. The publication presents preclinical data describing the synergy of TGR-1202 with the proteasome inhibitor carfilzomib and the unique effects of the combination to silence c-Myc in various preclinical lymphoma and myeloma models. In addition, the manuscript for the first time reports on TGR-1202's unique complimentary mechanism of inhibiting the protein kinase casein kinase-1 (CK1) epsilon, which may contribute to the silencing of c-Myc and explain TGR-1202's clinical activity in aggressive lymphoma, including Diffuse Large B-cell Lymphoma (DLBCL).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Data Overview and Recent Developments</w:t>
      </w:r>
    </w:p>
    <w:p>
      <w:pPr>
        <w:spacing w:after="0" w:line="225"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Initial clinical development of TGR-1202 was focused on establishing preliminary safety and efficacy in a wide variety of hematologic malignancies. Upon identification of safe and active doses of TGR-1202, a combination clinical trial program was opened, exploring TGR-1202 in combination with a variety of agents. In addition to the previously described studies in combination with TG-1101, our current combination clinical trials that are ongoing or have been completed for TGR-1202 included:</w:t>
      </w:r>
    </w:p>
    <w:p>
      <w:pPr>
        <w:ind w:left="1300" w:hanging="320"/>
        <w:spacing w:after="0" w:line="195"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TGR-1202 in combination with the anti-CD20 antibody, obinutuzumab (GAZYVA</w:t>
      </w:r>
      <w:r>
        <w:rPr>
          <w:rFonts w:ascii="Arial" w:cs="Arial" w:eastAsia="Arial" w:hAnsi="Arial"/>
          <w:sz w:val="24"/>
          <w:szCs w:val="24"/>
          <w:color w:val="auto"/>
          <w:vertAlign w:val="superscript"/>
        </w:rPr>
        <w:t>®</w:t>
      </w:r>
      <w:r>
        <w:rPr>
          <w:rFonts w:ascii="Arial" w:cs="Arial" w:eastAsia="Arial" w:hAnsi="Arial"/>
          <w:sz w:val="18"/>
          <w:szCs w:val="18"/>
          <w:color w:val="auto"/>
        </w:rPr>
        <w:t>) and chlorambucil in patients with CLL;</w:t>
      </w:r>
    </w:p>
    <w:p>
      <w:pPr>
        <w:ind w:left="1300" w:hanging="320"/>
        <w:spacing w:after="0" w:line="210"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TGR-1202 in combination with the anti-CD30 antibody drug conjugate, brentuximab vedotin (ADCETRIS</w:t>
      </w:r>
      <w:r>
        <w:rPr>
          <w:rFonts w:ascii="Arial" w:cs="Arial" w:eastAsia="Arial" w:hAnsi="Arial"/>
          <w:sz w:val="24"/>
          <w:szCs w:val="24"/>
          <w:color w:val="auto"/>
          <w:vertAlign w:val="superscript"/>
        </w:rPr>
        <w:t>®</w:t>
      </w:r>
      <w:r>
        <w:rPr>
          <w:rFonts w:ascii="Arial" w:cs="Arial" w:eastAsia="Arial" w:hAnsi="Arial"/>
          <w:sz w:val="18"/>
          <w:szCs w:val="18"/>
          <w:color w:val="auto"/>
        </w:rPr>
        <w:t>), in patients with relapsed or refractory Hodgkin’s lymphoma;</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TGR-1202 in combination with the BTK inhibitor, ibrutinib, in patients with previously treated CLL and MCL; and</w:t>
      </w:r>
    </w:p>
    <w:p>
      <w:pPr>
        <w:spacing w:after="0" w:line="9" w:lineRule="exact"/>
        <w:rPr>
          <w:rFonts w:ascii="Arial" w:cs="Arial" w:eastAsia="Arial" w:hAnsi="Arial"/>
          <w:sz w:val="18"/>
          <w:szCs w:val="18"/>
          <w:color w:val="auto"/>
        </w:rPr>
      </w:pPr>
    </w:p>
    <w:p>
      <w:pPr>
        <w:ind w:left="1300" w:hanging="320"/>
        <w:spacing w:after="0" w:line="21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TGR-1202 in combination with the JAK inhibitor, ruxolitinib (JAKAFI</w:t>
      </w:r>
      <w:r>
        <w:rPr>
          <w:rFonts w:ascii="Arial" w:cs="Arial" w:eastAsia="Arial" w:hAnsi="Arial"/>
          <w:sz w:val="24"/>
          <w:szCs w:val="24"/>
          <w:color w:val="auto"/>
          <w:vertAlign w:val="superscript"/>
        </w:rPr>
        <w:t>®</w:t>
      </w:r>
      <w:r>
        <w:rPr>
          <w:rFonts w:ascii="Arial" w:cs="Arial" w:eastAsia="Arial" w:hAnsi="Arial"/>
          <w:sz w:val="18"/>
          <w:szCs w:val="18"/>
          <w:color w:val="auto"/>
        </w:rPr>
        <w:t>), in patients with previously treated Myelofibrosis or Polycythemia Vera.</w:t>
      </w:r>
    </w:p>
    <w:p>
      <w:pPr>
        <w:spacing w:after="0" w:line="211" w:lineRule="exact"/>
        <w:rPr>
          <w:sz w:val="20"/>
          <w:szCs w:val="20"/>
          <w:color w:val="auto"/>
        </w:rPr>
      </w:pPr>
    </w:p>
    <w:p>
      <w:pPr>
        <w:ind w:right="600" w:firstLine="648"/>
        <w:spacing w:after="0" w:line="268" w:lineRule="auto"/>
        <w:rPr>
          <w:sz w:val="20"/>
          <w:szCs w:val="20"/>
          <w:color w:val="auto"/>
        </w:rPr>
      </w:pPr>
      <w:r>
        <w:rPr>
          <w:rFonts w:ascii="Arial" w:cs="Arial" w:eastAsia="Arial" w:hAnsi="Arial"/>
          <w:sz w:val="18"/>
          <w:szCs w:val="18"/>
          <w:color w:val="auto"/>
        </w:rPr>
        <w:t>In addition, given the favorable safety profile demonstrated to date, a trial of TGR-1202 monotherapy in patients with CLL who were previously intolerant to prior BTK or PI3K inhibitor therapy is also underway.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TGR-1202 in Patients with Relapsed/Refractory Hematologic Malignancies</w:t>
      </w:r>
    </w:p>
    <w:p>
      <w:pPr>
        <w:spacing w:after="0" w:line="225"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In January 2013, the Company initiated a Phase I, open label, multi-center, first-in-human clinical trial of TGR-1202 in patients with hematologic malignancies. The study entitled TGR-1202-101, "A Phase I Dose Escalation Study Evaluating the Safety and Efficacy of TGR-1202 in Patients with Relapsed or Refractory Hematologic Malignancies," is being run in collaboration with the Sarah Cannon Research Institute in Nashville, TN with Howard “Skip” Burris, MD, Executive Director, Drug Development as the acting Study Chair. Enrollment is open to patients with relapsed or refractory NHL, CLL, and other select hematologic malignancies. As of February 2016, this study has closed to enrollment.</w:t>
      </w:r>
    </w:p>
    <w:p>
      <w:pPr>
        <w:spacing w:after="0" w:line="170" w:lineRule="exact"/>
        <w:rPr>
          <w:sz w:val="20"/>
          <w:szCs w:val="20"/>
          <w:color w:val="auto"/>
        </w:rPr>
      </w:pPr>
    </w:p>
    <w:p>
      <w:pPr>
        <w:ind w:right="720" w:firstLine="648"/>
        <w:spacing w:after="0" w:line="268" w:lineRule="auto"/>
        <w:rPr>
          <w:sz w:val="20"/>
          <w:szCs w:val="20"/>
          <w:color w:val="auto"/>
        </w:rPr>
      </w:pPr>
      <w:r>
        <w:rPr>
          <w:rFonts w:ascii="Arial" w:cs="Arial" w:eastAsia="Arial" w:hAnsi="Arial"/>
          <w:sz w:val="18"/>
          <w:szCs w:val="18"/>
          <w:color w:val="auto"/>
        </w:rPr>
        <w:t>Data from this ongoing Phase I study was most recently presented at the 57th Annual American Society of Hematology (ASH) meeting held in December 2015, with updated data presented as part of an integrated analysis as described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Long-term Follow-up Integrated Analysis in Patients with Relapsed/Refractory Hematologic Malignancies</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In June 2016, at the 52nd Annual Meeting of the American Society of Clinical Oncology (ASCO) and at the 21st Congress of the European Hematology Association (EHA), the Company presented integrated data with long term follow-up from 165 patients exposed to TGR-1202 monotherapy or the combination of TGR-1202 plus TG-1101, which continued to demonstrate high response rates in CLL, NHL, and DLBCL coupled with a favorable safety profile.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i w:val="1"/>
          <w:iCs w:val="1"/>
          <w:color w:val="auto"/>
        </w:rPr>
        <w:t>TGR-1202 in Combination with obinutuzumab and chlorambucil in patients with CLL</w:t>
      </w:r>
    </w:p>
    <w:p>
      <w:pPr>
        <w:spacing w:after="0" w:line="225" w:lineRule="exact"/>
        <w:rPr>
          <w:sz w:val="20"/>
          <w:szCs w:val="20"/>
          <w:color w:val="auto"/>
        </w:rPr>
      </w:pPr>
    </w:p>
    <w:p>
      <w:pPr>
        <w:ind w:right="260" w:firstLine="648"/>
        <w:spacing w:after="0" w:line="298" w:lineRule="auto"/>
        <w:rPr>
          <w:sz w:val="20"/>
          <w:szCs w:val="20"/>
          <w:color w:val="auto"/>
        </w:rPr>
      </w:pPr>
      <w:r>
        <w:rPr>
          <w:rFonts w:ascii="Arial" w:cs="Arial" w:eastAsia="Arial" w:hAnsi="Arial"/>
          <w:sz w:val="16"/>
          <w:szCs w:val="16"/>
          <w:color w:val="auto"/>
        </w:rPr>
        <w:t>In March 2014, the Company initiated a Phase I/Ib, open label, multi-center, clinical trial of TGR-1202 in combination with obinutuzumab and chlorambucil in patients with CLL, both treatment naïve and relapsed. The study entitled TGR-GA-106, " A Multi-center Phase I/Ib Study Evaluating the Efficacy and Safety of TGR-1202, a Novel PI3K Delta Inhibitor, in Combination with Obinutuzumab and Chlorambucil in Patients with Chronic Lymphocytic Leukemia (CLL)," is being led by Dr. Daruka Mahadevan of the West Clinic in Memphis, TN. As of February 2016, this study has completed enrollment.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Data from this study was presented at the 57th Annual American Society of Hematology (ASH) meeting held in December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Combination Trials</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TGR-1202 is being evaluated in combination with the anti-CD30 antibody drug conjugate, brentuximab vedotin, in patients with relapsed or refractory Hodgkin’s lymphoma; in combination with the BTK inhibitor, ibrutinib, in patients with CLL and MCL; and in combination with the JAK inhibitor, ruxolitinib, in patients with Myelofibrosis or Polycythemia Vera. Additional investigator sponsored trials are also underway which are combining TGR-1202 with other approved agents for the treatment of B-cell malignancies.</w:t>
      </w:r>
    </w:p>
    <w:p>
      <w:pPr>
        <w:spacing w:after="0" w:line="190" w:lineRule="exact"/>
        <w:rPr>
          <w:sz w:val="20"/>
          <w:szCs w:val="20"/>
          <w:color w:val="auto"/>
        </w:rPr>
      </w:pPr>
    </w:p>
    <w:p>
      <w:pPr>
        <w:ind w:right="380" w:firstLine="648"/>
        <w:spacing w:after="0" w:line="255" w:lineRule="auto"/>
        <w:rPr>
          <w:sz w:val="20"/>
          <w:szCs w:val="20"/>
          <w:color w:val="auto"/>
        </w:rPr>
      </w:pPr>
      <w:r>
        <w:rPr>
          <w:rFonts w:ascii="Arial" w:cs="Arial" w:eastAsia="Arial" w:hAnsi="Arial"/>
          <w:sz w:val="18"/>
          <w:szCs w:val="18"/>
          <w:color w:val="auto"/>
        </w:rPr>
        <w:t>Preliminary data from studies evaluating TGR-1202 + brentuximab vedotin and TGR-1202 + ibrutinib were presented at the 58th Annual American Society of Hematology (ASH) meeting held in December 2016. Both combinations appeared well tolerated. In particular, the combination of TGR-1202 + ibrutinib resulted in an 88% (15 of 17) Overall Response Rate (ORR) (including Complete Response (CR), Partial Response (PR), and Partial Response with lymphocytosis (PR-L)) in patients with CLL, with 1 patient achieving a bone marrow confirmed CR and 5 patients with a &gt; 80% nodal reduction, nearing radiographic CR.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anticipated that results from these studies will be presented or updated at future medical conferences.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in Solid Tumors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to the exploration of TGR-1202 in various hematologic malignancies, a study was opened in October 2015 to evaluate TGR-1202 as a single agent as well as in combination with various chemotherapies for the treatment of select solid tumors. The study, entitled TGR-1202-102, “A Phase I Study Evaluating the Safety and Efficacy of TGR-1202 Alone and in Combination with either nab-paclitaxel + Gemcitabine or with FOLFOX in Patients with Select Relapsed or Refractory Solid Tumors” is being run in collaboration with the Sarah Cannon Research Institute in Nashville, TN with Johanna Bendell, MD, Director of GI Oncology Research as the acting study chair.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 for TG-1101 &amp; TGR-1202</w:t>
      </w:r>
    </w:p>
    <w:p>
      <w:pPr>
        <w:spacing w:after="0" w:line="225"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Our lead products under development, TG-1101 and TGR-1202 are for the treatment of B-cell hematologic malignancies. Hematologic malignancies include cancers derived from the bone marrow and lymph tissue. The non-Hodgkin’s lymphomas (NHL) represent a heterogeneous subset of these malignancies. Underneath the single rubric of lymphoma exist some of the most aggressive growing cancers (Burkitt’s lymphoma, lymphoblastic lymphoma, diffuse large-B-cell lymphoma), as well as some of the most indolent (small lymphocytic lymphoma, follicular lymphoma, and marginal zone lymphoma). In the United States, NHL represents 4-5% of all new cancer cases, and is the eighth leading cause of cancer death. According to the American Cancer Society, it is estimated in 2017 that there will be 72,240 new cases in the United States, and 20,140 deaths from NHL, despite improvements in treatment. Chronic lymphocytic leukemia (CLL) affects mainly older adults and accounts for one quarter of all diagnosed cases of leukemia, of which there are estimated to be about 62,130 new cases and about 24,500 deaths (all kinds of leukemia) according to American Cancer Society estimates. Despite improvements in therapy, up to one third of patients with aggressive NHL continue to die from their disease, and indolent lymphomas remain incurable in the absence of allogeneic stem cell transplant. The treatment paradigm for hematologic malignancies is well standardized in front line settings, with the anti-CD20 monoclonal antibody, rituximab, administered generally in combination with chemotherapeutic agents. While front line therapies are generally efficacious, there are numerous downsides, including a high rate of toxicity associated with exposure to chemotherapeutic agents. While initially responsive, most patients with hematologic malignancies will eventually relapse and require second, third, and sometimes more lines of therapy. As a result, there is a pressing need for new, innovative, targeted therapies for the treatment of this heterogeneous group of diseases.</w:t>
      </w:r>
    </w:p>
    <w:p>
      <w:pPr>
        <w:spacing w:after="0" w:line="182" w:lineRule="exact"/>
        <w:rPr>
          <w:sz w:val="20"/>
          <w:szCs w:val="20"/>
          <w:color w:val="auto"/>
        </w:rPr>
      </w:pPr>
    </w:p>
    <w:p>
      <w:pPr>
        <w:ind w:right="180" w:firstLine="648"/>
        <w:spacing w:after="0" w:line="298" w:lineRule="auto"/>
        <w:rPr>
          <w:sz w:val="20"/>
          <w:szCs w:val="20"/>
          <w:color w:val="auto"/>
        </w:rPr>
      </w:pPr>
      <w:r>
        <w:rPr>
          <w:rFonts w:ascii="Arial" w:cs="Arial" w:eastAsia="Arial" w:hAnsi="Arial"/>
          <w:sz w:val="16"/>
          <w:szCs w:val="16"/>
          <w:color w:val="auto"/>
        </w:rPr>
        <w:t>Anti-CD20 antibodies have been approved and studied in a variety of diseases falling into several therapeutic areas including oncology, autoimmune disorders, and neurologic disease. NHL and CLL are the most common B-cell proliferative diseases for which rituximab, the first anti-CD20 antibody approved by the FDA, is the current gold standard treatment. While the addition of rituximab to chemotherapeutic treatment of NHL has dramatically improved patient outcomes, many patients will relapse or become refractory to rituximab containing regimens.</w:t>
      </w:r>
    </w:p>
    <w:p>
      <w:pPr>
        <w:spacing w:after="0" w:line="167" w:lineRule="exact"/>
        <w:rPr>
          <w:sz w:val="20"/>
          <w:szCs w:val="20"/>
          <w:color w:val="auto"/>
        </w:rPr>
      </w:pPr>
    </w:p>
    <w:p>
      <w:pPr>
        <w:jc w:val="both"/>
        <w:ind w:right="540" w:firstLine="648"/>
        <w:spacing w:after="0" w:line="259" w:lineRule="auto"/>
        <w:rPr>
          <w:sz w:val="20"/>
          <w:szCs w:val="20"/>
          <w:color w:val="auto"/>
        </w:rPr>
      </w:pPr>
      <w:r>
        <w:rPr>
          <w:rFonts w:ascii="Arial" w:cs="Arial" w:eastAsia="Arial" w:hAnsi="Arial"/>
          <w:sz w:val="18"/>
          <w:szCs w:val="18"/>
          <w:color w:val="auto"/>
        </w:rPr>
        <w:t>Rituximab resistance is becoming an increasing concern for clinicians as relapsing patients are exposed to multiple lines of rituximab containing regimens to treat recurrence of disease. It is estimated that over half of patients initially responsive to their first exposure to rituximab do not respond upon retreatment (Davis et al, 2000).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10" w:name="page11"/>
    <w:bookmarkEnd w:id="10"/>
    <w:p>
      <w:pPr>
        <w:ind w:right="380" w:firstLine="648"/>
        <w:spacing w:after="0" w:line="332" w:lineRule="auto"/>
        <w:rPr>
          <w:sz w:val="20"/>
          <w:szCs w:val="20"/>
          <w:color w:val="auto"/>
        </w:rPr>
      </w:pPr>
      <w:r>
        <w:rPr>
          <w:rFonts w:ascii="Arial" w:cs="Arial" w:eastAsia="Arial" w:hAnsi="Arial"/>
          <w:sz w:val="16"/>
          <w:szCs w:val="16"/>
          <w:color w:val="auto"/>
        </w:rPr>
        <w:t>We believe these factors contribute to an immediate and sustained need for an anti-CD20 monoclonal antibody that is differentiated and potentially therapeutically superior to the gold standard rituximab in order to extend and enhance CD20 therapy as it stands today.</w:t>
      </w:r>
    </w:p>
    <w:p>
      <w:pPr>
        <w:spacing w:after="0" w:line="139"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In addition to anti-CD20 therapy, novel targeted agents are now being introduced which target specific signaling pathways and enzymes known to exhibit aberrant activity and overexpression in B-cell malignancies such as Bruton’s Tyrosine Kinase (BTK), and Phosphoinositide-3-Kinase delta (PI3K delta). The PI3K/AKT/mTOR pathway has been the target of numerous pharmaceutical agents, both approved and in development, however only recently has the delta isoform of PI3K been identified as a potential target for the treatment of hematologic malignancies and other B-cell lymphoproliferative disorders. Idelalisib (ZYDELIG™), a PI3K delta specific inhibitor from Gilead Pharmaceuticals, was approved by the FDA in 2014 for patients with CLL and indolent NHL. Other agents targeting kinases downstream of the B-cell receptor, such as the BTK inhibitor, ibrutinib, have displayed high rates of response in patients with relapsed and refractory B-cell malignancies and have been recently approved for these indications. While these agents have demonstrated high levels of single agent activity in B-cell disorders, their clinical activity has been shown to be greatly enhanced when utilized in combination with anti-CD20 agents.</w:t>
      </w:r>
    </w:p>
    <w:p>
      <w:pPr>
        <w:spacing w:after="0" w:line="17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novel targeted agents gain FDA approval for the treatment of relapsed and refractory disease, it is anticipated that the size of this market will expand greatly as branded drugs enter use in multiple lines of therapy. Given the nature of the disease state for patients with hematologic malignancies, characterized by indolent disease progression and chronic relapses, the Company anticipates a great and growing need for novel agents that can be used alone or in combination with approved agents, and those currently under development to enhance the quality of life and extend the length of survival for patients suffering from hematologic malignancies.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IRAK4</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Interleukin-1 Receptor Associated Kinase 4, referred to as IRAK4, is a key signaling kinase that becomes inappropriately activated in tumors that carry certain oncogenic mutations of MYD88, which can be found in most patients with Waldenström's Macroglobulinemia, a rare B-cell cancer, as well as in a sub-set of patients with Non-Hodgkin's Lymphoma and Chronic Lymphocytic Leukemia. Additionally, IRAK4 is a key component of signaling pathways which regulate immune and inflammatory processes suggesting that inhibition of IRAK4 may also be useful in the treatment of autoimmune related disorders. We hold global rights to develop and commercialize the IRAK4 program, which was licensed from Ligand Pharmaceuticals. Our IRAK4 program is currently in pre-clinical development. In April 2015, we presented pre-clinical data on the IRAK4 compounds at the 2015 American Association for Cancer Research (AACR) Annual Meeting held in Philadelphia, PA.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PD-L1 and GITR</w:t>
      </w:r>
    </w:p>
    <w:p>
      <w:pPr>
        <w:spacing w:after="0" w:line="225" w:lineRule="exact"/>
        <w:rPr>
          <w:sz w:val="20"/>
          <w:szCs w:val="20"/>
          <w:color w:val="auto"/>
        </w:rPr>
      </w:pPr>
    </w:p>
    <w:p>
      <w:pPr>
        <w:ind w:right="260" w:firstLine="648"/>
        <w:spacing w:after="0" w:line="332" w:lineRule="auto"/>
        <w:rPr>
          <w:sz w:val="20"/>
          <w:szCs w:val="20"/>
          <w:color w:val="auto"/>
        </w:rPr>
      </w:pPr>
      <w:r>
        <w:rPr>
          <w:rFonts w:ascii="Arial" w:cs="Arial" w:eastAsia="Arial" w:hAnsi="Arial"/>
          <w:sz w:val="16"/>
          <w:szCs w:val="16"/>
          <w:color w:val="auto"/>
        </w:rPr>
        <w:t>In March 2015, we entered into a global collaboration agreement for the development and commercialization of anti-PD-L1 and anti-GITR antibody research programs in the field of hematological malignancies. Our anti-PD-L1 and anti-GITR programs are currently in pre-clinical development.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w:t>
      </w:r>
    </w:p>
    <w:p>
      <w:pPr>
        <w:spacing w:after="0" w:line="225" w:lineRule="exact"/>
        <w:rPr>
          <w:sz w:val="20"/>
          <w:szCs w:val="20"/>
          <w:color w:val="auto"/>
        </w:rPr>
      </w:pPr>
    </w:p>
    <w:p>
      <w:pPr>
        <w:ind w:right="60" w:firstLine="648"/>
        <w:spacing w:after="0" w:line="294" w:lineRule="auto"/>
        <w:rPr>
          <w:sz w:val="20"/>
          <w:szCs w:val="20"/>
          <w:color w:val="auto"/>
        </w:rPr>
      </w:pPr>
      <w:r>
        <w:rPr>
          <w:rFonts w:ascii="Arial" w:cs="Arial" w:eastAsia="Arial" w:hAnsi="Arial"/>
          <w:sz w:val="16"/>
          <w:szCs w:val="16"/>
          <w:color w:val="auto"/>
        </w:rPr>
        <w:t>In May 2016, as part of a broader agreement with Jubilant Biosys (“Jubilant”), an India-based biotechnology company, we entered into a sub-license agreement (“JBET Agreement”) with Checkpoint Therapeutics, Inc. (“Checkpoint”), a subsidiary of Fortress Biotech, Inc. (“FBIO”), for the development and commercialization of Jubilant’s novel BET inhibitor program in the field of hematological malignancies. The BET inhibitor program is the subject of a family of patents covering compounds that inhibit BRD4, a member of the BET (Bromodomain and Extra Terminal) domain for cancer treatment. Our BET inhibitor program is currently in pre-clinical development. Our Executive Chairman and CEO, is also Executive Vice Chairman of FBIO.</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TIME TO COMPLETE PRODUCT DEVELOPMENT</w:t>
      </w:r>
    </w:p>
    <w:p>
      <w:pPr>
        <w:spacing w:after="0" w:line="231"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The information below provides estimates regarding the costs associated with the completion of the current development phase and our current estimated range of the time that will be necessary to complete that development phase for our key pipeline products. We also direct your attention to the risk factors which could significantly affect our ability to meet these cost and time estimates found in this report in Item 1A under the heading “Risks Related to the Company’s Business and Industry.”</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47" w:right="299" w:bottom="1440" w:gutter="0" w:footer="0" w:header="0"/>
        </w:sectPr>
      </w:pPr>
    </w:p>
    <w:bookmarkStart w:id="11" w:name="page12"/>
    <w:bookmarkEnd w:id="11"/>
    <w:p>
      <w:pPr>
        <w:spacing w:after="0" w:line="2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600"/>
        <w:spacing w:after="0"/>
        <w:tabs>
          <w:tab w:leader="none" w:pos="3180" w:val="left"/>
          <w:tab w:leader="none" w:pos="5640" w:val="left"/>
        </w:tabs>
        <w:rPr>
          <w:sz w:val="20"/>
          <w:szCs w:val="20"/>
          <w:color w:val="auto"/>
        </w:rPr>
      </w:pPr>
      <w:r>
        <w:rPr>
          <w:rFonts w:ascii="Arial" w:cs="Arial" w:eastAsia="Arial" w:hAnsi="Arial"/>
          <w:sz w:val="18"/>
          <w:szCs w:val="18"/>
          <w:b w:val="1"/>
          <w:bCs w:val="1"/>
          <w:color w:val="auto"/>
        </w:rPr>
        <w:t>Product candidate</w:t>
      </w:r>
      <w:r>
        <w:rPr>
          <w:sz w:val="20"/>
          <w:szCs w:val="20"/>
          <w:color w:val="auto"/>
        </w:rPr>
        <w:tab/>
      </w:r>
      <w:r>
        <w:rPr>
          <w:rFonts w:ascii="Arial" w:cs="Arial" w:eastAsia="Arial" w:hAnsi="Arial"/>
          <w:sz w:val="18"/>
          <w:szCs w:val="18"/>
          <w:b w:val="1"/>
          <w:bCs w:val="1"/>
          <w:color w:val="auto"/>
        </w:rPr>
        <w:t>Target indication</w:t>
      </w:r>
      <w:r>
        <w:rPr>
          <w:sz w:val="20"/>
          <w:szCs w:val="20"/>
          <w:color w:val="auto"/>
        </w:rPr>
        <w:tab/>
      </w:r>
      <w:r>
        <w:rPr>
          <w:rFonts w:ascii="Arial" w:cs="Arial" w:eastAsia="Arial" w:hAnsi="Arial"/>
          <w:sz w:val="15"/>
          <w:szCs w:val="15"/>
          <w:b w:val="1"/>
          <w:bCs w:val="1"/>
          <w:color w:val="auto"/>
        </w:rPr>
        <w:t>Development status</w:t>
      </w:r>
    </w:p>
    <w:p>
      <w:pPr>
        <w:spacing w:after="0" w:line="21" w:lineRule="exact"/>
        <w:rPr>
          <w:sz w:val="20"/>
          <w:szCs w:val="20"/>
          <w:color w:val="auto"/>
        </w:rPr>
      </w:pPr>
    </w:p>
    <w:p>
      <w:pPr>
        <w:spacing w:after="0"/>
        <w:tabs>
          <w:tab w:leader="none" w:pos="2540" w:val="left"/>
          <w:tab w:leader="none" w:pos="6060" w:val="left"/>
        </w:tabs>
        <w:rPr>
          <w:sz w:val="20"/>
          <w:szCs w:val="20"/>
          <w:color w:val="auto"/>
        </w:rPr>
      </w:pPr>
      <w:r>
        <w:rPr>
          <w:rFonts w:ascii="Arial" w:cs="Arial" w:eastAsia="Arial" w:hAnsi="Arial"/>
          <w:sz w:val="18"/>
          <w:szCs w:val="18"/>
          <w:b w:val="1"/>
          <w:bCs w:val="1"/>
          <w:i w:val="1"/>
          <w:iCs w:val="1"/>
          <w:color w:val="auto"/>
        </w:rPr>
        <w:t>TG-1101 &amp; TGR-1202</w:t>
      </w:r>
      <w:r>
        <w:rPr>
          <w:sz w:val="20"/>
          <w:szCs w:val="20"/>
          <w:color w:val="auto"/>
        </w:rPr>
        <w:tab/>
      </w:r>
      <w:r>
        <w:rPr>
          <w:rFonts w:ascii="Arial" w:cs="Arial" w:eastAsia="Arial" w:hAnsi="Arial"/>
          <w:sz w:val="18"/>
          <w:szCs w:val="18"/>
          <w:color w:val="auto"/>
        </w:rPr>
        <w:t>In combination in CLL patients</w:t>
      </w:r>
      <w:r>
        <w:rPr>
          <w:sz w:val="20"/>
          <w:szCs w:val="20"/>
          <w:color w:val="auto"/>
        </w:rPr>
        <w:tab/>
      </w:r>
      <w:r>
        <w:rPr>
          <w:rFonts w:ascii="Arial" w:cs="Arial" w:eastAsia="Arial" w:hAnsi="Arial"/>
          <w:sz w:val="16"/>
          <w:szCs w:val="16"/>
          <w:color w:val="auto"/>
        </w:rPr>
        <w:t>Phase III</w:t>
      </w:r>
    </w:p>
    <w:p>
      <w:pPr>
        <w:spacing w:after="0" w:line="21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In combination in relapsed/refractory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tabs>
          <w:tab w:leader="none" w:pos="2540" w:val="left"/>
          <w:tab w:leader="none" w:pos="6040" w:val="left"/>
        </w:tabs>
        <w:rPr>
          <w:sz w:val="20"/>
          <w:szCs w:val="20"/>
          <w:color w:val="auto"/>
        </w:rPr>
      </w:pPr>
      <w:r>
        <w:rPr>
          <w:rFonts w:ascii="Arial" w:cs="Arial" w:eastAsia="Arial" w:hAnsi="Arial"/>
          <w:sz w:val="18"/>
          <w:szCs w:val="18"/>
          <w:b w:val="1"/>
          <w:bCs w:val="1"/>
          <w:i w:val="1"/>
          <w:iCs w:val="1"/>
          <w:color w:val="auto"/>
        </w:rPr>
        <w:t>TG-1101 &amp; TGR-1202</w:t>
      </w:r>
      <w:r>
        <w:rPr>
          <w:sz w:val="20"/>
          <w:szCs w:val="20"/>
          <w:color w:val="auto"/>
        </w:rPr>
        <w:tab/>
      </w:r>
      <w:r>
        <w:rPr>
          <w:rFonts w:ascii="Arial" w:cs="Arial" w:eastAsia="Arial" w:hAnsi="Arial"/>
          <w:sz w:val="18"/>
          <w:szCs w:val="18"/>
          <w:color w:val="auto"/>
        </w:rPr>
        <w:t>DLBCL patients</w:t>
      </w:r>
      <w:r>
        <w:rPr>
          <w:sz w:val="20"/>
          <w:szCs w:val="20"/>
          <w:color w:val="auto"/>
        </w:rPr>
        <w:tab/>
      </w:r>
      <w:r>
        <w:rPr>
          <w:rFonts w:ascii="Arial" w:cs="Arial" w:eastAsia="Arial" w:hAnsi="Arial"/>
          <w:sz w:val="15"/>
          <w:szCs w:val="15"/>
          <w:color w:val="auto"/>
        </w:rPr>
        <w:t>Phase IIb</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Completion of</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4"/>
              </w:rPr>
              <w:t>phase</w:t>
            </w:r>
          </w:p>
        </w:tc>
        <w:tc>
          <w:tcPr>
            <w:tcW w:w="2540" w:type="dxa"/>
            <w:vAlign w:val="bottom"/>
          </w:tcPr>
          <w:p>
            <w:pPr>
              <w:ind w:left="80"/>
              <w:spacing w:after="0"/>
              <w:rPr>
                <w:sz w:val="20"/>
                <w:szCs w:val="20"/>
                <w:color w:val="auto"/>
              </w:rPr>
            </w:pPr>
            <w:r>
              <w:rPr>
                <w:rFonts w:ascii="Arial" w:cs="Arial" w:eastAsia="Arial" w:hAnsi="Arial"/>
                <w:sz w:val="18"/>
                <w:szCs w:val="18"/>
                <w:b w:val="1"/>
                <w:bCs w:val="1"/>
                <w:color w:val="auto"/>
                <w:w w:val="83"/>
              </w:rPr>
              <w:t>Estimated cost to complete phase</w:t>
            </w:r>
          </w:p>
        </w:tc>
        <w:tc>
          <w:tcPr>
            <w:tcW w:w="0" w:type="dxa"/>
            <w:vAlign w:val="bottom"/>
          </w:tcPr>
          <w:p>
            <w:pPr>
              <w:spacing w:after="0"/>
              <w:rPr>
                <w:sz w:val="1"/>
                <w:szCs w:val="1"/>
                <w:color w:val="auto"/>
              </w:rPr>
            </w:pPr>
          </w:p>
        </w:tc>
      </w:tr>
      <w:tr>
        <w:trPr>
          <w:trHeight w:val="222"/>
        </w:trPr>
        <w:tc>
          <w:tcPr>
            <w:tcW w:w="1080" w:type="dxa"/>
            <w:vAlign w:val="bottom"/>
            <w:vMerge w:val="restart"/>
          </w:tcPr>
          <w:p>
            <w:pPr>
              <w:jc w:val="right"/>
              <w:ind w:right="252"/>
              <w:spacing w:after="0"/>
              <w:rPr>
                <w:sz w:val="20"/>
                <w:szCs w:val="20"/>
                <w:color w:val="auto"/>
              </w:rPr>
            </w:pPr>
            <w:r>
              <w:rPr>
                <w:rFonts w:ascii="Arial" w:cs="Arial" w:eastAsia="Arial" w:hAnsi="Arial"/>
                <w:sz w:val="18"/>
                <w:szCs w:val="18"/>
                <w:color w:val="auto"/>
              </w:rPr>
              <w:t>2018*</w:t>
            </w:r>
          </w:p>
        </w:tc>
        <w:tc>
          <w:tcPr>
            <w:tcW w:w="2540" w:type="dxa"/>
            <w:vAlign w:val="bottom"/>
          </w:tcPr>
          <w:p>
            <w:pPr>
              <w:ind w:left="20"/>
              <w:spacing w:after="0"/>
              <w:rPr>
                <w:sz w:val="20"/>
                <w:szCs w:val="20"/>
                <w:color w:val="auto"/>
              </w:rPr>
            </w:pPr>
            <w:r>
              <w:rPr>
                <w:rFonts w:ascii="Arial" w:cs="Arial" w:eastAsia="Arial" w:hAnsi="Arial"/>
                <w:sz w:val="18"/>
                <w:szCs w:val="18"/>
                <w:color w:val="auto"/>
              </w:rPr>
              <w:t>Approximately $20 million</w:t>
            </w:r>
          </w:p>
        </w:tc>
        <w:tc>
          <w:tcPr>
            <w:tcW w:w="0" w:type="dxa"/>
            <w:vAlign w:val="bottom"/>
          </w:tcPr>
          <w:p>
            <w:pPr>
              <w:spacing w:after="0"/>
              <w:rPr>
                <w:sz w:val="1"/>
                <w:szCs w:val="1"/>
                <w:color w:val="auto"/>
              </w:rPr>
            </w:pPr>
          </w:p>
        </w:tc>
      </w:tr>
      <w:tr>
        <w:trPr>
          <w:trHeight w:val="108"/>
        </w:trPr>
        <w:tc>
          <w:tcPr>
            <w:tcW w:w="1080" w:type="dxa"/>
            <w:vAlign w:val="bottom"/>
            <w:vMerge w:val="continue"/>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1080" w:type="dxa"/>
            <w:vAlign w:val="bottom"/>
          </w:tcPr>
          <w:p>
            <w:pPr>
              <w:jc w:val="right"/>
              <w:ind w:right="292"/>
              <w:spacing w:after="0"/>
              <w:rPr>
                <w:sz w:val="20"/>
                <w:szCs w:val="20"/>
                <w:color w:val="auto"/>
              </w:rPr>
            </w:pPr>
            <w:r>
              <w:rPr>
                <w:rFonts w:ascii="Arial" w:cs="Arial" w:eastAsia="Arial" w:hAnsi="Arial"/>
                <w:sz w:val="18"/>
                <w:szCs w:val="18"/>
                <w:color w:val="auto"/>
              </w:rPr>
              <w:t>2018</w:t>
            </w:r>
          </w:p>
        </w:tc>
        <w:tc>
          <w:tcPr>
            <w:tcW w:w="2540" w:type="dxa"/>
            <w:vAlign w:val="bottom"/>
          </w:tcPr>
          <w:p>
            <w:pPr>
              <w:ind w:left="20"/>
              <w:spacing w:after="0"/>
              <w:rPr>
                <w:sz w:val="20"/>
                <w:szCs w:val="20"/>
                <w:color w:val="auto"/>
              </w:rPr>
            </w:pPr>
            <w:r>
              <w:rPr>
                <w:rFonts w:ascii="Arial" w:cs="Arial" w:eastAsia="Arial" w:hAnsi="Arial"/>
                <w:sz w:val="18"/>
                <w:szCs w:val="18"/>
                <w:color w:val="auto"/>
              </w:rPr>
              <w:t>Approximately $5 million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120" w:space="620"/>
            <w:col w:w="3660"/>
          </w:cols>
          <w:pgMar w:left="240" w:top="557" w:right="259" w:bottom="144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*Completion of phase for this study indicates completion of portion of study, which, if successful, would support an accelerated approval</w:t>
      </w:r>
    </w:p>
    <w:p>
      <w:pPr>
        <w:spacing w:after="0" w:line="225" w:lineRule="exact"/>
        <w:rPr>
          <w:sz w:val="20"/>
          <w:szCs w:val="20"/>
          <w:color w:val="auto"/>
        </w:rPr>
      </w:pPr>
    </w:p>
    <w:p>
      <w:pPr>
        <w:ind w:right="260" w:firstLine="648"/>
        <w:spacing w:after="0" w:line="298" w:lineRule="auto"/>
        <w:rPr>
          <w:sz w:val="20"/>
          <w:szCs w:val="20"/>
          <w:color w:val="auto"/>
        </w:rPr>
      </w:pPr>
      <w:r>
        <w:rPr>
          <w:rFonts w:ascii="Arial" w:cs="Arial" w:eastAsia="Arial" w:hAnsi="Arial"/>
          <w:sz w:val="16"/>
          <w:szCs w:val="16"/>
          <w:color w:val="auto"/>
        </w:rPr>
        <w:t>Completion dates and costs in the above table are estimates due to the uncertainties associated with clinical trials and the related requirements of development. In the cases where the requirements for clinical trials and development programs have not been fully defined, or are dependent on the success of other trials, we cannot estimate trial completion or cost with any certainty. The actual spending on each trial during the year is also dependent on funding. We therefore direct your attention to Item 7 under the heading “Liquidity and Capital Resources.”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PATENTS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color w:val="auto"/>
        </w:rPr>
        <w:t>Our goal is to obtain, maintain and enforce patent protection for our products, formulations, processes, methods and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product candidates, proprietary information and proprietary technology through a combination of contractual arrangements and patents, both in the U.S. and elsewhere in the world.</w:t>
      </w:r>
    </w:p>
    <w:p>
      <w:pPr>
        <w:spacing w:after="0" w:line="167"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We also depend upon the skills, knowledge and experience of our scientific and technical personnel, as well as that of our advisors, consultants and other contractors. This knowledge and experience we call “know-how.” To help protect our proprietary know-how which is not patentable, and for inventions for which patents may be difficult to enforce, we rely on trade secret protection and confidentiality agreements to protect our interests. To this end, we require all employees, consultants, advisors and other contractors to enter into confidentiality agreements which prohibit the disclosure of confidential information and, where applicable, require disclosure and assignment to us of the ideas, developments, discoveries and inventions important to our business.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Patents and other proprietary rights are crucial to the development of our business. We will be able to protect our proprietary technologies from unauthorized use by third parties only to the extent that our proprietary rights are covered by valid and enforceable patents, supported by regulatory exclusivity or are effectively maintained as trade secrets. We have a number of patents and patent applications related to our compounds and other technology, but we cannot guarantee the scope of protection of the issued patents, or that such patents will survive a validity or enforceability challenge, or that any of the pending patent applications will issue as patents.</w:t>
      </w:r>
    </w:p>
    <w:p>
      <w:pPr>
        <w:spacing w:after="0" w:line="19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Generally, patent applications in the U.S. are maintained in secrecy for a period of 18 months or more. Since publication of discoveries in the scientific or patent literature often lag behind actual discoveries, we are not certain that we were the first to make the inventions covered by each of our pending patent applications or that we were the first to file those patent applications. The patent positions of biotechnology and pharmaceutical companies are highly uncertain and involve complex legal and factual questions. Therefore, we cannot predict the breadth of claims allowed in biotechnology and pharmaceutical patents, or their enforceability. To date, there has been no consistent policy regarding the breadth of claims allowed in biotechnology patents. Third parties or competitors may challenge or circumvent our patents or patent applications, if issued. If our competitors prepare and file patent applications in the U.S. that claim technology also claimed by us, we may have to participate in interference proceedings declared by the U.S. Patent and Trademark Office to determine priority of invention, which could result in substantial cost, even if the eventual outcome is favorable to us. Because of the extensive time required for development, testing and regulatory review of a potential product, it is possible that before we commercialize any of our products, any related patent may expire or remain in existence for only a short period following commercialization, thus reducing any advantage of the patent. However, the life of a patent covering a product that has been subject to regulatory approval may have the ability to be extended through the patent restoration program, although any such extension could still be minimal.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type w:val="continuous"/>
        </w:sectPr>
      </w:pPr>
    </w:p>
    <w:bookmarkStart w:id="12" w:name="page13"/>
    <w:bookmarkEnd w:id="12"/>
    <w:p>
      <w:pPr>
        <w:ind w:right="180" w:firstLine="648"/>
        <w:spacing w:after="0" w:line="291" w:lineRule="auto"/>
        <w:rPr>
          <w:sz w:val="20"/>
          <w:szCs w:val="20"/>
          <w:color w:val="auto"/>
        </w:rPr>
      </w:pPr>
      <w:r>
        <w:rPr>
          <w:rFonts w:ascii="Arial" w:cs="Arial" w:eastAsia="Arial" w:hAnsi="Arial"/>
          <w:sz w:val="16"/>
          <w:szCs w:val="16"/>
          <w:color w:val="auto"/>
        </w:rPr>
        <w:t>If a patent is issued to a third party containing one or more preclusive or conflicting claims, and those claims are ultimately determined to be valid and enforceable, we may be required to obtain a license under such patent or to develop or obtain alternative technology. In the event of litigation involving a third party claim, an adverse outcome in the litigation could subject us to significant liabilities to such third party, require us to seek a license for the disputed rights from such third party, and/or require us to cease use of the technology. Further, our breach of an existing license or failure to obtain a license to technology required to commercialize our products may seriously harm our business. We also may need to commence litigation to enforce any patents issued to us or to determine the scope and validity of third-party proprietary rights. Litigation would involve substantial costs.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TG-1101</w:t>
      </w:r>
    </w:p>
    <w:p>
      <w:pPr>
        <w:spacing w:after="0" w:line="231"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Pursuant to our license for TG-1101 (ublituximab) with LFB Biotechnologies, GTC Biotherapeutics, and LFB/GTC LLC, we have the exclusive commercial rights to a series of patents and patent applications in the U.S. and in multiple countries around the world, as well as a non-exclusive license to additional background patent rights. These patents and patent protections include composition of matter patents relating to the structure and mechanism of action for TG-1101 as well as method of use patents which cover use of TG-1101 in combination with various agents and for various therapeutic indications.</w:t>
      </w:r>
    </w:p>
    <w:p>
      <w:pPr>
        <w:spacing w:after="0" w:line="167" w:lineRule="exact"/>
        <w:rPr>
          <w:sz w:val="20"/>
          <w:szCs w:val="20"/>
          <w:color w:val="auto"/>
        </w:rPr>
      </w:pPr>
    </w:p>
    <w:p>
      <w:pPr>
        <w:ind w:right="80" w:firstLine="648"/>
        <w:spacing w:after="0" w:line="318" w:lineRule="auto"/>
        <w:rPr>
          <w:sz w:val="20"/>
          <w:szCs w:val="20"/>
          <w:color w:val="auto"/>
        </w:rPr>
      </w:pPr>
      <w:r>
        <w:rPr>
          <w:rFonts w:ascii="Arial" w:cs="Arial" w:eastAsia="Arial" w:hAnsi="Arial"/>
          <w:sz w:val="15"/>
          <w:szCs w:val="15"/>
          <w:color w:val="auto"/>
        </w:rPr>
        <w:t>In the United States, we have, through our license agreement, access to 12 issued patents and 6 patent applications covering TG-1101 which expire between 2021 and 2033, excluding any patent term extensions, as well as granted and pending foreign counterpart patent filings related to these patent families. These patents include claims related to the manufacture and use of TG-1101. The composition of matter patent for TG-1101 has been issued in the United States, which affords patent protection until 2029, exclusive of patent term extensions. Additionally, we have over 30 granted patents outside the US, and over 25 patent applications pending worldwide also including claims directed to the composition of matter and methods of treatment with TG-1101 in various settings.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TGR-1202</w:t>
      </w:r>
    </w:p>
    <w:p>
      <w:pPr>
        <w:spacing w:after="0" w:line="23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Pursuant to our license for TGR-1202 with Rhizen, we have the exclusive commercial rights to a series of patent applications in the U.S. and abroad. The patent applications include composition of matter patents relating to the structure, mechanism of action, and formulation for TGR-1202 as well as method of use patents which cover use of TGR-1202 in combination with various agents and for various therapeutic indications. Our composition of matter patent for TGR-1202 has been issued in the United States, which affords patent protection until 2033, exclusive of patent term extensions. All other patent applications currently filed for TG-1202 are currently pending. Because the dates for any potential regulatory approval are currently unknown we cannot predict the expected expiration date, and it is possible that the life of these patents following regulatory approval could be minimal.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IRAK4</w:t>
      </w:r>
    </w:p>
    <w:p>
      <w:pPr>
        <w:spacing w:after="0" w:line="231"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Pursuant to our license for the IRAK4 program with Ligand, we have the exclusive commercial rights to a patent family which covers the composition of matter and proposed methods of use for various therapeutic indications. All patent applications currently filed for the IRAK4 program are currently pending. Because the date for any potential regulatory approval is currently unknown we cannot predict the expected expiration date, and it is possible that the life of these patents following regulatory approval could be minimal.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PD-L1 and GITR</w:t>
      </w:r>
    </w:p>
    <w:p>
      <w:pPr>
        <w:spacing w:after="0" w:line="23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Pursuant to our Global Collaboration with Checkpoint, the intellectual property includes issued patents in a number of countries, including the United States and Europe, as well as pending patent applications in several countries elsewhere. The PD-L1 segment of the portfolio includes patent applications pending in the United States, Australia, Canada, Europe, Israel and Korea. Any patents maturing from these pending applications will expire no sooner than October 2033. The GITR segment of the portfolio includes an International Application No. PCT/US2015/054010, filed in October 2015. Any national stage applications, which are pursued off of this international application (including one in the United States Patent and Trademark Office), would expire no earlier than October 2035.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t>
      </w:r>
    </w:p>
    <w:p>
      <w:pPr>
        <w:spacing w:after="0" w:line="231"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Pursuant to our JBET Agreement with Checkpoint, the in-licensed patent estate includes two international (PCT) applications filed in March 2016 (WO 2016/157221) and September 2016, respectively, claiming the benefit of two earlier-filed Indian provisional applications. Any patents maturing from this patent estate are expected to expire no sooner than March 2036.</w:t>
      </w:r>
    </w:p>
    <w:p>
      <w:pPr>
        <w:spacing w:after="0" w:line="194"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 xml:space="preserve">The patent rights that we own or have licensed relating to our product candidates are limited in ways that may affect our ability to exclude third parties from competing against us if we obtain regulatory approval to market these product candidates. See </w:t>
      </w:r>
      <w:r>
        <w:rPr>
          <w:rFonts w:ascii="Arial" w:cs="Arial" w:eastAsia="Arial" w:hAnsi="Arial"/>
          <w:sz w:val="18"/>
          <w:szCs w:val="18"/>
          <w:i w:val="1"/>
          <w:iCs w:val="1"/>
          <w:color w:val="auto"/>
        </w:rPr>
        <w:t>“Item 1A – Risk Factors -- Risks Related to the Company’s</w:t>
      </w:r>
      <w:r>
        <w:rPr>
          <w:rFonts w:ascii="Arial" w:cs="Arial" w:eastAsia="Arial" w:hAnsi="Arial"/>
          <w:sz w:val="18"/>
          <w:szCs w:val="18"/>
          <w:color w:val="auto"/>
        </w:rPr>
        <w:t xml:space="preserve"> </w:t>
      </w:r>
      <w:r>
        <w:rPr>
          <w:rFonts w:ascii="Arial" w:cs="Arial" w:eastAsia="Arial" w:hAnsi="Arial"/>
          <w:sz w:val="18"/>
          <w:szCs w:val="18"/>
          <w:i w:val="1"/>
          <w:iCs w:val="1"/>
          <w:color w:val="auto"/>
        </w:rPr>
        <w:t>Intellectual Property.</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3" w:name="page14"/>
    <w:bookmarkEnd w:id="13"/>
    <w:p>
      <w:pPr>
        <w:ind w:right="80" w:firstLine="648"/>
        <w:spacing w:after="0" w:line="256" w:lineRule="auto"/>
        <w:rPr>
          <w:sz w:val="20"/>
          <w:szCs w:val="20"/>
          <w:color w:val="auto"/>
        </w:rPr>
      </w:pPr>
      <w:r>
        <w:rPr>
          <w:rFonts w:ascii="Arial" w:cs="Arial" w:eastAsia="Arial" w:hAnsi="Arial"/>
          <w:sz w:val="18"/>
          <w:szCs w:val="18"/>
          <w:color w:val="auto"/>
        </w:rPr>
        <w:t>Proof of direct infringement by a competitor for method of use patents can prove difficult because the competitors making and marketing a product typically do not engage in the patented use. Additionally, proof that a competitor contributes to or induces infringement of a patented method of use by another can also prove difficult because an off-label use of a product could prohibit a finding of contributory infringement and inducement of infringement requires proof of intent by the competitor.</w:t>
      </w:r>
    </w:p>
    <w:p>
      <w:pPr>
        <w:spacing w:after="0" w:line="19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Moreover, physicians may prescribe such a competitive identical product for indications other than the one for which the product has been approved, or off-label indications, that are covered by the applicable patents. Although such off-label prescriptions may directly infringe or contribute to or induce infringement of method of use patents, such infringement is difficult to prevent or prosecute.</w:t>
      </w:r>
    </w:p>
    <w:p>
      <w:pPr>
        <w:spacing w:after="0" w:line="194"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In addition, the limited patent protection described above may adversely affect the value of our product candidates and may inhibit our ability to obtain a corporate partner at terms acceptable to us, if at all.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Intellectual Property Rights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depend upon trademarks, trade secrets, know-how and continuing technological advances to develop and maintain our competitive position. To maintain the confidentiality of trade secrets and proprietary information, we require our employees, scientific advisors, consultants and collaborators, upon commencement of a relationship with us, to execute confidentiality agreements and, in the case of parties other than our research and development collaborators, to agree to assign their inventions to us. These agreements are designed to protect our proprietary information and to grant us ownership of technologies that are developed in connection with their relationship with us. These agreements may not, however, provide protection for our trade secrets in the event of unauthorized disclosure of such information.</w:t>
      </w:r>
    </w:p>
    <w:p>
      <w:pPr>
        <w:spacing w:after="0" w:line="19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addition to patent protection, we may utilize orphan drug regulations or other provisions of the Food, Drug and Cosmetic Act of 1938, as amended, or FDCA, to provide market exclusivity for certain of our drug candidates. Orphan drug regulations provide incentives to pharmaceutical and biotechnology companies to develop and manufacture drugs for the treatment of rare diseases, currently defined as diseases that exist in fewer than 200,000 individuals in the U.S., or, diseases that affect more than 200,000 individuals in the U.S. but that the sponsor does not realistically anticipate will generate a net profit. Under these provisions, a manufacturer of a designated orphan-drug can seek tax benefits, and the holder of the first FDA approval of a designated orphan product will be granted a seven-year period of marketing exclusivity for such FDA-approved orphan product.</w:t>
      </w:r>
    </w:p>
    <w:p>
      <w:pPr>
        <w:spacing w:after="0" w:line="174" w:lineRule="exact"/>
        <w:rPr>
          <w:sz w:val="20"/>
          <w:szCs w:val="20"/>
          <w:color w:val="auto"/>
        </w:rPr>
      </w:pPr>
    </w:p>
    <w:p>
      <w:pPr>
        <w:ind w:right="60" w:firstLine="648"/>
        <w:spacing w:after="0" w:line="294" w:lineRule="auto"/>
        <w:rPr>
          <w:sz w:val="20"/>
          <w:szCs w:val="20"/>
          <w:color w:val="auto"/>
        </w:rPr>
      </w:pPr>
      <w:r>
        <w:rPr>
          <w:rFonts w:ascii="Arial" w:cs="Arial" w:eastAsia="Arial" w:hAnsi="Arial"/>
          <w:sz w:val="16"/>
          <w:szCs w:val="16"/>
          <w:color w:val="auto"/>
        </w:rPr>
        <w:t>Pursuant to these regulations, TG-1101 (ublituximab) has received Orphan-Drug designation from the FDA for the treatment of Marginal Zone Lymphoma (Nodal and Extranodal) in September 2013, for the treatment of CLL in August of 2010, and Orphan-Drug designation by the European Medicines Agency (“EMA”) for the treatment of CLL in November of 2009. We believe that TG-1101 may be eligible for additional orphan drug designations; however, we cannot assure you that TG-1101, or any other drug candidates we may acquire or in-license, will obtain such orphan drug designations. Additionally, upon FDA approval, we believe that TG-1101 would qualify as a New Chemical Entity, or NCE, which provides for five years of exclusivity following approval.</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We cannot assure you that any other drug candidates we may acquire or in-license, will obtain such orphan drug designation or that we will be the first to receive FDA approval for such drugs so as to be eligible for market exclusivity protection.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AGREEMENTS AND COLLABORATIONS</w:t>
      </w:r>
    </w:p>
    <w:p>
      <w:pPr>
        <w:spacing w:after="0" w:line="231"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We have formed strategic alliances with a number of companies for the manufacture and commercialization of our products. Our current key strategic alliances are discussed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LFB Biotechnologies S.A.S, GTC Biotherapeutics, LFB/GTC LLC.</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January 2012, we entered into an exclusive license agreement with LFB Biotechnologies, GTC Biotherapeutics, and LFB/GTC LLC, all wholly-owned subsidiaries of LFB Group, relating to the development of TG-1101. Under the license agreement, we have acquired the exclusive worldwide rights (exclusive of France/Belgium) for the development and commercialization of TG-1101 (ublituximab). To date, we have made no payments to LFB Group and LFB Group is eligible to receive payments of up to an aggregate of approximately $31.0 million upon our successful achievement of certain clinical development, regulatory and sales milestones, in addition to royalty payments on net sales of TG-1101 at a royalty rate that escalates from mid-single digits to high-single digits. The license will terminate on a country by country basis upon the expiration of the last licensed patent right or 15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Ildong Pharmaceutical Co. Ltd.</w:t>
      </w:r>
    </w:p>
    <w:p>
      <w:pPr>
        <w:spacing w:after="0" w:line="225"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In November 2012, we entered into an exclusive (within the territory) sublicense agreement with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 To date, we have received $2 million in the form of an upfront payment from Ildong, and are eligible to receive sales based milestone payments up to an aggregate of $5 million and royalty payments on net sales of TG-1101 at a royalty rate that escalates from mid-teens to high-teens upon approval in South Korea and/or Southeast Asia. The license will terminate on a country by country basis upon the expiration of the last licensed patent right or 15 years after the first commercial sale of a product in such country, unless the agreement is earlier terminated (i) by Ildong if the Company challenges any of the licensed patent rights, (ii) by either party due to a breach of the agreement, or (iii) by either party in the event of the insolvency of the other party.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September 2014, we exercised our option to license the global rights to TGR-1202, thereby entering into an exclusive licensing agreement (the “TGR-1202 License”) with Rhizen Pharmaceuticals, S A (“Rhizen”) for the development and commercialization of TGR-1202. Prior to this, we had been jointly developing TGR-1202 in a 50:50 joint venture with Rhizen.</w:t>
      </w:r>
    </w:p>
    <w:p>
      <w:pPr>
        <w:spacing w:after="0" w:line="19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Under the terms of the TGR-1202 License, Rhizen received a $4.0 million cash payment and 371,530 shares of our common stock as an upfront license fee. With respect to TGR-1202, Rhizen will be eligible to receive regulatory filing, approval and sales based milestone payments in the aggregate of approximately $175 million, a small portion of which will be payable on the first New Drug Application (NDA) filing and the remainder on approval in multiple jurisdictions for up to two oncology indications and one non-oncology indication and attaining certain sales milestones. In addition, if TGR-1202 is co-formulated with another drug to create a new product (a "New Product"), Rhizen will be eligible to receive similar regulatory approval and sales based milestone payments for such New Product. Additionally, Rhizen will be entitled to tiered royalties that escalate from high single digits to low double digits on our future net sales of TGR-1202 and any New Product. In lieu of sales milestones and royalties on net sales, Rhizen shall also be eligible to participate in sublicensing revenue, if any, based on a percentage that decreases as a function of the number of patients treated in clinical trials following the exercise of the license option. Rhizen will retain global manufacturing rights to TGR-1202, provided that they are price competitive with alternative manufacturers. The license will terminate on a country by country basis upon the expiration of the last licensed patent right or any other exclusivity right in such country, unless the agreement is earlier terminated (i) by us for any reason, (ii) by either party due to a breach of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IRAK4</w:t>
      </w:r>
    </w:p>
    <w:p>
      <w:pPr>
        <w:spacing w:after="0" w:line="15"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In June 2014, we entered into an exclusive licensing agreement with Ligand Pharmaceuticals Incorporated ("Ligand") for the development and commercialization of Ligand's interleukin-1 receptor associated kinase-4 ("IRAK4") inhibitor technology, which currently is in preclinical development for potential use against certain cancers and autoimmune diseases. IRAK4 is a serine/threonine protein kinase that is a key downstream signaling component of the interleukin-1 receptor and multiple toll-like receptors.</w:t>
      </w:r>
    </w:p>
    <w:p>
      <w:pPr>
        <w:spacing w:after="0" w:line="19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Under the terms of the license agreement, Ligand received 125,000 shares of our common stock as an upfront license fee. Ligand will also be eligible to receive maximum potential milestone payments of approximately $207 million upon the achievement of specific clinical, regulatory and commercial milestone events. Additionally, Ligand will be entitled to royalties on our future net sales of licensed products containing IRAK4 inhibitors. The basic royalty rate for licensed products covered by Ligand's issued patents will be 6% for annual sales of up to $1 billion and 9.5% for annual sales in excess of that threshold. The license will terminate on a country by country basis upon the expiration of the last licensed patent right or 10 years after the first commercial sale of a product in such country, unless the agreement is earlier terminated by either party due to a breach of the agreement in the event of the insolvency of the other party.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PD-L1 and GITR</w:t>
      </w:r>
    </w:p>
    <w:p>
      <w:pPr>
        <w:spacing w:after="0" w:line="225" w:lineRule="exact"/>
        <w:rPr>
          <w:sz w:val="20"/>
          <w:szCs w:val="20"/>
          <w:color w:val="auto"/>
        </w:rPr>
      </w:pPr>
    </w:p>
    <w:p>
      <w:pPr>
        <w:ind w:right="140" w:firstLine="648"/>
        <w:spacing w:after="0" w:line="332" w:lineRule="auto"/>
        <w:rPr>
          <w:sz w:val="20"/>
          <w:szCs w:val="20"/>
          <w:color w:val="auto"/>
        </w:rPr>
      </w:pPr>
      <w:r>
        <w:rPr>
          <w:rFonts w:ascii="Arial" w:cs="Arial" w:eastAsia="Arial" w:hAnsi="Arial"/>
          <w:sz w:val="16"/>
          <w:szCs w:val="16"/>
          <w:color w:val="auto"/>
        </w:rPr>
        <w:t>In March 2015, we entered into a Global Collaboration (the “Collaboration”) with Checkpoint Therapeutics, Inc. (“Checkpoint”), a subsidiary of FBIO for the development and commercialization of Checkpoint’s anti-PD-L1 and anti-GITR antibody research programs in the field of hematological malignancies.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5" w:name="page16"/>
    <w:bookmarkEnd w:id="15"/>
    <w:p>
      <w:pPr>
        <w:ind w:firstLine="648"/>
        <w:spacing w:after="0" w:line="256" w:lineRule="auto"/>
        <w:rPr>
          <w:sz w:val="20"/>
          <w:szCs w:val="20"/>
          <w:color w:val="auto"/>
        </w:rPr>
      </w:pPr>
      <w:r>
        <w:rPr>
          <w:rFonts w:ascii="Arial" w:cs="Arial" w:eastAsia="Arial" w:hAnsi="Arial"/>
          <w:sz w:val="18"/>
          <w:szCs w:val="18"/>
          <w:color w:val="auto"/>
        </w:rPr>
        <w:t>Under the terms of the Collaboration, we made an up-front payment of $500,000, will make development and sales-based milestone payments up to an aggregate of $164 million, and will pay a tiered single digit royalty on net sales. The royalty term will terminate on a country by country basis upon the later of (i) ten years after the first commercial sale of any applicable licensed product in such country, or (ii) the expiration of the last-to-expire patent held by Dana Farber containing a valid claim to any licensed product in such country.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w:t>
      </w:r>
    </w:p>
    <w:p>
      <w:pPr>
        <w:spacing w:after="0" w:line="225" w:lineRule="exact"/>
        <w:rPr>
          <w:sz w:val="20"/>
          <w:szCs w:val="20"/>
          <w:color w:val="auto"/>
        </w:rPr>
      </w:pPr>
    </w:p>
    <w:p>
      <w:pPr>
        <w:ind w:right="300" w:firstLine="648"/>
        <w:spacing w:after="0" w:line="298" w:lineRule="auto"/>
        <w:rPr>
          <w:sz w:val="20"/>
          <w:szCs w:val="20"/>
          <w:color w:val="auto"/>
        </w:rPr>
      </w:pPr>
      <w:r>
        <w:rPr>
          <w:rFonts w:ascii="Arial" w:cs="Arial" w:eastAsia="Arial" w:hAnsi="Arial"/>
          <w:sz w:val="16"/>
          <w:szCs w:val="16"/>
          <w:color w:val="auto"/>
        </w:rPr>
        <w:t>In May 2016, as part of a broader agreement with Jubilant Biosys (“Jubilant”), an India-based biotechnology company, we entered into a sub-license agreement (“JBET Agreement”) with Checkpoint for the development and commercialization of Jubilant’s novel BET inhibitor program in the field of hematological malignancies. The BET inhibitor program is the subject of a family of patents covering compounds that inhibit BRD4, a member of the BET (Bromodomain and Extra Terminal) domain for cancer treatment. Our BET inhibitor program is currently in pre-clinical development.</w:t>
      </w:r>
    </w:p>
    <w:p>
      <w:pPr>
        <w:spacing w:after="0" w:line="16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Under the terms of the agreement, we paid Checkpoint an up-front licensing fee of $1.0 million and will make additional payments contingent on certain preclinical, clinical, and regulatory milestones, including commercial milestones totaling up to approximately $177 million and a single-digit royalty on net sales. TG will also provide funding to support certain targeted research efforts at Jubilant.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360" w:firstLine="648"/>
        <w:spacing w:after="0" w:line="253" w:lineRule="auto"/>
        <w:rPr>
          <w:sz w:val="20"/>
          <w:szCs w:val="20"/>
          <w:color w:val="auto"/>
        </w:rPr>
      </w:pPr>
      <w:r>
        <w:rPr>
          <w:rFonts w:ascii="Arial" w:cs="Arial" w:eastAsia="Arial" w:hAnsi="Arial"/>
          <w:sz w:val="18"/>
          <w:szCs w:val="18"/>
          <w:color w:val="auto"/>
        </w:rPr>
        <w:t>Competition in the pharmaceutical and biotechnology industries is intense. Our competitors include pharmaceutical companies and biotechnology companies, as well as universities and public and private research institutions. In addition, companies that are active in different but related fields represent substantial competition for us. Many of our competitors have significantly greater capital resources, larger research and development staffs and facilities and greater experience in drug development, regulation, manufacturing and marketing than we do. These organizations also compete with us to recruit qualified personnel, attract partners for joint ventures or other collaborations, and license technologies that are competitive with ours. To compete successfully in this industry we must identify novel and unique drugs or methods of treatment and then complete the development of those drugs as treatments in advance of our competitors.</w:t>
      </w:r>
    </w:p>
    <w:p>
      <w:pPr>
        <w:spacing w:after="0" w:line="201" w:lineRule="exact"/>
        <w:rPr>
          <w:sz w:val="20"/>
          <w:szCs w:val="20"/>
          <w:color w:val="auto"/>
        </w:rPr>
      </w:pPr>
    </w:p>
    <w:p>
      <w:pPr>
        <w:ind w:right="140" w:firstLine="648"/>
        <w:spacing w:after="0" w:line="298" w:lineRule="auto"/>
        <w:rPr>
          <w:sz w:val="20"/>
          <w:szCs w:val="20"/>
          <w:color w:val="auto"/>
        </w:rPr>
      </w:pPr>
      <w:r>
        <w:rPr>
          <w:rFonts w:ascii="Arial" w:cs="Arial" w:eastAsia="Arial" w:hAnsi="Arial"/>
          <w:sz w:val="16"/>
          <w:szCs w:val="16"/>
          <w:color w:val="auto"/>
        </w:rPr>
        <w:t>The drugs that we are attempting to develop will have to compete with existing therapies. In addition, a large number of companies are pursuing the development of pharmaceuticals that target the same diseases and conditions that we are targeting. Other companies have products or drug candidates in various stages of pre-clinical or clinical development to treat diseases for which we are also seeking to discover and develop drug candidates. Some of these potential competing drugs are further advanced in development than our drug candidates and may be commercialized earlier.</w:t>
      </w:r>
    </w:p>
    <w:p>
      <w:pPr>
        <w:spacing w:after="0" w:line="164" w:lineRule="exact"/>
        <w:rPr>
          <w:sz w:val="20"/>
          <w:szCs w:val="20"/>
          <w:color w:val="auto"/>
        </w:rPr>
      </w:pPr>
    </w:p>
    <w:p>
      <w:pPr>
        <w:ind w:firstLine="648"/>
        <w:spacing w:after="0" w:line="266" w:lineRule="auto"/>
        <w:rPr>
          <w:sz w:val="20"/>
          <w:szCs w:val="20"/>
          <w:color w:val="auto"/>
        </w:rPr>
      </w:pPr>
      <w:r>
        <w:rPr>
          <w:rFonts w:ascii="Arial" w:cs="Arial" w:eastAsia="Arial" w:hAnsi="Arial"/>
          <w:sz w:val="16"/>
          <w:szCs w:val="16"/>
          <w:color w:val="auto"/>
        </w:rPr>
        <w:t>If approved, we expect TG-1101 to compete directly with Roche Group’s Rituxan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(rituximab) and Gazyva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(obinutuzumab), and Novartis' Arzerra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(ofatumumab) among others, each of which is currently approved for the treatment of various diseases including NHL and CLL. In addition, other pharmaceutical companies are developing anti-CD20 antibodies which, if approved, would potentially compete with TG-1101. New developments, including the development of other pharmaceutical technologies and methods of treating disease, occur in the pharmaceutical and life sciences industries at a rapid pace.</w:t>
      </w:r>
    </w:p>
    <w:p>
      <w:pPr>
        <w:spacing w:after="0" w:line="19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With respect to TGR-1202, if approved, we expect to compete directly with Gilead’s Zydelig™ (idelalisib), as well as with other PI3K delta inhibitors which are currently in development, which, if approved, would potentially compete with TGR-1202, such as Verastem's duvelisib. In addition, there are numerous other novel therapies targeting similar pathways to TGR-1202 in development, which would also compete with TGR-1202 in similar indications, such as the BTK inhibitor, ibrutinib (FDA approved for Mantle Cell Lymphoma, CLL, Marginal Zone Lymphoma and Waldenstrom’s Macroglobulinemia marketed by AbbVie and Janssen), the BTK inhibitor acalabrutinib or ACP-196 (under clinical development by AstraZeneca), or the BCL-2 inhibitor venetoclax or ABT-199 (FDA approved for CLL and marketed by AbbVie and Roche), among others.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can be found under Item “1A - Risk Factors – Other Risks Related to Our Business” within this report.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SUPPLY AND MANUFACTURING</w:t>
      </w:r>
    </w:p>
    <w:p>
      <w:pPr>
        <w:spacing w:after="0" w:line="231"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We have limited experience in manufacturing products for clinical or commercial purposes. We currently do not have any manufacturing capabilities. We have established contract manufacturing relationships for the supply of TG-1101 as part of our license agreement with LFB Biotechnologies. We have also established contract manufacturing relationships for the supply of TGR-1202 as part of our licensing agreement with Rhizen, and contract manufacturing relationships to support our IRAK4 development program. As with any supply program, obtaining pre-clinical and clinical materials of sufficient quality and quantity to meet the requirements of our development programs cannot be guaranteed and we cannot ensure that we will be successful in this endeavor. In addition, we anticipate the need for the current scale of production for each of our products to be significantly expanded as we enter later stages of development. There can be no assurance given that such scale-up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w:t>
      </w:r>
    </w:p>
    <w:p>
      <w:pPr>
        <w:spacing w:after="0" w:line="17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At the time of commercial sale, to the extent possible and commercially practicable, we would seek to engage a back-up supplier for each of our product candidates. Until such time, we expect that we will rely on a single contract manufacturer to produce each of our product candidates under current Good Manufacturing Practice, or cGMP, regulations. Our third-party manufacturers have a limited number of facilities in which our product candidates can be produced and will have limited experience in manufacturing our product candidates in quantities sufficient for commercialization. Our third-party manufacturers will have other clients and may have other priorities that could affect their ability to perform the work satisfactorily and/or on a timely basis. Both of these occurrences would be beyond our control.</w:t>
      </w:r>
    </w:p>
    <w:p>
      <w:pPr>
        <w:spacing w:after="0" w:line="198"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We expect to similarly rely on contract manufacturing relationships for any products that we may in-license or acquire in the future. However, there can be no assurance that we will be able to successfully contract with such manufacturers on terms acceptable to us, or at all.</w:t>
      </w:r>
    </w:p>
    <w:p>
      <w:pPr>
        <w:spacing w:after="0" w:line="186"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Contract manufacturers are subject to ongoing periodic and unannounced inspections by the FDA, the Drug Enforcement Administration and corresponding state agencies to ensure strict compliance with cGMP and other state and federal regulations. Our contractors outside of the United States face similar challenges from the numerous local and regional agencies and authorized bodies. We do not have control over third-party manufacturers’ compliance with these regulations and standards, other than through contractual obligations. If they are deemed out of compliance with cGMPs, product recalls could result, inventory could be destroyed, production could be stopped and supplies could be delayed or otherwise disrupted.</w:t>
      </w:r>
    </w:p>
    <w:p>
      <w:pPr>
        <w:spacing w:after="0" w:line="170" w:lineRule="exact"/>
        <w:rPr>
          <w:sz w:val="20"/>
          <w:szCs w:val="20"/>
          <w:color w:val="auto"/>
        </w:rPr>
      </w:pPr>
    </w:p>
    <w:p>
      <w:pPr>
        <w:ind w:right="440" w:firstLine="648"/>
        <w:spacing w:after="0" w:line="298" w:lineRule="auto"/>
        <w:rPr>
          <w:sz w:val="20"/>
          <w:szCs w:val="20"/>
          <w:color w:val="auto"/>
        </w:rPr>
      </w:pPr>
      <w:r>
        <w:rPr>
          <w:rFonts w:ascii="Arial" w:cs="Arial" w:eastAsia="Arial" w:hAnsi="Arial"/>
          <w:sz w:val="16"/>
          <w:szCs w:val="16"/>
          <w:color w:val="auto"/>
        </w:rPr>
        <w:t>If we need to change manufacturers after commercialization, the FDA and corresponding foreign regulatory agencies must approve these new manufacturers in advance, which will involve testing and additional inspections to ensure compliance with FDA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INDUSTRY REGULATION</w:t>
      </w:r>
    </w:p>
    <w:p>
      <w:pPr>
        <w:spacing w:after="0" w:line="231"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Numerous governmental authorities, principally the FDA and corresponding state and foreign regulatory agencies, impose substantial regulations upon the clinical development, manufacture and marketing of our drug candidates, as well as our ongoing research and development activities. None of our drug candidates have been approved for sale in any market in which we have marketing rights. Before marketing in the U.S., any drug that we develop must undergo rigorous pre-clinical testing and clinical trials and an extensive regulatory approval process implemented by the FDA under the FDCA. The FDA regulates, among other things, the pre-clinical and clinical testing, safety, efficacy, approval, manufacturing, record keeping, adverse event reporting, packaging, labeling, storage, advertising, promotion, export, sale and distribution of biopharmaceutical products.</w:t>
      </w:r>
    </w:p>
    <w:p>
      <w:pPr>
        <w:spacing w:after="0" w:line="174"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regulatory review and approval process is lengthy, expensive and uncertain. We are required to submit extensive pre-clinical and clinical data and supporting information to the FDA for each indication or use to establish a drug candidate’s safety and efficacy before we can secure FDA approval to market or sell a product in the U.S. The approval process takes many years, requires the expenditure of substantial resources and may involve ongoing requirements for post-marketing studies or surveillance. Before commencing clinical trials in humans, we must submit an IND to the FDA containing, among other things, pre-clinical data, chemistry, manufacturing and control information, and an investigative plan. Our submission of an IND may not result in FDA authorization to commence a clinical trial.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ind w:right="80" w:firstLine="648"/>
        <w:spacing w:after="0" w:line="256" w:lineRule="auto"/>
        <w:rPr>
          <w:sz w:val="20"/>
          <w:szCs w:val="20"/>
          <w:color w:val="auto"/>
        </w:rPr>
      </w:pPr>
      <w:r>
        <w:rPr>
          <w:rFonts w:ascii="Arial" w:cs="Arial" w:eastAsia="Arial" w:hAnsi="Arial"/>
          <w:sz w:val="18"/>
          <w:szCs w:val="18"/>
          <w:color w:val="auto"/>
        </w:rPr>
        <w:t>The FDA may permit expedited development, evaluation, and marketing of new therapies intended to treat persons with serious or life-threatening conditions for which there is an unmet medical need under its fast track drug development programs. A sponsor can apply for fast track designation at the time of submission of an IND, or at any time prior to receiving marketing approval of the new drug application, or NDA. To receive Fast Track designation, an applicant must demonstrate:</w:t>
      </w:r>
    </w:p>
    <w:p>
      <w:pPr>
        <w:spacing w:after="0" w:line="19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the drug is intended to treat a serious or life-threatening condition;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the drug is intended to treat a serious aspect of the condition;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that the drug has the potential to address unmet medical needs, and this potential is being evaluated in the planned drug development program.</w:t>
      </w:r>
    </w:p>
    <w:p>
      <w:pPr>
        <w:spacing w:after="0" w:line="24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FDA must respond to a request for fast track designation within 60 calendar days of receipt of the request. Over the course of drug development, a product in a fast track development program must continue to meet the criteria for fast track designation. Sponsors of products in fast track drug development programs must be in regular contact with the reviewing division of the FDA to ensure that the evidence necessary to support marketing approval will be developed and presented in a format conducive to an efficient review. Sponsors of products in fast track drug development programs ordinarily are eligible for priority review of a completed application in six months or less and also may be permitted to submit portions of a New Drug Application (“NDA”) to the FDA for review before the complete application is submitted.</w:t>
      </w:r>
    </w:p>
    <w:p>
      <w:pPr>
        <w:spacing w:after="0" w:line="13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Sponsors of drugs designated as fast track also may seek approval under the FDA’s accelerated approval regulations. Under this authority, the FDA may grant marketing approval for a new drug product on the basis of adequate and well-controlled clinical trials establishing that the drug product has an effect on a surrogate endpoint that is reasonably likely, based on epidemiologic, therapeutic, pathophysiologic, or other evidence, to predict clinical benefit or on the basis of an effect on a clinical endpoint other than survival or irreversible morbidity. Approval will be subject to the requirement that the applicant study the drug further to verify and describe its clinical benefit where there is uncertainty as to the relation of the surrogate endpoint to clinical benefit or uncertainty as to the relation of the observed clinical benefit to ultimate outcome. Post-marketing studies are usually underway at the time an applicant files the NDA. When required to be conducted, such post-marketing studies must also be adequate and well-controlled. The applicant must carry out any such post-marketing studies with due diligence. Many companies who have been granted the right to utilize an accelerated approval approach have failed to obtain approval. Moreover, negative or inconclusive results from the clinical trials we hope to conduct or adverse medical events could cause us to have to repeat or terminate the clinical trials. Accordingly, we may not be able to complete the clinical trials within an acceptable time frame, if at all, and, therefore, could not submit the NDA to the FDA or foreign regulatory authorities for marketing approval.</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sponsors may also apply to the FDA for Breakthrough Therapy Designation. The Breakthrough Therapy Designation is intended to expedite the development and review of a potential new drug for serious or life-threatening diseases where “preliminary clinical evidence indicates that the drug may demonstrate substantial improvement over existing therapies on one or more clinically significant endpoints, such as substantial treatment effects observed early in clinical development.” The designation of a drug as a Breakthrough Therapy was enacted as part of the 2012 Food and Drug Administration Safety and Innovation Act.</w:t>
      </w:r>
    </w:p>
    <w:p>
      <w:pPr>
        <w:spacing w:after="0" w:line="197"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Clinical testing must meet requirements for institutional review board oversight, informed consent and good clinical practices, and must be conducted pursuant to an IND, unless exempted.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NDA approval, clinical trials are typically conducted in the following sequential phases:</w:t>
      </w:r>
    </w:p>
    <w:p>
      <w:pPr>
        <w:spacing w:after="0" w:line="225" w:lineRule="exact"/>
        <w:rPr>
          <w:sz w:val="20"/>
          <w:szCs w:val="20"/>
          <w:color w:val="auto"/>
        </w:rPr>
      </w:pPr>
    </w:p>
    <w:p>
      <w:pPr>
        <w:ind w:left="980" w:hanging="324"/>
        <w:spacing w:after="0" w:line="26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drug is administered to a small group of humans, either healthy volunteers or patients, to test for safety, dosage tolerance, absorption,</w:t>
      </w:r>
      <w:r>
        <w:rPr>
          <w:rFonts w:ascii="Arial" w:cs="Arial" w:eastAsia="Arial" w:hAnsi="Arial"/>
          <w:sz w:val="18"/>
          <w:szCs w:val="18"/>
          <w:i w:val="1"/>
          <w:iCs w:val="1"/>
          <w:color w:val="auto"/>
        </w:rPr>
        <w:t xml:space="preserve"> </w:t>
      </w:r>
      <w:r>
        <w:rPr>
          <w:rFonts w:ascii="Arial" w:cs="Arial" w:eastAsia="Arial" w:hAnsi="Arial"/>
          <w:sz w:val="18"/>
          <w:szCs w:val="18"/>
          <w:color w:val="auto"/>
        </w:rPr>
        <w:t>metabolism, excretion, and clinical pharmacology.</w:t>
      </w:r>
    </w:p>
    <w:p>
      <w:pPr>
        <w:spacing w:after="0" w:line="185" w:lineRule="exact"/>
        <w:rPr>
          <w:rFonts w:ascii="Arial" w:cs="Arial" w:eastAsia="Arial" w:hAnsi="Arial"/>
          <w:sz w:val="18"/>
          <w:szCs w:val="18"/>
          <w:color w:val="auto"/>
        </w:rPr>
      </w:pPr>
    </w:p>
    <w:p>
      <w:pPr>
        <w:ind w:left="980" w:hanging="324"/>
        <w:spacing w:after="0" w:line="26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Studies are conducted on a larger number of patients to assess the efficacy of the product, to ascertain dose tolerance and the optimal dose</w:t>
      </w:r>
      <w:r>
        <w:rPr>
          <w:rFonts w:ascii="Arial" w:cs="Arial" w:eastAsia="Arial" w:hAnsi="Arial"/>
          <w:sz w:val="18"/>
          <w:szCs w:val="18"/>
          <w:i w:val="1"/>
          <w:iCs w:val="1"/>
          <w:color w:val="auto"/>
        </w:rPr>
        <w:t xml:space="preserve"> </w:t>
      </w:r>
      <w:r>
        <w:rPr>
          <w:rFonts w:ascii="Arial" w:cs="Arial" w:eastAsia="Arial" w:hAnsi="Arial"/>
          <w:sz w:val="18"/>
          <w:szCs w:val="18"/>
          <w:color w:val="auto"/>
        </w:rPr>
        <w:t>range, and to gather additional data relating to safety and potential adverse events.</w:t>
      </w:r>
    </w:p>
    <w:p>
      <w:pPr>
        <w:spacing w:after="0" w:line="18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Studies establish safety and efficacy in an expanded patient population.</w:t>
      </w:r>
    </w:p>
    <w:p>
      <w:pPr>
        <w:spacing w:after="0" w:line="225" w:lineRule="exact"/>
        <w:rPr>
          <w:rFonts w:ascii="Arial" w:cs="Arial" w:eastAsia="Arial" w:hAnsi="Arial"/>
          <w:sz w:val="18"/>
          <w:szCs w:val="18"/>
          <w:color w:val="auto"/>
        </w:rPr>
      </w:pPr>
    </w:p>
    <w:p>
      <w:pPr>
        <w:ind w:left="980" w:right="20" w:hanging="324"/>
        <w:spacing w:after="0" w:line="26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Phase 4</w:t>
      </w:r>
      <w:r>
        <w:rPr>
          <w:rFonts w:ascii="Arial" w:cs="Arial" w:eastAsia="Arial" w:hAnsi="Arial"/>
          <w:sz w:val="18"/>
          <w:szCs w:val="18"/>
          <w:color w:val="auto"/>
        </w:rPr>
        <w:t>: The FDA may require Phase 4 post-marketing studies to find out more about the drug’s long-term risks, benefits, and optimal use, or to</w:t>
      </w:r>
      <w:r>
        <w:rPr>
          <w:rFonts w:ascii="Arial" w:cs="Arial" w:eastAsia="Arial" w:hAnsi="Arial"/>
          <w:sz w:val="18"/>
          <w:szCs w:val="18"/>
          <w:i w:val="1"/>
          <w:iCs w:val="1"/>
          <w:color w:val="auto"/>
        </w:rPr>
        <w:t xml:space="preserve"> </w:t>
      </w:r>
      <w:r>
        <w:rPr>
          <w:rFonts w:ascii="Arial" w:cs="Arial" w:eastAsia="Arial" w:hAnsi="Arial"/>
          <w:sz w:val="18"/>
          <w:szCs w:val="18"/>
          <w:color w:val="auto"/>
        </w:rPr>
        <w:t>test the drug in different populations.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8" w:name="page19"/>
    <w:bookmarkEnd w:id="18"/>
    <w:p>
      <w:pPr>
        <w:jc w:val="both"/>
        <w:ind w:right="180" w:firstLine="648"/>
        <w:spacing w:after="0" w:line="259" w:lineRule="auto"/>
        <w:rPr>
          <w:sz w:val="20"/>
          <w:szCs w:val="20"/>
          <w:color w:val="auto"/>
        </w:rPr>
      </w:pPr>
      <w:r>
        <w:rPr>
          <w:rFonts w:ascii="Arial" w:cs="Arial" w:eastAsia="Arial" w:hAnsi="Arial"/>
          <w:sz w:val="18"/>
          <w:szCs w:val="18"/>
          <w:color w:val="auto"/>
        </w:rPr>
        <w:t>The length of time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that may increase the costs of these trials, include:</w:t>
      </w:r>
    </w:p>
    <w:p>
      <w:pPr>
        <w:spacing w:after="0" w:line="194" w:lineRule="exact"/>
        <w:rPr>
          <w:sz w:val="20"/>
          <w:szCs w:val="20"/>
          <w:color w:val="auto"/>
        </w:rPr>
      </w:pPr>
    </w:p>
    <w:p>
      <w:pPr>
        <w:ind w:left="980" w:hanging="324"/>
        <w:spacing w:after="0" w:line="26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slow patient enrollment due to the nature of the clinical trial plan, the proximity of patients to clinical sites, the eligibility criteria for participation in the study or other factors;</w:t>
      </w:r>
    </w:p>
    <w:p>
      <w:pPr>
        <w:spacing w:after="0" w:line="185" w:lineRule="exact"/>
        <w:rPr>
          <w:rFonts w:ascii="Arial" w:cs="Arial" w:eastAsia="Arial" w:hAnsi="Arial"/>
          <w:sz w:val="18"/>
          <w:szCs w:val="18"/>
          <w:color w:val="auto"/>
        </w:rPr>
      </w:pPr>
    </w:p>
    <w:p>
      <w:pPr>
        <w:ind w:left="980" w:right="20" w:hanging="324"/>
        <w:spacing w:after="0" w:line="26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inadequately trained or insufficient personnel at the study site to assist in overseeing and monitoring clinical trials or delays in approvals from a study site’s review board;</w:t>
      </w:r>
    </w:p>
    <w:p>
      <w:pPr>
        <w:spacing w:after="0" w:line="18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longer treatment time required to demonstrate efficacy or determine the appropriate product dose;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insufficient supply of the drug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medical events or side effects in treated patients;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ineffectiveness of the drug candidates.</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addition, the FDA, equivalent foreign regulatory authority, or a data safety monitoring committee for a trial may place a clinical trial on hold or terminate it if it concludes that subjects are being exposed to an unacceptable health risk, or for futility. Any drug is likely to produce some toxicity or undesirable side effects in animals and in humans when administered at sufficiently high doses and/or for a sufficiently long period of time. Unacceptable toxicity or side effects may occur at any dose level at any time in the course of studies in animals designed to identify unacceptable effects of a drug candidate, known as toxicological studies, or clinical trials of drug candidates. The appearance of any unacceptable toxicity or side effect could cause us or regulatory authorities to interrupt, limit, delay or abort the development of any of our drug candidates and could ultimately prevent approval by the FDA or foreign regulatory authorities for any or all targeted indications.</w:t>
      </w:r>
    </w:p>
    <w:p>
      <w:pPr>
        <w:spacing w:after="0" w:line="20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Sponsors of drugs may apply for an SPA from the FDA. The SPA process is a procedure by which the FDA provides official evaluation and written guidance on the design and size of proposed protocols that are intended to form the basis for a new drug application. However, final marketing approval depends on the results of efficacy, the adverse event profile and an evaluation of the benefit/risk of treatment demonstrated in the Phase 3 trial. The SPA agreement may only be changed through a written agreement between the sponsor and the FDA, or if the FDA becomes aware of a substantial scientific issue essential to product safety or efficacy.</w:t>
      </w:r>
    </w:p>
    <w:p>
      <w:pPr>
        <w:spacing w:after="0" w:line="19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Before receiving FDA approval to market a product, we must demonstrate that the product is safe and effective for its intended use by submitting to the FDA an NDA or BLA containing the pre-clinical and clinical data that have been accumulated, together with chemistry and manufacturing and controls specifications and information, and proposed labeling, among other things. The FDA may refuse to accept an NDA/BLA for filing if certain content criteria are not met and, even after accepting an NDA/BLA, the FDA may often require additional information, including clinical data, before approval of marketing a product.</w:t>
      </w:r>
    </w:p>
    <w:p>
      <w:pPr>
        <w:spacing w:after="0" w:line="19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It is also becoming more common for the FDA to request a Risk Evaluation and Mitigation Strategy, or REMS, as part of a NDA/BLA. The REMS plan contains post-market obligations of the sponsor to train prescribing physicians, monitor off-label drug use, and conduct sufficient Phase 4 follow-up studies and registries to ensure the continued safe use of the drug.</w:t>
      </w:r>
    </w:p>
    <w:p>
      <w:pPr>
        <w:spacing w:after="0" w:line="19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part of the approval process, the FDA must inspect and approve each manufacturing facility. Among the conditions of approval is the requirement that a manufacturer’s quality control and manufacturing procedures conform to cGMP. Manufacturers must expend significant time, money and effort to ensure continued compliance, and the FDA conducts periodic inspections to certify compliance. It may be difficult for our manufacturers or us to comply with the applicable cGMP, as interpreted by the FDA, and other FDA regulatory requirements. If we, or our contract manufacturers, fail to comply, then the FDA may not allow us to market products that have been affected by the failure.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9" w:name="page20"/>
    <w:bookmarkEnd w:id="19"/>
    <w:p>
      <w:pPr>
        <w:ind w:firstLine="648"/>
        <w:spacing w:after="0" w:line="286" w:lineRule="auto"/>
        <w:rPr>
          <w:sz w:val="20"/>
          <w:szCs w:val="20"/>
          <w:color w:val="auto"/>
        </w:rPr>
      </w:pPr>
      <w:r>
        <w:rPr>
          <w:rFonts w:ascii="Arial" w:cs="Arial" w:eastAsia="Arial" w:hAnsi="Arial"/>
          <w:sz w:val="16"/>
          <w:szCs w:val="16"/>
          <w:color w:val="auto"/>
        </w:rPr>
        <w:t>If the FDA grants approval, the approval will be limited to those disease states, conditions and patient populations for which the product is safe and effective, as demonstrated through clinical studies. Further, a product may be marketed only in those dosage forms and for those indications approved in the NDA/BLA. Certain changes to an approved NDA/BLA, including, with certain exceptions, any significant changes to labeling, require approval of a supplemental application before the drug may be marketed as changed. Any products that we manufacture or distribute pursuant to FDA approvals are subject to continuing monitoring and regulation by the FDA, including compliance with cGMP and the reporting of adverse experiences with the drugs. The nature of marketing claims that the FDA will permit us to make in the labeling and advertising of our products will generally be limited to those specified in FDA approved labeling, and the advertising of our products will be subject to comprehensive monitoring and regulation by the FDA. Drugs whose review was accelerated may carry additional restrictions on marketing activities, including the requirement that all promotional materials are pre-submitted to the FDA. Claims exceeding those contained in approved labeling will constitute a violation of the FDCA. Violations of the FDCA or regulatory requirements at any time during the product development process, approval process, or marketing and sale following approval may result in agency enforcement actions, including withdrawal of approval, recall, seizure of products, warning letters, injunctions, fines and/or civil or criminal penalties. Any agency enforcement action could have a material adverse effect on our business.</w:t>
      </w:r>
    </w:p>
    <w:p>
      <w:pPr>
        <w:spacing w:after="0" w:line="178"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Should we wish to market our products outside the U.S., we must receive marketing authorization from the appropriate foreign regulatory authorities. The requirements governing the conduct of clinical trials, marketing authorization, pricing and reimbursement vary widely from country to country. At present, companies are typically required to apply for foreign marketing authorizations at a national level. However, within the European Union, registration procedures are available to companies wishing to market a product in more than one European Union member state. Typically, if the regulatory authority is satisfied that a company has presented adequate evidence of safety, quality and efficacy, then the regulatory authority will grant a marketing authorization. This foreign regulatory approval process, however, involves risks similar or identical to the risks associated with FDA approval discussed above, and therefore we cannot guarantee that we will be able to obtain the appropriate marketing authorization for any product in any particular country.</w:t>
      </w:r>
    </w:p>
    <w:p>
      <w:pPr>
        <w:spacing w:after="0" w:line="172" w:lineRule="exact"/>
        <w:rPr>
          <w:sz w:val="20"/>
          <w:szCs w:val="20"/>
          <w:color w:val="auto"/>
        </w:rPr>
      </w:pPr>
    </w:p>
    <w:p>
      <w:pPr>
        <w:ind w:firstLine="648"/>
        <w:spacing w:after="0" w:line="306" w:lineRule="auto"/>
        <w:rPr>
          <w:sz w:val="20"/>
          <w:szCs w:val="20"/>
          <w:color w:val="auto"/>
        </w:rPr>
      </w:pPr>
      <w:r>
        <w:rPr>
          <w:rFonts w:ascii="Arial" w:cs="Arial" w:eastAsia="Arial" w:hAnsi="Arial"/>
          <w:sz w:val="16"/>
          <w:szCs w:val="16"/>
          <w:color w:val="auto"/>
        </w:rPr>
        <w:t>Failure to comply with applicable federal, state and foreign laws and regulations would likely have a material adverse effect on our business. In addition, federal, state and foreign laws and regulations regarding the manufacture and sale of new drugs are subject to future changes. We cannot predict the likelihood, nature, effect or extent of adverse governmental regulation that might arise from future legislative or administrative action, either in the U.S. or abroad.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As of March 1, 2017, we had sixty-four full and part-time employees. None of our employees are represented by a collective bargaining agreement, and we have never experienced a work stoppage. We consider our relations with our employees to be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i w:val="1"/>
          <w:iCs w:val="1"/>
          <w:color w:val="auto"/>
        </w:rPr>
        <w:t>You should carefully consider the following risks and uncertainties. If any of the following occurs,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You should carefully consider the following risk factors and the other information contained elsewhere in this Annual Report before making an investment in our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8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product candidates have been in-licensed from third parties. Under the terms of our license agreements, the licensors generally will have the right to terminate such agreement in the event of a material breach by us. The licensors will also have the right to terminate the agreement in the event we fail to use diligent and reasonable efforts to develop and commercialize the product candidate worldwide.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20" w:name="page21"/>
    <w:bookmarkEnd w:id="20"/>
    <w:p>
      <w:pPr>
        <w:ind w:right="60" w:firstLine="648"/>
        <w:spacing w:after="0" w:line="255" w:lineRule="auto"/>
        <w:rPr>
          <w:sz w:val="20"/>
          <w:szCs w:val="20"/>
          <w:color w:val="auto"/>
        </w:rPr>
      </w:pPr>
      <w:r>
        <w:rPr>
          <w:rFonts w:ascii="Arial" w:cs="Arial" w:eastAsia="Arial" w:hAnsi="Arial"/>
          <w:sz w:val="18"/>
          <w:szCs w:val="18"/>
          <w:color w:val="auto"/>
        </w:rPr>
        <w:t>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such agreement, our ability to develop and commercialize the affected product candidate and our ability to enter into collaboration or marketing agreements for the affected product candidate may be adversely affected. Any loss of our rights under these license agreements would delay or completely terminate its product development efforts for the affected product candidate.</w:t>
      </w:r>
    </w:p>
    <w:p>
      <w:pPr>
        <w:spacing w:after="0" w:line="197"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13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order to submit and maintain an IND, Biologics License Application (“BLA”), or New Drug Application (“NDA”) to the FDA, it is necessary to submit all information on the clinical, non-clinical, chemistry, manufacturing, controls and quality aspects of the product candidate. We rely on our third party contractors and our licensing partners to provide a significant portion of this data. If we are unable to obtain this data, or the data is not sufficient to meet the regulatory requirements, we may experience significant delays in our development programs. Additionally, an IND must be active in each division in which we intend to conduct clinical trials. Currently we do not have an active IND for any of the IRAK4 or BET inhibitors, nor for our anti-PD-L1 and anti-GITR antibodies. Additionally, there can be no assurance given that any of the molecules under development in our IRAK4 or BET inhibitor program or in our anti-PD-L1 and anti-GITR antibody research program will demonstrate sufficient pharmacologic properties during pre-clinical evaluation to advance to IND enabling studies, or that such IND enabling studies, if any are conducted, will provide data sufficient to support the filing of an IND, or that such IND, if filed, would be accepted by any FDA division under which we would seek to develop any product candidate. While we maintain an active IND for TG-1101 and TGR-1202 enabling the conduct of studies in the FDA’s Division of Hematology and Oncology, and an active IND for TG-1101 under the FDA’s Division of Neurology, there can be no assurance that we will be successful in obtaining an active IND for TG-1101 or TGR-1202 in any other division under whose supervision we may seek to develop our product candidates, or that the FDA will allow us to continue the development of our product candidates in those divisions where we maintain an active IND.</w:t>
      </w:r>
    </w:p>
    <w:p>
      <w:pPr>
        <w:spacing w:after="0" w:line="394"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8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94" w:lineRule="exact"/>
        <w:rPr>
          <w:sz w:val="20"/>
          <w:szCs w:val="20"/>
          <w:color w:val="auto"/>
        </w:rPr>
      </w:pPr>
    </w:p>
    <w:p>
      <w:pPr>
        <w:ind w:right="480" w:firstLine="648"/>
        <w:spacing w:after="0" w:line="268" w:lineRule="auto"/>
        <w:rPr>
          <w:sz w:val="20"/>
          <w:szCs w:val="20"/>
          <w:color w:val="auto"/>
        </w:rPr>
      </w:pPr>
      <w:r>
        <w:rPr>
          <w:rFonts w:ascii="Arial" w:cs="Arial" w:eastAsia="Arial" w:hAnsi="Arial"/>
          <w:sz w:val="18"/>
          <w:szCs w:val="18"/>
          <w:color w:val="auto"/>
        </w:rPr>
        <w:t>If we are unable to develop, or receive regulatory approval for or successfully commercialize any of our product candidates, we will not be able to generate product revenues.</w:t>
      </w:r>
    </w:p>
    <w:p>
      <w:pPr>
        <w:spacing w:after="0" w:line="18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3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failure of pharmaceutical candidates proceeding through clinical trials.</w:t>
      </w:r>
    </w:p>
    <w:p>
      <w:pPr>
        <w:spacing w:after="0" w:line="19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plan on conducting additional Phase I, II and III clinical trials for TG-1101 and TGR-1202. Early clinical results seen with TG-1101 and TGR-1202 in a small number of patients may not be reproduced in expanded or larger clinical trials. Additionally, individually reported outcomes of patients treated in clinical trials may not be representative of the entire population of treated patients in such studies. If the results from expansion cohorts or later trials are different from those found in the earlier studies of TG-1101 and TGR-1202, we may need to terminate or revise our clinical development plan, which could extend the time for conducting our development program and could have a material adverse effect on our business. Our IRAK4, BET, anti-PD-L1 and anti-GITR programs are all in pre-clinical development and no assurance can be given that they will advance into clinical development. If the results from additional pre-clinical studies or early clinical trials differ from those found in earlier studies, our clinical development plans and timelines for this program could be adversely affected which could have a material adverse effect on our business. Many drugs fail in the early stages of clinical development for safety and tolerability issues, accordingly if our pre-clinical assets advance into clinical development, no assurance can be made that a safe and efficacious dose can be found.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21" w:name="page22"/>
    <w:bookmarkEnd w:id="21"/>
    <w:p>
      <w:pPr>
        <w:ind w:right="200"/>
        <w:spacing w:after="0" w:line="268" w:lineRule="auto"/>
        <w:rPr>
          <w:sz w:val="20"/>
          <w:szCs w:val="20"/>
          <w:color w:val="auto"/>
        </w:rPr>
      </w:pPr>
      <w:r>
        <w:rPr>
          <w:rFonts w:ascii="Arial" w:cs="Arial" w:eastAsia="Arial" w:hAnsi="Arial"/>
          <w:sz w:val="18"/>
          <w:szCs w:val="18"/>
          <w:b w:val="1"/>
          <w:bCs w:val="1"/>
          <w:i w:val="1"/>
          <w:iCs w:val="1"/>
          <w:color w:val="auto"/>
        </w:rPr>
        <w:t>If we are unable to successfully complete our clinical trial programs, or if such clinical trials take longer to complete than we project, our ability to execute our current business strategy will be adversely affected.</w:t>
      </w:r>
    </w:p>
    <w:p>
      <w:pPr>
        <w:spacing w:after="0" w:line="18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Whether or not and how quickly we complete clinical trials is dependent in part upon the rate at which we are able to engage clinical trial sites and, thereafter, the rate of enrollment of patients, and the rate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Certain clinical trials are designed to continue until a pre-determined number of events have occurred in the patients enrolled. Trials such as this are subject to delays stemming from patient withdrawal and from lower than expected event rates. They may also incur additional costs if enrollment is increased in order to achieve the desired number of events. If we experience delays in identifying and contracting with sites and/or in patient enrollment in our clinical trial programs, we may incur additional costs and delays in our development programs, and may not be able to complete our clinical trials in a cost-effective or timely manner. In addition, conducting multi-national studies adds another level of complexity and risk. We are subject to events affecting countries outside the U.S. Negative or inconclusive results from the clinical trials we conduct or unanticipated adverse medical events could cause us to have to repeat or terminate the clinical trials.</w:t>
      </w:r>
    </w:p>
    <w:p>
      <w:pPr>
        <w:spacing w:after="0" w:line="181"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September 2014, we announced a Phase 3 clinical trial for TG-1101 in previously treated patients with high-risk CLL, and in September 2015 we announced a Phase 3 clinical trial for the combination of TG-1101 + TGR-1202 for patients with CLL, each of which are being conducted pursuant to SPAs with the FDA. Many companies which have been granted SPAs and/or the right to utilize the FDA’s Fast Track or accelerated approval process have ultimately failed to obtain final approval to market their drugs. Since we are seeking approvals under SPAs for some of our product registration strategies, based on protocol designs negotiated with the FDA, we may be subject to enhanced scrutiny. Further, any changes or amendments to a protocol that is being conducted under SPA will have to be reviewed and approved by the FDA to verify that the SPA agreement is still valid. Even if the primary endpoint in a Phase 3 clinical trial is achieved, a SPA does not guarantee approval. The FDA may raise issues of safety, study conduct, bias, deviation from the protocol, statistical power, patient completion rates, changes in scientific or medical parameters or internal inconsistencies in the data prior to making its final decision. The FDA may also seek the guidance of an outside advisory committee prior to making its final decision.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sufficiency of our GENUINE trial design and results are subject to FDA’s discretion.</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March 6, 2017, we announced topline data from our Phase 3 “GENUINE” clinical trial of TG-1101 in combination with ibrutinib as a treatment for patients with previously treated high risk Chronic Lymphocytic Leukemia, or CLL. This trial, as originally designed, was prepared under FDA’s SPA procedures, in which FDA agrees in advance of commencement of a Phase III clinical trial that the trial’s design, clinical endpoints and statistical analyses will constitute a pivotal study for purposes of regulatory approval, assuming that the resulting data is sufficiently favorable. In October 2016, we amended the protocol, which had the effect of reducing the number of enrolled patients to approximately 120 and eliminating progression-free survival as a primary endpoint, leaving overall response rate as the sole primary endpoint. In doing so, we invalidated the trial’s SPA.</w:t>
      </w:r>
    </w:p>
    <w:p>
      <w:pPr>
        <w:spacing w:after="0" w:line="174" w:lineRule="exact"/>
        <w:rPr>
          <w:sz w:val="20"/>
          <w:szCs w:val="20"/>
          <w:color w:val="auto"/>
        </w:rPr>
      </w:pPr>
    </w:p>
    <w:p>
      <w:pPr>
        <w:ind w:right="80" w:firstLine="648"/>
        <w:spacing w:after="0" w:line="306" w:lineRule="auto"/>
        <w:rPr>
          <w:sz w:val="20"/>
          <w:szCs w:val="20"/>
          <w:color w:val="auto"/>
        </w:rPr>
      </w:pPr>
      <w:r>
        <w:rPr>
          <w:rFonts w:ascii="Arial" w:cs="Arial" w:eastAsia="Arial" w:hAnsi="Arial"/>
          <w:sz w:val="16"/>
          <w:szCs w:val="16"/>
          <w:color w:val="auto"/>
        </w:rPr>
        <w:t>We believe that the trial design and the resulting data could support FDA approval, but that is a question wholly within FDA’s discretion to determine. Whether or not FDA accepts the data for filing will depend on FDA’s views on the adequacy of the filing. Consequently, there can be no assurance that FDA will approve TG-1101, or even whether FDA will agree to meet with us to discuss the matter.</w:t>
      </w:r>
    </w:p>
    <w:p>
      <w:pPr>
        <w:spacing w:after="0" w:line="16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 critical area of inquiry in the GENUINE clinical trial will be the overall response rate observed. As per applicable guidelines, responders require confirmation of response for a minimum duration of two months. As of the date of analysis, nine patients that demonstrated a response in the combination therapy arm of the trial were awaiting confirmation visits, which are expected to occur over the next two months. During the study, less than 3% of patients who demonstrated a response in the combination therapy arm of the trial failed to be a confirmed response at subsequent follow-up. Nevertheless, if one or more of the nine patients awaiting confirmation do not maintain their response at the next checkpoint, our previously reported results could be adversely affected, perhaps materially so, which could adversely affect the likelihood of regulatory approval.</w:t>
      </w:r>
    </w:p>
    <w:p>
      <w:pPr>
        <w:spacing w:after="0" w:line="174"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b w:val="1"/>
          <w:bCs w:val="1"/>
          <w:i w:val="1"/>
          <w:iCs w:val="1"/>
          <w:color w:val="auto"/>
        </w:rPr>
        <w:t>Any product candidates we may advance ithroughclinical development are subject to extensive regulation, which can be costly and time consuming, cause unanticipated delays or prevent the receipt of the required approvals or any accelerated or "fast track" status to commercialize our product candidates.</w:t>
      </w:r>
    </w:p>
    <w:p>
      <w:pPr>
        <w:spacing w:after="0" w:line="116"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or in foreign markets.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Even with “fast track” or “priority review” status which we intend to seek for our product candidates where possible, including with regard to TG-1101, such designations do not necessarily mean a faster development process or regulatory review process or necessarily confer any advantage with respect to approval compared to conventional FDA procedures.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many of these countries, and other regulatory agencies around the world.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22" w:name="page23"/>
    <w:bookmarkEnd w:id="22"/>
    <w:p>
      <w:pPr>
        <w:ind w:firstLine="648"/>
        <w:spacing w:after="0" w:line="283" w:lineRule="auto"/>
        <w:rPr>
          <w:sz w:val="20"/>
          <w:szCs w:val="20"/>
          <w:color w:val="auto"/>
        </w:rPr>
      </w:pPr>
      <w:r>
        <w:rPr>
          <w:rFonts w:ascii="Arial" w:cs="Arial" w:eastAsia="Arial" w:hAnsi="Arial"/>
          <w:sz w:val="16"/>
          <w:szCs w:val="16"/>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2"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indication;</w:t>
      </w:r>
    </w:p>
    <w:p>
      <w:pPr>
        <w:ind w:left="98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not accept clinical data from trials which are conducted by individual investigators or in countries where the standard of care is potentially different from the United States;</w:t>
      </w:r>
    </w:p>
    <w:p>
      <w:pPr>
        <w:ind w:left="980" w:right="2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32"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980" w:right="2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or our collaborators contract for clinical and commercial supplies; or</w:t>
      </w:r>
    </w:p>
    <w:p>
      <w:pPr>
        <w:ind w:left="980" w:hanging="324"/>
        <w:spacing w:after="0" w:line="261"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92" w:lineRule="exact"/>
        <w:rPr>
          <w:sz w:val="20"/>
          <w:szCs w:val="20"/>
          <w:color w:val="auto"/>
        </w:rPr>
      </w:pPr>
    </w:p>
    <w:p>
      <w:pPr>
        <w:jc w:val="both"/>
        <w:ind w:right="140" w:firstLine="648"/>
        <w:spacing w:after="0" w:line="298" w:lineRule="auto"/>
        <w:rPr>
          <w:sz w:val="20"/>
          <w:szCs w:val="20"/>
          <w:color w:val="auto"/>
        </w:rPr>
      </w:pPr>
      <w:r>
        <w:rPr>
          <w:rFonts w:ascii="Arial" w:cs="Arial" w:eastAsia="Arial" w:hAnsi="Arial"/>
          <w:sz w:val="16"/>
          <w:szCs w:val="16"/>
          <w:color w:val="auto"/>
        </w:rPr>
        <w:t>In addition, recent events raising questions about the safety of certain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6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86" w:lineRule="exact"/>
        <w:rPr>
          <w:sz w:val="20"/>
          <w:szCs w:val="20"/>
          <w:color w:val="auto"/>
        </w:rPr>
      </w:pPr>
    </w:p>
    <w:p>
      <w:pPr>
        <w:ind w:right="40" w:firstLine="648"/>
        <w:spacing w:after="0" w:line="306" w:lineRule="auto"/>
        <w:rPr>
          <w:sz w:val="20"/>
          <w:szCs w:val="20"/>
          <w:color w:val="auto"/>
        </w:rPr>
      </w:pPr>
      <w:r>
        <w:rPr>
          <w:rFonts w:ascii="Arial" w:cs="Arial" w:eastAsia="Arial" w:hAnsi="Arial"/>
          <w:sz w:val="16"/>
          <w:szCs w:val="16"/>
          <w:color w:val="auto"/>
        </w:rPr>
        <w:t>Unacceptable adverse events caused by any of our product candidates that we take into clinical trials could cause either us or regulatory authorities to interrupt, delay, modify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161"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our product candidates. To date, clinical trials using TG-1101 and TGR-1202 have demonstrated a toxicity profile that was deemed acceptable by the investigators performing such studies. Such interpretation may not be shared by future investigators or by the FDA and in the case of TG-1101 and TGR-1202, even if deemed acceptable for oncology applications, it may not be acceptable for diseases outside the oncology setting, and likewise for any other product candidates we may develop. Additionally, the severity, duration and incidence of adverse events may increase in larger study populations. With respect to both TG-1101 and TGR-1202, the toxicity when manufactured under different conditions and in different formulations is not known, and it is possible that additional and/or different adverse events may appear upon the human use of those formulations and those adverse events may arise with greater frequency, intensity and duration than in the current formulation. Further, with respect to TGR-1202, although more than 300 patients have been dosed amongst all ongoing TGR-1202 studies, the full adverse effect profile of TGR-1202 is not known. It is unknown as the additional patients are exposed for longer durations to TGR-1202, whether greater frequency and/or severity of adverse events are likely to occur. Common toxicities of other drugs in the same class as TGR-1202 include high levels of liver toxicity, infections and colitis, the latter of which notably has presented with later onset, with incidence increasing with duration of exposure. To date, the incidence of these events has been limited for TGR-1202, however no assurance can be given that this safety and tolerability profile will continue to be demonstrated in the future as higher doses, longer durations of exposure, and multiple drug combinations are explored.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23" w:name="page24"/>
    <w:bookmarkEnd w:id="23"/>
    <w:p>
      <w:pPr>
        <w:ind w:right="20" w:firstLine="648"/>
        <w:spacing w:after="0" w:line="253" w:lineRule="auto"/>
        <w:rPr>
          <w:sz w:val="20"/>
          <w:szCs w:val="20"/>
          <w:color w:val="auto"/>
        </w:rPr>
      </w:pPr>
      <w:r>
        <w:rPr>
          <w:rFonts w:ascii="Arial" w:cs="Arial" w:eastAsia="Arial" w:hAnsi="Arial"/>
          <w:sz w:val="18"/>
          <w:szCs w:val="18"/>
          <w:color w:val="auto"/>
        </w:rPr>
        <w:t>Additionally, in combination clinical development, there is an inherent risk of drug-drug interactions between combination agents which may affect each component’s individual pharmacologic properties and the overall efficacy and safety of the combination regimen. Both TG-1101 and TGR-1202 are being evaluated in combination together, as well as with a variety of other active anti-cancer agents, which may cause unforeseen toxicity, or impact the severity, duration, and incidence of adverse events observed compared to those seen in the single agent studies of these agents.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199" w:lineRule="exact"/>
        <w:rPr>
          <w:sz w:val="20"/>
          <w:szCs w:val="20"/>
          <w:color w:val="auto"/>
        </w:rPr>
      </w:pPr>
    </w:p>
    <w:p>
      <w:pPr>
        <w:ind w:right="460" w:firstLine="648"/>
        <w:spacing w:after="0" w:line="254" w:lineRule="auto"/>
        <w:rPr>
          <w:sz w:val="20"/>
          <w:szCs w:val="20"/>
          <w:color w:val="auto"/>
        </w:rPr>
      </w:pPr>
      <w:r>
        <w:rPr>
          <w:rFonts w:ascii="Arial" w:cs="Arial" w:eastAsia="Arial" w:hAnsi="Arial"/>
          <w:sz w:val="18"/>
          <w:szCs w:val="18"/>
          <w:color w:val="auto"/>
        </w:rPr>
        <w:t>If any of our product candidates receives marketing approval and we, or others, later identify unacceptable adverse events caused by the product, a number of significant negative consequences could result, including:</w:t>
      </w:r>
    </w:p>
    <w:p>
      <w:pPr>
        <w:ind w:left="980" w:hanging="324"/>
        <w:spacing w:after="0"/>
        <w:tabs>
          <w:tab w:leader="none" w:pos="98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color w:val="auto"/>
        </w:rPr>
        <w:t>regulatory authorities may withdraw their approval of the affected product;</w:t>
      </w:r>
    </w:p>
    <w:p>
      <w:pPr>
        <w:spacing w:after="0" w:line="9" w:lineRule="exact"/>
        <w:rPr>
          <w:rFonts w:ascii="Arial" w:cs="Arial" w:eastAsia="Arial" w:hAnsi="Arial"/>
          <w:sz w:val="18"/>
          <w:szCs w:val="18"/>
          <w:b w:val="1"/>
          <w:bCs w:val="1"/>
          <w:i w:val="1"/>
          <w:iCs w:val="1"/>
          <w:color w:val="auto"/>
        </w:rPr>
      </w:pPr>
    </w:p>
    <w:p>
      <w:pPr>
        <w:ind w:left="980" w:hanging="324"/>
        <w:spacing w:after="0"/>
        <w:tabs>
          <w:tab w:leader="none" w:pos="98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b w:val="1"/>
          <w:bCs w:val="1"/>
          <w:i w:val="1"/>
          <w:iCs w:val="1"/>
          <w:color w:val="auto"/>
        </w:rPr>
      </w:pPr>
    </w:p>
    <w:p>
      <w:pPr>
        <w:ind w:left="980" w:hanging="324"/>
        <w:spacing w:after="0" w:line="250" w:lineRule="auto"/>
        <w:tabs>
          <w:tab w:leader="none" w:pos="98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affected product;</w:t>
      </w:r>
    </w:p>
    <w:p>
      <w:pPr>
        <w:ind w:left="980" w:hanging="324"/>
        <w:spacing w:after="0"/>
        <w:tabs>
          <w:tab w:leader="none" w:pos="980"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color w:val="auto"/>
        </w:rPr>
        <w:t>we may be required to change the way the product is administered, conduct additional clinical trials or change the labeling of the product;</w:t>
      </w:r>
    </w:p>
    <w:p>
      <w:pPr>
        <w:spacing w:after="0" w:line="32" w:lineRule="exact"/>
        <w:rPr>
          <w:rFonts w:ascii="Arial" w:cs="Arial" w:eastAsia="Arial" w:hAnsi="Arial"/>
          <w:sz w:val="16"/>
          <w:szCs w:val="16"/>
          <w:b w:val="1"/>
          <w:bCs w:val="1"/>
          <w:i w:val="1"/>
          <w:iCs w:val="1"/>
          <w:color w:val="auto"/>
        </w:rPr>
      </w:pPr>
    </w:p>
    <w:p>
      <w:pPr>
        <w:ind w:left="980" w:hanging="324"/>
        <w:spacing w:after="0"/>
        <w:tabs>
          <w:tab w:leader="none" w:pos="98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color w:val="auto"/>
        </w:rPr>
        <w:t>we may choose to discontinue sale of the product;</w:t>
      </w:r>
    </w:p>
    <w:p>
      <w:pPr>
        <w:spacing w:after="0" w:line="9" w:lineRule="exact"/>
        <w:rPr>
          <w:rFonts w:ascii="Arial" w:cs="Arial" w:eastAsia="Arial" w:hAnsi="Arial"/>
          <w:sz w:val="18"/>
          <w:szCs w:val="18"/>
          <w:b w:val="1"/>
          <w:bCs w:val="1"/>
          <w:i w:val="1"/>
          <w:iCs w:val="1"/>
          <w:color w:val="auto"/>
        </w:rPr>
      </w:pPr>
    </w:p>
    <w:p>
      <w:pPr>
        <w:ind w:left="980" w:hanging="324"/>
        <w:spacing w:after="0"/>
        <w:tabs>
          <w:tab w:leader="none" w:pos="98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b w:val="1"/>
          <w:bCs w:val="1"/>
          <w:i w:val="1"/>
          <w:iCs w:val="1"/>
          <w:color w:val="auto"/>
        </w:rPr>
      </w:pPr>
    </w:p>
    <w:p>
      <w:pPr>
        <w:ind w:left="980" w:hanging="324"/>
        <w:spacing w:after="0"/>
        <w:tabs>
          <w:tab w:leader="none" w:pos="98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color w:val="auto"/>
        </w:rPr>
        <w:t>we may not be able to enter into collaboration agreements on acceptable terms and execute on our business model; and</w:t>
      </w:r>
    </w:p>
    <w:p>
      <w:pPr>
        <w:spacing w:after="0" w:line="9" w:lineRule="exact"/>
        <w:rPr>
          <w:rFonts w:ascii="Arial" w:cs="Arial" w:eastAsia="Arial" w:hAnsi="Arial"/>
          <w:sz w:val="18"/>
          <w:szCs w:val="18"/>
          <w:b w:val="1"/>
          <w:bCs w:val="1"/>
          <w:i w:val="1"/>
          <w:iCs w:val="1"/>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our ability to pursue regulatory approval.</w:t>
      </w:r>
    </w:p>
    <w:p>
      <w:pPr>
        <w:spacing w:after="0" w:line="186" w:lineRule="exact"/>
        <w:rPr>
          <w:sz w:val="20"/>
          <w:szCs w:val="20"/>
          <w:color w:val="auto"/>
        </w:rPr>
      </w:pPr>
    </w:p>
    <w:p>
      <w:pPr>
        <w:ind w:right="280" w:firstLine="648"/>
        <w:spacing w:after="0" w:line="298" w:lineRule="auto"/>
        <w:rPr>
          <w:sz w:val="20"/>
          <w:szCs w:val="20"/>
          <w:color w:val="auto"/>
        </w:rPr>
      </w:pPr>
      <w:r>
        <w:rPr>
          <w:rFonts w:ascii="Arial" w:cs="Arial" w:eastAsia="Arial" w:hAnsi="Arial"/>
          <w:sz w:val="16"/>
          <w:szCs w:val="16"/>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our product candidates.</w:t>
      </w:r>
    </w:p>
    <w:p>
      <w:pPr>
        <w:spacing w:after="0" w:line="16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plan to rely on preclinical and clinical trial data from third parties, if any, for the IND submissions for our product candidates.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19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Before we can test any product candidate in human clinical trials the product candidate enters the preclinical testing stage. Preclinical tests include laboratory evaluations of product chemistry, toxicity and formulation, as well as in-vitro and animal studies to assess the potential safety and activity of the pharmaceutical product candidate. The conduct of the preclinical tests must comply with federal regulations and requirements including good laboratory practices (“GLP”).</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we must work with the FDA to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24" w:name="page25"/>
    <w:bookmarkEnd w:id="24"/>
    <w:p>
      <w:pPr>
        <w:ind w:right="60" w:firstLine="648"/>
        <w:spacing w:after="0" w:line="268" w:lineRule="auto"/>
        <w:rPr>
          <w:sz w:val="20"/>
          <w:szCs w:val="20"/>
          <w:color w:val="auto"/>
        </w:rPr>
      </w:pPr>
      <w:r>
        <w:rPr>
          <w:rFonts w:ascii="Arial" w:cs="Arial" w:eastAsia="Arial" w:hAnsi="Arial"/>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186"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9" w:lineRule="exact"/>
        <w:rPr>
          <w:rFonts w:ascii="Arial" w:cs="Arial" w:eastAsia="Arial" w:hAnsi="Arial"/>
          <w:sz w:val="18"/>
          <w:szCs w:val="18"/>
          <w:color w:val="auto"/>
        </w:rPr>
      </w:pPr>
    </w:p>
    <w:p>
      <w:pPr>
        <w:ind w:left="980" w:right="20" w:hanging="324"/>
        <w:spacing w:after="0" w:line="281"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sufficient quantities of a product candidate for use in clinical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to conduct a clinical trial at a prospective site;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identifying, recruiting and enrolling patients to participate in a clinical trial;</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withdraw due to adverse events from the therapy, insufficient efficacy, fatigue with the clinical trial process or personal issues; and</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safety findings.</w:t>
      </w:r>
    </w:p>
    <w:p>
      <w:pPr>
        <w:spacing w:after="0" w:line="21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the completion of clinical testing could result in increased costs and delay our ability to generate product revenues.</w:t>
      </w:r>
    </w:p>
    <w:p>
      <w:pPr>
        <w:spacing w:after="0" w:line="225" w:lineRule="exact"/>
        <w:rPr>
          <w:sz w:val="20"/>
          <w:szCs w:val="20"/>
          <w:color w:val="auto"/>
        </w:rPr>
      </w:pPr>
    </w:p>
    <w:p>
      <w:pPr>
        <w:ind w:right="280" w:firstLine="648"/>
        <w:spacing w:after="0" w:line="252" w:lineRule="auto"/>
        <w:rPr>
          <w:sz w:val="20"/>
          <w:szCs w:val="20"/>
          <w:color w:val="auto"/>
        </w:rPr>
      </w:pPr>
      <w:r>
        <w:rPr>
          <w:rFonts w:ascii="Arial" w:cs="Arial" w:eastAsia="Arial" w:hAnsi="Arial"/>
          <w:sz w:val="18"/>
          <w:szCs w:val="18"/>
          <w:color w:val="auto"/>
        </w:rPr>
        <w:t>Once a clinical trial has begun, patient recruitment and enrollment may be slower than we anticipate. Clinical trials may also be delayed as a result of ambiguous or negative interim results. Further, a clinical trial may be suspended or terminated by us, an IRB, an ethics committee or a Data Safety and Monitoring Committee overseeing the clinical trial, any of our clinical trial sites with respect to that site or the FDA or other regulatory authorities due to a number of factors, including:</w:t>
      </w:r>
    </w:p>
    <w:p>
      <w:pPr>
        <w:spacing w:after="0" w:line="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inspection of the clinical trial operations or clinical trial site by the FDA or other regulatory authorities resulting in the imposition of a clinical hold;</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the clinical trial presents unacceptable health risks;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17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39" w:lineRule="exact"/>
        <w:rPr>
          <w:sz w:val="20"/>
          <w:szCs w:val="20"/>
          <w:color w:val="auto"/>
        </w:rPr>
      </w:pPr>
    </w:p>
    <w:p>
      <w:pPr>
        <w:jc w:val="both"/>
        <w:ind w:right="240" w:firstLine="648"/>
        <w:spacing w:after="0" w:line="306" w:lineRule="auto"/>
        <w:rPr>
          <w:sz w:val="20"/>
          <w:szCs w:val="20"/>
          <w:color w:val="auto"/>
        </w:rPr>
      </w:pPr>
      <w:r>
        <w:rPr>
          <w:rFonts w:ascii="Arial" w:cs="Arial" w:eastAsia="Arial" w:hAnsi="Arial"/>
          <w:sz w:val="16"/>
          <w:szCs w:val="16"/>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161"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25" w:name="page26"/>
    <w:bookmarkEnd w:id="25"/>
    <w:p>
      <w:pPr>
        <w:ind w:right="20" w:firstLine="648"/>
        <w:spacing w:after="0" w:line="255"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19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and process improvements implemented in the production of those product candidates may affect their ultimate activity or function.</w:t>
      </w:r>
    </w:p>
    <w:p>
      <w:pPr>
        <w:spacing w:after="0" w:line="18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product candidates are in the initial stages of development and are currently manufactured in small batches for use in pre-clinical and clinical studies. Process improvements implemented to date have changed, and process improvements in the future may change, the activity profile of the product candidates, which may affect the safety and efficacy of the products. No assurance can be given that the material manufactured from any of the optimized processes will perform comparably to the product candidates as manufactured to date and used in currently available pre-clinical data and or in early clinical trials reported in this or any previous filing. Additionally, future clinical trial results will be subject to the same level of uncertainty if, following such trials, additional process improvements are made. In addition, we have recently engaged a secondary manufacturer for TG-1101 to meet our current clinical and future commercial needs and anticipate engaging additional manufacturing sources for TGR-1202 to meet expanded clinical trial and commercial needs. While material produced from this secondary manufacturer for TG-1101 has to date demonstrated acceptable comparability, no assurance can be given that any additional manufacturers will be successful or that material manufactured by the additional manufacturers will perform comparably to TG-1101 or TGR-1202 as manufactured to date and used in currently available pre-clinical data and or in early clinical trials reported in this or any previous filing. If a secondary manufacturer is not successful in replicating the product or experiences delays, or if regulatory authorities impose unforeseen requirements with respect to product comparability from multiple manufacturing sources, we may experience delays in clinical development.</w:t>
      </w:r>
    </w:p>
    <w:p>
      <w:pPr>
        <w:spacing w:after="0" w:line="17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86"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structures.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w:t>
      </w:r>
    </w:p>
    <w:p>
      <w:pPr>
        <w:spacing w:after="0" w:line="172"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b w:val="1"/>
          <w:bCs w:val="1"/>
          <w:i w:val="1"/>
          <w:iCs w:val="1"/>
          <w:color w:val="auto"/>
        </w:rPr>
        <w:t>If our competitors develop treatments for the target indications for which any of our product candidates may be approved, and they are approved more quickly, marketed more effectively or demonstrated to be more effective than our product candidates, our commercial opportunity will be reduced or eliminated.</w:t>
      </w:r>
    </w:p>
    <w:p>
      <w:pPr>
        <w:spacing w:after="0" w:line="19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201"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The cancer indications for which we are developing our products have a number of established therapies with which we will compete. Most major pharmaceutical companies and many biotechnology companies are aggressively pursuing new cancer development programs for the treatment of NHL, CLL, and other B-cell proliferative malignancies, including both therapies with traditional, as well as novel, mechanisms of action. Additionally, numerous established therapies exist for the autoimmune disorders for which we are developing TG-1101, including and in particular, multiple sclerosis (MS).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26" w:name="page27"/>
    <w:bookmarkEnd w:id="26"/>
    <w:p>
      <w:pPr>
        <w:ind w:firstLine="648"/>
        <w:spacing w:after="0" w:line="289" w:lineRule="auto"/>
        <w:rPr>
          <w:sz w:val="20"/>
          <w:szCs w:val="20"/>
          <w:color w:val="auto"/>
        </w:rPr>
      </w:pPr>
      <w:r>
        <w:rPr>
          <w:rFonts w:ascii="Arial" w:cs="Arial" w:eastAsia="Arial" w:hAnsi="Arial"/>
          <w:sz w:val="16"/>
          <w:szCs w:val="16"/>
          <w:color w:val="auto"/>
        </w:rPr>
        <w:t>If approved, we expect TG-1101 to compete directly with Roche Group’s Rituxan® (rituximab) and Gazyva® (obinutuzumab or GA-101), and Novartis’ Arzerra® (ofatumumab) among others, each of which is currently approved for the treatment of various diseases including NHL and CLL. In addition, a number of pharmaceutical companies are developing antibodies targeting CD20, CD19, and other B-cell associated targets, chimeric antigen receptor T-cell (CAR-T) immunotherapy, and other B-cell ablative therapy which, if approved, would potentially compete with TG-1101 both in oncology settings as well as in autoimmune disorders. Recently, positive Phase 3 data was announced for the Roche Group’s anti-CD20 antibody ocrelizumab in the treatment of MS, which we anticipate will be filed for approval in the near term. Genmab and GSK’s (ofatumumab) is also under clinical development for patients with MS. New developments, including the development of other pharmaceutical technologies and methods of treating disease, occur in the pharmaceutical and life sciences industries at a rapid pace.</w:t>
      </w:r>
    </w:p>
    <w:p>
      <w:pPr>
        <w:spacing w:after="0" w:line="172"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color w:val="auto"/>
        </w:rPr>
        <w:t>With respect to TGR-1202, there are several PI3K delta targeted compounds both approved, such as Gilead’s Zydelig™ (idelalisib), and in development, including, but not limited to, Verastem's duvelisib which if approved we would expect to compete directly with TGR-1202. In addition, there are numerous other novel therapies targeting similar pathways to TGR-1202 both approved and in development, which could also compete with TGR-1202 in similar indications, such as the BTK inhibitor, ibrutinib (FDA approved for MCL, CLL, Marginal Zone Lymphoma and WM and marketed by AbbVie and Janssen), the BTK inhibitor ACP-196 (under development by AstraZeneca), or the BCL-2 inhibitor ABT-199 (FDA approved for CLL and marketed by AbbVie and Roche).</w:t>
      </w:r>
    </w:p>
    <w:p>
      <w:pPr>
        <w:spacing w:after="0" w:line="170" w:lineRule="exact"/>
        <w:rPr>
          <w:sz w:val="20"/>
          <w:szCs w:val="20"/>
          <w:color w:val="auto"/>
        </w:rPr>
      </w:pPr>
    </w:p>
    <w:p>
      <w:pPr>
        <w:ind w:right="840" w:firstLine="648"/>
        <w:spacing w:after="0" w:line="254" w:lineRule="auto"/>
        <w:rPr>
          <w:sz w:val="20"/>
          <w:szCs w:val="20"/>
          <w:color w:val="auto"/>
        </w:rPr>
      </w:pPr>
      <w:r>
        <w:rPr>
          <w:rFonts w:ascii="Arial" w:cs="Arial" w:eastAsia="Arial" w:hAnsi="Arial"/>
          <w:sz w:val="18"/>
          <w:szCs w:val="18"/>
          <w:color w:val="auto"/>
        </w:rPr>
        <w:t>These developments may render our product candidates obsolete or noncompetitive. Compared to us, many of our potential competitors have substantially greater:</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9" w:lineRule="exact"/>
        <w:rPr>
          <w:sz w:val="20"/>
          <w:szCs w:val="20"/>
          <w:color w:val="auto"/>
        </w:rPr>
      </w:pPr>
    </w:p>
    <w:p>
      <w:pPr>
        <w:ind w:right="60" w:firstLine="648"/>
        <w:spacing w:after="0" w:line="294" w:lineRule="auto"/>
        <w:rPr>
          <w:sz w:val="20"/>
          <w:szCs w:val="20"/>
          <w:color w:val="auto"/>
        </w:rPr>
      </w:pPr>
      <w:r>
        <w:rPr>
          <w:rFonts w:ascii="Arial" w:cs="Arial" w:eastAsia="Arial" w:hAnsi="Arial"/>
          <w:sz w:val="16"/>
          <w:szCs w:val="16"/>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CLL, or other B-cell and autoimmune related disorders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170" w:lineRule="exact"/>
        <w:rPr>
          <w:sz w:val="20"/>
          <w:szCs w:val="20"/>
          <w:color w:val="auto"/>
        </w:rPr>
      </w:pPr>
    </w:p>
    <w:p>
      <w:pPr>
        <w:ind w:right="580" w:firstLine="648"/>
        <w:spacing w:after="0" w:line="268"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8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9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GMP). If our contract manufacturers cannot successfully manufacture material that conforms to our target product specifications, patent specifications, and/or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No assurance can be given that a long-term, scalable manufacturer can be identified or that they can make clinical and commercial supplies of our product candidates that meets the product specifications of previously manufactured batches, or is of a sufficient quality, or at an appropriate scale and cost to make it commercially feasible. If they are unable to do so, it could have a material adverse impact on our business.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27" w:name="page28"/>
    <w:bookmarkEnd w:id="27"/>
    <w:p>
      <w:pPr>
        <w:ind w:right="20" w:firstLine="648"/>
        <w:spacing w:after="0" w:line="253" w:lineRule="auto"/>
        <w:rPr>
          <w:sz w:val="20"/>
          <w:szCs w:val="20"/>
          <w:color w:val="auto"/>
        </w:rPr>
      </w:pPr>
      <w:r>
        <w:rPr>
          <w:rFonts w:ascii="Arial" w:cs="Arial" w:eastAsia="Arial" w:hAnsi="Arial"/>
          <w:sz w:val="18"/>
          <w:szCs w:val="18"/>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20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or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201"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94" w:lineRule="exact"/>
        <w:rPr>
          <w:sz w:val="20"/>
          <w:szCs w:val="20"/>
          <w:color w:val="auto"/>
        </w:rPr>
      </w:pPr>
    </w:p>
    <w:p>
      <w:pPr>
        <w:ind w:firstLine="648"/>
        <w:spacing w:after="0" w:line="306" w:lineRule="auto"/>
        <w:rPr>
          <w:sz w:val="20"/>
          <w:szCs w:val="20"/>
          <w:color w:val="auto"/>
        </w:rPr>
      </w:pPr>
      <w:r>
        <w:rPr>
          <w:rFonts w:ascii="Arial" w:cs="Arial" w:eastAsia="Arial" w:hAnsi="Arial"/>
          <w:sz w:val="16"/>
          <w:szCs w:val="16"/>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16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we or our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17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86" w:lineRule="exact"/>
        <w:rPr>
          <w:sz w:val="20"/>
          <w:szCs w:val="20"/>
          <w:color w:val="auto"/>
        </w:rPr>
      </w:pPr>
    </w:p>
    <w:p>
      <w:pPr>
        <w:jc w:val="both"/>
        <w:ind w:right="20" w:firstLine="648"/>
        <w:spacing w:after="0" w:line="284"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spacing w:after="0" w:line="1" w:lineRule="exact"/>
        <w:rPr>
          <w:sz w:val="20"/>
          <w:szCs w:val="20"/>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its use outside the approved indications;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and severity of adverse events;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9"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47" w:right="299" w:bottom="1440" w:gutter="0" w:footer="0" w:header="0"/>
        </w:sectPr>
      </w:pPr>
    </w:p>
    <w:bookmarkStart w:id="28" w:name="page29"/>
    <w:bookmarkEnd w:id="28"/>
    <w:p>
      <w:pPr>
        <w:ind w:right="600"/>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us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4"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impairment to our business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19"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us could cause our stock price to decline and, if judgments exceed our insurance coverage, could decrease our cash and adversely affect our business.</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8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17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 Additionally, while we may seek approval of our products in combination with each other, there can be no guarantee that we will obtain coverage and reimbursement for any of our products together, or that such reimbursement will incentivize the use of our products in combination with each other as opposed to in combination with other agents which may be priced more favorably to the medical community.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29" w:name="page30"/>
    <w:bookmarkEnd w:id="29"/>
    <w:p>
      <w:pPr>
        <w:ind w:right="60" w:firstLine="648"/>
        <w:spacing w:after="0" w:line="287"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 Most recently, the Patient Protection and Affordable Care Act, as amended by the Health Care and Education Reconciliation Act of 2010, collectively, the “Affordable Care Act,” was enacted. The Affordable Care Act contains a number of provisions, including those governing enrollment in federal healthcare programs, the increased use of comparative effectiveness research on healthcare products, reimbursement and fraud and abuse changes, and a new regulatory pathway for the approval of biosimilar biological products, all of which will impact existing government healthcare programs and will result in the development of new programs. An expansion in the government’s role in the U.S. healthcare industry may further lower rates of reimbursement for pharmaceutical and biotechnology products.</w:t>
      </w:r>
    </w:p>
    <w:p>
      <w:pPr>
        <w:spacing w:after="0" w:line="17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1"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this growth.</w:t>
      </w:r>
    </w:p>
    <w:p>
      <w:pPr>
        <w:spacing w:after="0" w:line="18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As of March 1, 2017, we had sixty-four full and part time employees. Over time, we will need to expand our managerial, operational, financial and other resources in order to manage and fund our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manage our internal development efforts effectively while carrying out our contractual obligations to licensors, contractors and other third parties;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367" w:lineRule="exact"/>
        <w:rPr>
          <w:sz w:val="20"/>
          <w:szCs w:val="20"/>
          <w:color w:val="auto"/>
        </w:rPr>
      </w:pPr>
    </w:p>
    <w:p>
      <w:pPr>
        <w:ind w:firstLine="648"/>
        <w:spacing w:after="0" w:line="308" w:lineRule="auto"/>
        <w:rPr>
          <w:sz w:val="20"/>
          <w:szCs w:val="20"/>
          <w:color w:val="auto"/>
        </w:rPr>
      </w:pPr>
      <w:r>
        <w:rPr>
          <w:rFonts w:ascii="Arial" w:cs="Arial" w:eastAsia="Arial" w:hAnsi="Arial"/>
          <w:sz w:val="15"/>
          <w:szCs w:val="15"/>
          <w:color w:val="auto"/>
        </w:rPr>
        <w:t>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47" w:right="279" w:bottom="1440" w:gutter="0" w:footer="0" w:header="0"/>
        </w:sectPr>
      </w:pPr>
    </w:p>
    <w:bookmarkStart w:id="30" w:name="page31"/>
    <w:bookmarkEnd w:id="30"/>
    <w:p>
      <w:pPr>
        <w:ind w:right="260"/>
        <w:spacing w:after="0" w:line="268"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86"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we continue to expand our manufacturing, research and development activities.</w:t>
      </w:r>
    </w:p>
    <w:p>
      <w:pPr>
        <w:spacing w:after="0" w:line="174" w:lineRule="exact"/>
        <w:rPr>
          <w:sz w:val="20"/>
          <w:szCs w:val="20"/>
          <w:color w:val="auto"/>
        </w:rPr>
      </w:pPr>
    </w:p>
    <w:p>
      <w:pPr>
        <w:jc w:val="both"/>
        <w:ind w:right="220" w:firstLine="648"/>
        <w:spacing w:after="0" w:line="294" w:lineRule="auto"/>
        <w:rPr>
          <w:sz w:val="20"/>
          <w:szCs w:val="20"/>
          <w:color w:val="auto"/>
        </w:rPr>
      </w:pPr>
      <w:r>
        <w:rPr>
          <w:rFonts w:ascii="Arial" w:cs="Arial" w:eastAsia="Arial" w:hAnsi="Arial"/>
          <w:sz w:val="16"/>
          <w:szCs w:val="16"/>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17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86" w:lineRule="exact"/>
        <w:rPr>
          <w:sz w:val="20"/>
          <w:szCs w:val="20"/>
          <w:color w:val="auto"/>
        </w:rPr>
      </w:pPr>
    </w:p>
    <w:p>
      <w:pPr>
        <w:ind w:firstLine="648"/>
        <w:spacing w:after="0" w:line="306" w:lineRule="auto"/>
        <w:rPr>
          <w:sz w:val="20"/>
          <w:szCs w:val="20"/>
          <w:color w:val="auto"/>
        </w:rPr>
      </w:pPr>
      <w:r>
        <w:rPr>
          <w:rFonts w:ascii="Arial" w:cs="Arial" w:eastAsia="Arial" w:hAnsi="Arial"/>
          <w:sz w:val="15"/>
          <w:szCs w:val="15"/>
          <w:color w:val="auto"/>
        </w:rPr>
        <w:t>In addition to FDA restrictions on the marketing of pharmaceutical and biotechnology products, several other types of state and federal laws have been applied to restrict certain marketing practices in the pharmaceutical and medical device industries in recent years, as well as consulting or other service agreements with physicians or other potential referral sources. These laws include anti-kickback statutes and false claims statutes that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w:t>
      </w:r>
    </w:p>
    <w:p>
      <w:pPr>
        <w:spacing w:after="0" w:line="17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use biological and hazardous materials, and any claims relating to improper handling, storage or disposal of these materials could be time consuming or costly.</w:t>
      </w:r>
    </w:p>
    <w:p>
      <w:pPr>
        <w:spacing w:after="0" w:line="186" w:lineRule="exact"/>
        <w:rPr>
          <w:sz w:val="20"/>
          <w:szCs w:val="20"/>
          <w:color w:val="auto"/>
        </w:rPr>
      </w:pPr>
    </w:p>
    <w:p>
      <w:pPr>
        <w:ind w:right="220" w:firstLine="648"/>
        <w:spacing w:after="0" w:line="298" w:lineRule="auto"/>
        <w:rPr>
          <w:sz w:val="20"/>
          <w:szCs w:val="20"/>
          <w:color w:val="auto"/>
        </w:rPr>
      </w:pPr>
      <w:r>
        <w:rPr>
          <w:rFonts w:ascii="Arial" w:cs="Arial" w:eastAsia="Arial" w:hAnsi="Arial"/>
          <w:sz w:val="16"/>
          <w:szCs w:val="16"/>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6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report are based on the assumption of further financing.</w:t>
      </w:r>
    </w:p>
    <w:p>
      <w:pPr>
        <w:spacing w:after="0" w:line="225" w:lineRule="exact"/>
        <w:rPr>
          <w:sz w:val="20"/>
          <w:szCs w:val="20"/>
          <w:color w:val="auto"/>
        </w:rPr>
      </w:pPr>
    </w:p>
    <w:p>
      <w:pPr>
        <w:ind w:right="320" w:firstLine="648"/>
        <w:spacing w:after="0" w:line="294" w:lineRule="auto"/>
        <w:rPr>
          <w:sz w:val="20"/>
          <w:szCs w:val="20"/>
          <w:color w:val="auto"/>
        </w:rPr>
      </w:pPr>
      <w:r>
        <w:rPr>
          <w:rFonts w:ascii="Arial" w:cs="Arial" w:eastAsia="Arial" w:hAnsi="Arial"/>
          <w:sz w:val="16"/>
          <w:szCs w:val="16"/>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Acquisitions</w:t>
      </w:r>
    </w:p>
    <w:p>
      <w:pPr>
        <w:spacing w:after="0" w:line="231"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39" w:lineRule="exact"/>
        <w:rPr>
          <w:sz w:val="20"/>
          <w:szCs w:val="20"/>
          <w:color w:val="auto"/>
        </w:rPr>
      </w:pPr>
    </w:p>
    <w:p>
      <w:pPr>
        <w:ind w:right="460" w:firstLine="648"/>
        <w:spacing w:after="0" w:line="286" w:lineRule="auto"/>
        <w:rPr>
          <w:sz w:val="20"/>
          <w:szCs w:val="20"/>
          <w:color w:val="auto"/>
        </w:rPr>
      </w:pPr>
      <w:r>
        <w:rPr>
          <w:rFonts w:ascii="Arial" w:cs="Arial" w:eastAsia="Arial" w:hAnsi="Arial"/>
          <w:sz w:val="16"/>
          <w:szCs w:val="16"/>
          <w:color w:val="auto"/>
        </w:rPr>
        <w:t>We may seek to expand our business through the acquisition of, investments in and strategic alliances with companies, technologies, products, and services. Acquisitions, investments and strategic alliances involve a number of special problems and risks, including, but not limited to:</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integrating acquired technologies, products, services, operations and personnel with the existing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acquisitions and integrating the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implementing and maintaining effective internal control over financial reporting at businesses that we acquire, particularly if they are not located near our existing operations;</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costly and time-consuming litigation, including stockholder lawsuits;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issuance of securities to equity holders of the company being acquired with rights that are superior to the rights of holders of our common stock or which may have a dilutive effect on our stockholders;</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of loss of invested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incur additional debt or use cash;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to record potentially significant additional future operating costs for the amortization of intangible assets.</w:t>
      </w:r>
    </w:p>
    <w:p>
      <w:pPr>
        <w:spacing w:after="0" w:line="21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97" w:lineRule="exact"/>
        <w:rPr>
          <w:sz w:val="20"/>
          <w:szCs w:val="20"/>
          <w:color w:val="auto"/>
        </w:rPr>
      </w:pPr>
    </w:p>
    <w:p>
      <w:pPr>
        <w:ind w:right="520" w:firstLine="648"/>
        <w:spacing w:after="0" w:line="268" w:lineRule="auto"/>
        <w:rPr>
          <w:sz w:val="20"/>
          <w:szCs w:val="20"/>
          <w:color w:val="auto"/>
        </w:rPr>
      </w:pPr>
      <w:r>
        <w:rPr>
          <w:rFonts w:ascii="Arial" w:cs="Arial" w:eastAsia="Arial" w:hAnsi="Arial"/>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success depends upon our ability to protect our intellectual property and proprietary technologies, and the intellectual property protection for our product candidates depends significantly on third parties.</w:t>
      </w:r>
    </w:p>
    <w:p>
      <w:pPr>
        <w:spacing w:after="0" w:line="186" w:lineRule="exact"/>
        <w:rPr>
          <w:sz w:val="20"/>
          <w:szCs w:val="20"/>
          <w:color w:val="auto"/>
        </w:rPr>
      </w:pPr>
    </w:p>
    <w:p>
      <w:pPr>
        <w:ind w:right="440" w:firstLine="648"/>
        <w:spacing w:after="0" w:line="318" w:lineRule="auto"/>
        <w:rPr>
          <w:sz w:val="20"/>
          <w:szCs w:val="20"/>
          <w:color w:val="auto"/>
        </w:rPr>
      </w:pPr>
      <w:r>
        <w:rPr>
          <w:rFonts w:ascii="Arial" w:cs="Arial" w:eastAsia="Arial" w:hAnsi="Arial"/>
          <w:sz w:val="15"/>
          <w:szCs w:val="15"/>
          <w:color w:val="auto"/>
        </w:rPr>
        <w:t>Our commercial success depends on obtaining and maintaining patent protection and trade secret protection for our product candidates and their formulations and uses, as well as successfully defending these patents against third-party challenges. If any of our licensors or partners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2" w:name="page33"/>
    <w:bookmarkEnd w:id="32"/>
    <w:p>
      <w:pPr>
        <w:ind w:right="20" w:firstLine="648"/>
        <w:spacing w:after="0" w:line="290" w:lineRule="auto"/>
        <w:rPr>
          <w:sz w:val="20"/>
          <w:szCs w:val="20"/>
          <w:color w:val="auto"/>
        </w:rPr>
      </w:pPr>
      <w:r>
        <w:rPr>
          <w:rFonts w:ascii="Arial" w:cs="Arial" w:eastAsia="Arial" w:hAnsi="Arial"/>
          <w:sz w:val="16"/>
          <w:szCs w:val="16"/>
          <w:color w:val="auto"/>
        </w:rPr>
        <w:t>Currently, the composition of matter patent and several method of use patents for TG-1101 and TGR-1202 in various indications and settings have been applied for but have not yet been issued, or have been issued in certain territories but not under all jurisdictions in which such applications have been filed. While composition of matter patents have been granted in the US for TG-1101 and TGR-1202, no patents to date have been issued for our IRAK4 inhibitor and anti-PD-L1 and anti-GITR programs. There can be no guarantee that any of these patents for which an application has already been filed, nor any patents filed in the future for our product candidates will be granted in any or all jurisdictions in which there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1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March 16, 2013, the U.S. converted from a “first to invent” to a “first to file” system. If we do not win the filing race, we will not be entitled to inventive priority;</w:t>
      </w:r>
    </w:p>
    <w:p>
      <w:pPr>
        <w:jc w:val="both"/>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patents are not issued that protect our product candidates, it could have a material adverse effect on our financial condition and results of operations.</w:t>
      </w:r>
    </w:p>
    <w:p>
      <w:pPr>
        <w:spacing w:after="0" w:line="248"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In addition to patents, we and our partners also rely on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w:t>
      </w:r>
    </w:p>
    <w:p>
      <w:pPr>
        <w:spacing w:after="0" w:line="167" w:lineRule="exact"/>
        <w:rPr>
          <w:sz w:val="20"/>
          <w:szCs w:val="20"/>
          <w:color w:val="auto"/>
        </w:rPr>
      </w:pPr>
    </w:p>
    <w:p>
      <w:pPr>
        <w:ind w:right="320" w:firstLine="648"/>
        <w:spacing w:after="0" w:line="268"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86"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U.S. that block the commercialization of antibody products derived from a single cell line, like TG-1101. Also, Roche, Biogen Idec, and Genentech hold patents for the use of anti-CD20 antibodies utilized in the treatment of CLL in the U.S. While these patents have been challenged, to the best of our knowledge, those matters were settled in a way that permitted additional anti-CD20 antibodies to be marketed for CLL. If those patents are still enforced at the time we are intending to launch TG-1101, then we will need to either prevail in a litigation to challenge those patents or negotiate a settlement agreement with the patent holders. If we are unable to do so we may be forced to delay the launch of TG-1101 or launch at the risk of litigation for patent infringement, which may have a material adverse effect on our business and results of operations.</w:t>
      </w:r>
    </w:p>
    <w:p>
      <w:pPr>
        <w:spacing w:after="0" w:line="174"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33" w:name="page34"/>
    <w:bookmarkEnd w:id="33"/>
    <w:p>
      <w:pPr>
        <w:ind w:right="180" w:firstLine="648"/>
        <w:spacing w:after="0" w:line="286"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abandon an infringing product candidate or redesign its products or processes to avoid infringement;</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which we may have to pay if a court decides that the product or proprietary technology at issue infringes on or violates the third party’s rights;</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substantial royalties, fees and/or grant cross licenses to our technology; and/or</w:t>
      </w:r>
    </w:p>
    <w:p>
      <w:pPr>
        <w:spacing w:after="0" w:line="9"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92"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licensors, which could be expensive, time consuming and unsuccessful.</w:t>
      </w:r>
    </w:p>
    <w:p>
      <w:pPr>
        <w:spacing w:after="0" w:line="26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The adverse result could also put related patent applications at risk of not issuing.</w:t>
      </w:r>
    </w:p>
    <w:p>
      <w:pPr>
        <w:spacing w:after="0" w:line="198"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Interference proceedings provoked by third parties or brought by the U.S. Patent and Trademark Office (“PTO”)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74"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our consultants or independent contractors have wrongfully used or disclosed alleged trade secrets of their other clients or former employers to it.</w:t>
      </w:r>
    </w:p>
    <w:p>
      <w:pPr>
        <w:spacing w:after="0" w:line="18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we have inadvertently or otherwise used or disclosed trade secrets or other proprietary information of their former employers or their former or current customers. Litigation may be necessary to defend against these claims. Even if we are successful in defending against these claims, litigation could result in substantial costs and be a distraction to management and day-to-day business operations.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Risks Relating to Our Finances and Capital Requirements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to continue to operate our business.</w:t>
      </w:r>
    </w:p>
    <w:p>
      <w:pPr>
        <w:spacing w:after="0" w:line="225"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As of December 31, 2016, we had approximately $45.0 million in cash, cash equivalents, investment securities, and interest receivable. The Company believes its cash, cash equivalents, investment securities, and interest receivable on hand as of December 31, 2016 combined with the additional capital raised in the first quarter of 2017 will be sufficient to fund the Company’s planned operations for approximately the next 24 months. As a result, we will need additional capital to continue our operations beyond that time. Required additional sources of financing to continue our operations in the future might not be available on favorable terms, if at all.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our equity securities, which would have a dilutive effect to stockholders.</w:t>
      </w:r>
    </w:p>
    <w:p>
      <w:pPr>
        <w:spacing w:after="0" w:line="172" w:lineRule="exact"/>
        <w:rPr>
          <w:sz w:val="20"/>
          <w:szCs w:val="20"/>
          <w:color w:val="auto"/>
        </w:rPr>
      </w:pPr>
    </w:p>
    <w:p>
      <w:pPr>
        <w:ind w:right="300" w:firstLine="648"/>
        <w:spacing w:after="0" w:line="332" w:lineRule="auto"/>
        <w:rPr>
          <w:sz w:val="20"/>
          <w:szCs w:val="20"/>
          <w:color w:val="auto"/>
        </w:rPr>
      </w:pPr>
      <w:r>
        <w:rPr>
          <w:rFonts w:ascii="Arial" w:cs="Arial" w:eastAsia="Arial" w:hAnsi="Arial"/>
          <w:sz w:val="16"/>
          <w:szCs w:val="16"/>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 or financings.</w:t>
      </w:r>
    </w:p>
    <w:p>
      <w:pPr>
        <w:spacing w:after="0" w:line="13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are unable to predict the extent of future losses or when we will become profitable, if ever.</w:t>
      </w:r>
    </w:p>
    <w:p>
      <w:pPr>
        <w:spacing w:after="0" w:line="18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not yet applied for or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Our prospects must be considered in light of the uncertainties, risks, expenses and difficulties frequently encountered by companies in the early stages of operations and the competitive environment in which we operate.</w:t>
      </w:r>
    </w:p>
    <w:p>
      <w:pPr>
        <w:spacing w:after="0" w:line="197"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We have never been profitable and, as of December 31, 2016, we had an accumulated deficit of $236.4 million. We have generated operating losses in all periods since we were incorporated. We expect to make substantial expenditures resulting in increased operating costs in the future and our accumulated deficit will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become profitable.</w:t>
      </w:r>
    </w:p>
    <w:p>
      <w:pPr>
        <w:spacing w:after="0" w:line="225" w:lineRule="exact"/>
        <w:rPr>
          <w:sz w:val="20"/>
          <w:szCs w:val="20"/>
          <w:color w:val="auto"/>
        </w:rPr>
      </w:pPr>
    </w:p>
    <w:p>
      <w:pPr>
        <w:ind w:right="280" w:firstLine="648"/>
        <w:spacing w:after="0" w:line="283" w:lineRule="auto"/>
        <w:rPr>
          <w:sz w:val="20"/>
          <w:szCs w:val="20"/>
          <w:color w:val="auto"/>
        </w:rPr>
      </w:pPr>
      <w:r>
        <w:rPr>
          <w:rFonts w:ascii="Arial" w:cs="Arial" w:eastAsia="Arial" w:hAnsi="Arial"/>
          <w:sz w:val="16"/>
          <w:szCs w:val="16"/>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3"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successful completion of preclinical studies of our product candidates;</w:t>
      </w:r>
    </w:p>
    <w:p>
      <w:pPr>
        <w:spacing w:after="0" w:line="9" w:lineRule="exact"/>
        <w:rPr>
          <w:rFonts w:ascii="Arial" w:cs="Arial" w:eastAsia="Arial" w:hAnsi="Arial"/>
          <w:sz w:val="18"/>
          <w:szCs w:val="18"/>
          <w:b w:val="1"/>
          <w:bCs w:val="1"/>
          <w:color w:val="auto"/>
        </w:rPr>
      </w:pPr>
    </w:p>
    <w:p>
      <w:pPr>
        <w:ind w:left="980" w:hanging="324"/>
        <w:spacing w:after="0" w:line="250" w:lineRule="auto"/>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successful commencement and completion of clinical trials of our product candidates and any future product candidates we advance into clinical trials;</w:t>
      </w:r>
    </w:p>
    <w:p>
      <w:pPr>
        <w:ind w:left="980" w:hanging="324"/>
        <w:spacing w:after="0" w:line="250" w:lineRule="auto"/>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ind w:left="980" w:hanging="324"/>
        <w:spacing w:after="0"/>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manufacturing commercial quantities of our products at acceptable cost levels if regulatory approvals are obtained;</w:t>
      </w:r>
    </w:p>
    <w:p>
      <w:pPr>
        <w:spacing w:after="0" w:line="9" w:lineRule="exact"/>
        <w:rPr>
          <w:rFonts w:ascii="Arial" w:cs="Arial" w:eastAsia="Arial" w:hAnsi="Arial"/>
          <w:sz w:val="18"/>
          <w:szCs w:val="18"/>
          <w:b w:val="1"/>
          <w:bCs w:val="1"/>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sales, distribution and marketing of our future products, if any;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entry into collaborative arrangements or co-promotion agreements to market and sell our products.</w:t>
      </w:r>
    </w:p>
    <w:p>
      <w:pPr>
        <w:spacing w:after="0" w:line="219"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If we are unable to generate significant continuing revenues, we will not become profitable and we may be unable to continue our operations without continued funding.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ind w:right="740"/>
        <w:spacing w:after="0" w:line="268" w:lineRule="auto"/>
        <w:rPr>
          <w:sz w:val="20"/>
          <w:szCs w:val="20"/>
          <w:color w:val="auto"/>
        </w:rPr>
      </w:pPr>
      <w:r>
        <w:rPr>
          <w:rFonts w:ascii="Arial" w:cs="Arial" w:eastAsia="Arial" w:hAnsi="Arial"/>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86" w:lineRule="exact"/>
        <w:rPr>
          <w:sz w:val="20"/>
          <w:szCs w:val="20"/>
          <w:color w:val="auto"/>
        </w:rPr>
      </w:pPr>
    </w:p>
    <w:p>
      <w:pPr>
        <w:ind w:right="180" w:firstLine="648"/>
        <w:spacing w:after="0" w:line="306" w:lineRule="auto"/>
        <w:rPr>
          <w:sz w:val="20"/>
          <w:szCs w:val="20"/>
          <w:color w:val="auto"/>
        </w:rPr>
      </w:pPr>
      <w:r>
        <w:rPr>
          <w:rFonts w:ascii="Arial" w:cs="Arial" w:eastAsia="Arial" w:hAnsi="Arial"/>
          <w:sz w:val="16"/>
          <w:szCs w:val="16"/>
          <w:color w:val="auto"/>
        </w:rPr>
        <w:t>We expect to spend substantial amounts on development, including significant amounts on conducting clinical trials for our product candidates, manufacturing clinical supplies and expanding our pharmaceutical development programs. We expect that our monthly cash used by operations will continue to increase for the next several years. We anticipate that we will continue to incur operating losses for the foreseeable future.</w:t>
      </w:r>
    </w:p>
    <w:p>
      <w:pPr>
        <w:spacing w:after="0" w:line="161"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15" w:lineRule="exact"/>
        <w:rPr>
          <w:sz w:val="20"/>
          <w:szCs w:val="20"/>
          <w:color w:val="auto"/>
        </w:rPr>
      </w:pPr>
    </w:p>
    <w:p>
      <w:pPr>
        <w:ind w:left="98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9" w:lineRule="exact"/>
        <w:rPr>
          <w:sz w:val="20"/>
          <w:szCs w:val="20"/>
          <w:color w:val="auto"/>
        </w:rPr>
      </w:pPr>
    </w:p>
    <w:p>
      <w:pPr>
        <w:jc w:val="both"/>
        <w:ind w:right="60" w:firstLine="648"/>
        <w:spacing w:after="0" w:line="303" w:lineRule="auto"/>
        <w:rPr>
          <w:sz w:val="20"/>
          <w:szCs w:val="20"/>
          <w:color w:val="auto"/>
        </w:rPr>
      </w:pPr>
      <w:r>
        <w:rPr>
          <w:rFonts w:ascii="Arial" w:cs="Arial" w:eastAsia="Arial" w:hAnsi="Arial"/>
          <w:sz w:val="15"/>
          <w:szCs w:val="15"/>
          <w:color w:val="auto"/>
        </w:rPr>
        <w:t>Until we can generate a sufficient amount of product revenue and achieve profitability, we expect to finance future cash needs through public or private equity offerings, debt financings or corporate collaboration and licensing arrangements, as well as through interest income earned on cash balances. If we were to be unable to raise additional capital, we would have to significantly delay, scale back or discontinue one or more of our pharmaceutical development programs.</w:t>
      </w:r>
    </w:p>
    <w:p>
      <w:pPr>
        <w:spacing w:after="0" w:line="1"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We also may be required to relinquish, license or otherwise dispose of rights to product candidates or products that it would otherwise seek to develop or commercialize itself on terms that are less favorable than might otherwise be available.</w:t>
      </w:r>
    </w:p>
    <w:p>
      <w:pPr>
        <w:spacing w:after="0" w:line="19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86" w:lineRule="exact"/>
        <w:rPr>
          <w:sz w:val="20"/>
          <w:szCs w:val="20"/>
          <w:color w:val="auto"/>
        </w:rPr>
      </w:pPr>
    </w:p>
    <w:p>
      <w:pPr>
        <w:ind w:right="200" w:firstLine="648"/>
        <w:spacing w:after="0" w:line="298" w:lineRule="auto"/>
        <w:rPr>
          <w:sz w:val="20"/>
          <w:szCs w:val="20"/>
          <w:color w:val="auto"/>
        </w:rPr>
      </w:pPr>
      <w:r>
        <w:rPr>
          <w:rFonts w:ascii="Arial" w:cs="Arial" w:eastAsia="Arial" w:hAnsi="Arial"/>
          <w:sz w:val="16"/>
          <w:szCs w:val="16"/>
          <w:color w:val="auto"/>
        </w:rPr>
        <w:t>We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167"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current officers, directors and principal stockholders.</w:t>
      </w:r>
    </w:p>
    <w:p>
      <w:pPr>
        <w:spacing w:after="0" w:line="225" w:lineRule="exact"/>
        <w:rPr>
          <w:sz w:val="20"/>
          <w:szCs w:val="20"/>
          <w:color w:val="auto"/>
        </w:rPr>
      </w:pPr>
    </w:p>
    <w:p>
      <w:pPr>
        <w:jc w:val="both"/>
        <w:ind w:right="100" w:firstLine="648"/>
        <w:spacing w:after="0" w:line="306" w:lineRule="auto"/>
        <w:rPr>
          <w:sz w:val="20"/>
          <w:szCs w:val="20"/>
          <w:color w:val="auto"/>
        </w:rPr>
      </w:pPr>
      <w:r>
        <w:rPr>
          <w:rFonts w:ascii="Arial" w:cs="Arial" w:eastAsia="Arial" w:hAnsi="Arial"/>
          <w:sz w:val="16"/>
          <w:szCs w:val="16"/>
          <w:color w:val="auto"/>
        </w:rPr>
        <w:t>Our directors, executive officers, their affiliates, and our principal stockholders beneficially own approximately 48% percent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340" w:firstLine="648"/>
        <w:spacing w:after="0" w:line="254"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19"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8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19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Certain anti-takeover provisions in our charter documents and Delaware law could make a third-party acquisition of us difficult. This could limit the price investors might be willing to pay in the future for our common stock.</w:t>
      </w:r>
    </w:p>
    <w:p>
      <w:pPr>
        <w:spacing w:after="0" w:line="18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Provisions in our amended and restated certificate of incorporation and restated bylaws could have the effect of making it more difficult for a third party to acquire, or of discouraging a third party from attempting to acquire, or control us. These factors could limit the price that certain investors might be willing to pay in the future for shares of our common stock. Our amended and restated certificate of incorporation allows us to issue preferred stock without the approval of our stockholders. The issuance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common stock.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72"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2. PROPERTIES.</w:t>
      </w:r>
    </w:p>
    <w:p>
      <w:pPr>
        <w:spacing w:after="0" w:line="228" w:lineRule="exact"/>
        <w:rPr>
          <w:sz w:val="20"/>
          <w:szCs w:val="20"/>
          <w:color w:val="auto"/>
        </w:rPr>
      </w:pPr>
    </w:p>
    <w:p>
      <w:pPr>
        <w:ind w:right="160" w:firstLine="648"/>
        <w:spacing w:after="0" w:line="260" w:lineRule="auto"/>
        <w:rPr>
          <w:sz w:val="20"/>
          <w:szCs w:val="20"/>
          <w:color w:val="auto"/>
        </w:rPr>
      </w:pPr>
      <w:r>
        <w:rPr>
          <w:rFonts w:ascii="Arial" w:cs="Arial" w:eastAsia="Arial" w:hAnsi="Arial"/>
          <w:sz w:val="16"/>
          <w:szCs w:val="16"/>
          <w:color w:val="auto"/>
        </w:rPr>
        <w:t>Our corporate and executive office is located in New York, New York. Our New York facility consists of leased office space at 2 Gansevoort Street, 9</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Floor, New York, New York 10014. We are also currently leasing small office spaces in Cary, North Carolina and Kingsport, Tennessee to accommodate our clinical operations groups. We believe that our existing facilities are adequate to meet our current requirements. We do not own any real property.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ind w:right="180" w:firstLine="648"/>
        <w:spacing w:after="0" w:line="308" w:lineRule="auto"/>
        <w:rPr>
          <w:sz w:val="20"/>
          <w:szCs w:val="20"/>
          <w:color w:val="auto"/>
        </w:rPr>
      </w:pPr>
      <w:r>
        <w:rPr>
          <w:rFonts w:ascii="Arial" w:cs="Arial" w:eastAsia="Arial" w:hAnsi="Arial"/>
          <w:sz w:val="15"/>
          <w:szCs w:val="15"/>
          <w:color w:val="auto"/>
        </w:rPr>
        <w:t>On January 6, 2017, a purported securities class action complaint was filed in New York federal court against the Company and certain of its directors, officers or consultants on behalf of all shareholders who purchased or otherwise acquired TG Therapeutics common stock between September 15, 2014 and October 12, 2016 (the “Class Period”). The case is captioned John Lyon v. TG Therapeutics, Michael S. Weiss, Sean A. Power and Robert Niecestro, Case No. 1:17-cv-00112-VM (S.D.N.Y.). The complaint alleges that, throughout the Class Period and including on October 13, 2016, that the Company had filed an “amended protocol for its GENUINE Phase 3 trial,” various statements made by the Company regarding its GENUINE Phase 3 trial were materially false or misleading when made in violation of the Securities Exchange Act of 1934 and Rule 10b-5 promulgated thereunder. On January 24, 2017, a second purported class action complaint was filed in New York federal court against the Company and certain of its directors, officers or consultants also on behalf of all shareholders who purchased or otherwise acquired TG Therapeutics common stock between September 15, 2014 and October 12, 2016. The case is captioned Kenneth C. Wyzgoski v. TG Therapeutics, Michael S. Weiss, Sean A. Power and Robert Niecestro, Case No. 1:17-cv-00508-VM (S.D.N.Y.). The claims and allegations in the Wyzgoski complaint are substantially identical to those in the Lyon case. Both actions remain pending and are in the early stages of litigation.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Our common stock is listed on the Nasdaq Capital Market and trades under the symbol “TGTX”. Prior to May 30, 2013 our stock was listed on the Over the Counter Bulletin Board.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high and low closing sale prices of our common stock for the periods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Fiscal Year Ended December 31, 2016</w:t>
            </w: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High</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Low</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9.33</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4.65</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10.23</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5.97</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40" w:type="dxa"/>
            <w:vAlign w:val="bottom"/>
            <w:shd w:val="clear" w:color="auto" w:fill="CCEEFF"/>
          </w:tcPr>
          <w:p>
            <w:pPr>
              <w:spacing w:after="0"/>
              <w:rPr>
                <w:sz w:val="18"/>
                <w:szCs w:val="18"/>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Fiscal Year Ended December 31, 2015</w:t>
            </w: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High</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Low</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14.42</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17.17</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13.24</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4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record holders of our common stock as of March 1, 2017 was 276.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We have never declared or paid any cash dividends on our common stock and do not anticipate paying any cash dividends in the foreseeable future. Any future determination to pay dividends will be at the discretion of our board of directors.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The following table provides information as of December 31, 2016, regarding the securities authorized for issuance under our equity compensation plan, the TG Therapeutics, Inc. Amended and Restated 2012 Incentive Plan.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88"/>
              </w:rPr>
              <w:t>Number of</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88"/>
              </w:rPr>
              <w:t>remaining</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89"/>
              </w:rPr>
              <w:t>available for</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4"/>
              </w:rPr>
              <w:t>future</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83"/>
              </w:rPr>
              <w:t>issuance</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88"/>
              </w:rPr>
              <w:t>under equity</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Number of</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85"/>
              </w:rPr>
              <w:t>compensation</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2"/>
              </w:rPr>
              <w:t>securities to</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84"/>
              </w:rPr>
              <w:t>plans</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1"/>
              </w:rPr>
              <w:t>be issued</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average</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86"/>
              </w:rPr>
              <w:t>(excluding</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upon exercise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exercise price</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of outstanding</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of outstanding</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87"/>
              </w:rPr>
              <w:t>reflected in</w:t>
            </w:r>
          </w:p>
        </w:tc>
      </w:tr>
      <w:tr>
        <w:trPr>
          <w:trHeight w:val="237"/>
        </w:trPr>
        <w:tc>
          <w:tcPr>
            <w:tcW w:w="20" w:type="dxa"/>
            <w:vAlign w:val="bottom"/>
          </w:tcPr>
          <w:p>
            <w:pPr>
              <w:spacing w:after="0"/>
              <w:rPr>
                <w:sz w:val="20"/>
                <w:szCs w:val="20"/>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Plan Category</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options</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3"/>
              </w:rPr>
              <w:t>options</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column (a))</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2,286,764</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2,286,764</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information about all of our equity compensation plans see Note 5 to our Consolidated Financial Statements included in this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PERFORMANCE GRAPH</w:t>
      </w:r>
    </w:p>
    <w:p>
      <w:pPr>
        <w:spacing w:after="0" w:line="224" w:lineRule="exact"/>
        <w:rPr>
          <w:sz w:val="20"/>
          <w:szCs w:val="20"/>
          <w:color w:val="auto"/>
        </w:rPr>
      </w:pPr>
    </w:p>
    <w:p>
      <w:pPr>
        <w:ind w:right="120" w:firstLine="648"/>
        <w:spacing w:after="0" w:line="268" w:lineRule="auto"/>
        <w:rPr>
          <w:sz w:val="20"/>
          <w:szCs w:val="20"/>
          <w:color w:val="auto"/>
        </w:rPr>
      </w:pPr>
      <w:r>
        <w:rPr>
          <w:rFonts w:ascii="Arial" w:cs="Arial" w:eastAsia="Arial" w:hAnsi="Arial"/>
          <w:sz w:val="16"/>
          <w:szCs w:val="16"/>
          <w:color w:val="auto"/>
        </w:rPr>
        <w:t>The following graph compares the cumulative total stockholder return on our common stock for the period from December 31, 2011</w:t>
      </w:r>
      <w:r>
        <w:rPr>
          <w:rFonts w:ascii="Arial" w:cs="Arial" w:eastAsia="Arial" w:hAnsi="Arial"/>
          <w:sz w:val="22"/>
          <w:szCs w:val="22"/>
          <w:b w:val="1"/>
          <w:bCs w:val="1"/>
          <w:color w:val="auto"/>
          <w:vertAlign w:val="superscript"/>
        </w:rPr>
        <w:t>(1)</w:t>
      </w:r>
      <w:r>
        <w:rPr>
          <w:rFonts w:ascii="Arial" w:cs="Arial" w:eastAsia="Arial" w:hAnsi="Arial"/>
          <w:sz w:val="16"/>
          <w:szCs w:val="16"/>
          <w:color w:val="auto"/>
        </w:rPr>
        <w:t xml:space="preserve"> through December 31, 2016, with the cumulative total return over such period on (i) the U.S. Index of The Nasdaq Stock Market and (ii) the Biotechnology Index of The Nasdaq Stock Market. The graph assumes an investment of $100 on December 31, 2011, in our common stock (at the adjusted closing market price) and in each of the indices listed above, and assumes the reinvestment of all dividends. Measurement points are December 31 of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125095</wp:posOffset>
            </wp:positionV>
            <wp:extent cx="5419725" cy="31730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19725" cy="317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120" w:firstLine="687"/>
        <w:spacing w:after="0" w:line="265" w:lineRule="auto"/>
        <w:tabs>
          <w:tab w:leader="none" w:pos="866" w:val="left"/>
        </w:tabs>
        <w:numPr>
          <w:ilvl w:val="1"/>
          <w:numId w:val="25"/>
        </w:numPr>
        <w:rPr>
          <w:rFonts w:ascii="Arial" w:cs="Arial" w:eastAsia="Arial" w:hAnsi="Arial"/>
          <w:sz w:val="21"/>
          <w:szCs w:val="21"/>
          <w:b w:val="1"/>
          <w:bCs w:val="1"/>
          <w:color w:val="auto"/>
          <w:vertAlign w:val="superscript"/>
        </w:rPr>
      </w:pPr>
      <w:r>
        <w:rPr>
          <w:rFonts w:ascii="Arial" w:cs="Arial" w:eastAsia="Arial" w:hAnsi="Arial"/>
          <w:sz w:val="16"/>
          <w:szCs w:val="16"/>
          <w:color w:val="auto"/>
        </w:rPr>
        <w:t>In connection with the Company having entered into and consummated an exchange transaction agreement (the “Exchange Transaction”) with Opus Point Partners, LLC (“Opus”) and TG Biologics, Inc. (formerly known as TG Therapeutics, Inc.) (“TG Bio”), we used the start date of December 31, 2011 to be in agreement with this transaction.</w:t>
      </w:r>
    </w:p>
    <w:p>
      <w:pPr>
        <w:spacing w:after="0" w:line="172" w:lineRule="exact"/>
        <w:rPr>
          <w:rFonts w:ascii="Arial" w:cs="Arial" w:eastAsia="Arial" w:hAnsi="Arial"/>
          <w:sz w:val="21"/>
          <w:szCs w:val="21"/>
          <w:b w:val="1"/>
          <w:bCs w:val="1"/>
          <w:color w:val="auto"/>
          <w:vertAlign w:val="superscript"/>
        </w:rPr>
      </w:pPr>
    </w:p>
    <w:p>
      <w:pPr>
        <w:ind w:left="840" w:hanging="184"/>
        <w:spacing w:after="0"/>
        <w:tabs>
          <w:tab w:leader="none" w:pos="840" w:val="left"/>
        </w:tabs>
        <w:numPr>
          <w:ilvl w:val="0"/>
          <w:numId w:val="26"/>
        </w:numPr>
        <w:rPr>
          <w:rFonts w:ascii="Arial" w:cs="Arial" w:eastAsia="Arial" w:hAnsi="Arial"/>
          <w:sz w:val="21"/>
          <w:szCs w:val="21"/>
          <w:b w:val="1"/>
          <w:bCs w:val="1"/>
          <w:color w:val="auto"/>
          <w:vertAlign w:val="superscript"/>
        </w:rPr>
      </w:pPr>
      <w:r>
        <w:rPr>
          <w:rFonts w:ascii="Arial" w:cs="Arial" w:eastAsia="Arial" w:hAnsi="Arial"/>
          <w:sz w:val="16"/>
          <w:szCs w:val="16"/>
          <w:color w:val="auto"/>
        </w:rPr>
        <w:t>$100 invested on 12/31/11 in stock or index, including reinvestment of dividends. Fiscal Years ending December 31.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31"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The following Statement of Operations Data for the years ended December 31, 2016, 2015, 2014, 2013 and 2012, and Balance Sheet Data as of December 31, 2016, 2015, 2014, 2013 and 2012, as set forth below are derived from our audited consolidated financial statements. This financial data should be read in conjunction with “Item 7. Management’s Discussion and Analysis of Financial Condition and Results of Operations” and “Item 8. Financial Statements and Supplementary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6"/>
          </w:tcPr>
          <w:p>
            <w:pPr>
              <w:jc w:val="right"/>
              <w:ind w:right="24"/>
              <w:spacing w:after="0"/>
              <w:rPr>
                <w:sz w:val="20"/>
                <w:szCs w:val="20"/>
                <w:color w:val="auto"/>
              </w:rPr>
            </w:pPr>
            <w:r>
              <w:rPr>
                <w:rFonts w:ascii="Arial" w:cs="Arial" w:eastAsia="Arial" w:hAnsi="Arial"/>
                <w:sz w:val="16"/>
                <w:szCs w:val="16"/>
                <w:b w:val="1"/>
                <w:bCs w:val="1"/>
                <w:color w:val="auto"/>
              </w:rPr>
              <w:t>Years ended December 31,</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License revenue</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152,381</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152,381</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152,381</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152,381</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Costs and expenses: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320"/>
              <w:spacing w:after="0"/>
              <w:rPr>
                <w:sz w:val="20"/>
                <w:szCs w:val="20"/>
                <w:color w:val="auto"/>
              </w:rPr>
            </w:pPr>
            <w:r>
              <w:rPr>
                <w:rFonts w:ascii="Arial" w:cs="Arial" w:eastAsia="Arial" w:hAnsi="Arial"/>
                <w:sz w:val="16"/>
                <w:szCs w:val="16"/>
                <w:color w:val="auto"/>
                <w:w w:val="95"/>
              </w:rPr>
              <w:t>Noncash stock expense associated with in-licensing agreements</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5,350,094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16,578,000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Noncash compensation</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2,742,354</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4,261,406</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8,731,566</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1,041,519</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455,809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ind w:left="320"/>
              <w:spacing w:after="0"/>
              <w:rPr>
                <w:sz w:val="20"/>
                <w:szCs w:val="20"/>
                <w:color w:val="auto"/>
              </w:rPr>
            </w:pPr>
            <w:r>
              <w:rPr>
                <w:rFonts w:ascii="Arial" w:cs="Arial" w:eastAsia="Arial" w:hAnsi="Arial"/>
                <w:sz w:val="16"/>
                <w:szCs w:val="16"/>
                <w:color w:val="auto"/>
              </w:rPr>
              <w:t>Other research and development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66,489,820</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43,445,817</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26,004,687</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12,621,161</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3,994,182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research and development</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69,232,174</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47,707,223</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40,086,347</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13,662,680</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21,027,991</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320"/>
              <w:spacing w:after="0"/>
              <w:rPr>
                <w:sz w:val="20"/>
                <w:szCs w:val="20"/>
                <w:color w:val="auto"/>
              </w:rPr>
            </w:pPr>
            <w:r>
              <w:rPr>
                <w:rFonts w:ascii="Arial" w:cs="Arial" w:eastAsia="Arial" w:hAnsi="Arial"/>
                <w:sz w:val="16"/>
                <w:szCs w:val="16"/>
                <w:color w:val="auto"/>
              </w:rPr>
              <w:t>Noncash compensation</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4,767,645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11,435,686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12,373,726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4,161,629</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2,966,373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Other general and administrative</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5,121,690</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4,189,488</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3,413,400</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2,496,461</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1,815,083</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Total general and administrative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9,889,335</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15,625,174</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15,787,126</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6,658,090</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4,781,456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Impairment of in-process research and development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2,797,600</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Total costs and expenses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79,121,509</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63,332,397</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55,873,473</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23,118,370</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26,914,147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Operating loss</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(78,969,128)</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(63,180,016)</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(55,721,092)</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(22,965,989)</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(26,895,099)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(323,032)</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(174,653)</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(55,049)</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(30,822)</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(15,787)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320"/>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(393,202)</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(56,717)</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115,234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(2,456,957)</w:t>
            </w:r>
          </w:p>
        </w:tc>
        <w:tc>
          <w:tcPr>
            <w:tcW w:w="1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(1,026,360)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Total other (income) expense, net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(716,234)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(231,370)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(2,487,779)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(1,042,147)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7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Loss before income taxes</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(78,252,894)</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(62,948,646)</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(55,781,277)</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(20,478,210)</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(25,852,952)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Income taxes</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Consolidated net loss</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(78,252,894)</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(62,948,646)</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(55,781,277)</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(20,478,210)</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(26,182,952)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Net loss attributable to non-controlling interest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(8,110,233)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Net loss attributable to TG Therapeutics, Inc. and Subsidiaries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(78,252,894)</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(62,948,646)</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(55,781,277)</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(20,478,210)</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(18,072,719)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Basic and diluted net loss per common share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(1.60)</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(1.38)</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(1.64)</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(0.81)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Balance Sheet Information: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w w:val="96"/>
              </w:rPr>
              <w:t>December 31,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w w:val="95"/>
              </w:rPr>
              <w:t>Cash, cash equivalents, investment securities and interest receivable</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44,968,992</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   102,416,894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78,861,334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45,431,532</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16,455,995</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Total assets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54,781,547</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113,473,201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86,746,890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48,112,390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22,074,037</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8"/>
              </w:rPr>
              <w:t>(236,386,820)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(158,133,926)</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(95,185,280)</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(39,404,003)</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(18,925,793)</w:t>
            </w:r>
          </w:p>
        </w:tc>
      </w:tr>
      <w:tr>
        <w:trPr>
          <w:trHeight w:val="206"/>
        </w:trPr>
        <w:tc>
          <w:tcPr>
            <w:tcW w:w="2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Total equity</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35,867,802</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101,573,302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80,101,884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40,054,492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15,550,301</w:t>
            </w:r>
          </w:p>
        </w:tc>
        <w:tc>
          <w:tcPr>
            <w:tcW w:w="1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3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“Item 1A. Risk Factors.” See also the “Special Cautionary Notice Regarding Forward-Looking Statements” set forth at the beginning of this report.</w:t>
      </w:r>
    </w:p>
    <w:p>
      <w:pPr>
        <w:spacing w:after="0" w:line="197"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You should read the following discussion and analysis in conjunction with “Item 8. Financial Statements and Supplementary Data,” and our consolidated financial statements beginning on page F-1 of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We are a biopharmaceutical company focused on the acquisition, development and commercialization of novel treatments for B-cell malignancies and autoimmune diseases. Currently, the Company is developing two therapies targeting hematologic malignancies. TG-1101 (ublituximab) is a novel, glycoengineered monoclonal antibody that targets a specific and unique epitope on the CD20 antigen found on mature B-lymphocytes. We are also developing TGR-1202,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We also have pre-clinical programs to develop IRAK4 (interleukin-1 receptor-associated kinase 4) inhibitors, BET inhibitors, and anti-PD-L1 and anti-GITR antibodies.</w:t>
      </w:r>
    </w:p>
    <w:p>
      <w:pPr>
        <w:spacing w:after="0" w:line="20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9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 Research and development expenses for the years ended December 31, 2016, 2015 and 2014 were $66,489,820, $43,445,817 and $31,354,781, respectively, excluding non-cash compensation expenses related to research and development.</w:t>
      </w:r>
    </w:p>
    <w:p>
      <w:pPr>
        <w:spacing w:after="0" w:line="197" w:lineRule="exact"/>
        <w:rPr>
          <w:sz w:val="20"/>
          <w:szCs w:val="20"/>
          <w:color w:val="auto"/>
        </w:rPr>
      </w:pPr>
    </w:p>
    <w:p>
      <w:pPr>
        <w:ind w:right="640" w:firstLine="648"/>
        <w:spacing w:after="0" w:line="268" w:lineRule="auto"/>
        <w:rPr>
          <w:sz w:val="20"/>
          <w:szCs w:val="20"/>
          <w:color w:val="auto"/>
        </w:rPr>
      </w:pPr>
      <w:r>
        <w:rPr>
          <w:rFonts w:ascii="Arial" w:cs="Arial" w:eastAsia="Arial" w:hAnsi="Arial"/>
          <w:sz w:val="18"/>
          <w:szCs w:val="18"/>
          <w:color w:val="auto"/>
        </w:rPr>
        <w:t>The following table sets forth the research and development expenses per project, exclusive of non-cash compensation expenses, for the periods presented.</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7"/>
        </w:trPr>
        <w:tc>
          <w:tcPr>
            <w:tcW w:w="7440" w:type="dxa"/>
            <w:vAlign w:val="bottom"/>
          </w:tcPr>
          <w:p>
            <w:pPr>
              <w:spacing w:after="0"/>
              <w:rPr>
                <w:sz w:val="20"/>
                <w:szCs w:val="20"/>
                <w:color w:val="auto"/>
              </w:rPr>
            </w:pPr>
          </w:p>
        </w:tc>
        <w:tc>
          <w:tcPr>
            <w:tcW w:w="1120" w:type="dxa"/>
            <w:vAlign w:val="bottom"/>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36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2015</w:t>
            </w:r>
          </w:p>
        </w:tc>
        <w:tc>
          <w:tcPr>
            <w:tcW w:w="136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TG-1101</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$40,839,899</w:t>
            </w:r>
          </w:p>
        </w:tc>
        <w:tc>
          <w:tcPr>
            <w:tcW w:w="26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$29,816,042</w:t>
            </w:r>
          </w:p>
        </w:tc>
        <w:tc>
          <w:tcPr>
            <w:tcW w:w="28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$15,410,925</w:t>
            </w:r>
          </w:p>
        </w:tc>
        <w:tc>
          <w:tcPr>
            <w:tcW w:w="14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TGR-1202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21,394,427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11,671,889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14,249,856</w:t>
            </w:r>
          </w:p>
        </w:tc>
        <w:tc>
          <w:tcPr>
            <w:tcW w:w="14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IRAK4</w:t>
            </w:r>
          </w:p>
        </w:tc>
        <w:tc>
          <w:tcPr>
            <w:tcW w:w="1120" w:type="dxa"/>
            <w:vAlign w:val="bottom"/>
          </w:tcPr>
          <w:p>
            <w:pPr>
              <w:jc w:val="right"/>
              <w:spacing w:after="0"/>
              <w:rPr>
                <w:sz w:val="20"/>
                <w:szCs w:val="20"/>
                <w:color w:val="auto"/>
              </w:rPr>
            </w:pPr>
            <w:r>
              <w:rPr>
                <w:rFonts w:ascii="Arial" w:cs="Arial" w:eastAsia="Arial" w:hAnsi="Arial"/>
                <w:sz w:val="18"/>
                <w:szCs w:val="18"/>
                <w:color w:val="auto"/>
              </w:rPr>
              <w:t>200,457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1,068,466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1,694,000</w:t>
            </w:r>
          </w:p>
        </w:tc>
        <w:tc>
          <w:tcPr>
            <w:tcW w:w="14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PD-L1/GITR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987,369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500,300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BET</w:t>
            </w:r>
          </w:p>
        </w:tc>
        <w:tc>
          <w:tcPr>
            <w:tcW w:w="1120" w:type="dxa"/>
            <w:vAlign w:val="bottom"/>
          </w:tcPr>
          <w:p>
            <w:pPr>
              <w:jc w:val="right"/>
              <w:spacing w:after="0"/>
              <w:rPr>
                <w:sz w:val="20"/>
                <w:szCs w:val="20"/>
                <w:color w:val="auto"/>
              </w:rPr>
            </w:pPr>
            <w:r>
              <w:rPr>
                <w:rFonts w:ascii="Arial" w:cs="Arial" w:eastAsia="Arial" w:hAnsi="Arial"/>
                <w:sz w:val="18"/>
                <w:szCs w:val="18"/>
                <w:color w:val="auto"/>
              </w:rPr>
              <w:t>1,551,032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BTK</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925,581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591,055</w:t>
            </w: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389,120</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$66,489,820</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$43,445,817</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$31,354,781</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8"/>
          <w:szCs w:val="18"/>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 such as rent expense and amortization of leasehold interest.</w:t>
      </w:r>
    </w:p>
    <w:p>
      <w:pPr>
        <w:spacing w:after="0" w:line="194"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Our results of operations include non-cash compensation expenses as a result of the grants of stock options and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consolidated statements of operations. We expect to continue to incur significant non-cash compensation expenses.</w:t>
      </w:r>
    </w:p>
    <w:p>
      <w:pPr>
        <w:spacing w:after="0" w:line="197" w:lineRule="exact"/>
        <w:rPr>
          <w:sz w:val="20"/>
          <w:szCs w:val="20"/>
          <w:color w:val="auto"/>
        </w:rPr>
      </w:pPr>
    </w:p>
    <w:p>
      <w:pPr>
        <w:ind w:right="40" w:firstLine="648"/>
        <w:spacing w:after="0" w:line="314" w:lineRule="auto"/>
        <w:rPr>
          <w:sz w:val="20"/>
          <w:szCs w:val="20"/>
          <w:color w:val="auto"/>
        </w:rPr>
      </w:pPr>
      <w:r>
        <w:rPr>
          <w:rFonts w:ascii="Arial" w:cs="Arial" w:eastAsia="Arial" w:hAnsi="Arial"/>
          <w:sz w:val="15"/>
          <w:szCs w:val="15"/>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59"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is probable.</w:t>
      </w:r>
    </w:p>
    <w:p>
      <w:pPr>
        <w:spacing w:after="0" w:line="18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continue to fund in-licensing and development of new drug candidates. As we continue our development efforts, we may enter into additional third-party collaborative agreements and may incur additional expenses, such as licensing fees and milestone payments. In addition, we may need to establish the commercial infrastructure required to manufacture, market and sell our drug candidates following approval, if any, by the FDA, which would result in us incurring additional expenses. As a result, our quarterly results may fluctuate and a quarter-by-quarter comparison of our operating results may not be a meaningful indication of our future performance.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439"/>
        </w:trPr>
        <w:tc>
          <w:tcPr>
            <w:tcW w:w="20" w:type="dxa"/>
            <w:vAlign w:val="bottom"/>
          </w:tcPr>
          <w:p>
            <w:pPr>
              <w:spacing w:after="0"/>
              <w:rPr>
                <w:sz w:val="24"/>
                <w:szCs w:val="24"/>
                <w:color w:val="auto"/>
              </w:rPr>
            </w:pPr>
          </w:p>
        </w:tc>
        <w:tc>
          <w:tcPr>
            <w:tcW w:w="7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258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Years Ended December 31,</w:t>
            </w:r>
          </w:p>
        </w:tc>
        <w:tc>
          <w:tcPr>
            <w:tcW w:w="1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License revenue</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152,381</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152,381</w:t>
            </w:r>
          </w:p>
        </w:tc>
        <w:tc>
          <w:tcPr>
            <w:tcW w:w="28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152,381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Noncash stock expense associated with in-licensing agreements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5,350,094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compensation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2,742,354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4,261,406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8,731,566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120"/>
              <w:spacing w:after="0"/>
              <w:rPr>
                <w:sz w:val="20"/>
                <w:szCs w:val="20"/>
                <w:color w:val="auto"/>
              </w:rPr>
            </w:pPr>
            <w:r>
              <w:rPr>
                <w:rFonts w:ascii="Arial" w:cs="Arial" w:eastAsia="Arial" w:hAnsi="Arial"/>
                <w:sz w:val="18"/>
                <w:szCs w:val="18"/>
                <w:color w:val="auto"/>
              </w:rPr>
              <w:t>Other research and development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66,489,820</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43,445,817</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26,004,687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69,232,174</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47,707,223</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40,086,347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4,767,645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11,435,686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12,373,726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general and administrative</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5,121,690</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4,189,488</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3,413,400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 general and administrative</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9,889,335</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15,625,174</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15,787,126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79,121,509</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63,332,397</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55,873,473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(78,969,128)</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(63,180,016)</w:t>
            </w:r>
          </w:p>
        </w:tc>
        <w:tc>
          <w:tcPr>
            <w:tcW w:w="16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(55,721,092)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(716,234)</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(231,370)</w:t>
            </w: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60,185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(78,252,894)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(62,948,646)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(55,781,277)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31" w:lineRule="exact"/>
        <w:rPr>
          <w:sz w:val="20"/>
          <w:szCs w:val="20"/>
          <w:color w:val="auto"/>
        </w:rPr>
      </w:pPr>
    </w:p>
    <w:p>
      <w:pPr>
        <w:ind w:right="260" w:firstLine="648"/>
        <w:spacing w:after="0" w:line="256"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$152,381 for each of the years ended December 31, 2016 and 2015. License revenue is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an upfront payment of $2.0 million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97"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 development) related to equity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grants totaled $2,742,354 for the year ended December 31, 2016, as compared to $4,261,406 during the comparable period in 2015. The decrease in noncash compensation expense was primarily related to milestone-based vesting of restricted stock grants to non-executive personnel during the year ended December 31, 2015, and a decrease in the measurement date fair value of certain consultant restricted stock during the year ended December 31, 2016.</w:t>
      </w:r>
    </w:p>
    <w:p>
      <w:pPr>
        <w:spacing w:after="0" w:line="167"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i w:val="1"/>
          <w:iCs w:val="1"/>
          <w:color w:val="auto"/>
        </w:rPr>
        <w:t>Other Research and Development Expenses</w:t>
      </w:r>
      <w:r>
        <w:rPr>
          <w:rFonts w:ascii="Arial" w:cs="Arial" w:eastAsia="Arial" w:hAnsi="Arial"/>
          <w:sz w:val="16"/>
          <w:szCs w:val="16"/>
          <w:color w:val="auto"/>
        </w:rPr>
        <w:t>. Other research and development expenses increased by $23,044,003 from $43,445,817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2015 to $66,489,820 for the year ended December 31, 2016. The increase in other research and development expenses was due primarily to a $1.0 million licensing fee for the Jubilant sub-license agreement, as well as the ongoing clinical development programs and related manufacturing costs for TG-1101 and TGR-1202 during the year ended December 31, 2016. We expect our other research and development costs to increase modestly during 2017 as enrollment of additional patients in our Phase 3 clinical trials increases and we prepare for a commercial launch.</w:t>
      </w:r>
    </w:p>
    <w:p>
      <w:pPr>
        <w:spacing w:after="0" w:line="170"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decreased by $6,668,041 from $11,435,686 for the year ended December 31, 2015 to $4,767,645 during the year ended December 31, 2016. The decrease in noncash compensation expense was primarily related to greater measurement date fair values of certain consultant restricted stock during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ind w:right="240" w:firstLine="648"/>
        <w:spacing w:after="0" w:line="256"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$932,202 from $4,189,488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to $5,121,690 for the year ended December 31, 2016. The increase was due primarily to the straight-line rent expense of our new office space, as well as increased personnel and other general and administrative costs. We expect our other general and administrative expenses to increase modestly during 2017.</w:t>
      </w:r>
    </w:p>
    <w:p>
      <w:pPr>
        <w:spacing w:after="0" w:line="19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 Other income increased by $484,864 from $231,370 for the year ended December 31, 2015 to $716,234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The increase is mainly due to the receipt of a New York City biotechnology tax credit of approximately $0.3 million and an increase in interest income for the year ended December 31,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2015 and 2014</w:t>
      </w:r>
    </w:p>
    <w:p>
      <w:pPr>
        <w:spacing w:after="0" w:line="231" w:lineRule="exact"/>
        <w:rPr>
          <w:sz w:val="20"/>
          <w:szCs w:val="20"/>
          <w:color w:val="auto"/>
        </w:rPr>
      </w:pPr>
    </w:p>
    <w:p>
      <w:pPr>
        <w:ind w:right="260" w:firstLine="648"/>
        <w:spacing w:after="0" w:line="256"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$152,381 for each of the years ended December 31, 2015 and 2014. License revenue is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an upfront payment of $2.0 million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Noncash Stock Expense Associated with In-licensing Agreements. </w:t>
      </w:r>
      <w:r>
        <w:rPr>
          <w:rFonts w:ascii="Arial" w:cs="Arial" w:eastAsia="Arial" w:hAnsi="Arial"/>
          <w:sz w:val="16"/>
          <w:szCs w:val="16"/>
          <w:color w:val="auto"/>
        </w:rPr>
        <w:t>Noncash stock expense associated with in-licensing agreements amounted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$5,350,094 for the year ended December 31, 2014. The expense during the year ended December 31, 2014 was recorded in conjunction with the stock issued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Rhizen of approximately $4,100,000 in connection with our license for TGR-1202, and approximately $1,200,000 for the common stock issued to Ligand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Pharmaceuticals as an upfront payment for the license to the IRAK4 inhibitors program.</w:t>
      </w:r>
    </w:p>
    <w:p>
      <w:pPr>
        <w:spacing w:after="0" w:line="219" w:lineRule="exact"/>
        <w:rPr>
          <w:sz w:val="20"/>
          <w:szCs w:val="20"/>
          <w:color w:val="auto"/>
        </w:rPr>
      </w:pPr>
    </w:p>
    <w:p>
      <w:pPr>
        <w:ind w:right="180" w:firstLine="648"/>
        <w:spacing w:after="0" w:line="298"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 development) related to equity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grants totaled $4,261,406 for the year ended December 31, 2015, as compared to $8,731,566 during the comparable period in 2014. The decrease in noncash compensation expense was primarily related to milestone-based vesting of restricted stock grants to personnel during the year ended December 31, 2014 and a decrease in the measurement date fair value of certain consultant restricted stock during the period ended December 31, 2015.</w:t>
      </w:r>
    </w:p>
    <w:p>
      <w:pPr>
        <w:spacing w:after="0" w:line="16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Other Research and Development Expenses</w:t>
      </w:r>
      <w:r>
        <w:rPr>
          <w:rFonts w:ascii="Arial" w:cs="Arial" w:eastAsia="Arial" w:hAnsi="Arial"/>
          <w:sz w:val="18"/>
          <w:szCs w:val="18"/>
          <w:color w:val="auto"/>
        </w:rPr>
        <w:t>. Other research and development expenses increased by $17,441,130 from $26,004,687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2014 to $43,445,817 for the year ended December 31, 2015. The increase in other research and development expenses was due primarily to increases of approximately $11.7 million and $3.4 million for manufacturing and clinical trial expenses related to TG-1101 and TGR-1202, respectively, offset by a decrease of $4.0 million related to the upfront cash milestone payment to Rhizen to exercise the license option for TGR-1202 during the year ended December 31, 2014.</w:t>
      </w:r>
    </w:p>
    <w:p>
      <w:pPr>
        <w:spacing w:after="0" w:line="197" w:lineRule="exact"/>
        <w:rPr>
          <w:sz w:val="20"/>
          <w:szCs w:val="20"/>
          <w:color w:val="auto"/>
        </w:rPr>
      </w:pPr>
    </w:p>
    <w:p>
      <w:pPr>
        <w:ind w:firstLine="648"/>
        <w:spacing w:after="0" w:line="335" w:lineRule="auto"/>
        <w:rPr>
          <w:sz w:val="20"/>
          <w:szCs w:val="20"/>
          <w:color w:val="auto"/>
        </w:rPr>
      </w:pPr>
      <w:r>
        <w:rPr>
          <w:rFonts w:ascii="Arial" w:cs="Arial" w:eastAsia="Arial" w:hAnsi="Arial"/>
          <w:sz w:val="15"/>
          <w:szCs w:val="15"/>
          <w:i w:val="1"/>
          <w:iCs w:val="1"/>
          <w:color w:val="auto"/>
        </w:rPr>
        <w:t xml:space="preserve">Noncash Compensation Expense (General and Administrative). </w:t>
      </w:r>
      <w:r>
        <w:rPr>
          <w:rFonts w:ascii="Arial" w:cs="Arial" w:eastAsia="Arial" w:hAnsi="Arial"/>
          <w:sz w:val="15"/>
          <w:szCs w:val="15"/>
          <w:color w:val="auto"/>
        </w:rPr>
        <w:t>Noncash compensation expense (general and administrative) related to equity incentive</w:t>
      </w:r>
      <w:r>
        <w:rPr>
          <w:rFonts w:ascii="Arial" w:cs="Arial" w:eastAsia="Arial" w:hAnsi="Arial"/>
          <w:sz w:val="15"/>
          <w:szCs w:val="15"/>
          <w:i w:val="1"/>
          <w:iCs w:val="1"/>
          <w:color w:val="auto"/>
        </w:rPr>
        <w:t xml:space="preserve"> </w:t>
      </w:r>
      <w:r>
        <w:rPr>
          <w:rFonts w:ascii="Arial" w:cs="Arial" w:eastAsia="Arial" w:hAnsi="Arial"/>
          <w:sz w:val="15"/>
          <w:szCs w:val="15"/>
          <w:color w:val="auto"/>
        </w:rPr>
        <w:t>grants decreased by $938,040 from $12,373,726 for the year ended December 31, 2014 to $11,435,686 during the year ended December 31, 2015. The decrease in noncash compensation expense was primarily related to milestone-based vesting of restricted stock grants to personnel during the year ended December 31, 2014.</w:t>
      </w:r>
    </w:p>
    <w:p>
      <w:pPr>
        <w:spacing w:after="0" w:line="142"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$776,088 from $3,413,400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2014 to $4,189,488 for the year ended December 31, 2015. The increase was due primarily to increased personnel and other general and administrative costs.</w:t>
      </w:r>
    </w:p>
    <w:p>
      <w:pPr>
        <w:spacing w:after="0" w:line="194" w:lineRule="exact"/>
        <w:rPr>
          <w:sz w:val="20"/>
          <w:szCs w:val="20"/>
          <w:color w:val="auto"/>
        </w:rPr>
      </w:pPr>
    </w:p>
    <w:p>
      <w:pPr>
        <w:ind w:right="420" w:firstLine="648"/>
        <w:spacing w:after="0" w:line="332" w:lineRule="auto"/>
        <w:rPr>
          <w:sz w:val="20"/>
          <w:szCs w:val="20"/>
          <w:color w:val="auto"/>
        </w:rPr>
      </w:pPr>
      <w:r>
        <w:rPr>
          <w:rFonts w:ascii="Arial" w:cs="Arial" w:eastAsia="Arial" w:hAnsi="Arial"/>
          <w:sz w:val="16"/>
          <w:szCs w:val="16"/>
          <w:i w:val="1"/>
          <w:iCs w:val="1"/>
          <w:color w:val="auto"/>
        </w:rPr>
        <w:t>Other Expense (Income), Net</w:t>
      </w:r>
      <w:r>
        <w:rPr>
          <w:rFonts w:ascii="Arial" w:cs="Arial" w:eastAsia="Arial" w:hAnsi="Arial"/>
          <w:sz w:val="16"/>
          <w:szCs w:val="16"/>
          <w:color w:val="auto"/>
        </w:rPr>
        <w:t>. Other income increased by $291,555 from $60,185 of expense for the year ended December 31, 2014 to $231,370 of</w:t>
      </w:r>
      <w:r>
        <w:rPr>
          <w:rFonts w:ascii="Arial" w:cs="Arial" w:eastAsia="Arial" w:hAnsi="Arial"/>
          <w:sz w:val="16"/>
          <w:szCs w:val="16"/>
          <w:i w:val="1"/>
          <w:iCs w:val="1"/>
          <w:color w:val="auto"/>
        </w:rPr>
        <w:t xml:space="preserve"> </w:t>
      </w:r>
      <w:r>
        <w:rPr>
          <w:rFonts w:ascii="Arial" w:cs="Arial" w:eastAsia="Arial" w:hAnsi="Arial"/>
          <w:sz w:val="16"/>
          <w:szCs w:val="16"/>
          <w:color w:val="auto"/>
        </w:rPr>
        <w:t>income for the year ended December 31, 2015. The increase is mainly due to an increase in interest income for the year ended December 31, 2015.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00" w:firstLine="648"/>
        <w:spacing w:after="0" w:line="318" w:lineRule="auto"/>
        <w:rPr>
          <w:sz w:val="20"/>
          <w:szCs w:val="20"/>
          <w:color w:val="auto"/>
        </w:rPr>
      </w:pPr>
      <w:r>
        <w:rPr>
          <w:rFonts w:ascii="Arial" w:cs="Arial" w:eastAsia="Arial" w:hAnsi="Arial"/>
          <w:sz w:val="15"/>
          <w:szCs w:val="15"/>
          <w:color w:val="auto"/>
        </w:rPr>
        <w:t>Our primary sources of cash have been from the sale of equity securities, the upfront payment from our Sublicense Agreement with Ildong, and warrant and option exercises.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5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March 9, 2017, we announced the pricing of an underwritten public offering of 5,128,206 shares of our common stock (plus a 30-day option to purchase up to an additional 769,230 shares of common stock, which has been exercised) at a price of $9.75 per share, with expected gross proceeds to TG Therapeutics of $57.5 million, less underwriting discounts and commissions. Total net proceeds from this offering, including the overallotment, are expected to be approximately $54 million, net of underwriting discounts and estimated offering expenses of approximately $3.5 million. The shares were sold under a shelf registration statement on Form S-3 (File No. 333-201339) that was previously filed and declared effective by the SEC in January 2015. The offering closed on March 14, 2017.</w:t>
      </w:r>
    </w:p>
    <w:p>
      <w:pPr>
        <w:spacing w:after="0" w:line="19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December 31, 2016, we had $45.0 million in cash and cash equivalents, investment securities, and interest receivable. Subsequent to the year ended December 31, 2016, we sold a total of approximately 3,000,000 shares of common stock under the 2015 ATM for aggregate net proceeds of approximately $30.2 million.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44" w:name="page45"/>
    <w:bookmarkEnd w:id="44"/>
    <w:p>
      <w:pPr>
        <w:ind w:right="80" w:firstLine="648"/>
        <w:spacing w:after="0" w:line="298" w:lineRule="auto"/>
        <w:rPr>
          <w:sz w:val="20"/>
          <w:szCs w:val="20"/>
          <w:color w:val="auto"/>
        </w:rPr>
      </w:pPr>
      <w:r>
        <w:rPr>
          <w:rFonts w:ascii="Arial" w:cs="Arial" w:eastAsia="Arial" w:hAnsi="Arial"/>
          <w:sz w:val="16"/>
          <w:szCs w:val="16"/>
          <w:color w:val="auto"/>
        </w:rPr>
        <w:t>We anticipate that our cash and cash equivalents as of December 31, 2016 combined with the additional capital raised in the first quarter of 2017 will be sufficient to fund the Company’s planned operations for approximately the next 24 months.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6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Cash used in operating activities for the year ended December 31, 2016 was $61,591,330 as compared to $44,690,272 for the year ended December 31, 2015. The increase in cash used in operating activities was due primarily to increased expenditures associated with our clinical development programs for TG-1101 and TGR-1202.</w:t>
      </w:r>
    </w:p>
    <w:p>
      <w:pPr>
        <w:spacing w:after="0" w:line="194" w:lineRule="exact"/>
        <w:rPr>
          <w:sz w:val="20"/>
          <w:szCs w:val="20"/>
          <w:color w:val="auto"/>
        </w:rPr>
      </w:pPr>
    </w:p>
    <w:p>
      <w:pPr>
        <w:jc w:val="both"/>
        <w:ind w:right="320" w:firstLine="648"/>
        <w:spacing w:after="0" w:line="306" w:lineRule="auto"/>
        <w:rPr>
          <w:sz w:val="20"/>
          <w:szCs w:val="20"/>
          <w:color w:val="auto"/>
        </w:rPr>
      </w:pPr>
      <w:r>
        <w:rPr>
          <w:rFonts w:ascii="Arial" w:cs="Arial" w:eastAsia="Arial" w:hAnsi="Arial"/>
          <w:sz w:val="16"/>
          <w:szCs w:val="16"/>
          <w:color w:val="auto"/>
        </w:rPr>
        <w:t>For the year ended December 31, 2016, net cash provided by investing activities was $26,545,312 as compared to cash used in investing activities of $24,685,869 for the year ended December 31, 2015. The increase in net cash provided by investing activities was primarily due to proceeds from maturity of short-term securities and the sale of long-term securities during the year ended December 31, 2016.</w:t>
      </w:r>
    </w:p>
    <w:p>
      <w:pPr>
        <w:spacing w:after="0" w:line="16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the year ended December 31, 2016, net cash provided by financing activities of $5,015,969 related to our program under an At-the-Market Issuance Sales Agreement (the “ATM Program”), as well as proceeds from the exercise of warrants. For the year ended December 31, 2015, net cash provided by financing activities of $68,723,686 related to our ATM Program, as well as proceeds from the exercise of warrants.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Program</w:t>
      </w:r>
    </w:p>
    <w:p>
      <w:pPr>
        <w:spacing w:after="0" w:line="225"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On June 21, 2013, we entered into an At-the-Market Issuance Sales Agreement (the ?2013 ATM?) with MLV &amp; Co. LLC (?MLV?) under which we could issue and sell shares of our common stock, having aggregate offering proceeds of up to $50.0 million, from time to time through MLV, acting as the sales agent. Under the agreement we would pay MLV a commission rate of up to 3.0% of the gross proceeds from the sale of any shares of common stock sold through MLV.</w:t>
      </w:r>
    </w:p>
    <w:p>
      <w:pPr>
        <w:spacing w:after="0" w:line="197"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During the year ended December 31, 2014, we sold a total of 4,850,055 shares of common stock under this arrangement for aggregate total gross proceeds of approximately $50.0 million at an average selling price of $10.31 per share. Net proceeds were approximately $48.8 million after deducting commissions and other transaction costs. We have fully utilized the capacity under the 2013 ATM and, accordingly, no further sales can be made under the 2013 ATM.</w:t>
      </w:r>
    </w:p>
    <w:p>
      <w:pPr>
        <w:spacing w:after="0" w:line="197" w:lineRule="exact"/>
        <w:rPr>
          <w:sz w:val="20"/>
          <w:szCs w:val="20"/>
          <w:color w:val="auto"/>
        </w:rPr>
      </w:pPr>
    </w:p>
    <w:p>
      <w:pPr>
        <w:jc w:val="both"/>
        <w:ind w:right="120" w:firstLine="648"/>
        <w:spacing w:after="0" w:line="306" w:lineRule="auto"/>
        <w:rPr>
          <w:sz w:val="20"/>
          <w:szCs w:val="20"/>
          <w:color w:val="auto"/>
        </w:rPr>
      </w:pPr>
      <w:r>
        <w:rPr>
          <w:rFonts w:ascii="Arial" w:cs="Arial" w:eastAsia="Arial" w:hAnsi="Arial"/>
          <w:sz w:val="16"/>
          <w:szCs w:val="16"/>
          <w:color w:val="auto"/>
        </w:rPr>
        <w:t>In December 2014, we amended our 2013 ATM with MLV (the “2015 ATM”) such that we could issue and sell additional shares of our common stock, having an aggregate offering price of up to $75.0 million, from time to time through MLV, acting as the sales agent. Under the 2015 ATM, we would pay MLV a commission rate of up to 3.0% of the gross proceeds from the sale of any shares of common stock sold through MLV.</w:t>
      </w:r>
    </w:p>
    <w:p>
      <w:pPr>
        <w:spacing w:after="0" w:line="16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year ended December 31, 2015, we sold a total of 4,094,498 shares of common stock under the 2015 ATM for aggregate total gross proceeds of approximately $68.2 million at an average selling price of $16.66 per share, resulting in net proceeds of approximately $67.0 million after deducting commissions and other transaction costs.</w:t>
      </w:r>
    </w:p>
    <w:p>
      <w:pPr>
        <w:spacing w:after="0" w:line="19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year ended December 31, 2016, we sold a total of 570,366 shares of common stock under the 2015 ATM for aggregate total gross proceeds of approximately $4.5 million at an average selling price of $7.88 per share, resulting in net proceeds of approximately $4.4 million after deducting commissions and other transaction costs.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Financings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March 11, 2014, we announced the pricing of an underwritten sale of 2,702,809 shares of our common stock at a price of $6.71 per share for gross proceeds of approximately $18.1 million. Net proceeds from this offering were approximately $16.8 million, net of underwriting discounts and offering expenses of approximately $1.3 million.</w:t>
      </w:r>
    </w:p>
    <w:p>
      <w:pPr>
        <w:spacing w:after="0" w:line="194"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On July 18, 2013, we announced the pricing of an underwritten public offering of 5,700,000 shares of our common stock at a price of $6.15 per share for gross proceeds of approximately $35 million. We also granted to the underwriters a 30-day option to acquire an additional 855,000 shares to cover overallotments in connection with the offering, which they exercised. Total net proceeds from this offering, including the overallotment, were approximately $37.6 million, net of underwriting discounts and offering expenses of approximately $2.7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231" w:lineRule="exact"/>
        <w:rPr>
          <w:sz w:val="20"/>
          <w:szCs w:val="20"/>
          <w:color w:val="auto"/>
        </w:rPr>
      </w:pPr>
    </w:p>
    <w:p>
      <w:pPr>
        <w:ind w:right="500" w:firstLine="648"/>
        <w:spacing w:after="0" w:line="268" w:lineRule="auto"/>
        <w:rPr>
          <w:sz w:val="20"/>
          <w:szCs w:val="20"/>
          <w:color w:val="auto"/>
        </w:rPr>
      </w:pPr>
      <w:r>
        <w:rPr>
          <w:rFonts w:ascii="Arial" w:cs="Arial" w:eastAsia="Arial" w:hAnsi="Arial"/>
          <w:sz w:val="18"/>
          <w:szCs w:val="18"/>
          <w:color w:val="auto"/>
        </w:rPr>
        <w:t>As of December 31, 2016, we have known contractual obligations, commitments and contingencies of $18.0 million related to our operating lease obligations.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jc w:val="right"/>
              <w:ind w:right="652"/>
              <w:spacing w:after="0"/>
              <w:rPr>
                <w:sz w:val="20"/>
                <w:szCs w:val="20"/>
                <w:color w:val="auto"/>
              </w:rPr>
            </w:pPr>
            <w:r>
              <w:rPr>
                <w:rFonts w:ascii="Arial" w:cs="Arial" w:eastAsia="Arial" w:hAnsi="Arial"/>
                <w:sz w:val="18"/>
                <w:szCs w:val="18"/>
                <w:b w:val="1"/>
                <w:bCs w:val="1"/>
                <w:color w:val="auto"/>
              </w:rPr>
              <w:t>Payment due by period</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w w:val="84"/>
              </w:rPr>
              <w:t>Less than 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center"/>
              <w:spacing w:after="0" w:line="201" w:lineRule="exact"/>
              <w:rPr>
                <w:sz w:val="20"/>
                <w:szCs w:val="20"/>
                <w:color w:val="auto"/>
              </w:rPr>
            </w:pPr>
            <w:r>
              <w:rPr>
                <w:rFonts w:ascii="Arial" w:cs="Arial" w:eastAsia="Arial" w:hAnsi="Arial"/>
                <w:sz w:val="18"/>
                <w:szCs w:val="18"/>
                <w:b w:val="1"/>
                <w:bCs w:val="1"/>
                <w:color w:val="auto"/>
                <w:w w:val="90"/>
              </w:rPr>
              <w:t>More than</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12"/>
              <w:spacing w:after="0"/>
              <w:rPr>
                <w:sz w:val="20"/>
                <w:szCs w:val="20"/>
                <w:color w:val="auto"/>
              </w:rPr>
            </w:pPr>
            <w:r>
              <w:rPr>
                <w:rFonts w:ascii="Arial" w:cs="Arial" w:eastAsia="Arial" w:hAnsi="Arial"/>
                <w:sz w:val="18"/>
                <w:szCs w:val="18"/>
                <w:b w:val="1"/>
                <w:bCs w:val="1"/>
                <w:color w:val="auto"/>
              </w:rPr>
              <w:t>year</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w w:val="84"/>
              </w:rPr>
              <w:t>1-3 years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w w:val="87"/>
              </w:rPr>
              <w:t>3-5 years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5 years</w:t>
            </w: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Operating leases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18,020</w:t>
            </w: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1,185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2,281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2,286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12,268</w:t>
            </w:r>
          </w:p>
        </w:tc>
        <w:tc>
          <w:tcPr>
            <w:tcW w:w="1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8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18,020</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12,268</w:t>
            </w:r>
          </w:p>
        </w:tc>
        <w:tc>
          <w:tcPr>
            <w:tcW w:w="10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31"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color w:val="auto"/>
        </w:rPr>
        <w:t>In October 2014, we entered into an agreement (the “Office Agreement”) with FBIO, to occupy approximately 45% of the 24,000 square feet of New York City office space leased by FBIO, which is now our corporate headquarters.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During the year ended December 31, 2016, we recorded rent expense of approximately $1.4 million and at December 31, 2016, have deferred rent of approximately $0.8 million. Mr. Weiss, our Executive Chairman and CEO, is also Executive Vice Chairman of FBIO.</w:t>
      </w:r>
    </w:p>
    <w:p>
      <w:pPr>
        <w:spacing w:after="0" w:line="17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During the year ended December 31, 2016, we agreed to pay FBIO $2.2 million for our portion of the build out costs, which have been allocated to us at the 45% rate mentioned above. The allocated build-out costs have been recorded in leasehold interest and will be amortized over the 15-year term of the Office Agreement. After an initial commitment period of the 45% rate for a period of three (3) years, we and FBIO will determine actual office space utilization annually and if our utilization differs from the amount we have been billed, we will either receive credits or be assessed incremental utilization charges. Also in connection with this lease, in October 2014 we pledged $0.6 million to secure a line of credit as a security deposit for the Office Agreement, which has been recorded as restricted cash in the accompanying consolidated balance sheets.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rental expense was approximately $1.6 million, $0.3 million and $0.1 million for the years ended December 31, 2016, 2015 and 2014, respectively.</w:t>
      </w:r>
    </w:p>
    <w:p>
      <w:pPr>
        <w:spacing w:after="0" w:line="24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Future minimum lease commitments as of December 31, 2016 total, in the aggregate, approximately $18.0 million through December 31, 2031. The preceding table shows future minimum lease commitments, which include our office leases in New York, North Carolina and Tennessee, by period as of December 31,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97" w:lineRule="exact"/>
        <w:rPr>
          <w:sz w:val="20"/>
          <w:szCs w:val="20"/>
          <w:color w:val="auto"/>
        </w:rPr>
      </w:pPr>
    </w:p>
    <w:p>
      <w:pPr>
        <w:ind w:right="540" w:firstLine="648"/>
        <w:spacing w:after="0" w:line="256"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ind w:right="120" w:firstLine="648"/>
        <w:spacing w:after="0" w:line="283"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license revenue in accordance with the revenue recognition guidance of the Financial Accounting Standards Board</w:t>
      </w:r>
      <w:r>
        <w:rPr>
          <w:rFonts w:ascii="Arial" w:cs="Arial" w:eastAsia="Arial" w:hAnsi="Arial"/>
          <w:sz w:val="16"/>
          <w:szCs w:val="16"/>
          <w:i w:val="1"/>
          <w:iCs w:val="1"/>
          <w:color w:val="auto"/>
        </w:rPr>
        <w:t xml:space="preserve"> </w:t>
      </w:r>
      <w:r>
        <w:rPr>
          <w:rFonts w:ascii="Arial" w:cs="Arial" w:eastAsia="Arial" w:hAnsi="Arial"/>
          <w:sz w:val="16"/>
          <w:szCs w:val="16"/>
          <w:color w:val="auto"/>
        </w:rPr>
        <w:t>(“FASB”) Accounting Standards Codification (“ASC”),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w:t>
      </w:r>
    </w:p>
    <w:p>
      <w:pPr>
        <w:spacing w:after="0" w:line="1" w:lineRule="exact"/>
        <w:rPr>
          <w:sz w:val="20"/>
          <w:szCs w:val="20"/>
          <w:color w:val="auto"/>
        </w:rPr>
      </w:pPr>
    </w:p>
    <w:p>
      <w:pPr>
        <w:ind w:firstLine="8"/>
        <w:spacing w:after="0" w:line="302" w:lineRule="auto"/>
        <w:tabs>
          <w:tab w:leader="none" w:pos="2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63"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i w:val="1"/>
          <w:iCs w:val="1"/>
          <w:color w:val="auto"/>
        </w:rPr>
        <w:t>Stock Compensation</w:t>
      </w:r>
      <w:r>
        <w:rPr>
          <w:rFonts w:ascii="Arial" w:cs="Arial" w:eastAsia="Arial" w:hAnsi="Arial"/>
          <w:sz w:val="16"/>
          <w:szCs w:val="16"/>
          <w:color w:val="auto"/>
        </w:rPr>
        <w:t>. We have granted stock options and restricted stock to employees, directors and consultants, as well as warrants to other third</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restricted stock and warrants issued to employees, consultants and other third-parties vest upon the achievement of certain milestones, the total expense is uncertain. Compensation expense for such awards that vest upon the achievement of milestones is recognized when the achievement of such milestone becomes probable.</w:t>
      </w:r>
    </w:p>
    <w:p>
      <w:pPr>
        <w:spacing w:after="0" w:line="181" w:lineRule="exact"/>
        <w:rPr>
          <w:sz w:val="20"/>
          <w:szCs w:val="20"/>
          <w:color w:val="auto"/>
        </w:rPr>
      </w:pPr>
    </w:p>
    <w:p>
      <w:pPr>
        <w:ind w:right="140" w:firstLine="648"/>
        <w:spacing w:after="0" w:line="314" w:lineRule="auto"/>
        <w:rPr>
          <w:sz w:val="20"/>
          <w:szCs w:val="20"/>
          <w:color w:val="auto"/>
        </w:rPr>
      </w:pPr>
      <w:r>
        <w:rPr>
          <w:rFonts w:ascii="Arial" w:cs="Arial" w:eastAsia="Arial" w:hAnsi="Arial"/>
          <w:sz w:val="15"/>
          <w:szCs w:val="15"/>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5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In-process Research and Development</w:t>
      </w:r>
      <w:r>
        <w:rPr>
          <w:rFonts w:ascii="Arial" w:cs="Arial" w:eastAsia="Arial" w:hAnsi="Arial"/>
          <w:sz w:val="18"/>
          <w:szCs w:val="18"/>
          <w:color w:val="auto"/>
        </w:rPr>
        <w:t>. All acquired research and development projects are recorded at their fair value as of the date acquisition.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values are assessed as of the balance sheet date to ascertain if there has been any impairment of the recorded value. If there is an impairment the asset is written down to its current fair value by the recording of an expense.</w:t>
      </w:r>
    </w:p>
    <w:p>
      <w:pPr>
        <w:spacing w:after="0" w:line="19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47" w:name="page48"/>
    <w:bookmarkEnd w:id="47"/>
    <w:p>
      <w:pPr>
        <w:ind w:right="60" w:firstLine="648"/>
        <w:spacing w:after="0" w:line="291" w:lineRule="auto"/>
        <w:rPr>
          <w:sz w:val="20"/>
          <w:szCs w:val="20"/>
          <w:color w:val="auto"/>
        </w:rPr>
      </w:pPr>
      <w:r>
        <w:rPr>
          <w:rFonts w:ascii="Arial" w:cs="Arial" w:eastAsia="Arial" w:hAnsi="Arial"/>
          <w:sz w:val="16"/>
          <w:szCs w:val="16"/>
          <w:i w:val="1"/>
          <w:iCs w:val="1"/>
          <w:color w:val="auto"/>
        </w:rPr>
        <w:t xml:space="preserve">Accounting Related to Goodwill. </w:t>
      </w:r>
      <w:r>
        <w:rPr>
          <w:rFonts w:ascii="Arial" w:cs="Arial" w:eastAsia="Arial" w:hAnsi="Arial"/>
          <w:sz w:val="16"/>
          <w:szCs w:val="16"/>
          <w:color w:val="auto"/>
        </w:rPr>
        <w:t>As of December 31, 2016 and 2015, there was $799,391 of goodwill on our consolidated balance sheets. Goodwill is</w:t>
      </w:r>
      <w:r>
        <w:rPr>
          <w:rFonts w:ascii="Arial" w:cs="Arial" w:eastAsia="Arial" w:hAnsi="Arial"/>
          <w:sz w:val="16"/>
          <w:szCs w:val="16"/>
          <w:i w:val="1"/>
          <w:iCs w:val="1"/>
          <w:color w:val="auto"/>
        </w:rPr>
        <w:t xml:space="preserve"> </w:t>
      </w:r>
      <w:r>
        <w:rPr>
          <w:rFonts w:ascii="Arial" w:cs="Arial" w:eastAsia="Arial" w:hAnsi="Arial"/>
          <w:sz w:val="16"/>
          <w:szCs w:val="16"/>
          <w:color w:val="auto"/>
        </w:rPr>
        <w:t>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w:t>
      </w:r>
    </w:p>
    <w:p>
      <w:pPr>
        <w:spacing w:after="0" w:line="174"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are required to perform impairment tests annually, at December 31, and whenever events or changes in circumstances suggest that the carrying value of an asset may not be recoverable. For all of our acquisitions, various analyses, assumptions and estimates were made at the time of each acquisition that were used to determine the valuation of goodwill and intangibles. In future years, the possibility exists that changes in forecasts and estimates from those used at the acquisition date could result in impairment indicators.</w:t>
      </w:r>
    </w:p>
    <w:p>
      <w:pPr>
        <w:spacing w:after="0" w:line="197"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statements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7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 xml:space="preserve">Fair Value of 5% Notes Payable. </w:t>
      </w:r>
      <w:r>
        <w:rPr>
          <w:rFonts w:ascii="Arial" w:cs="Arial" w:eastAsia="Arial" w:hAnsi="Arial"/>
          <w:sz w:val="18"/>
          <w:szCs w:val="18"/>
          <w:color w:val="auto"/>
        </w:rPr>
        <w:t>We measure certain financial assets and liabilities at fair value on a recurring basis in the financial statements.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ranks the quality and reliability of inputs, or assumptions, used in the determination of fair value and requires financial assets and liabilities carried at fair value to be classified and disclosed in one of three categories.</w:t>
      </w:r>
    </w:p>
    <w:p>
      <w:pPr>
        <w:spacing w:after="0" w:line="194"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We elected the fair value option for valuing the 5% Notes. We elected the fair value option in order to reflect in our financial statements the assumptions that market participants use in evaluating these financial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January 2017, the Financial Accounting Standards Board ("FASB") issued Accounting Standards Update (“ASU”) No. 2017-04, “Simplifying the Test for Goodwill Impairment” (“ASU 2017-04”). ASU 2017-04 removes the requirement to compare the implied fair value of goodwill with its carrying amount as part of step 2 of the goodwill impairment test. As a result, under ASU 2017-04, an entity should perform its annual, or interim, goodwill impairment test by comparing the fair value of a reporting unit with its carrying amount and should recognize an impairment charge for the amount by which the carrying amount exceeds the reporting unit’s fair value; however, the loss recognized should not exceed the total amount of goodwill allocated to that reporting unit. In addition, ASU 2017-04:</w:t>
      </w:r>
    </w:p>
    <w:p>
      <w:pPr>
        <w:spacing w:after="0" w:line="4" w:lineRule="exact"/>
        <w:rPr>
          <w:sz w:val="20"/>
          <w:szCs w:val="20"/>
          <w:color w:val="auto"/>
        </w:rPr>
      </w:pPr>
    </w:p>
    <w:p>
      <w:pPr>
        <w:ind w:left="980" w:hanging="324"/>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Clarifies the requirements for excluding and allocating foreign currency translation adjustments to reporting units in connection with an entity’s testing of reporting units for goodwill impairment.</w:t>
      </w:r>
    </w:p>
    <w:p>
      <w:pPr>
        <w:ind w:left="980" w:right="20" w:hanging="324"/>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Clarifies that an entity should consider income tax effects from any tax deductible goodwill on the carrying amount of the reporting unit when measuring the goodwill impairment loss, if applicable.</w:t>
      </w:r>
    </w:p>
    <w:p>
      <w:pPr>
        <w:ind w:left="980" w:hanging="324"/>
        <w:spacing w:after="0" w:line="261"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Makes minor changes to the overview and background sections of certain Accounting Standards Codification (“ASC” or “Codification”) subtopics and topics as part of the Board’s initiative to unify and improve those sections throughout the Codification.</w:t>
      </w:r>
    </w:p>
    <w:p>
      <w:pPr>
        <w:spacing w:after="0" w:line="192" w:lineRule="exact"/>
        <w:rPr>
          <w:sz w:val="20"/>
          <w:szCs w:val="20"/>
          <w:color w:val="auto"/>
        </w:rPr>
      </w:pPr>
    </w:p>
    <w:p>
      <w:pPr>
        <w:ind w:right="380" w:firstLine="648"/>
        <w:spacing w:after="0" w:line="332" w:lineRule="auto"/>
        <w:rPr>
          <w:sz w:val="20"/>
          <w:szCs w:val="20"/>
          <w:color w:val="auto"/>
        </w:rPr>
      </w:pPr>
      <w:r>
        <w:rPr>
          <w:rFonts w:ascii="Arial" w:cs="Arial" w:eastAsia="Arial" w:hAnsi="Arial"/>
          <w:sz w:val="16"/>
          <w:szCs w:val="16"/>
          <w:color w:val="auto"/>
        </w:rPr>
        <w:t>ASU 2017-04 is effective prospectively for annual and interim periods beginning on or after December 15, 2019, and early adoption is permitted on testing dates after January 1, 2017. We are currently evaluating the impact the adoption of ASU 2017-04 will have on our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48" w:name="page49"/>
    <w:bookmarkEnd w:id="48"/>
    <w:p>
      <w:pPr>
        <w:jc w:val="both"/>
        <w:ind w:right="120" w:firstLine="648"/>
        <w:spacing w:after="0" w:line="253" w:lineRule="auto"/>
        <w:rPr>
          <w:sz w:val="20"/>
          <w:szCs w:val="20"/>
          <w:color w:val="auto"/>
        </w:rPr>
      </w:pPr>
      <w:r>
        <w:rPr>
          <w:rFonts w:ascii="Arial" w:cs="Arial" w:eastAsia="Arial" w:hAnsi="Arial"/>
          <w:sz w:val="18"/>
          <w:szCs w:val="18"/>
          <w:color w:val="auto"/>
        </w:rPr>
        <w:t>In November 2016, the FASB issued ASU 2016-18, “Restricted Cash – a consensus of the FASB Emerging Issues Task Force” (“ASU 2016-18”). ASU 2016-18 amends ASC 230 to add or clarify guidance on the classification and presentation of restricted cash in the statement of cash flows. Key requirements of the ASU are as follows:</w:t>
      </w:r>
    </w:p>
    <w:p>
      <w:pPr>
        <w:jc w:val="both"/>
        <w:ind w:left="980" w:hanging="324"/>
        <w:spacing w:after="0" w:line="281"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entity should include in its cash and cash-equivalent balances in the statement of cash flows those amounts that are deemed to be restricted cash and restricted cash equivalents. The ASU does not define the terms “restricted cash” and “restricted cash equivalents” but states that an entity should continue to provide appropriate disclosures about its accounting policies pertaining to restricted cash in accordance with other GAAP. The ASU also states that any change in accounting policy will need to be assessed under ASC 250.</w:t>
      </w:r>
    </w:p>
    <w:p>
      <w:pPr>
        <w:spacing w:after="0" w:line="2" w:lineRule="exact"/>
        <w:rPr>
          <w:rFonts w:ascii="Arial" w:cs="Arial" w:eastAsia="Arial" w:hAnsi="Arial"/>
          <w:sz w:val="16"/>
          <w:szCs w:val="16"/>
          <w:color w:val="auto"/>
        </w:rPr>
      </w:pPr>
    </w:p>
    <w:p>
      <w:pPr>
        <w:ind w:left="980" w:right="20" w:hanging="324"/>
        <w:spacing w:after="0" w:line="250"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reconciliation between the statement of financial position and the statement of cash flows must be disclosed when the statement of financial position includes more than one line item for cash, cash equivalents, restricted cash, and restricted cash equivalents.</w:t>
      </w:r>
    </w:p>
    <w:p>
      <w:pPr>
        <w:ind w:left="980" w:hanging="324"/>
        <w:spacing w:after="0" w:line="250"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restricted cash and restricted cash equivalents that result from transfers between cash, cash equivalents, and restricted cash and restricted cash equivalents should not be presented as cash flow activities in the statement of cash flows.</w:t>
      </w:r>
    </w:p>
    <w:p>
      <w:pPr>
        <w:ind w:left="980" w:hanging="324"/>
        <w:spacing w:after="0" w:line="261"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entity with a material balance of amounts generally described as restricted cash and restricted cash equivalents must disclose information about the nature of the restrictions.</w:t>
      </w:r>
    </w:p>
    <w:p>
      <w:pPr>
        <w:spacing w:after="0" w:line="192" w:lineRule="exact"/>
        <w:rPr>
          <w:sz w:val="20"/>
          <w:szCs w:val="20"/>
          <w:color w:val="auto"/>
        </w:rPr>
      </w:pPr>
    </w:p>
    <w:p>
      <w:pPr>
        <w:ind w:right="400" w:firstLine="648"/>
        <w:spacing w:after="0" w:line="268" w:lineRule="auto"/>
        <w:rPr>
          <w:sz w:val="20"/>
          <w:szCs w:val="20"/>
          <w:color w:val="auto"/>
        </w:rPr>
      </w:pPr>
      <w:r>
        <w:rPr>
          <w:rFonts w:ascii="Arial" w:cs="Arial" w:eastAsia="Arial" w:hAnsi="Arial"/>
          <w:sz w:val="18"/>
          <w:szCs w:val="18"/>
          <w:color w:val="auto"/>
        </w:rPr>
        <w:t>ASU 2016-18 is effective for annual and interim periods beginning after December 15, 2017, and early adoption is permitted for all entities. We are currently evaluating the impact the adoption of ASU 2016-18 will have on our consolidated financial statements.</w:t>
      </w:r>
    </w:p>
    <w:p>
      <w:pPr>
        <w:spacing w:after="0" w:line="18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In August 2016, the FASB issued ASU No. 2016-15, “Classification of Certain Cash Receipts and Cash Payments” (“ASU 2016-15”). ASU 2016-15 amends the guidance in ASC 230 on the classification of certain cash receipts and payments in the statement of cash flows. The primary purpose of ASU 2016-15 is to reduce the diversity in practice that has resulted from the lack of consistent principles on this topic. The amendments in ASU 2016-15 add or clarify guidance on eight cash flow issues:</w:t>
      </w:r>
    </w:p>
    <w:p>
      <w:pPr>
        <w:spacing w:after="0" w:line="1"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Debt prepayment or debt extinguishment costs.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Settlement of zero-coupon debt instruments or other debt instruments with coupon interest rates that are insignificant in relation to the effective interest rate of the borrowing.</w:t>
      </w: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Contingent consideration payments made after a business combination.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Proceeds from the settlement of insurance claims.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Proceeds from the settlement of corporate-owned life insurance policies, including bank-owned life insurance policies.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Distributions received from equity method investees.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Beneficial interests in securitization transactions.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Separately identifiable cash flows and application of the predominance principle.</w:t>
      </w:r>
    </w:p>
    <w:p>
      <w:pPr>
        <w:spacing w:after="0" w:line="15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ASU 2016-15 is effective for annual and interim periods beginning after December 15, 2017, and early adoption is permitted for all entities. Entities must apply the guidance retrospectively to all periods presented but may apply it prospectively from the earliest date practicable if retrospective application would be impracticable. The provisions of this standard are not expected to significantly impact the Company.</w:t>
      </w:r>
    </w:p>
    <w:p>
      <w:pPr>
        <w:spacing w:after="0" w:line="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May 2016, the FASB issued ASU No. 2016-11, “Rescission of SEC Guidance Because of Accounting Standards Update 2014-09 and 2014-16 Pursuant to Staff Announcements at the March 3, 2016 EITF Meeting” (“ASU 2016-11”). ASU 2016-11 rescinds certain SEC guidance from the FASB Codification in response to announcements made by the SEC staff at the Emerging Issues Task Force’s March 3, 2016 meeting. Specifically, ASU 2016-11 supersedes SEC observer comments on the following topics:</w:t>
      </w:r>
    </w:p>
    <w:p>
      <w:pPr>
        <w:spacing w:after="0" w:line="130"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the adoption of ASU 2014-09:</w:t>
      </w:r>
    </w:p>
    <w:p>
      <w:pPr>
        <w:spacing w:after="0" w:line="15" w:lineRule="exact"/>
        <w:rPr>
          <w:sz w:val="20"/>
          <w:szCs w:val="20"/>
          <w:color w:val="auto"/>
        </w:rPr>
      </w:pPr>
    </w:p>
    <w:p>
      <w:pPr>
        <w:ind w:left="1620" w:hanging="478"/>
        <w:spacing w:after="0"/>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Revenue and expense recognition for freight services in process (ASC 605-20-S99-2)</w:t>
      </w:r>
    </w:p>
    <w:p>
      <w:pPr>
        <w:spacing w:after="0" w:line="9" w:lineRule="exact"/>
        <w:rPr>
          <w:rFonts w:ascii="Arial" w:cs="Arial" w:eastAsia="Arial" w:hAnsi="Arial"/>
          <w:sz w:val="18"/>
          <w:szCs w:val="18"/>
          <w:color w:val="auto"/>
        </w:rPr>
      </w:pPr>
    </w:p>
    <w:p>
      <w:pPr>
        <w:ind w:left="1620" w:hanging="478"/>
        <w:spacing w:after="0"/>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Accounting for shipping and handling fees and costs (ASC 605-45-S99-1)</w:t>
      </w:r>
    </w:p>
    <w:p>
      <w:pPr>
        <w:spacing w:after="0" w:line="9" w:lineRule="exact"/>
        <w:rPr>
          <w:rFonts w:ascii="Arial" w:cs="Arial" w:eastAsia="Arial" w:hAnsi="Arial"/>
          <w:sz w:val="18"/>
          <w:szCs w:val="18"/>
          <w:color w:val="auto"/>
        </w:rPr>
      </w:pPr>
    </w:p>
    <w:p>
      <w:pPr>
        <w:ind w:left="1620" w:hanging="478"/>
        <w:spacing w:after="0"/>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Accounting for consideration given by a vendor to a customer (ASC 605-50-S99-1)</w:t>
      </w:r>
    </w:p>
    <w:p>
      <w:pPr>
        <w:spacing w:after="0" w:line="9" w:lineRule="exact"/>
        <w:rPr>
          <w:rFonts w:ascii="Arial" w:cs="Arial" w:eastAsia="Arial" w:hAnsi="Arial"/>
          <w:sz w:val="18"/>
          <w:szCs w:val="18"/>
          <w:color w:val="auto"/>
        </w:rPr>
      </w:pPr>
    </w:p>
    <w:p>
      <w:pPr>
        <w:ind w:left="1620" w:hanging="478"/>
        <w:spacing w:after="0"/>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Accounting for gas-balancing arrangements (ASC 932-10-S99-5)</w:t>
      </w:r>
    </w:p>
    <w:p>
      <w:pPr>
        <w:spacing w:after="0" w:line="218"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the adoption of ASU 2014-16:</w:t>
      </w:r>
    </w:p>
    <w:p>
      <w:pPr>
        <w:spacing w:after="0" w:line="15" w:lineRule="exact"/>
        <w:rPr>
          <w:rFonts w:ascii="Arial" w:cs="Arial" w:eastAsia="Arial" w:hAnsi="Arial"/>
          <w:sz w:val="18"/>
          <w:szCs w:val="18"/>
          <w:color w:val="auto"/>
        </w:rPr>
      </w:pPr>
    </w:p>
    <w:p>
      <w:pPr>
        <w:ind w:left="1620" w:right="20" w:hanging="478"/>
        <w:spacing w:after="0" w:line="261" w:lineRule="auto"/>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Determining the nature of a host contract related to a hybrid financial instrument issued in the form of a share under ASC 815 (ASC 815-10-S99-3).</w:t>
      </w:r>
    </w:p>
    <w:p>
      <w:pPr>
        <w:spacing w:after="0" w:line="192"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ASU 2016-11 is effective upon the adoption of ASU 2014-09 and ASU 2014-16. The adoption of ASU 2016-11 is not expected to have a material impact on the Company’s consolidated financial statements.</w:t>
      </w:r>
    </w:p>
    <w:p>
      <w:pPr>
        <w:spacing w:after="0" w:line="18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March 2016, the FASB issued ASU No. 2016-09, “Simplifying the Accounting for Share-Based Payments” (“ASU 2016-09”). ASU 2016-09 simplifies several aspects of the accounting for employee share-based payment transactions for both public and nonpublic entities, including the accounting for income taxes, forfeitures, and statutory tax withholding requirements, as well as classification in the statement of cash flows. ASU 2016-09 is effective for annual reporting periods beginning after December 15, 2016, including interim periods within those annual reporting periods. The provisions of this standard are not expected to significantly impact the Company.</w:t>
      </w:r>
    </w:p>
    <w:p>
      <w:pPr>
        <w:spacing w:after="0" w:line="19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February 2016, the FASB issued ASU No. 2016-02, “Leases (Topic 842),” which requires lessees to recognize assets and liabilities for the rights and obligations created by most leases on their balance sheet. The guidance is effective for fiscal years beginning after December 15, 2018, including interim periods within those fiscal years. Early application is permitted. ASU 2016-02 requires modified retrospective adoption for all leases existing at, or entered into after, the date of initial application, with an option to use certain transition relief. The Company is currently evaluating the impact the standard may have on its consolidated financial statements and related disclosures.</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49" w:name="page50"/>
    <w:bookmarkEnd w:id="49"/>
    <w:p>
      <w:pPr>
        <w:ind w:right="40" w:firstLine="648"/>
        <w:spacing w:after="0" w:line="290" w:lineRule="auto"/>
        <w:rPr>
          <w:sz w:val="20"/>
          <w:szCs w:val="20"/>
          <w:color w:val="auto"/>
        </w:rPr>
      </w:pPr>
      <w:r>
        <w:rPr>
          <w:rFonts w:ascii="Arial" w:cs="Arial" w:eastAsia="Arial" w:hAnsi="Arial"/>
          <w:sz w:val="16"/>
          <w:szCs w:val="16"/>
          <w:color w:val="auto"/>
        </w:rPr>
        <w:t>In August 2014, the FASB issued ASU No. 2014-15, “Presentation of Financial Statements - Going Concern (Subtopic 205-40)”, which will require management to assess an entity’s ability to continue as a going concern at each annual and interim period. Related footnote disclosures will be required if conditions give rise to substantial doubt about an entity’s ability to continue as a going concern within one year of the report issuance date. If conditions do not give rise to substantial doubt, no disclosures will be required specific to going concern uncertainties. The guidance defines substantial doubt using a likelihood threshold of “probable” similar to the current use of that term in U.S. GAAP for loss contingencies and provides example indicators. The guidance is effective for reporting periods ending after December 15, 2016, and early adoption is permitted. Therefore, the Company has adopted this new standard on December 15, 2016. The adoption of this standard did not have a material impact on our consolidated financial statements as of December 31, 2016.</w:t>
      </w:r>
    </w:p>
    <w:p>
      <w:pPr>
        <w:spacing w:after="0" w:line="172"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23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primary objective of our investment activities is to preserve principal while maximizing our income from investments and minimizing our market risk. We currently invest in government and investment-grade corporate debt in accordance with our investment policy, which we may change from time to time.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December 31, 2016, our portfolio of financial instruments consists of cash equivalents and short-term interest bearing securities, including government debt and money market funds. The average duration of all of our held-to-maturity investments held as of December 31, 2016, was less than 12 months. Due to the relative short-term nature of these financial instruments, we believe there is no material exposure to interest rate risk, and/or credit risk, arising from our portfolio of financial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consolidated financial statements and the notes thereto, included in Part IV, Item 15(a), part 1, are incorporated by reference into this Item 8.</w:t>
      </w:r>
    </w:p>
    <w:p>
      <w:pPr>
        <w:spacing w:after="0" w:line="242" w:lineRule="exact"/>
        <w:rPr>
          <w:sz w:val="20"/>
          <w:szCs w:val="20"/>
          <w:color w:val="auto"/>
        </w:rPr>
      </w:pPr>
    </w:p>
    <w:p>
      <w:pPr>
        <w:ind w:right="3700"/>
        <w:spacing w:after="0" w:line="275"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3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As of December 31, 2016, management carried out an evaluation, under the supervision and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participation of our Chief Executive Officer and our Chief Financial Officer, of the effectiveness of the design and operation of our disclosure controls and procedures (as defined in Rules 13a-15(e) and 15d-15(e) of the Securities Exchange Act of 1934, as amended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and Chief Financial Officers concluded that, as of December 31, 2016, our disclosure controls and procedures were effective.</w:t>
      </w:r>
    </w:p>
    <w:p>
      <w:pPr>
        <w:spacing w:after="0" w:line="174"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i w:val="1"/>
          <w:iCs w:val="1"/>
          <w:color w:val="auto"/>
        </w:rPr>
        <w:t xml:space="preserve">Management's Report on Internal Control over Financial Reporting. </w:t>
      </w:r>
      <w:r>
        <w:rPr>
          <w:rFonts w:ascii="Arial" w:cs="Arial" w:eastAsia="Arial" w:hAnsi="Arial"/>
          <w:sz w:val="16"/>
          <w:szCs w:val="16"/>
          <w:color w:val="auto"/>
        </w:rPr>
        <w:t>Our management is responsible for establishing and maintaining adequate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over financial reporting (as defined in Rule 13a-15(f) or Rule 15d-15(f) under the Exchange Act). Our management assessed the effectiveness of our internal control over financial reporting as of December 31, 2016. In making this assessment, our management used the criteria established in Internal Control – Integrated Framework (2013) issued by the Committee of Sponsoring Organizations of the Treadway Commission, or COSO Framework. Our management has concluded that, as of December 31, 2016, our internal control over financial reporting was effective based on these criteria.</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effectiveness of our internal control over financial reporting as of December 31, 2016 was audited by CohnReznick LLP, our independent registered public accounting firm, as stated in their report appearing below, which expressed an unqualified opinion on the effectiveness of our internal control over financial reporting as of December 31, 2016.</w:t>
      </w:r>
    </w:p>
    <w:p>
      <w:pPr>
        <w:spacing w:after="0" w:line="194" w:lineRule="exact"/>
        <w:rPr>
          <w:sz w:val="20"/>
          <w:szCs w:val="20"/>
          <w:color w:val="auto"/>
        </w:rPr>
      </w:pPr>
    </w:p>
    <w:p>
      <w:pPr>
        <w:ind w:right="160" w:firstLine="648"/>
        <w:spacing w:after="0" w:line="332"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There were no changes in our internal control over financial reporting during the quarter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2016 that have materially affected, or are reasonably likely to materially affect, our internal control over financial reporting.</w:t>
      </w:r>
    </w:p>
    <w:p>
      <w:pPr>
        <w:spacing w:after="0" w:line="139"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i w:val="1"/>
          <w:iCs w:val="1"/>
          <w:color w:val="auto"/>
        </w:rPr>
        <w:t xml:space="preserve">Limitations on the Effectiveness of Controls. </w:t>
      </w:r>
      <w:r>
        <w:rPr>
          <w:rFonts w:ascii="Arial" w:cs="Arial" w:eastAsia="Arial" w:hAnsi="Arial"/>
          <w:sz w:val="18"/>
          <w:szCs w:val="18"/>
          <w:color w:val="auto"/>
        </w:rPr>
        <w:t>Our management, including our Chief Executive Officer and Chief Financial Officer, does not expect that</w:t>
      </w:r>
      <w:r>
        <w:rPr>
          <w:rFonts w:ascii="Arial" w:cs="Arial" w:eastAsia="Arial" w:hAnsi="Arial"/>
          <w:sz w:val="18"/>
          <w:szCs w:val="18"/>
          <w:i w:val="1"/>
          <w:iCs w:val="1"/>
          <w:color w:val="auto"/>
        </w:rPr>
        <w:t xml:space="preserve"> </w:t>
      </w:r>
      <w:r>
        <w:rPr>
          <w:rFonts w:ascii="Arial" w:cs="Arial" w:eastAsia="Arial" w:hAnsi="Arial"/>
          <w:sz w:val="18"/>
          <w:szCs w:val="18"/>
          <w:color w:val="auto"/>
        </w:rPr>
        <w:t>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TG Therapeutics, Inc.</w:t>
      </w:r>
    </w:p>
    <w:p>
      <w:pPr>
        <w:spacing w:after="0" w:line="21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audited TG Therapeutics, Inc. and Subsidiaries’ internal control over financial reporting as of December 31, 2016, based on criteria established in Internal Control-Integrated Framework (2013) issued by the Committee of Sponsoring Organizations of the Treadway Commission (COSO). TG Therapeutics,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TG Therapeutics, Inc.’s internal control over financial reporting based on our audit.</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TG Therapeutics, Inc. and Subsidiaries has maintained, in all material respects, effective internal control over financial reporting as of December 31, 2016 based on the criteria established in Internal Control-Integrated Framework (2013) issued by the Committee of Sponsoring Organizations of the Treadway Commission (COSO).</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of TG Therapeutics, Inc. and Subsidiaries as of December 31, 2016 and 2015, and for each of the three years in the period ended December 31, 2016 and our report dated March 15, 2017, expressed an unqualified opinion.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2017</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9B. OTHER INFORMATION.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2017 Annual Meeting of Stockholders.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2017 Annual Meeting of Stockholders.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2017 Annual Meeting of Stockholders.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2017 Annual Meeting of Stockholders.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2017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00" w:type="dxa"/>
            <w:vAlign w:val="bottom"/>
            <w:gridSpan w:val="2"/>
          </w:tcPr>
          <w:p>
            <w:pPr>
              <w:ind w:left="820"/>
              <w:spacing w:after="0"/>
              <w:rPr>
                <w:sz w:val="20"/>
                <w:szCs w:val="20"/>
                <w:color w:val="auto"/>
              </w:rPr>
            </w:pPr>
            <w:r>
              <w:rPr>
                <w:rFonts w:ascii="Arial" w:cs="Arial" w:eastAsia="Arial" w:hAnsi="Arial"/>
                <w:sz w:val="18"/>
                <w:szCs w:val="18"/>
                <w:b w:val="1"/>
                <w:bCs w:val="1"/>
                <w:color w:val="auto"/>
              </w:rPr>
              <w:t>1.</w:t>
            </w:r>
          </w:p>
        </w:tc>
        <w:tc>
          <w:tcPr>
            <w:tcW w:w="9180" w:type="dxa"/>
            <w:vAlign w:val="bottom"/>
          </w:tcPr>
          <w:p>
            <w:pPr>
              <w:ind w:left="160"/>
              <w:spacing w:after="0"/>
              <w:rPr>
                <w:sz w:val="20"/>
                <w:szCs w:val="20"/>
                <w:color w:val="auto"/>
              </w:rPr>
            </w:pPr>
            <w:r>
              <w:rPr>
                <w:rFonts w:ascii="Arial" w:cs="Arial" w:eastAsia="Arial" w:hAnsi="Arial"/>
                <w:sz w:val="18"/>
                <w:szCs w:val="18"/>
                <w:b w:val="1"/>
                <w:bCs w:val="1"/>
                <w:color w:val="auto"/>
              </w:rPr>
              <w:t>Consolidated Financial Statements</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60" w:type="dxa"/>
            <w:vAlign w:val="bottom"/>
            <w:gridSpan w:val="2"/>
          </w:tcPr>
          <w:p>
            <w:pPr>
              <w:ind w:left="800"/>
              <w:spacing w:after="0"/>
              <w:rPr>
                <w:sz w:val="20"/>
                <w:szCs w:val="20"/>
                <w:color w:val="auto"/>
              </w:rPr>
            </w:pPr>
            <w:r>
              <w:rPr>
                <w:rFonts w:ascii="Arial" w:cs="Arial" w:eastAsia="Arial" w:hAnsi="Arial"/>
                <w:sz w:val="18"/>
                <w:szCs w:val="18"/>
                <w:color w:val="auto"/>
              </w:rPr>
              <w:t>The following consolidated financial statements of TG Therapeutics, Inc. are filed as part of this report.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260" w:type="dxa"/>
            <w:vAlign w:val="bottom"/>
            <w:gridSpan w:val="2"/>
          </w:tcPr>
          <w:p>
            <w:pPr>
              <w:ind w:left="800"/>
              <w:spacing w:after="0"/>
              <w:rPr>
                <w:sz w:val="20"/>
                <w:szCs w:val="20"/>
                <w:color w:val="auto"/>
              </w:rPr>
            </w:pPr>
            <w:r>
              <w:rPr>
                <w:rFonts w:ascii="Arial" w:cs="Arial" w:eastAsia="Arial" w:hAnsi="Arial"/>
                <w:sz w:val="18"/>
                <w:szCs w:val="18"/>
                <w:b w:val="1"/>
                <w:bCs w:val="1"/>
                <w:color w:val="auto"/>
              </w:rPr>
              <w:t>Contents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Consolidated Balance Sheets as of December 31, 2016 and 2015</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Consolidated Statements of Operations for the years ended December 31, 2016, 2015 and 2014</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Consolidated Statements of Stockholders’ Equity for the years ended December 31, 2016, 2015 and 2014</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 for the years ended December 31, 2016, 2015 and 2014</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Notes to Consolidated Financial Statements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60" w:hanging="442"/>
        <w:spacing w:after="0"/>
        <w:tabs>
          <w:tab w:leader="none" w:pos="12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 Schedules</w:t>
      </w:r>
    </w:p>
    <w:p>
      <w:pPr>
        <w:spacing w:after="0" w:line="231" w:lineRule="exact"/>
        <w:rPr>
          <w:sz w:val="20"/>
          <w:szCs w:val="20"/>
          <w:color w:val="auto"/>
        </w:rPr>
      </w:pPr>
    </w:p>
    <w:p>
      <w:pPr>
        <w:ind w:right="500" w:firstLine="648"/>
        <w:spacing w:after="0" w:line="268" w:lineRule="auto"/>
        <w:rPr>
          <w:sz w:val="20"/>
          <w:szCs w:val="20"/>
          <w:color w:val="auto"/>
        </w:rPr>
      </w:pPr>
      <w:r>
        <w:rPr>
          <w:rFonts w:ascii="Arial" w:cs="Arial" w:eastAsia="Arial" w:hAnsi="Arial"/>
          <w:sz w:val="18"/>
          <w:szCs w:val="18"/>
          <w:color w:val="auto"/>
        </w:rPr>
        <w:t>All schedules are omitted as the information required is inapplicable or the information is presented in the consolidated financial statements or the related notes.</w:t>
      </w:r>
    </w:p>
    <w:p>
      <w:pPr>
        <w:spacing w:after="0" w:line="180" w:lineRule="exact"/>
        <w:rPr>
          <w:sz w:val="20"/>
          <w:szCs w:val="20"/>
          <w:color w:val="auto"/>
        </w:rPr>
      </w:pPr>
    </w:p>
    <w:p>
      <w:pPr>
        <w:ind w:left="1260" w:hanging="442"/>
        <w:spacing w:after="0"/>
        <w:tabs>
          <w:tab w:leader="none" w:pos="12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480" w:type="dxa"/>
            <w:vAlign w:val="bottom"/>
          </w:tcPr>
          <w:p>
            <w:pPr>
              <w:spacing w:after="0"/>
              <w:rPr>
                <w:sz w:val="18"/>
                <w:szCs w:val="18"/>
                <w:color w:val="auto"/>
              </w:rPr>
            </w:pPr>
          </w:p>
        </w:tc>
      </w:tr>
      <w:tr>
        <w:trPr>
          <w:trHeight w:val="228"/>
        </w:trPr>
        <w:tc>
          <w:tcPr>
            <w:tcW w:w="94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480" w:type="dxa"/>
            <w:vAlign w:val="bottom"/>
          </w:tcPr>
          <w:p>
            <w:pPr>
              <w:ind w:left="220"/>
              <w:spacing w:after="0"/>
              <w:rPr>
                <w:sz w:val="20"/>
                <w:szCs w:val="20"/>
                <w:color w:val="auto"/>
              </w:rPr>
            </w:pPr>
            <w:r>
              <w:rPr>
                <w:rFonts w:ascii="Arial" w:cs="Arial" w:eastAsia="Arial" w:hAnsi="Arial"/>
                <w:sz w:val="18"/>
                <w:szCs w:val="18"/>
                <w:b w:val="1"/>
                <w:bCs w:val="1"/>
                <w:color w:val="auto"/>
              </w:rPr>
              <w:t>Exhibit Description</w:t>
            </w:r>
          </w:p>
        </w:tc>
      </w:tr>
      <w:tr>
        <w:trPr>
          <w:trHeight w:val="426"/>
        </w:trPr>
        <w:tc>
          <w:tcPr>
            <w:tcW w:w="940" w:type="dxa"/>
            <w:vAlign w:val="bottom"/>
          </w:tcPr>
          <w:p>
            <w:pPr>
              <w:jc w:val="center"/>
              <w:ind w:left="152"/>
              <w:spacing w:after="0"/>
              <w:rPr>
                <w:sz w:val="20"/>
                <w:szCs w:val="20"/>
                <w:color w:val="auto"/>
              </w:rPr>
            </w:pPr>
            <w:r>
              <w:rPr>
                <w:rFonts w:ascii="Arial" w:cs="Arial" w:eastAsia="Arial" w:hAnsi="Arial"/>
                <w:sz w:val="18"/>
                <w:szCs w:val="18"/>
                <w:color w:val="auto"/>
                <w:w w:val="87"/>
              </w:rPr>
              <w:t>3.1</w:t>
            </w:r>
          </w:p>
        </w:tc>
        <w:tc>
          <w:tcPr>
            <w:tcW w:w="10480" w:type="dxa"/>
            <w:vAlign w:val="bottom"/>
          </w:tcPr>
          <w:p>
            <w:pPr>
              <w:ind w:left="380"/>
              <w:spacing w:after="0"/>
              <w:rPr>
                <w:sz w:val="20"/>
                <w:szCs w:val="20"/>
                <w:color w:val="auto"/>
              </w:rPr>
            </w:pPr>
            <w:r>
              <w:rPr>
                <w:rFonts w:ascii="Arial" w:cs="Arial" w:eastAsia="Arial" w:hAnsi="Arial"/>
                <w:sz w:val="18"/>
                <w:szCs w:val="18"/>
                <w:color w:val="auto"/>
                <w:w w:val="90"/>
              </w:rPr>
              <w:t>Amended and Restated Certificate of Incorporation of TG Therapeutics, Inc. dated April 26, 2012 (incorporated by reference to Exhibit 3.2 to</w:t>
            </w:r>
          </w:p>
        </w:tc>
      </w:tr>
      <w:tr>
        <w:trPr>
          <w:trHeight w:val="222"/>
        </w:trPr>
        <w:tc>
          <w:tcPr>
            <w:tcW w:w="94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the Registrant’s Form 10-Q for the quarter ended June 30, 2012).</w:t>
            </w:r>
          </w:p>
        </w:tc>
      </w:tr>
      <w:tr>
        <w:trPr>
          <w:trHeight w:val="426"/>
        </w:trPr>
        <w:tc>
          <w:tcPr>
            <w:tcW w:w="940" w:type="dxa"/>
            <w:vAlign w:val="bottom"/>
          </w:tcPr>
          <w:p>
            <w:pPr>
              <w:jc w:val="center"/>
              <w:ind w:left="152"/>
              <w:spacing w:after="0"/>
              <w:rPr>
                <w:sz w:val="20"/>
                <w:szCs w:val="20"/>
                <w:color w:val="auto"/>
              </w:rPr>
            </w:pPr>
            <w:r>
              <w:rPr>
                <w:rFonts w:ascii="Arial" w:cs="Arial" w:eastAsia="Arial" w:hAnsi="Arial"/>
                <w:sz w:val="18"/>
                <w:szCs w:val="18"/>
                <w:color w:val="auto"/>
                <w:w w:val="87"/>
              </w:rPr>
              <w:t>3.2</w:t>
            </w:r>
          </w:p>
        </w:tc>
        <w:tc>
          <w:tcPr>
            <w:tcW w:w="10480" w:type="dxa"/>
            <w:vAlign w:val="bottom"/>
          </w:tcPr>
          <w:p>
            <w:pPr>
              <w:ind w:left="380"/>
              <w:spacing w:after="0"/>
              <w:rPr>
                <w:sz w:val="20"/>
                <w:szCs w:val="20"/>
                <w:color w:val="auto"/>
              </w:rPr>
            </w:pPr>
            <w:r>
              <w:rPr>
                <w:rFonts w:ascii="Arial" w:cs="Arial" w:eastAsia="Arial" w:hAnsi="Arial"/>
                <w:sz w:val="18"/>
                <w:szCs w:val="18"/>
                <w:color w:val="auto"/>
                <w:w w:val="91"/>
              </w:rPr>
              <w:t>Certificate of Amendment to Amended and Restated Certificate of Incorporation of TG Therapeutics, Inc. dated June 9, 2014 (incorporated</w:t>
            </w:r>
          </w:p>
        </w:tc>
      </w:tr>
      <w:tr>
        <w:trPr>
          <w:trHeight w:val="222"/>
        </w:trPr>
        <w:tc>
          <w:tcPr>
            <w:tcW w:w="94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by reference to Exhibit 3.2 to the Registrant’s Form 10-Q for the quarter ended June 30, 2014).</w:t>
            </w:r>
          </w:p>
        </w:tc>
      </w:tr>
      <w:tr>
        <w:trPr>
          <w:trHeight w:val="426"/>
        </w:trPr>
        <w:tc>
          <w:tcPr>
            <w:tcW w:w="940" w:type="dxa"/>
            <w:vAlign w:val="bottom"/>
          </w:tcPr>
          <w:p>
            <w:pPr>
              <w:jc w:val="center"/>
              <w:ind w:left="152"/>
              <w:spacing w:after="0"/>
              <w:rPr>
                <w:sz w:val="20"/>
                <w:szCs w:val="20"/>
                <w:color w:val="auto"/>
              </w:rPr>
            </w:pPr>
            <w:r>
              <w:rPr>
                <w:rFonts w:ascii="Arial" w:cs="Arial" w:eastAsia="Arial" w:hAnsi="Arial"/>
                <w:sz w:val="18"/>
                <w:szCs w:val="18"/>
                <w:color w:val="auto"/>
                <w:w w:val="87"/>
              </w:rPr>
              <w:t>3.3</w:t>
            </w: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Amended and Restated Bylaws of TG Therapeutics, Inc. dated July 18, 2014 (incorporated by reference to Exhibit 3.1 to the Registrant’s</w:t>
            </w:r>
          </w:p>
        </w:tc>
      </w:tr>
      <w:tr>
        <w:trPr>
          <w:trHeight w:val="222"/>
        </w:trPr>
        <w:tc>
          <w:tcPr>
            <w:tcW w:w="94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Current Report on Form 8-K filed on July 21, 2014).</w:t>
            </w:r>
          </w:p>
        </w:tc>
      </w:tr>
      <w:tr>
        <w:trPr>
          <w:trHeight w:val="426"/>
        </w:trPr>
        <w:tc>
          <w:tcPr>
            <w:tcW w:w="940" w:type="dxa"/>
            <w:vAlign w:val="bottom"/>
          </w:tcPr>
          <w:p>
            <w:pPr>
              <w:jc w:val="center"/>
              <w:ind w:left="152"/>
              <w:spacing w:after="0"/>
              <w:rPr>
                <w:sz w:val="20"/>
                <w:szCs w:val="20"/>
                <w:color w:val="auto"/>
              </w:rPr>
            </w:pPr>
            <w:r>
              <w:rPr>
                <w:rFonts w:ascii="Arial" w:cs="Arial" w:eastAsia="Arial" w:hAnsi="Arial"/>
                <w:sz w:val="18"/>
                <w:szCs w:val="18"/>
                <w:color w:val="auto"/>
                <w:w w:val="87"/>
              </w:rPr>
              <w:t>4.1</w:t>
            </w:r>
          </w:p>
        </w:tc>
        <w:tc>
          <w:tcPr>
            <w:tcW w:w="10480" w:type="dxa"/>
            <w:vAlign w:val="bottom"/>
          </w:tcPr>
          <w:p>
            <w:pPr>
              <w:ind w:left="380"/>
              <w:spacing w:after="0"/>
              <w:rPr>
                <w:sz w:val="20"/>
                <w:szCs w:val="20"/>
                <w:color w:val="auto"/>
              </w:rPr>
            </w:pPr>
            <w:r>
              <w:rPr>
                <w:rFonts w:ascii="Arial" w:cs="Arial" w:eastAsia="Arial" w:hAnsi="Arial"/>
                <w:sz w:val="18"/>
                <w:szCs w:val="18"/>
                <w:color w:val="auto"/>
                <w:w w:val="90"/>
              </w:rPr>
              <w:t>Specimen common stock certificate (incorporated by reference to Exhibit 4.1 to the Registrant’s Form 10-K for the year ended December 31,</w:t>
            </w:r>
          </w:p>
        </w:tc>
      </w:tr>
      <w:tr>
        <w:trPr>
          <w:trHeight w:val="222"/>
        </w:trPr>
        <w:tc>
          <w:tcPr>
            <w:tcW w:w="94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2011).</w:t>
            </w:r>
          </w:p>
        </w:tc>
      </w:tr>
      <w:tr>
        <w:trPr>
          <w:trHeight w:val="426"/>
        </w:trPr>
        <w:tc>
          <w:tcPr>
            <w:tcW w:w="940" w:type="dxa"/>
            <w:vAlign w:val="bottom"/>
          </w:tcPr>
          <w:p>
            <w:pPr>
              <w:jc w:val="center"/>
              <w:ind w:left="152"/>
              <w:spacing w:after="0"/>
              <w:rPr>
                <w:sz w:val="20"/>
                <w:szCs w:val="20"/>
                <w:color w:val="auto"/>
              </w:rPr>
            </w:pPr>
            <w:r>
              <w:rPr>
                <w:rFonts w:ascii="Arial" w:cs="Arial" w:eastAsia="Arial" w:hAnsi="Arial"/>
                <w:sz w:val="18"/>
                <w:szCs w:val="18"/>
                <w:color w:val="auto"/>
                <w:w w:val="87"/>
              </w:rPr>
              <w:t>4.2</w:t>
            </w: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Form of warrant to purchase common stock of TG Therapeutics, Inc. (incorporated by reference to Exhibit 4.1 to the Registrant’s Current</w:t>
            </w:r>
          </w:p>
        </w:tc>
      </w:tr>
      <w:tr>
        <w:trPr>
          <w:trHeight w:val="222"/>
        </w:trPr>
        <w:tc>
          <w:tcPr>
            <w:tcW w:w="94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Report on Form 8-K filed on November 13, 2012).</w:t>
            </w:r>
          </w:p>
        </w:tc>
      </w:tr>
      <w:tr>
        <w:trPr>
          <w:trHeight w:val="426"/>
        </w:trPr>
        <w:tc>
          <w:tcPr>
            <w:tcW w:w="940" w:type="dxa"/>
            <w:vAlign w:val="bottom"/>
          </w:tcPr>
          <w:p>
            <w:pPr>
              <w:jc w:val="center"/>
              <w:ind w:left="152"/>
              <w:spacing w:after="0"/>
              <w:rPr>
                <w:sz w:val="20"/>
                <w:szCs w:val="20"/>
                <w:color w:val="auto"/>
              </w:rPr>
            </w:pPr>
            <w:r>
              <w:rPr>
                <w:rFonts w:ascii="Arial" w:cs="Arial" w:eastAsia="Arial" w:hAnsi="Arial"/>
                <w:sz w:val="18"/>
                <w:szCs w:val="18"/>
                <w:color w:val="auto"/>
                <w:w w:val="87"/>
              </w:rPr>
              <w:t>4.3</w:t>
            </w:r>
          </w:p>
        </w:tc>
        <w:tc>
          <w:tcPr>
            <w:tcW w:w="10480" w:type="dxa"/>
            <w:vAlign w:val="bottom"/>
          </w:tcPr>
          <w:p>
            <w:pPr>
              <w:ind w:left="380"/>
              <w:spacing w:after="0"/>
              <w:rPr>
                <w:sz w:val="20"/>
                <w:szCs w:val="20"/>
                <w:color w:val="auto"/>
              </w:rPr>
            </w:pPr>
            <w:r>
              <w:rPr>
                <w:rFonts w:ascii="Arial" w:cs="Arial" w:eastAsia="Arial" w:hAnsi="Arial"/>
                <w:sz w:val="18"/>
                <w:szCs w:val="18"/>
                <w:color w:val="auto"/>
                <w:w w:val="91"/>
              </w:rPr>
              <w:t>Form of Warrant issued to stockholders (incorporated by reference to Exhibit 10.34 to the Registrant’s Form 10-K for the fiscal year ended</w:t>
            </w:r>
          </w:p>
        </w:tc>
      </w:tr>
      <w:tr>
        <w:trPr>
          <w:trHeight w:val="222"/>
        </w:trPr>
        <w:tc>
          <w:tcPr>
            <w:tcW w:w="94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December 31, 2011).</w:t>
            </w:r>
          </w:p>
        </w:tc>
      </w:tr>
      <w:tr>
        <w:trPr>
          <w:trHeight w:val="426"/>
        </w:trPr>
        <w:tc>
          <w:tcPr>
            <w:tcW w:w="940" w:type="dxa"/>
            <w:vAlign w:val="bottom"/>
          </w:tcPr>
          <w:p>
            <w:pPr>
              <w:jc w:val="center"/>
              <w:ind w:left="152"/>
              <w:spacing w:after="0"/>
              <w:rPr>
                <w:sz w:val="20"/>
                <w:szCs w:val="20"/>
                <w:color w:val="auto"/>
              </w:rPr>
            </w:pPr>
            <w:r>
              <w:rPr>
                <w:rFonts w:ascii="Arial" w:cs="Arial" w:eastAsia="Arial" w:hAnsi="Arial"/>
                <w:sz w:val="18"/>
                <w:szCs w:val="18"/>
                <w:color w:val="auto"/>
                <w:w w:val="87"/>
              </w:rPr>
              <w:t>4.4</w:t>
            </w:r>
          </w:p>
        </w:tc>
        <w:tc>
          <w:tcPr>
            <w:tcW w:w="10480" w:type="dxa"/>
            <w:vAlign w:val="bottom"/>
          </w:tcPr>
          <w:p>
            <w:pPr>
              <w:ind w:left="380"/>
              <w:spacing w:after="0"/>
              <w:rPr>
                <w:sz w:val="20"/>
                <w:szCs w:val="20"/>
                <w:color w:val="auto"/>
              </w:rPr>
            </w:pPr>
            <w:r>
              <w:rPr>
                <w:rFonts w:ascii="Arial" w:cs="Arial" w:eastAsia="Arial" w:hAnsi="Arial"/>
                <w:sz w:val="18"/>
                <w:szCs w:val="18"/>
                <w:color w:val="auto"/>
                <w:w w:val="96"/>
              </w:rPr>
              <w:t>Stockholder Protection Rights Agreement, dated July 18, 2014 between TG Therapeutics, Inc. and American Stock Transfer &amp; Trust</w:t>
            </w:r>
          </w:p>
        </w:tc>
      </w:tr>
      <w:tr>
        <w:trPr>
          <w:trHeight w:val="216"/>
        </w:trPr>
        <w:tc>
          <w:tcPr>
            <w:tcW w:w="940" w:type="dxa"/>
            <w:vAlign w:val="bottom"/>
          </w:tcPr>
          <w:p>
            <w:pPr>
              <w:spacing w:after="0"/>
              <w:rPr>
                <w:sz w:val="18"/>
                <w:szCs w:val="18"/>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w w:val="91"/>
              </w:rPr>
              <w:t>Company, LLC, as Rights Agent (incorporated by reference to Exhibit 4.1 to the Registrant?s Current Report on Form 8-K filed on July 21,</w:t>
            </w:r>
          </w:p>
        </w:tc>
      </w:tr>
      <w:tr>
        <w:trPr>
          <w:trHeight w:val="222"/>
        </w:trPr>
        <w:tc>
          <w:tcPr>
            <w:tcW w:w="94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2014).</w:t>
            </w:r>
          </w:p>
        </w:tc>
      </w:tr>
      <w:tr>
        <w:trPr>
          <w:trHeight w:val="426"/>
        </w:trPr>
        <w:tc>
          <w:tcPr>
            <w:tcW w:w="940" w:type="dxa"/>
            <w:vAlign w:val="bottom"/>
          </w:tcPr>
          <w:p>
            <w:pPr>
              <w:jc w:val="center"/>
              <w:ind w:left="132"/>
              <w:spacing w:after="0"/>
              <w:rPr>
                <w:sz w:val="20"/>
                <w:szCs w:val="20"/>
                <w:color w:val="auto"/>
              </w:rPr>
            </w:pPr>
            <w:r>
              <w:rPr>
                <w:rFonts w:ascii="Arial" w:cs="Arial" w:eastAsia="Arial" w:hAnsi="Arial"/>
                <w:sz w:val="18"/>
                <w:szCs w:val="18"/>
                <w:color w:val="auto"/>
                <w:w w:val="91"/>
              </w:rPr>
              <w:t>10.1</w:t>
            </w:r>
          </w:p>
        </w:tc>
        <w:tc>
          <w:tcPr>
            <w:tcW w:w="10480" w:type="dxa"/>
            <w:vAlign w:val="bottom"/>
          </w:tcPr>
          <w:p>
            <w:pPr>
              <w:ind w:left="380"/>
              <w:spacing w:after="0"/>
              <w:rPr>
                <w:sz w:val="20"/>
                <w:szCs w:val="20"/>
                <w:color w:val="auto"/>
              </w:rPr>
            </w:pPr>
            <w:r>
              <w:rPr>
                <w:rFonts w:ascii="Arial" w:cs="Arial" w:eastAsia="Arial" w:hAnsi="Arial"/>
                <w:sz w:val="18"/>
                <w:szCs w:val="18"/>
                <w:color w:val="auto"/>
                <w:w w:val="93"/>
              </w:rPr>
              <w:t>Amended and Restated Convertible Promissory Note, dated March 1, 2011 (incorporated by reference to Exhibit 10.1 to the Registrant’s</w:t>
            </w:r>
          </w:p>
        </w:tc>
      </w:tr>
      <w:tr>
        <w:trPr>
          <w:trHeight w:val="222"/>
        </w:trPr>
        <w:tc>
          <w:tcPr>
            <w:tcW w:w="94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Current Report on Form 8-K filed on March 7, 2011).</w:t>
            </w:r>
          </w:p>
        </w:tc>
      </w:tr>
      <w:tr>
        <w:trPr>
          <w:trHeight w:val="649"/>
        </w:trPr>
        <w:tc>
          <w:tcPr>
            <w:tcW w:w="940" w:type="dxa"/>
            <w:vAlign w:val="bottom"/>
            <w:tcBorders>
              <w:bottom w:val="single" w:sz="8" w:color="auto"/>
            </w:tcBorders>
          </w:tcPr>
          <w:p>
            <w:pPr>
              <w:spacing w:after="0"/>
              <w:rPr>
                <w:sz w:val="24"/>
                <w:szCs w:val="24"/>
                <w:color w:val="auto"/>
              </w:rPr>
            </w:pPr>
          </w:p>
        </w:tc>
        <w:tc>
          <w:tcPr>
            <w:tcW w:w="10480" w:type="dxa"/>
            <w:vAlign w:val="bottom"/>
            <w:tcBorders>
              <w:bottom w:val="single" w:sz="8" w:color="auto"/>
            </w:tcBorders>
          </w:tcPr>
          <w:p>
            <w:pPr>
              <w:ind w:left="4680"/>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420"/>
          </w:cols>
          <w:pgMar w:left="240" w:top="341" w:right="239" w:bottom="1440" w:gutter="0" w:footer="0" w:header="0"/>
        </w:sectPr>
      </w:pPr>
    </w:p>
    <w:bookmarkStart w:id="53" w:name="page54"/>
    <w:bookmarkEnd w:id="53"/>
    <w:p>
      <w:pPr>
        <w:spacing w:after="0" w:line="1" w:lineRule="exact"/>
        <w:rPr>
          <w:sz w:val="20"/>
          <w:szCs w:val="20"/>
          <w:color w:val="auto"/>
        </w:rPr>
      </w:pPr>
    </w:p>
    <w:tbl>
      <w:tblPr>
        <w:tblLayout w:type="fixed"/>
        <w:tblInd w:w="372" w:type="dxa"/>
        <w:tblCellMar>
          <w:top w:w="0" w:type="dxa"/>
          <w:left w:w="0" w:type="dxa"/>
          <w:bottom w:w="0" w:type="dxa"/>
          <w:right w:w="0" w:type="dxa"/>
        </w:tblCellMar>
      </w:tblPr>
      <w:tr>
        <w:trPr>
          <w:trHeight w:val="216"/>
        </w:trPr>
        <w:tc>
          <w:tcPr>
            <w:tcW w:w="660" w:type="dxa"/>
            <w:vAlign w:val="bottom"/>
          </w:tcPr>
          <w:p>
            <w:pPr>
              <w:jc w:val="center"/>
              <w:ind w:right="172"/>
              <w:spacing w:after="0"/>
              <w:rPr>
                <w:sz w:val="20"/>
                <w:szCs w:val="20"/>
                <w:color w:val="auto"/>
              </w:rPr>
            </w:pPr>
            <w:r>
              <w:rPr>
                <w:rFonts w:ascii="Arial" w:cs="Arial" w:eastAsia="Arial" w:hAnsi="Arial"/>
                <w:sz w:val="18"/>
                <w:szCs w:val="18"/>
                <w:color w:val="auto"/>
                <w:w w:val="91"/>
              </w:rPr>
              <w:t>10.2</w:t>
            </w:r>
          </w:p>
        </w:tc>
        <w:tc>
          <w:tcPr>
            <w:tcW w:w="10260" w:type="dxa"/>
            <w:vAlign w:val="bottom"/>
          </w:tcPr>
          <w:p>
            <w:pPr>
              <w:ind w:left="280"/>
              <w:spacing w:after="0"/>
              <w:rPr>
                <w:sz w:val="20"/>
                <w:szCs w:val="20"/>
                <w:color w:val="auto"/>
              </w:rPr>
            </w:pPr>
            <w:r>
              <w:rPr>
                <w:rFonts w:ascii="Arial" w:cs="Arial" w:eastAsia="Arial" w:hAnsi="Arial"/>
                <w:sz w:val="18"/>
                <w:szCs w:val="18"/>
                <w:color w:val="auto"/>
                <w:w w:val="92"/>
              </w:rPr>
              <w:t>Employment Agreement, effective December 29, 2011, between the Registrant and Michael Weiss (incorporated by reference to Exhibit</w:t>
            </w:r>
          </w:p>
        </w:tc>
      </w:tr>
      <w:tr>
        <w:trPr>
          <w:trHeight w:val="222"/>
        </w:trPr>
        <w:tc>
          <w:tcPr>
            <w:tcW w:w="660" w:type="dxa"/>
            <w:vAlign w:val="bottom"/>
          </w:tcPr>
          <w:p>
            <w:pPr>
              <w:spacing w:after="0"/>
              <w:rPr>
                <w:sz w:val="19"/>
                <w:szCs w:val="19"/>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10.30 to the Registrant’s Form 10-K for the fiscal year ended December 31, 2011). †</w:t>
            </w:r>
          </w:p>
        </w:tc>
      </w:tr>
      <w:tr>
        <w:trPr>
          <w:trHeight w:val="426"/>
        </w:trPr>
        <w:tc>
          <w:tcPr>
            <w:tcW w:w="660" w:type="dxa"/>
            <w:vAlign w:val="bottom"/>
          </w:tcPr>
          <w:p>
            <w:pPr>
              <w:jc w:val="center"/>
              <w:ind w:right="172"/>
              <w:spacing w:after="0"/>
              <w:rPr>
                <w:sz w:val="20"/>
                <w:szCs w:val="20"/>
                <w:color w:val="auto"/>
              </w:rPr>
            </w:pPr>
            <w:r>
              <w:rPr>
                <w:rFonts w:ascii="Arial" w:cs="Arial" w:eastAsia="Arial" w:hAnsi="Arial"/>
                <w:sz w:val="18"/>
                <w:szCs w:val="18"/>
                <w:color w:val="auto"/>
                <w:w w:val="91"/>
              </w:rPr>
              <w:t>10.3</w:t>
            </w:r>
          </w:p>
        </w:tc>
        <w:tc>
          <w:tcPr>
            <w:tcW w:w="10260" w:type="dxa"/>
            <w:vAlign w:val="bottom"/>
          </w:tcPr>
          <w:p>
            <w:pPr>
              <w:ind w:left="280"/>
              <w:spacing w:after="0"/>
              <w:rPr>
                <w:sz w:val="20"/>
                <w:szCs w:val="20"/>
                <w:color w:val="auto"/>
              </w:rPr>
            </w:pPr>
            <w:r>
              <w:rPr>
                <w:rFonts w:ascii="Arial" w:cs="Arial" w:eastAsia="Arial" w:hAnsi="Arial"/>
                <w:sz w:val="18"/>
                <w:szCs w:val="18"/>
                <w:color w:val="auto"/>
                <w:w w:val="94"/>
              </w:rPr>
              <w:t>Restricted Stock Subscription Agreement, effective December 29, 2011, between the Registrant and Michael Weiss (incorporated by</w:t>
            </w:r>
          </w:p>
        </w:tc>
      </w:tr>
      <w:tr>
        <w:trPr>
          <w:trHeight w:val="222"/>
        </w:trPr>
        <w:tc>
          <w:tcPr>
            <w:tcW w:w="660" w:type="dxa"/>
            <w:vAlign w:val="bottom"/>
          </w:tcPr>
          <w:p>
            <w:pPr>
              <w:spacing w:after="0"/>
              <w:rPr>
                <w:sz w:val="19"/>
                <w:szCs w:val="19"/>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reference to Exhibit 10.31 to the Registrant’s Form 10-K for the fiscal year ended December 31, 2011). †</w:t>
            </w:r>
          </w:p>
        </w:tc>
      </w:tr>
      <w:tr>
        <w:trPr>
          <w:trHeight w:val="426"/>
        </w:trPr>
        <w:tc>
          <w:tcPr>
            <w:tcW w:w="660" w:type="dxa"/>
            <w:vAlign w:val="bottom"/>
          </w:tcPr>
          <w:p>
            <w:pPr>
              <w:jc w:val="center"/>
              <w:ind w:right="172"/>
              <w:spacing w:after="0"/>
              <w:rPr>
                <w:sz w:val="20"/>
                <w:szCs w:val="20"/>
                <w:color w:val="auto"/>
              </w:rPr>
            </w:pPr>
            <w:r>
              <w:rPr>
                <w:rFonts w:ascii="Arial" w:cs="Arial" w:eastAsia="Arial" w:hAnsi="Arial"/>
                <w:sz w:val="18"/>
                <w:szCs w:val="18"/>
                <w:color w:val="auto"/>
                <w:w w:val="91"/>
              </w:rPr>
              <w:t>10.4</w:t>
            </w:r>
          </w:p>
        </w:tc>
        <w:tc>
          <w:tcPr>
            <w:tcW w:w="10260" w:type="dxa"/>
            <w:vAlign w:val="bottom"/>
          </w:tcPr>
          <w:p>
            <w:pPr>
              <w:ind w:left="280"/>
              <w:spacing w:after="0"/>
              <w:rPr>
                <w:sz w:val="20"/>
                <w:szCs w:val="20"/>
                <w:color w:val="auto"/>
              </w:rPr>
            </w:pPr>
            <w:r>
              <w:rPr>
                <w:rFonts w:ascii="Arial" w:cs="Arial" w:eastAsia="Arial" w:hAnsi="Arial"/>
                <w:sz w:val="18"/>
                <w:szCs w:val="18"/>
                <w:color w:val="auto"/>
                <w:w w:val="89"/>
              </w:rPr>
              <w:t>Amendment to Restricted Stock Agreement, dated July 12, 2013, by and between TG Therapeutics, Inc. and Michael S. Weiss (incorporated</w:t>
            </w:r>
          </w:p>
        </w:tc>
      </w:tr>
      <w:tr>
        <w:trPr>
          <w:trHeight w:val="222"/>
        </w:trPr>
        <w:tc>
          <w:tcPr>
            <w:tcW w:w="660" w:type="dxa"/>
            <w:vAlign w:val="bottom"/>
          </w:tcPr>
          <w:p>
            <w:pPr>
              <w:spacing w:after="0"/>
              <w:rPr>
                <w:sz w:val="19"/>
                <w:szCs w:val="19"/>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by reference to Exhibit 10.1 to the Registrant’s Current Report on Form 8-K filed on July 16, 2013). †</w:t>
            </w:r>
          </w:p>
        </w:tc>
      </w:tr>
      <w:tr>
        <w:trPr>
          <w:trHeight w:val="426"/>
        </w:trPr>
        <w:tc>
          <w:tcPr>
            <w:tcW w:w="660" w:type="dxa"/>
            <w:vAlign w:val="bottom"/>
          </w:tcPr>
          <w:p>
            <w:pPr>
              <w:jc w:val="center"/>
              <w:ind w:right="172"/>
              <w:spacing w:after="0"/>
              <w:rPr>
                <w:sz w:val="20"/>
                <w:szCs w:val="20"/>
                <w:color w:val="auto"/>
              </w:rPr>
            </w:pPr>
            <w:r>
              <w:rPr>
                <w:rFonts w:ascii="Arial" w:cs="Arial" w:eastAsia="Arial" w:hAnsi="Arial"/>
                <w:sz w:val="18"/>
                <w:szCs w:val="18"/>
                <w:color w:val="auto"/>
                <w:w w:val="91"/>
              </w:rPr>
              <w:t>10.5</w:t>
            </w:r>
          </w:p>
        </w:tc>
        <w:tc>
          <w:tcPr>
            <w:tcW w:w="10260" w:type="dxa"/>
            <w:vAlign w:val="bottom"/>
          </w:tcPr>
          <w:p>
            <w:pPr>
              <w:ind w:left="280"/>
              <w:spacing w:after="0"/>
              <w:rPr>
                <w:sz w:val="20"/>
                <w:szCs w:val="20"/>
                <w:color w:val="auto"/>
              </w:rPr>
            </w:pPr>
            <w:r>
              <w:rPr>
                <w:rFonts w:ascii="Arial" w:cs="Arial" w:eastAsia="Arial" w:hAnsi="Arial"/>
                <w:sz w:val="18"/>
                <w:szCs w:val="18"/>
                <w:color w:val="auto"/>
                <w:w w:val="93"/>
              </w:rPr>
              <w:t>Amendment to Restricted Stock Agreements, dated December 31, 2014, by and between TG Therapeutics, Inc. and Michael S. Weiss</w:t>
            </w:r>
          </w:p>
        </w:tc>
      </w:tr>
      <w:tr>
        <w:trPr>
          <w:trHeight w:val="222"/>
        </w:trPr>
        <w:tc>
          <w:tcPr>
            <w:tcW w:w="660" w:type="dxa"/>
            <w:vAlign w:val="bottom"/>
          </w:tcPr>
          <w:p>
            <w:pPr>
              <w:spacing w:after="0"/>
              <w:rPr>
                <w:sz w:val="19"/>
                <w:szCs w:val="19"/>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10.1 to the Registrant’s Current Report on Form 8-K filed on January 7, 2015). †</w:t>
            </w:r>
          </w:p>
        </w:tc>
      </w:tr>
      <w:tr>
        <w:trPr>
          <w:trHeight w:val="426"/>
        </w:trPr>
        <w:tc>
          <w:tcPr>
            <w:tcW w:w="660" w:type="dxa"/>
            <w:vAlign w:val="bottom"/>
          </w:tcPr>
          <w:p>
            <w:pPr>
              <w:jc w:val="center"/>
              <w:ind w:right="172"/>
              <w:spacing w:after="0"/>
              <w:rPr>
                <w:sz w:val="20"/>
                <w:szCs w:val="20"/>
                <w:color w:val="auto"/>
              </w:rPr>
            </w:pPr>
            <w:r>
              <w:rPr>
                <w:rFonts w:ascii="Arial" w:cs="Arial" w:eastAsia="Arial" w:hAnsi="Arial"/>
                <w:sz w:val="18"/>
                <w:szCs w:val="18"/>
                <w:color w:val="auto"/>
                <w:w w:val="91"/>
              </w:rPr>
              <w:t>10.6</w:t>
            </w:r>
          </w:p>
        </w:tc>
        <w:tc>
          <w:tcPr>
            <w:tcW w:w="10260" w:type="dxa"/>
            <w:vAlign w:val="bottom"/>
          </w:tcPr>
          <w:p>
            <w:pPr>
              <w:ind w:left="280"/>
              <w:spacing w:after="0"/>
              <w:rPr>
                <w:sz w:val="20"/>
                <w:szCs w:val="20"/>
                <w:color w:val="auto"/>
              </w:rPr>
            </w:pPr>
            <w:r>
              <w:rPr>
                <w:rFonts w:ascii="Arial" w:cs="Arial" w:eastAsia="Arial" w:hAnsi="Arial"/>
                <w:sz w:val="18"/>
                <w:szCs w:val="18"/>
                <w:color w:val="auto"/>
                <w:w w:val="88"/>
              </w:rPr>
              <w:t>Employment Agreement, effective December 29, 2011, between the Registrant and Sean Power (incorporated by reference to Exhibit 10.32 to</w:t>
            </w:r>
          </w:p>
        </w:tc>
      </w:tr>
      <w:tr>
        <w:trPr>
          <w:trHeight w:val="222"/>
        </w:trPr>
        <w:tc>
          <w:tcPr>
            <w:tcW w:w="660" w:type="dxa"/>
            <w:vAlign w:val="bottom"/>
          </w:tcPr>
          <w:p>
            <w:pPr>
              <w:spacing w:after="0"/>
              <w:rPr>
                <w:sz w:val="19"/>
                <w:szCs w:val="19"/>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the Registrant’s Form 10-K for the fiscal year ended December 31, 2011). †</w:t>
            </w:r>
          </w:p>
        </w:tc>
      </w:tr>
      <w:tr>
        <w:trPr>
          <w:trHeight w:val="426"/>
        </w:trPr>
        <w:tc>
          <w:tcPr>
            <w:tcW w:w="660" w:type="dxa"/>
            <w:vAlign w:val="bottom"/>
          </w:tcPr>
          <w:p>
            <w:pPr>
              <w:jc w:val="center"/>
              <w:ind w:right="172"/>
              <w:spacing w:after="0"/>
              <w:rPr>
                <w:sz w:val="20"/>
                <w:szCs w:val="20"/>
                <w:color w:val="auto"/>
              </w:rPr>
            </w:pPr>
            <w:r>
              <w:rPr>
                <w:rFonts w:ascii="Arial" w:cs="Arial" w:eastAsia="Arial" w:hAnsi="Arial"/>
                <w:sz w:val="18"/>
                <w:szCs w:val="18"/>
                <w:color w:val="auto"/>
                <w:w w:val="91"/>
              </w:rPr>
              <w:t>10.7</w:t>
            </w:r>
          </w:p>
        </w:tc>
        <w:tc>
          <w:tcPr>
            <w:tcW w:w="10260" w:type="dxa"/>
            <w:vAlign w:val="bottom"/>
          </w:tcPr>
          <w:p>
            <w:pPr>
              <w:ind w:left="280"/>
              <w:spacing w:after="0"/>
              <w:rPr>
                <w:sz w:val="20"/>
                <w:szCs w:val="20"/>
                <w:color w:val="auto"/>
              </w:rPr>
            </w:pPr>
            <w:r>
              <w:rPr>
                <w:rFonts w:ascii="Arial" w:cs="Arial" w:eastAsia="Arial" w:hAnsi="Arial"/>
                <w:sz w:val="18"/>
                <w:szCs w:val="18"/>
                <w:color w:val="auto"/>
                <w:w w:val="87"/>
              </w:rPr>
              <w:t>Restricted Stock Subscription Agreement, effective December 29, 2011 between the Registrant and Sean Power (incorporated by reference to</w:t>
            </w:r>
          </w:p>
        </w:tc>
      </w:tr>
      <w:tr>
        <w:trPr>
          <w:trHeight w:val="222"/>
        </w:trPr>
        <w:tc>
          <w:tcPr>
            <w:tcW w:w="660" w:type="dxa"/>
            <w:vAlign w:val="bottom"/>
          </w:tcPr>
          <w:p>
            <w:pPr>
              <w:spacing w:after="0"/>
              <w:rPr>
                <w:sz w:val="19"/>
                <w:szCs w:val="19"/>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Exhibit 10.33 to the Registrant’s Form 10-K for the fiscal year ended December 31, 2011). †</w:t>
            </w:r>
          </w:p>
        </w:tc>
      </w:tr>
      <w:tr>
        <w:trPr>
          <w:trHeight w:val="426"/>
        </w:trPr>
        <w:tc>
          <w:tcPr>
            <w:tcW w:w="660" w:type="dxa"/>
            <w:vAlign w:val="bottom"/>
          </w:tcPr>
          <w:p>
            <w:pPr>
              <w:jc w:val="center"/>
              <w:ind w:right="172"/>
              <w:spacing w:after="0"/>
              <w:rPr>
                <w:sz w:val="20"/>
                <w:szCs w:val="20"/>
                <w:color w:val="auto"/>
              </w:rPr>
            </w:pPr>
            <w:r>
              <w:rPr>
                <w:rFonts w:ascii="Arial" w:cs="Arial" w:eastAsia="Arial" w:hAnsi="Arial"/>
                <w:sz w:val="18"/>
                <w:szCs w:val="18"/>
                <w:color w:val="auto"/>
                <w:w w:val="91"/>
              </w:rPr>
              <w:t>10.8</w:t>
            </w:r>
          </w:p>
        </w:tc>
        <w:tc>
          <w:tcPr>
            <w:tcW w:w="10260" w:type="dxa"/>
            <w:vAlign w:val="bottom"/>
          </w:tcPr>
          <w:p>
            <w:pPr>
              <w:ind w:left="280"/>
              <w:spacing w:after="0"/>
              <w:rPr>
                <w:sz w:val="20"/>
                <w:szCs w:val="20"/>
                <w:color w:val="auto"/>
              </w:rPr>
            </w:pPr>
            <w:r>
              <w:rPr>
                <w:rFonts w:ascii="Arial" w:cs="Arial" w:eastAsia="Arial" w:hAnsi="Arial"/>
                <w:sz w:val="18"/>
                <w:szCs w:val="18"/>
                <w:color w:val="auto"/>
                <w:w w:val="88"/>
              </w:rPr>
              <w:t>Amendment to Restricted Stock Agreement, dated July 12, 2013, by and between TG Therapeutics, Inc. and Sean A. Power (incorporated by</w:t>
            </w:r>
          </w:p>
        </w:tc>
      </w:tr>
      <w:tr>
        <w:trPr>
          <w:trHeight w:val="222"/>
        </w:trPr>
        <w:tc>
          <w:tcPr>
            <w:tcW w:w="660" w:type="dxa"/>
            <w:vAlign w:val="bottom"/>
          </w:tcPr>
          <w:p>
            <w:pPr>
              <w:spacing w:after="0"/>
              <w:rPr>
                <w:sz w:val="19"/>
                <w:szCs w:val="19"/>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reference to Exhibit 10.2 to the Registrant’s Current Report on Form 8-K filed on July 16, 2013). †</w:t>
            </w:r>
          </w:p>
        </w:tc>
      </w:tr>
      <w:tr>
        <w:trPr>
          <w:trHeight w:val="426"/>
        </w:trPr>
        <w:tc>
          <w:tcPr>
            <w:tcW w:w="660" w:type="dxa"/>
            <w:vAlign w:val="bottom"/>
          </w:tcPr>
          <w:p>
            <w:pPr>
              <w:jc w:val="center"/>
              <w:ind w:right="172"/>
              <w:spacing w:after="0"/>
              <w:rPr>
                <w:sz w:val="20"/>
                <w:szCs w:val="20"/>
                <w:color w:val="auto"/>
              </w:rPr>
            </w:pPr>
            <w:r>
              <w:rPr>
                <w:rFonts w:ascii="Arial" w:cs="Arial" w:eastAsia="Arial" w:hAnsi="Arial"/>
                <w:sz w:val="18"/>
                <w:szCs w:val="18"/>
                <w:color w:val="auto"/>
                <w:w w:val="91"/>
              </w:rPr>
              <w:t>10.9</w:t>
            </w:r>
          </w:p>
        </w:tc>
        <w:tc>
          <w:tcPr>
            <w:tcW w:w="10260" w:type="dxa"/>
            <w:vAlign w:val="bottom"/>
          </w:tcPr>
          <w:p>
            <w:pPr>
              <w:ind w:left="280"/>
              <w:spacing w:after="0"/>
              <w:rPr>
                <w:sz w:val="20"/>
                <w:szCs w:val="20"/>
                <w:color w:val="auto"/>
              </w:rPr>
            </w:pPr>
            <w:r>
              <w:rPr>
                <w:rFonts w:ascii="Arial" w:cs="Arial" w:eastAsia="Arial" w:hAnsi="Arial"/>
                <w:sz w:val="18"/>
                <w:szCs w:val="18"/>
                <w:color w:val="auto"/>
                <w:w w:val="94"/>
              </w:rPr>
              <w:t>Amendment to Restricted Stock Agreements, dated December 31, 2014, by and between TG Therapeutics, Inc. and Sean A. Power</w:t>
            </w:r>
          </w:p>
        </w:tc>
      </w:tr>
      <w:tr>
        <w:trPr>
          <w:trHeight w:val="222"/>
        </w:trPr>
        <w:tc>
          <w:tcPr>
            <w:tcW w:w="660" w:type="dxa"/>
            <w:vAlign w:val="bottom"/>
          </w:tcPr>
          <w:p>
            <w:pPr>
              <w:spacing w:after="0"/>
              <w:rPr>
                <w:sz w:val="19"/>
                <w:szCs w:val="19"/>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10.2 to the Registrant’s Current Report on Form 8-K filed on January 7, 2015). †</w:t>
            </w:r>
          </w:p>
        </w:tc>
      </w:tr>
      <w:tr>
        <w:trPr>
          <w:trHeight w:val="426"/>
        </w:trPr>
        <w:tc>
          <w:tcPr>
            <w:tcW w:w="660" w:type="dxa"/>
            <w:vAlign w:val="bottom"/>
          </w:tcPr>
          <w:p>
            <w:pPr>
              <w:jc w:val="center"/>
              <w:ind w:right="172"/>
              <w:spacing w:after="0"/>
              <w:rPr>
                <w:sz w:val="20"/>
                <w:szCs w:val="20"/>
                <w:color w:val="auto"/>
              </w:rPr>
            </w:pPr>
            <w:r>
              <w:rPr>
                <w:rFonts w:ascii="Arial" w:cs="Arial" w:eastAsia="Arial" w:hAnsi="Arial"/>
                <w:sz w:val="18"/>
                <w:szCs w:val="18"/>
                <w:color w:val="auto"/>
                <w:w w:val="88"/>
              </w:rPr>
              <w:t>10.10</w:t>
            </w:r>
          </w:p>
        </w:tc>
        <w:tc>
          <w:tcPr>
            <w:tcW w:w="10260" w:type="dxa"/>
            <w:vAlign w:val="bottom"/>
          </w:tcPr>
          <w:p>
            <w:pPr>
              <w:ind w:left="280"/>
              <w:spacing w:after="0"/>
              <w:rPr>
                <w:sz w:val="20"/>
                <w:szCs w:val="20"/>
                <w:color w:val="auto"/>
              </w:rPr>
            </w:pPr>
            <w:r>
              <w:rPr>
                <w:rFonts w:ascii="Arial" w:cs="Arial" w:eastAsia="Arial" w:hAnsi="Arial"/>
                <w:sz w:val="18"/>
                <w:szCs w:val="18"/>
                <w:color w:val="auto"/>
                <w:w w:val="92"/>
              </w:rPr>
              <w:t>License Agreement, dated January 30, 2012, by and among the Registrant, GTC Biotherapeutics, Inc., LFB Biotechnologies S.A.S. and</w:t>
            </w:r>
          </w:p>
        </w:tc>
      </w:tr>
      <w:tr>
        <w:trPr>
          <w:trHeight w:val="222"/>
        </w:trPr>
        <w:tc>
          <w:tcPr>
            <w:tcW w:w="660" w:type="dxa"/>
            <w:vAlign w:val="bottom"/>
          </w:tcPr>
          <w:p>
            <w:pPr>
              <w:spacing w:after="0"/>
              <w:rPr>
                <w:sz w:val="19"/>
                <w:szCs w:val="19"/>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w w:val="92"/>
              </w:rPr>
              <w:t>LFB/GTC LLC (incorporated by reference to Exhibit 10.35 to the Registrant’s Form 10-K for the fiscal year ended December 31, 2011). *</w:t>
            </w:r>
          </w:p>
        </w:tc>
      </w:tr>
      <w:tr>
        <w:trPr>
          <w:trHeight w:val="426"/>
        </w:trPr>
        <w:tc>
          <w:tcPr>
            <w:tcW w:w="660" w:type="dxa"/>
            <w:vAlign w:val="bottom"/>
          </w:tcPr>
          <w:p>
            <w:pPr>
              <w:jc w:val="center"/>
              <w:ind w:right="172"/>
              <w:spacing w:after="0"/>
              <w:rPr>
                <w:sz w:val="20"/>
                <w:szCs w:val="20"/>
                <w:color w:val="auto"/>
              </w:rPr>
            </w:pPr>
            <w:r>
              <w:rPr>
                <w:rFonts w:ascii="Arial" w:cs="Arial" w:eastAsia="Arial" w:hAnsi="Arial"/>
                <w:sz w:val="18"/>
                <w:szCs w:val="18"/>
                <w:color w:val="auto"/>
                <w:w w:val="88"/>
              </w:rPr>
              <w:t>10.11</w:t>
            </w:r>
          </w:p>
        </w:tc>
        <w:tc>
          <w:tcPr>
            <w:tcW w:w="10260" w:type="dxa"/>
            <w:vAlign w:val="bottom"/>
          </w:tcPr>
          <w:p>
            <w:pPr>
              <w:ind w:left="280"/>
              <w:spacing w:after="0"/>
              <w:rPr>
                <w:sz w:val="20"/>
                <w:szCs w:val="20"/>
                <w:color w:val="auto"/>
              </w:rPr>
            </w:pPr>
            <w:r>
              <w:rPr>
                <w:rFonts w:ascii="Arial" w:cs="Arial" w:eastAsia="Arial" w:hAnsi="Arial"/>
                <w:sz w:val="18"/>
                <w:szCs w:val="18"/>
                <w:color w:val="auto"/>
                <w:w w:val="91"/>
              </w:rPr>
              <w:t>TG Therapeutics, Inc. Amended and Restated 2012 Incentive Plan, dated May 14, 2012 (incorporated by reference to Exhibit 10.1 to the</w:t>
            </w:r>
          </w:p>
        </w:tc>
      </w:tr>
      <w:tr>
        <w:trPr>
          <w:trHeight w:val="222"/>
        </w:trPr>
        <w:tc>
          <w:tcPr>
            <w:tcW w:w="660" w:type="dxa"/>
            <w:vAlign w:val="bottom"/>
          </w:tcPr>
          <w:p>
            <w:pPr>
              <w:spacing w:after="0"/>
              <w:rPr>
                <w:sz w:val="19"/>
                <w:szCs w:val="19"/>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Registrant’s Form 10-Q/A for the quarter ended March 31, 2012).</w:t>
            </w:r>
          </w:p>
        </w:tc>
      </w:tr>
      <w:tr>
        <w:trPr>
          <w:trHeight w:val="426"/>
        </w:trPr>
        <w:tc>
          <w:tcPr>
            <w:tcW w:w="660" w:type="dxa"/>
            <w:vAlign w:val="bottom"/>
          </w:tcPr>
          <w:p>
            <w:pPr>
              <w:jc w:val="center"/>
              <w:ind w:right="172"/>
              <w:spacing w:after="0"/>
              <w:rPr>
                <w:sz w:val="20"/>
                <w:szCs w:val="20"/>
                <w:color w:val="auto"/>
              </w:rPr>
            </w:pPr>
            <w:r>
              <w:rPr>
                <w:rFonts w:ascii="Arial" w:cs="Arial" w:eastAsia="Arial" w:hAnsi="Arial"/>
                <w:sz w:val="18"/>
                <w:szCs w:val="18"/>
                <w:color w:val="auto"/>
                <w:w w:val="88"/>
              </w:rPr>
              <w:t>10.12</w:t>
            </w:r>
          </w:p>
        </w:tc>
        <w:tc>
          <w:tcPr>
            <w:tcW w:w="10260" w:type="dxa"/>
            <w:vAlign w:val="bottom"/>
          </w:tcPr>
          <w:p>
            <w:pPr>
              <w:ind w:left="280"/>
              <w:spacing w:after="0"/>
              <w:rPr>
                <w:sz w:val="20"/>
                <w:szCs w:val="20"/>
                <w:color w:val="auto"/>
              </w:rPr>
            </w:pPr>
            <w:r>
              <w:rPr>
                <w:rFonts w:ascii="Arial" w:cs="Arial" w:eastAsia="Arial" w:hAnsi="Arial"/>
                <w:sz w:val="18"/>
                <w:szCs w:val="18"/>
                <w:color w:val="auto"/>
                <w:w w:val="96"/>
              </w:rPr>
              <w:t>First Amendment to TG Therapeutics, Inc. Amended and Restated 2012 Incentive Plan, filed with the Registrant’s Definitive Proxy</w:t>
            </w:r>
          </w:p>
        </w:tc>
      </w:tr>
      <w:tr>
        <w:trPr>
          <w:trHeight w:val="222"/>
        </w:trPr>
        <w:tc>
          <w:tcPr>
            <w:tcW w:w="660" w:type="dxa"/>
            <w:vAlign w:val="bottom"/>
          </w:tcPr>
          <w:p>
            <w:pPr>
              <w:spacing w:after="0"/>
              <w:rPr>
                <w:sz w:val="19"/>
                <w:szCs w:val="19"/>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w w:val="97"/>
              </w:rPr>
              <w:t>Statement for the Annual Meeting of Stockholders on June 4, 2015, filed on April 24, 2015, and incorporated herein by reference.</w:t>
            </w:r>
          </w:p>
        </w:tc>
      </w:tr>
      <w:tr>
        <w:trPr>
          <w:trHeight w:val="426"/>
        </w:trPr>
        <w:tc>
          <w:tcPr>
            <w:tcW w:w="660" w:type="dxa"/>
            <w:vAlign w:val="bottom"/>
          </w:tcPr>
          <w:p>
            <w:pPr>
              <w:jc w:val="center"/>
              <w:ind w:right="172"/>
              <w:spacing w:after="0"/>
              <w:rPr>
                <w:sz w:val="20"/>
                <w:szCs w:val="20"/>
                <w:color w:val="auto"/>
              </w:rPr>
            </w:pPr>
            <w:r>
              <w:rPr>
                <w:rFonts w:ascii="Arial" w:cs="Arial" w:eastAsia="Arial" w:hAnsi="Arial"/>
                <w:sz w:val="18"/>
                <w:szCs w:val="18"/>
                <w:color w:val="auto"/>
                <w:w w:val="88"/>
              </w:rPr>
              <w:t>10.13</w:t>
            </w:r>
          </w:p>
        </w:tc>
        <w:tc>
          <w:tcPr>
            <w:tcW w:w="10260" w:type="dxa"/>
            <w:vAlign w:val="bottom"/>
          </w:tcPr>
          <w:p>
            <w:pPr>
              <w:ind w:left="280"/>
              <w:spacing w:after="0"/>
              <w:rPr>
                <w:sz w:val="20"/>
                <w:szCs w:val="20"/>
                <w:color w:val="auto"/>
              </w:rPr>
            </w:pPr>
            <w:r>
              <w:rPr>
                <w:rFonts w:ascii="Arial" w:cs="Arial" w:eastAsia="Arial" w:hAnsi="Arial"/>
                <w:sz w:val="18"/>
                <w:szCs w:val="18"/>
                <w:color w:val="auto"/>
                <w:w w:val="92"/>
              </w:rPr>
              <w:t>Sublicense Agreement between TG Therapeutics, Inc. and Ildong Pharmaceutical Co. Ltd., dated November 13, 2012 (incorporated by</w:t>
            </w:r>
          </w:p>
        </w:tc>
      </w:tr>
      <w:tr>
        <w:trPr>
          <w:trHeight w:val="222"/>
        </w:trPr>
        <w:tc>
          <w:tcPr>
            <w:tcW w:w="660" w:type="dxa"/>
            <w:vAlign w:val="bottom"/>
          </w:tcPr>
          <w:p>
            <w:pPr>
              <w:spacing w:after="0"/>
              <w:rPr>
                <w:sz w:val="19"/>
                <w:szCs w:val="19"/>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reference to Exhibit 10.37 to the Registrant’s Form 10-K for the fiscal year ended December 31, 2012). *</w:t>
            </w:r>
          </w:p>
        </w:tc>
      </w:tr>
      <w:tr>
        <w:trPr>
          <w:trHeight w:val="426"/>
        </w:trPr>
        <w:tc>
          <w:tcPr>
            <w:tcW w:w="660" w:type="dxa"/>
            <w:vAlign w:val="bottom"/>
          </w:tcPr>
          <w:p>
            <w:pPr>
              <w:jc w:val="center"/>
              <w:ind w:right="172"/>
              <w:spacing w:after="0"/>
              <w:rPr>
                <w:sz w:val="20"/>
                <w:szCs w:val="20"/>
                <w:color w:val="auto"/>
              </w:rPr>
            </w:pPr>
            <w:r>
              <w:rPr>
                <w:rFonts w:ascii="Arial" w:cs="Arial" w:eastAsia="Arial" w:hAnsi="Arial"/>
                <w:sz w:val="18"/>
                <w:szCs w:val="18"/>
                <w:color w:val="auto"/>
                <w:w w:val="88"/>
              </w:rPr>
              <w:t>10.14</w:t>
            </w:r>
          </w:p>
        </w:tc>
        <w:tc>
          <w:tcPr>
            <w:tcW w:w="10260" w:type="dxa"/>
            <w:vAlign w:val="bottom"/>
          </w:tcPr>
          <w:p>
            <w:pPr>
              <w:ind w:left="280"/>
              <w:spacing w:after="0"/>
              <w:rPr>
                <w:sz w:val="20"/>
                <w:szCs w:val="20"/>
                <w:color w:val="auto"/>
              </w:rPr>
            </w:pPr>
            <w:r>
              <w:rPr>
                <w:rFonts w:ascii="Arial" w:cs="Arial" w:eastAsia="Arial" w:hAnsi="Arial"/>
                <w:sz w:val="18"/>
                <w:szCs w:val="18"/>
                <w:color w:val="auto"/>
                <w:w w:val="87"/>
              </w:rPr>
              <w:t>License Agreement between TG Therapeutics, Inc. and Ligand Pharmaceuticals Incorporated, dated June 23, 2014 (incorporated by reference</w:t>
            </w:r>
          </w:p>
        </w:tc>
      </w:tr>
      <w:tr>
        <w:trPr>
          <w:trHeight w:val="222"/>
        </w:trPr>
        <w:tc>
          <w:tcPr>
            <w:tcW w:w="660" w:type="dxa"/>
            <w:vAlign w:val="bottom"/>
          </w:tcPr>
          <w:p>
            <w:pPr>
              <w:spacing w:after="0"/>
              <w:rPr>
                <w:sz w:val="19"/>
                <w:szCs w:val="19"/>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to Exhibit 10.1 to the Registrant’s Form 10-Q for the quarter ended June 30, 2014).*</w:t>
            </w:r>
          </w:p>
        </w:tc>
      </w:tr>
      <w:tr>
        <w:trPr>
          <w:trHeight w:val="426"/>
        </w:trPr>
        <w:tc>
          <w:tcPr>
            <w:tcW w:w="660" w:type="dxa"/>
            <w:vAlign w:val="bottom"/>
          </w:tcPr>
          <w:p>
            <w:pPr>
              <w:jc w:val="center"/>
              <w:ind w:right="172"/>
              <w:spacing w:after="0"/>
              <w:rPr>
                <w:sz w:val="20"/>
                <w:szCs w:val="20"/>
                <w:color w:val="auto"/>
              </w:rPr>
            </w:pPr>
            <w:r>
              <w:rPr>
                <w:rFonts w:ascii="Arial" w:cs="Arial" w:eastAsia="Arial" w:hAnsi="Arial"/>
                <w:sz w:val="18"/>
                <w:szCs w:val="18"/>
                <w:color w:val="auto"/>
                <w:w w:val="88"/>
              </w:rPr>
              <w:t>10.15</w:t>
            </w:r>
          </w:p>
        </w:tc>
        <w:tc>
          <w:tcPr>
            <w:tcW w:w="10260" w:type="dxa"/>
            <w:vAlign w:val="bottom"/>
          </w:tcPr>
          <w:p>
            <w:pPr>
              <w:ind w:left="280"/>
              <w:spacing w:after="0"/>
              <w:rPr>
                <w:sz w:val="20"/>
                <w:szCs w:val="20"/>
                <w:color w:val="auto"/>
              </w:rPr>
            </w:pPr>
            <w:r>
              <w:rPr>
                <w:rFonts w:ascii="Arial" w:cs="Arial" w:eastAsia="Arial" w:hAnsi="Arial"/>
                <w:sz w:val="18"/>
                <w:szCs w:val="18"/>
                <w:color w:val="auto"/>
                <w:w w:val="88"/>
              </w:rPr>
              <w:t>Licensing Agreement between TG Therapeutics, Inc. and Rhizen Pharmaceuticals SA, dated September 22, 2014 (incorporated by reference</w:t>
            </w:r>
          </w:p>
        </w:tc>
      </w:tr>
      <w:tr>
        <w:trPr>
          <w:trHeight w:val="222"/>
        </w:trPr>
        <w:tc>
          <w:tcPr>
            <w:tcW w:w="660" w:type="dxa"/>
            <w:vAlign w:val="bottom"/>
          </w:tcPr>
          <w:p>
            <w:pPr>
              <w:spacing w:after="0"/>
              <w:rPr>
                <w:sz w:val="19"/>
                <w:szCs w:val="19"/>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to Exhibit 10.1 to the Registrant’s Current Report on Form 8-K filed on January 20, 2015). *</w:t>
            </w:r>
          </w:p>
        </w:tc>
      </w:tr>
      <w:tr>
        <w:trPr>
          <w:trHeight w:val="426"/>
        </w:trPr>
        <w:tc>
          <w:tcPr>
            <w:tcW w:w="660" w:type="dxa"/>
            <w:vAlign w:val="bottom"/>
          </w:tcPr>
          <w:p>
            <w:pPr>
              <w:jc w:val="center"/>
              <w:ind w:right="172"/>
              <w:spacing w:after="0"/>
              <w:rPr>
                <w:sz w:val="20"/>
                <w:szCs w:val="20"/>
                <w:color w:val="auto"/>
              </w:rPr>
            </w:pPr>
            <w:r>
              <w:rPr>
                <w:rFonts w:ascii="Arial" w:cs="Arial" w:eastAsia="Arial" w:hAnsi="Arial"/>
                <w:sz w:val="18"/>
                <w:szCs w:val="18"/>
                <w:color w:val="auto"/>
                <w:w w:val="88"/>
              </w:rPr>
              <w:t>10.16</w:t>
            </w:r>
          </w:p>
        </w:tc>
        <w:tc>
          <w:tcPr>
            <w:tcW w:w="10260" w:type="dxa"/>
            <w:vAlign w:val="bottom"/>
          </w:tcPr>
          <w:p>
            <w:pPr>
              <w:ind w:left="280"/>
              <w:spacing w:after="0"/>
              <w:rPr>
                <w:sz w:val="20"/>
                <w:szCs w:val="20"/>
                <w:color w:val="auto"/>
              </w:rPr>
            </w:pPr>
            <w:r>
              <w:rPr>
                <w:rFonts w:ascii="Arial" w:cs="Arial" w:eastAsia="Arial" w:hAnsi="Arial"/>
                <w:sz w:val="18"/>
                <w:szCs w:val="18"/>
                <w:color w:val="auto"/>
                <w:w w:val="88"/>
              </w:rPr>
              <w:t>Collaboration Agreement between TG Therapeutics, Inc. and Checkpoint Therapeutics, Inc., dated March 3, 2015 (incorporated by reference</w:t>
            </w:r>
          </w:p>
        </w:tc>
      </w:tr>
      <w:tr>
        <w:trPr>
          <w:trHeight w:val="222"/>
        </w:trPr>
        <w:tc>
          <w:tcPr>
            <w:tcW w:w="660" w:type="dxa"/>
            <w:vAlign w:val="bottom"/>
          </w:tcPr>
          <w:p>
            <w:pPr>
              <w:spacing w:after="0"/>
              <w:rPr>
                <w:sz w:val="19"/>
                <w:szCs w:val="19"/>
                <w:color w:val="auto"/>
              </w:rPr>
            </w:pPr>
          </w:p>
        </w:tc>
        <w:tc>
          <w:tcPr>
            <w:tcW w:w="10260" w:type="dxa"/>
            <w:vAlign w:val="bottom"/>
          </w:tcPr>
          <w:p>
            <w:pPr>
              <w:ind w:left="280"/>
              <w:spacing w:after="0"/>
              <w:rPr>
                <w:sz w:val="20"/>
                <w:szCs w:val="20"/>
                <w:color w:val="auto"/>
              </w:rPr>
            </w:pPr>
            <w:r>
              <w:rPr>
                <w:rFonts w:ascii="Arial" w:cs="Arial" w:eastAsia="Arial" w:hAnsi="Arial"/>
                <w:sz w:val="18"/>
                <w:szCs w:val="18"/>
                <w:color w:val="auto"/>
              </w:rPr>
              <w:t>to Exhibit 10.1 to the Registrant’s Form 10-Q for the quarter ended March 31, 2015). *</w:t>
            </w:r>
          </w:p>
        </w:tc>
      </w:tr>
      <w:tr>
        <w:trPr>
          <w:trHeight w:val="432"/>
        </w:trPr>
        <w:tc>
          <w:tcPr>
            <w:tcW w:w="660" w:type="dxa"/>
            <w:vAlign w:val="bottom"/>
          </w:tcPr>
          <w:p>
            <w:pPr>
              <w:jc w:val="center"/>
              <w:ind w:right="172"/>
              <w:spacing w:after="0"/>
              <w:rPr>
                <w:sz w:val="20"/>
                <w:szCs w:val="20"/>
                <w:color w:val="auto"/>
              </w:rPr>
            </w:pPr>
            <w:r>
              <w:rPr>
                <w:rFonts w:ascii="Arial" w:cs="Arial" w:eastAsia="Arial" w:hAnsi="Arial"/>
                <w:sz w:val="18"/>
                <w:szCs w:val="18"/>
                <w:color w:val="auto"/>
                <w:w w:val="91"/>
              </w:rPr>
              <w:t>21.1</w:t>
            </w:r>
          </w:p>
        </w:tc>
        <w:tc>
          <w:tcPr>
            <w:tcW w:w="10260" w:type="dxa"/>
            <w:vAlign w:val="bottom"/>
          </w:tcPr>
          <w:p>
            <w:pPr>
              <w:ind w:left="280"/>
              <w:spacing w:after="0"/>
              <w:rPr>
                <w:sz w:val="20"/>
                <w:szCs w:val="20"/>
                <w:color w:val="auto"/>
              </w:rPr>
            </w:pPr>
            <w:r>
              <w:rPr>
                <w:rFonts w:ascii="Arial" w:cs="Arial" w:eastAsia="Arial" w:hAnsi="Arial"/>
                <w:sz w:val="18"/>
                <w:szCs w:val="18"/>
                <w:color w:val="auto"/>
              </w:rPr>
              <w:t>Subsidiaries of TG Therapeutics, Inc.</w:t>
            </w:r>
          </w:p>
        </w:tc>
      </w:tr>
      <w:tr>
        <w:trPr>
          <w:trHeight w:val="432"/>
        </w:trPr>
        <w:tc>
          <w:tcPr>
            <w:tcW w:w="660" w:type="dxa"/>
            <w:vAlign w:val="bottom"/>
          </w:tcPr>
          <w:p>
            <w:pPr>
              <w:jc w:val="center"/>
              <w:ind w:right="172"/>
              <w:spacing w:after="0"/>
              <w:rPr>
                <w:sz w:val="20"/>
                <w:szCs w:val="20"/>
                <w:color w:val="auto"/>
              </w:rPr>
            </w:pPr>
            <w:r>
              <w:rPr>
                <w:rFonts w:ascii="Arial" w:cs="Arial" w:eastAsia="Arial" w:hAnsi="Arial"/>
                <w:sz w:val="18"/>
                <w:szCs w:val="18"/>
                <w:color w:val="auto"/>
                <w:w w:val="91"/>
              </w:rPr>
              <w:t>23.1</w:t>
            </w:r>
          </w:p>
        </w:tc>
        <w:tc>
          <w:tcPr>
            <w:tcW w:w="10260" w:type="dxa"/>
            <w:vAlign w:val="bottom"/>
          </w:tcPr>
          <w:p>
            <w:pPr>
              <w:ind w:left="2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660" w:type="dxa"/>
            <w:vAlign w:val="bottom"/>
          </w:tcPr>
          <w:p>
            <w:pPr>
              <w:jc w:val="center"/>
              <w:ind w:right="172"/>
              <w:spacing w:after="0"/>
              <w:rPr>
                <w:sz w:val="20"/>
                <w:szCs w:val="20"/>
                <w:color w:val="auto"/>
              </w:rPr>
            </w:pPr>
            <w:r>
              <w:rPr>
                <w:rFonts w:ascii="Arial" w:cs="Arial" w:eastAsia="Arial" w:hAnsi="Arial"/>
                <w:sz w:val="18"/>
                <w:szCs w:val="18"/>
                <w:color w:val="auto"/>
                <w:w w:val="91"/>
              </w:rPr>
              <w:t>31.1</w:t>
            </w:r>
          </w:p>
        </w:tc>
        <w:tc>
          <w:tcPr>
            <w:tcW w:w="10260" w:type="dxa"/>
            <w:vAlign w:val="bottom"/>
          </w:tcPr>
          <w:p>
            <w:pPr>
              <w:ind w:left="280"/>
              <w:spacing w:after="0"/>
              <w:rPr>
                <w:sz w:val="20"/>
                <w:szCs w:val="20"/>
                <w:color w:val="auto"/>
              </w:rPr>
            </w:pPr>
            <w:r>
              <w:rPr>
                <w:rFonts w:ascii="Arial" w:cs="Arial" w:eastAsia="Arial" w:hAnsi="Arial"/>
                <w:sz w:val="18"/>
                <w:szCs w:val="18"/>
                <w:color w:val="auto"/>
              </w:rPr>
              <w:t>Certification of Principal Executive Officer</w:t>
            </w:r>
          </w:p>
        </w:tc>
      </w:tr>
      <w:tr>
        <w:trPr>
          <w:trHeight w:val="432"/>
        </w:trPr>
        <w:tc>
          <w:tcPr>
            <w:tcW w:w="660" w:type="dxa"/>
            <w:vAlign w:val="bottom"/>
          </w:tcPr>
          <w:p>
            <w:pPr>
              <w:jc w:val="center"/>
              <w:ind w:right="172"/>
              <w:spacing w:after="0"/>
              <w:rPr>
                <w:sz w:val="20"/>
                <w:szCs w:val="20"/>
                <w:color w:val="auto"/>
              </w:rPr>
            </w:pPr>
            <w:r>
              <w:rPr>
                <w:rFonts w:ascii="Arial" w:cs="Arial" w:eastAsia="Arial" w:hAnsi="Arial"/>
                <w:sz w:val="18"/>
                <w:szCs w:val="18"/>
                <w:color w:val="auto"/>
                <w:w w:val="91"/>
              </w:rPr>
              <w:t>31.2</w:t>
            </w:r>
          </w:p>
        </w:tc>
        <w:tc>
          <w:tcPr>
            <w:tcW w:w="10260" w:type="dxa"/>
            <w:vAlign w:val="bottom"/>
          </w:tcPr>
          <w:p>
            <w:pPr>
              <w:ind w:left="280"/>
              <w:spacing w:after="0"/>
              <w:rPr>
                <w:sz w:val="20"/>
                <w:szCs w:val="20"/>
                <w:color w:val="auto"/>
              </w:rPr>
            </w:pPr>
            <w:r>
              <w:rPr>
                <w:rFonts w:ascii="Arial" w:cs="Arial" w:eastAsia="Arial" w:hAnsi="Arial"/>
                <w:sz w:val="18"/>
                <w:szCs w:val="18"/>
                <w:color w:val="auto"/>
              </w:rPr>
              <w:t>Certification of Principal Financial Officer</w:t>
            </w:r>
          </w:p>
        </w:tc>
      </w:tr>
      <w:tr>
        <w:trPr>
          <w:trHeight w:val="432"/>
        </w:trPr>
        <w:tc>
          <w:tcPr>
            <w:tcW w:w="660" w:type="dxa"/>
            <w:vAlign w:val="bottom"/>
          </w:tcPr>
          <w:p>
            <w:pPr>
              <w:jc w:val="center"/>
              <w:ind w:right="172"/>
              <w:spacing w:after="0"/>
              <w:rPr>
                <w:sz w:val="20"/>
                <w:szCs w:val="20"/>
                <w:color w:val="auto"/>
              </w:rPr>
            </w:pPr>
            <w:r>
              <w:rPr>
                <w:rFonts w:ascii="Arial" w:cs="Arial" w:eastAsia="Arial" w:hAnsi="Arial"/>
                <w:sz w:val="18"/>
                <w:szCs w:val="18"/>
                <w:color w:val="auto"/>
                <w:w w:val="91"/>
              </w:rPr>
              <w:t>32.1</w:t>
            </w:r>
          </w:p>
        </w:tc>
        <w:tc>
          <w:tcPr>
            <w:tcW w:w="10260" w:type="dxa"/>
            <w:vAlign w:val="bottom"/>
          </w:tcPr>
          <w:p>
            <w:pPr>
              <w:ind w:left="28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660" w:type="dxa"/>
            <w:vAlign w:val="bottom"/>
          </w:tcPr>
          <w:p>
            <w:pPr>
              <w:jc w:val="center"/>
              <w:ind w:right="172"/>
              <w:spacing w:after="0"/>
              <w:rPr>
                <w:sz w:val="20"/>
                <w:szCs w:val="20"/>
                <w:color w:val="auto"/>
              </w:rPr>
            </w:pPr>
            <w:r>
              <w:rPr>
                <w:rFonts w:ascii="Arial" w:cs="Arial" w:eastAsia="Arial" w:hAnsi="Arial"/>
                <w:sz w:val="18"/>
                <w:szCs w:val="18"/>
                <w:color w:val="auto"/>
                <w:w w:val="91"/>
              </w:rPr>
              <w:t>32.2</w:t>
            </w:r>
          </w:p>
        </w:tc>
        <w:tc>
          <w:tcPr>
            <w:tcW w:w="10260" w:type="dxa"/>
            <w:vAlign w:val="bottom"/>
          </w:tcPr>
          <w:p>
            <w:pPr>
              <w:ind w:left="28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210" w:lineRule="exact"/>
        <w:rPr>
          <w:sz w:val="20"/>
          <w:szCs w:val="20"/>
          <w:color w:val="auto"/>
        </w:rPr>
      </w:pPr>
    </w:p>
    <w:p>
      <w:pPr>
        <w:ind w:left="1312" w:right="60" w:hanging="870"/>
        <w:spacing w:after="0" w:line="256" w:lineRule="auto"/>
        <w:tabs>
          <w:tab w:leader="none" w:pos="1312"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following financial information from TG Therapeutics, Inc.’s Annual Report on Form 10-K for the year ended December 31, 2016, formatted in XBRL (eXtensible Business Reporting Language): (i) Consolidated Balance Sheets, (ii) Consolidated Statements of Operations, (iii) Consolidated Statements of Stockholders’ Equity, (iv) Consolidated Statements of Cash Flows, (v) the Notes to Consolidated Financial Statements.</w:t>
      </w:r>
    </w:p>
    <w:p>
      <w:pPr>
        <w:spacing w:after="0" w:line="197" w:lineRule="exact"/>
        <w:rPr>
          <w:rFonts w:ascii="Arial" w:cs="Arial" w:eastAsia="Arial" w:hAnsi="Arial"/>
          <w:sz w:val="18"/>
          <w:szCs w:val="18"/>
          <w:color w:val="auto"/>
        </w:rPr>
      </w:pPr>
    </w:p>
    <w:p>
      <w:pPr>
        <w:ind w:left="652" w:hanging="652"/>
        <w:spacing w:after="0"/>
        <w:tabs>
          <w:tab w:leader="none" w:pos="6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5" w:lineRule="exact"/>
        <w:rPr>
          <w:sz w:val="20"/>
          <w:szCs w:val="20"/>
          <w:color w:val="auto"/>
        </w:rPr>
      </w:pPr>
    </w:p>
    <w:p>
      <w:pPr>
        <w:ind w:left="5612" w:right="4340" w:hanging="5612"/>
        <w:spacing w:after="0" w:line="511" w:lineRule="auto"/>
        <w:tabs>
          <w:tab w:leader="none" w:pos="642"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omitted portions of this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92"/>
          </w:cols>
          <w:pgMar w:left="248" w:top="563"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10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Consolidated Balance Sheets as of December 31, 2016 and 2015</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2016, 2015 and 2014</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Consolidated Statements of Stockholders’ Equity for the years ended December 31, 2016, 2015 and 2014</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2016, 2015 and 2014</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TG Therapeutics, Inc.</w:t>
      </w:r>
    </w:p>
    <w:p>
      <w:pPr>
        <w:spacing w:after="0" w:line="21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audited the accompanying consolidated balance sheets of TG Therapeutics, Inc. and Subsidiaries (the “Company”) as of December 31, 2016 and 2015, and the related consolidated statements of operations, stockholders’ equity and cash flows for each of the three years in the period ended December 31, 2016. TG Therapeutics, Inc.’s management is responsible for these consolidated financial statements. Our responsibility is to express an opinion on these consolidated financial statements based on our audits.</w:t>
      </w:r>
    </w:p>
    <w:p>
      <w:pPr>
        <w:spacing w:after="0" w:line="19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TG Therapeutics, Inc. and Subsidiaries as of December 31, 2016 and 2015, and their results of operations and cash flows for each of the three years in the period ended December 31, 2016, in conformity with accounting principles generally accepted in the United States of America.</w:t>
      </w:r>
    </w:p>
    <w:p>
      <w:pPr>
        <w:spacing w:after="0" w:line="194"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TG Therapeutics, Inc. and Subsidiaries’ internal control over financial reporting as of December 31, 2016 based on criteria established in Internal Control – Integrated Framework (2013) issued by the Committee of Sponsoring Organizations of the Treadway Commission (COSO) and our report dated March 15, 2017 expressed an unqualified opinion.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2017</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December 31, 2016 and 2015</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25,031,280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55,061,329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Short-term investment securities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19,853,860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22,166,512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receivable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Prepaid research and development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5,678,755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9,151,142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216,397</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308,327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50,864,144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86,873,331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583,208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Long-term investment securities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25,003,032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net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2,042,281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Equipment, net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328,148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47,122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799,391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164,375</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171,182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54,781,547</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113,473,201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15,267,668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9,346,068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1,389,516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818,472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 portion of deferred revenue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152,381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Notes payable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68,875</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211,549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16,878,440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10,528,470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rent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816,257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1,219,048</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1,371,429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18,913,745</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11,899,899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Preferred stock, $0.001 par value per share (10,000,000 shares authorized, none issued and outstanding as of</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2016 and 2015)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w w:val="88"/>
              </w:rPr>
              <w:t>Common stock, $0.001 par value per share (150,000,000 shares authorized, 56,820,423 and 54,095,110 shares issued,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56,779,114 and 54,053,801 shares outstanding at December 31, 2016 and 2015, respectively)</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56,820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54,095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Contingently issuable shares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272,432,139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259,887,464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Treasury stock, at cost, 41,309 shares at December 31, 2016 and 2015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(234,337)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(236,386,820)</w:t>
            </w: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(158,133,926)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35,867,802</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101,573,302</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54,781,547</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113,473,201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36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for the Years Ended December 31, 2016, 2015 and 2014</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License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152,381</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152,381</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152,381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Noncash stock expense associated with in-licensing agreements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5,350,094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compensation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2,742,354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4,261,406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8,731,566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Other research and development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66,489,820</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43,445,817</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26,004,687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69,232,174</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47,707,223</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40,086,347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4,767,645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11,435,686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12,373,726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5,121,690</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4,189,488</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3,413,400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general and administrative</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9,889,335</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15,625,174</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15,787,126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79,121,509</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63,332,397</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55,873,473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(78,969,128)</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(63,180,016)</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(55,721,092)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(323,032)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(174,653)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(393,202)</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(56,717)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115,234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(716,234)</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(231,370)</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(78,252,894)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(62,948,646)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(55,781,277)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used in computing basic and diluted net loss per common share</w:t>
            </w: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49,041,354</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45,646,414</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34,068,926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36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for the Years Ended December 31, 2016, 2015 and 2014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w w:val="87"/>
              </w:rPr>
              <w:t>Contingently</w:t>
            </w:r>
          </w:p>
        </w:tc>
        <w:tc>
          <w:tcPr>
            <w:tcW w:w="13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5"/>
                <w:szCs w:val="15"/>
                <w:b w:val="1"/>
                <w:bCs w:val="1"/>
                <w:color w:val="auto"/>
              </w:rPr>
              <w:t>Additional</w:t>
            </w: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Borders>
              <w:bottom w:val="single" w:sz="8" w:color="CCEEFF"/>
            </w:tcBorders>
            <w:shd w:val="clear" w:color="auto" w:fill="CCEEFF"/>
          </w:tcPr>
          <w:p>
            <w:pPr>
              <w:spacing w:after="0"/>
              <w:rPr>
                <w:sz w:val="15"/>
                <w:szCs w:val="15"/>
                <w:color w:val="auto"/>
              </w:rPr>
            </w:pPr>
          </w:p>
        </w:tc>
        <w:tc>
          <w:tcPr>
            <w:tcW w:w="1960" w:type="dxa"/>
            <w:vAlign w:val="bottom"/>
            <w:tcBorders>
              <w:bottom w:val="single" w:sz="8" w:color="auto"/>
            </w:tcBorders>
            <w:gridSpan w:val="3"/>
            <w:shd w:val="clear" w:color="auto" w:fill="CCEEFF"/>
          </w:tcPr>
          <w:p>
            <w:pPr>
              <w:ind w:left="480"/>
              <w:spacing w:after="0"/>
              <w:rPr>
                <w:sz w:val="20"/>
                <w:szCs w:val="20"/>
                <w:color w:val="auto"/>
              </w:rPr>
            </w:pPr>
            <w:r>
              <w:rPr>
                <w:rFonts w:ascii="Arial" w:cs="Arial" w:eastAsia="Arial" w:hAnsi="Arial"/>
                <w:sz w:val="15"/>
                <w:szCs w:val="15"/>
                <w:b w:val="1"/>
                <w:bCs w:val="1"/>
                <w:color w:val="auto"/>
              </w:rPr>
              <w:t>Common Stock</w:t>
            </w:r>
          </w:p>
        </w:tc>
        <w:tc>
          <w:tcPr>
            <w:tcW w:w="200" w:type="dxa"/>
            <w:vAlign w:val="bottom"/>
            <w:tcBorders>
              <w:bottom w:val="single" w:sz="8" w:color="CCEEFF"/>
              <w:right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99"/>
              </w:rPr>
              <w:t>issuable</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b w:val="1"/>
                <w:bCs w:val="1"/>
                <w:color w:val="auto"/>
              </w:rPr>
              <w:t>Paid-in</w:t>
            </w:r>
          </w:p>
        </w:tc>
        <w:tc>
          <w:tcPr>
            <w:tcW w:w="240" w:type="dxa"/>
            <w:vAlign w:val="bottom"/>
            <w:tcBorders>
              <w:bottom w:val="single" w:sz="8" w:color="CCEEFF"/>
              <w:right w:val="single" w:sz="8" w:color="CCEEFF"/>
            </w:tcBorders>
            <w:shd w:val="clear" w:color="auto" w:fill="CCEEFF"/>
          </w:tcPr>
          <w:p>
            <w:pPr>
              <w:spacing w:after="0"/>
              <w:rPr>
                <w:sz w:val="15"/>
                <w:szCs w:val="15"/>
                <w:color w:val="auto"/>
              </w:rPr>
            </w:pPr>
          </w:p>
        </w:tc>
        <w:tc>
          <w:tcPr>
            <w:tcW w:w="1820" w:type="dxa"/>
            <w:vAlign w:val="bottom"/>
            <w:tcBorders>
              <w:bottom w:val="single" w:sz="8" w:color="auto"/>
            </w:tcBorders>
            <w:gridSpan w:val="3"/>
            <w:shd w:val="clear" w:color="auto" w:fill="CCEEFF"/>
          </w:tcPr>
          <w:p>
            <w:pPr>
              <w:ind w:left="440"/>
              <w:spacing w:after="0"/>
              <w:rPr>
                <w:sz w:val="20"/>
                <w:szCs w:val="20"/>
                <w:color w:val="auto"/>
              </w:rPr>
            </w:pPr>
            <w:r>
              <w:rPr>
                <w:rFonts w:ascii="Arial" w:cs="Arial" w:eastAsia="Arial" w:hAnsi="Arial"/>
                <w:sz w:val="15"/>
                <w:szCs w:val="15"/>
                <w:b w:val="1"/>
                <w:bCs w:val="1"/>
                <w:color w:val="auto"/>
              </w:rPr>
              <w:t>Treasury Stock</w:t>
            </w: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95"/>
              </w:rPr>
              <w:t>Accumulated</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20" w:type="dxa"/>
            <w:vAlign w:val="bottom"/>
            <w:tcBorders>
              <w:bottom w:val="single" w:sz="8" w:color="auto"/>
            </w:tcBorders>
          </w:tcPr>
          <w:p>
            <w:pPr>
              <w:jc w:val="right"/>
              <w:ind w:right="186"/>
              <w:spacing w:after="0" w:line="162" w:lineRule="exact"/>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4"/>
                <w:szCs w:val="14"/>
                <w:color w:val="auto"/>
              </w:rPr>
            </w:pPr>
          </w:p>
        </w:tc>
        <w:tc>
          <w:tcPr>
            <w:tcW w:w="820" w:type="dxa"/>
            <w:vAlign w:val="bottom"/>
            <w:tcBorders>
              <w:bottom w:val="single" w:sz="8" w:color="auto"/>
            </w:tcBorders>
          </w:tcPr>
          <w:p>
            <w:pPr>
              <w:ind w:left="180"/>
              <w:spacing w:after="0" w:line="162" w:lineRule="exact"/>
              <w:rPr>
                <w:sz w:val="20"/>
                <w:szCs w:val="20"/>
                <w:color w:val="auto"/>
              </w:rPr>
            </w:pPr>
            <w:r>
              <w:rPr>
                <w:rFonts w:ascii="Arial" w:cs="Arial" w:eastAsia="Arial" w:hAnsi="Arial"/>
                <w:sz w:val="15"/>
                <w:szCs w:val="15"/>
                <w:b w:val="1"/>
                <w:bCs w:val="1"/>
                <w:color w:val="auto"/>
              </w:rPr>
              <w:t>Amount</w:t>
            </w: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ind w:right="66"/>
              <w:spacing w:after="0" w:line="162" w:lineRule="exact"/>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4"/>
                <w:szCs w:val="14"/>
                <w:color w:val="auto"/>
              </w:rPr>
            </w:pPr>
          </w:p>
        </w:tc>
        <w:tc>
          <w:tcPr>
            <w:tcW w:w="1100" w:type="dxa"/>
            <w:vAlign w:val="bottom"/>
            <w:tcBorders>
              <w:bottom w:val="single" w:sz="8" w:color="auto"/>
            </w:tcBorders>
          </w:tcPr>
          <w:p>
            <w:pPr>
              <w:jc w:val="right"/>
              <w:ind w:right="266"/>
              <w:spacing w:after="0" w:line="162" w:lineRule="exact"/>
              <w:rPr>
                <w:sz w:val="20"/>
                <w:szCs w:val="20"/>
                <w:color w:val="auto"/>
              </w:rPr>
            </w:pPr>
            <w:r>
              <w:rPr>
                <w:rFonts w:ascii="Arial" w:cs="Arial" w:eastAsia="Arial" w:hAnsi="Arial"/>
                <w:sz w:val="15"/>
                <w:szCs w:val="15"/>
                <w:b w:val="1"/>
                <w:bCs w:val="1"/>
                <w:color w:val="auto"/>
              </w:rPr>
              <w:t>Capital</w:t>
            </w:r>
          </w:p>
        </w:tc>
        <w:tc>
          <w:tcPr>
            <w:tcW w:w="240" w:type="dxa"/>
            <w:vAlign w:val="bottom"/>
          </w:tcPr>
          <w:p>
            <w:pPr>
              <w:spacing w:after="0"/>
              <w:rPr>
                <w:sz w:val="14"/>
                <w:szCs w:val="14"/>
                <w:color w:val="auto"/>
              </w:rPr>
            </w:pPr>
          </w:p>
        </w:tc>
        <w:tc>
          <w:tcPr>
            <w:tcW w:w="700" w:type="dxa"/>
            <w:vAlign w:val="bottom"/>
            <w:tcBorders>
              <w:bottom w:val="single" w:sz="8" w:color="auto"/>
            </w:tcBorders>
          </w:tcPr>
          <w:p>
            <w:pPr>
              <w:ind w:left="140"/>
              <w:spacing w:after="0" w:line="162" w:lineRule="exact"/>
              <w:rPr>
                <w:sz w:val="20"/>
                <w:szCs w:val="20"/>
                <w:color w:val="auto"/>
              </w:rPr>
            </w:pPr>
            <w:r>
              <w:rPr>
                <w:rFonts w:ascii="Arial" w:cs="Arial" w:eastAsia="Arial" w:hAnsi="Arial"/>
                <w:sz w:val="15"/>
                <w:szCs w:val="15"/>
                <w:b w:val="1"/>
                <w:bCs w:val="1"/>
                <w:color w:val="auto"/>
              </w:rPr>
              <w:t>Shares</w:t>
            </w:r>
          </w:p>
        </w:tc>
        <w:tc>
          <w:tcPr>
            <w:tcW w:w="200" w:type="dxa"/>
            <w:vAlign w:val="bottom"/>
          </w:tcPr>
          <w:p>
            <w:pPr>
              <w:spacing w:after="0"/>
              <w:rPr>
                <w:sz w:val="14"/>
                <w:szCs w:val="14"/>
                <w:color w:val="auto"/>
              </w:rPr>
            </w:pPr>
          </w:p>
        </w:tc>
        <w:tc>
          <w:tcPr>
            <w:tcW w:w="920" w:type="dxa"/>
            <w:vAlign w:val="bottom"/>
            <w:tcBorders>
              <w:bottom w:val="single" w:sz="8" w:color="auto"/>
            </w:tcBorders>
          </w:tcPr>
          <w:p>
            <w:pPr>
              <w:ind w:left="200"/>
              <w:spacing w:after="0" w:line="162" w:lineRule="exact"/>
              <w:rPr>
                <w:sz w:val="20"/>
                <w:szCs w:val="20"/>
                <w:color w:val="auto"/>
              </w:rPr>
            </w:pPr>
            <w:r>
              <w:rPr>
                <w:rFonts w:ascii="Arial" w:cs="Arial" w:eastAsia="Arial" w:hAnsi="Arial"/>
                <w:sz w:val="15"/>
                <w:szCs w:val="15"/>
                <w:b w:val="1"/>
                <w:bCs w:val="1"/>
                <w:color w:val="auto"/>
              </w:rPr>
              <w:t>Amount</w:t>
            </w:r>
          </w:p>
        </w:tc>
        <w:tc>
          <w:tcPr>
            <w:tcW w:w="240" w:type="dxa"/>
            <w:vAlign w:val="bottom"/>
          </w:tcPr>
          <w:p>
            <w:pPr>
              <w:spacing w:after="0"/>
              <w:rPr>
                <w:sz w:val="14"/>
                <w:szCs w:val="14"/>
                <w:color w:val="auto"/>
              </w:rPr>
            </w:pPr>
          </w:p>
        </w:tc>
        <w:tc>
          <w:tcPr>
            <w:tcW w:w="1000" w:type="dxa"/>
            <w:vAlign w:val="bottom"/>
            <w:tcBorders>
              <w:bottom w:val="single" w:sz="8" w:color="auto"/>
            </w:tcBorders>
          </w:tcPr>
          <w:p>
            <w:pPr>
              <w:jc w:val="right"/>
              <w:ind w:right="206"/>
              <w:spacing w:after="0" w:line="162" w:lineRule="exact"/>
              <w:rPr>
                <w:sz w:val="20"/>
                <w:szCs w:val="20"/>
                <w:color w:val="auto"/>
              </w:rPr>
            </w:pPr>
            <w:r>
              <w:rPr>
                <w:rFonts w:ascii="Arial" w:cs="Arial" w:eastAsia="Arial" w:hAnsi="Arial"/>
                <w:sz w:val="15"/>
                <w:szCs w:val="15"/>
                <w:b w:val="1"/>
                <w:bCs w:val="1"/>
                <w:color w:val="auto"/>
              </w:rPr>
              <w:t>Deficit</w:t>
            </w:r>
          </w:p>
        </w:tc>
        <w:tc>
          <w:tcPr>
            <w:tcW w:w="260" w:type="dxa"/>
            <w:vAlign w:val="bottom"/>
          </w:tcPr>
          <w:p>
            <w:pPr>
              <w:spacing w:after="0"/>
              <w:rPr>
                <w:sz w:val="14"/>
                <w:szCs w:val="14"/>
                <w:color w:val="auto"/>
              </w:rPr>
            </w:pPr>
          </w:p>
        </w:tc>
        <w:tc>
          <w:tcPr>
            <w:tcW w:w="1080" w:type="dxa"/>
            <w:vAlign w:val="bottom"/>
            <w:tcBorders>
              <w:bottom w:val="single" w:sz="8" w:color="auto"/>
            </w:tcBorders>
          </w:tcPr>
          <w:p>
            <w:pPr>
              <w:jc w:val="right"/>
              <w:ind w:right="326"/>
              <w:spacing w:after="0" w:line="162" w:lineRule="exact"/>
              <w:rPr>
                <w:sz w:val="20"/>
                <w:szCs w:val="20"/>
                <w:color w:val="auto"/>
              </w:rPr>
            </w:pPr>
            <w:r>
              <w:rPr>
                <w:rFonts w:ascii="Arial" w:cs="Arial" w:eastAsia="Arial" w:hAnsi="Arial"/>
                <w:sz w:val="15"/>
                <w:szCs w:val="15"/>
                <w:b w:val="1"/>
                <w:bCs w:val="1"/>
                <w:color w:val="auto"/>
              </w:rPr>
              <w:t>Total</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Balance at January 1, 2014</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34,336,235</w:t>
            </w:r>
          </w:p>
        </w:tc>
        <w:tc>
          <w:tcPr>
            <w:tcW w:w="22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$34,336</w:t>
            </w:r>
          </w:p>
        </w:tc>
        <w:tc>
          <w:tcPr>
            <w:tcW w:w="9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6</w:t>
            </w: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$79,658,490</w:t>
            </w:r>
          </w:p>
        </w:tc>
        <w:tc>
          <w:tcPr>
            <w:tcW w:w="240" w:type="dxa"/>
            <w:vAlign w:val="bottom"/>
            <w:tcBorders>
              <w:right w:val="single" w:sz="8" w:color="CCEEFF"/>
            </w:tcBorders>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41,309</w:t>
            </w:r>
          </w:p>
        </w:tc>
        <w:tc>
          <w:tcPr>
            <w:tcW w:w="11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$(234,337)</w:t>
            </w: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$39,404,003</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$40,054,492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5"/>
                <w:szCs w:val="15"/>
                <w:color w:val="auto"/>
              </w:rPr>
              <w:t>Issuance of common stock in</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ind w:left="160"/>
              <w:spacing w:after="0" w:line="162" w:lineRule="exact"/>
              <w:rPr>
                <w:sz w:val="20"/>
                <w:szCs w:val="20"/>
                <w:color w:val="auto"/>
              </w:rPr>
            </w:pPr>
            <w:r>
              <w:rPr>
                <w:rFonts w:ascii="Arial" w:cs="Arial" w:eastAsia="Arial" w:hAnsi="Arial"/>
                <w:sz w:val="15"/>
                <w:szCs w:val="15"/>
                <w:color w:val="auto"/>
              </w:rPr>
              <w:t>connection with exercise of</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ind w:left="160"/>
              <w:spacing w:after="0" w:line="172" w:lineRule="exact"/>
              <w:rPr>
                <w:sz w:val="20"/>
                <w:szCs w:val="20"/>
                <w:color w:val="auto"/>
              </w:rPr>
            </w:pPr>
            <w:r>
              <w:rPr>
                <w:rFonts w:ascii="Arial" w:cs="Arial" w:eastAsia="Arial" w:hAnsi="Arial"/>
                <w:sz w:val="15"/>
                <w:szCs w:val="15"/>
                <w:color w:val="auto"/>
              </w:rPr>
              <w:t>warrants</w:t>
            </w:r>
          </w:p>
        </w:tc>
        <w:tc>
          <w:tcPr>
            <w:tcW w:w="920" w:type="dxa"/>
            <w:vAlign w:val="bottom"/>
          </w:tcPr>
          <w:p>
            <w:pPr>
              <w:jc w:val="right"/>
              <w:spacing w:after="0" w:line="172" w:lineRule="exact"/>
              <w:rPr>
                <w:sz w:val="20"/>
                <w:szCs w:val="20"/>
                <w:color w:val="auto"/>
              </w:rPr>
            </w:pPr>
            <w:r>
              <w:rPr>
                <w:rFonts w:ascii="Arial" w:cs="Arial" w:eastAsia="Arial" w:hAnsi="Arial"/>
                <w:sz w:val="15"/>
                <w:szCs w:val="15"/>
                <w:color w:val="auto"/>
              </w:rPr>
              <w:t>1,560,826</w:t>
            </w:r>
          </w:p>
        </w:tc>
        <w:tc>
          <w:tcPr>
            <w:tcW w:w="220" w:type="dxa"/>
            <w:vAlign w:val="bottom"/>
          </w:tcPr>
          <w:p>
            <w:pPr>
              <w:spacing w:after="0"/>
              <w:rPr>
                <w:sz w:val="14"/>
                <w:szCs w:val="14"/>
                <w:color w:val="auto"/>
              </w:rPr>
            </w:pPr>
          </w:p>
        </w:tc>
        <w:tc>
          <w:tcPr>
            <w:tcW w:w="1020" w:type="dxa"/>
            <w:vAlign w:val="bottom"/>
            <w:gridSpan w:val="2"/>
          </w:tcPr>
          <w:p>
            <w:pPr>
              <w:jc w:val="right"/>
              <w:ind w:right="200"/>
              <w:spacing w:after="0" w:line="172" w:lineRule="exact"/>
              <w:rPr>
                <w:sz w:val="20"/>
                <w:szCs w:val="20"/>
                <w:color w:val="auto"/>
              </w:rPr>
            </w:pPr>
            <w:r>
              <w:rPr>
                <w:rFonts w:ascii="Arial" w:cs="Arial" w:eastAsia="Arial" w:hAnsi="Arial"/>
                <w:sz w:val="15"/>
                <w:szCs w:val="15"/>
                <w:color w:val="auto"/>
              </w:rPr>
              <w:t>1,561</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line="172" w:lineRule="exact"/>
              <w:rPr>
                <w:sz w:val="20"/>
                <w:szCs w:val="20"/>
                <w:color w:val="auto"/>
              </w:rPr>
            </w:pPr>
            <w:r>
              <w:rPr>
                <w:rFonts w:ascii="Arial" w:cs="Arial" w:eastAsia="Arial" w:hAnsi="Arial"/>
                <w:sz w:val="15"/>
                <w:szCs w:val="15"/>
                <w:color w:val="auto"/>
              </w:rPr>
              <w:t>3,555,063</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line="172" w:lineRule="exact"/>
              <w:rPr>
                <w:sz w:val="20"/>
                <w:szCs w:val="20"/>
                <w:color w:val="auto"/>
              </w:rPr>
            </w:pPr>
            <w:r>
              <w:rPr>
                <w:rFonts w:ascii="Arial" w:cs="Arial" w:eastAsia="Arial" w:hAnsi="Arial"/>
                <w:sz w:val="15"/>
                <w:szCs w:val="15"/>
                <w:color w:val="auto"/>
              </w:rPr>
              <w:t>3,556,624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Issuance of common stock in</w:t>
            </w: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ind w:left="160"/>
              <w:spacing w:after="0" w:line="172" w:lineRule="exact"/>
              <w:rPr>
                <w:sz w:val="20"/>
                <w:szCs w:val="20"/>
                <w:color w:val="auto"/>
              </w:rPr>
            </w:pPr>
            <w:r>
              <w:rPr>
                <w:rFonts w:ascii="Arial" w:cs="Arial" w:eastAsia="Arial" w:hAnsi="Arial"/>
                <w:sz w:val="15"/>
                <w:szCs w:val="15"/>
                <w:color w:val="auto"/>
                <w:w w:val="95"/>
              </w:rPr>
              <w:t>connection with exercise of options</w:t>
            </w:r>
          </w:p>
        </w:tc>
        <w:tc>
          <w:tcPr>
            <w:tcW w:w="9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46,000</w:t>
            </w:r>
          </w:p>
        </w:tc>
        <w:tc>
          <w:tcPr>
            <w:tcW w:w="22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2"/>
            <w:shd w:val="clear" w:color="auto" w:fill="CCEEFF"/>
          </w:tcPr>
          <w:p>
            <w:pPr>
              <w:jc w:val="right"/>
              <w:ind w:right="200"/>
              <w:spacing w:after="0" w:line="172" w:lineRule="exact"/>
              <w:rPr>
                <w:sz w:val="20"/>
                <w:szCs w:val="20"/>
                <w:color w:val="auto"/>
              </w:rPr>
            </w:pPr>
            <w:r>
              <w:rPr>
                <w:rFonts w:ascii="Arial" w:cs="Arial" w:eastAsia="Arial" w:hAnsi="Arial"/>
                <w:sz w:val="15"/>
                <w:szCs w:val="15"/>
                <w:color w:val="auto"/>
              </w:rPr>
              <w:t>46</w:t>
            </w: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202,354</w:t>
            </w:r>
          </w:p>
        </w:tc>
        <w:tc>
          <w:tcPr>
            <w:tcW w:w="24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202,400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color w:val="auto"/>
              </w:rPr>
              <w:t>Issuance of restricted stock</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982,793</w:t>
            </w:r>
          </w:p>
        </w:tc>
        <w:tc>
          <w:tcPr>
            <w:tcW w:w="220" w:type="dxa"/>
            <w:vAlign w:val="bottom"/>
          </w:tcPr>
          <w:p>
            <w:pPr>
              <w:spacing w:after="0"/>
              <w:rPr>
                <w:sz w:val="14"/>
                <w:szCs w:val="14"/>
                <w:color w:val="auto"/>
              </w:rPr>
            </w:pPr>
          </w:p>
        </w:tc>
        <w:tc>
          <w:tcPr>
            <w:tcW w:w="10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983</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(983)</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Forfeiture of restricted stock</w:t>
            </w:r>
          </w:p>
        </w:tc>
        <w:tc>
          <w:tcPr>
            <w:tcW w:w="11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(1,000)</w:t>
            </w:r>
          </w:p>
        </w:tc>
        <w:tc>
          <w:tcPr>
            <w:tcW w:w="1020" w:type="dxa"/>
            <w:vAlign w:val="bottom"/>
            <w:tcBorders>
              <w:right w:val="single" w:sz="8" w:color="CCEEFF"/>
            </w:tcBorders>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w:t>
            </w: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w:t>
            </w:r>
          </w:p>
        </w:tc>
        <w:tc>
          <w:tcPr>
            <w:tcW w:w="24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5"/>
                <w:szCs w:val="15"/>
                <w:color w:val="auto"/>
              </w:rPr>
              <w:t>Issuance of common stock in public</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ind w:left="160"/>
              <w:spacing w:after="0" w:line="162" w:lineRule="exact"/>
              <w:rPr>
                <w:sz w:val="20"/>
                <w:szCs w:val="20"/>
                <w:color w:val="auto"/>
              </w:rPr>
            </w:pPr>
            <w:r>
              <w:rPr>
                <w:rFonts w:ascii="Arial" w:cs="Arial" w:eastAsia="Arial" w:hAnsi="Arial"/>
                <w:sz w:val="15"/>
                <w:szCs w:val="15"/>
                <w:color w:val="auto"/>
              </w:rPr>
              <w:t>offering (net of offering costs of</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ind w:left="180"/>
              <w:spacing w:after="0" w:line="172" w:lineRule="exact"/>
              <w:rPr>
                <w:sz w:val="20"/>
                <w:szCs w:val="20"/>
                <w:color w:val="auto"/>
              </w:rPr>
            </w:pPr>
            <w:r>
              <w:rPr>
                <w:rFonts w:ascii="Arial" w:cs="Arial" w:eastAsia="Arial" w:hAnsi="Arial"/>
                <w:sz w:val="15"/>
                <w:szCs w:val="15"/>
                <w:color w:val="auto"/>
              </w:rPr>
              <w:t>$1,344,440)</w:t>
            </w:r>
          </w:p>
        </w:tc>
        <w:tc>
          <w:tcPr>
            <w:tcW w:w="920" w:type="dxa"/>
            <w:vAlign w:val="bottom"/>
          </w:tcPr>
          <w:p>
            <w:pPr>
              <w:jc w:val="right"/>
              <w:spacing w:after="0" w:line="172" w:lineRule="exact"/>
              <w:rPr>
                <w:sz w:val="20"/>
                <w:szCs w:val="20"/>
                <w:color w:val="auto"/>
              </w:rPr>
            </w:pPr>
            <w:r>
              <w:rPr>
                <w:rFonts w:ascii="Arial" w:cs="Arial" w:eastAsia="Arial" w:hAnsi="Arial"/>
                <w:sz w:val="15"/>
                <w:szCs w:val="15"/>
                <w:color w:val="auto"/>
              </w:rPr>
              <w:t>2,702,809</w:t>
            </w:r>
          </w:p>
        </w:tc>
        <w:tc>
          <w:tcPr>
            <w:tcW w:w="220" w:type="dxa"/>
            <w:vAlign w:val="bottom"/>
          </w:tcPr>
          <w:p>
            <w:pPr>
              <w:spacing w:after="0"/>
              <w:rPr>
                <w:sz w:val="14"/>
                <w:szCs w:val="14"/>
                <w:color w:val="auto"/>
              </w:rPr>
            </w:pPr>
          </w:p>
        </w:tc>
        <w:tc>
          <w:tcPr>
            <w:tcW w:w="1020" w:type="dxa"/>
            <w:vAlign w:val="bottom"/>
            <w:gridSpan w:val="2"/>
          </w:tcPr>
          <w:p>
            <w:pPr>
              <w:jc w:val="right"/>
              <w:ind w:right="200"/>
              <w:spacing w:after="0" w:line="172" w:lineRule="exact"/>
              <w:rPr>
                <w:sz w:val="20"/>
                <w:szCs w:val="20"/>
                <w:color w:val="auto"/>
              </w:rPr>
            </w:pPr>
            <w:r>
              <w:rPr>
                <w:rFonts w:ascii="Arial" w:cs="Arial" w:eastAsia="Arial" w:hAnsi="Arial"/>
                <w:sz w:val="15"/>
                <w:szCs w:val="15"/>
                <w:color w:val="auto"/>
              </w:rPr>
              <w:t>2,703</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line="172" w:lineRule="exact"/>
              <w:rPr>
                <w:sz w:val="20"/>
                <w:szCs w:val="20"/>
                <w:color w:val="auto"/>
              </w:rPr>
            </w:pPr>
            <w:r>
              <w:rPr>
                <w:rFonts w:ascii="Arial" w:cs="Arial" w:eastAsia="Arial" w:hAnsi="Arial"/>
                <w:sz w:val="15"/>
                <w:szCs w:val="15"/>
                <w:color w:val="auto"/>
              </w:rPr>
              <w:t>16,788,705</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line="172" w:lineRule="exact"/>
              <w:rPr>
                <w:sz w:val="20"/>
                <w:szCs w:val="20"/>
                <w:color w:val="auto"/>
              </w:rPr>
            </w:pPr>
            <w:r>
              <w:rPr>
                <w:rFonts w:ascii="Arial" w:cs="Arial" w:eastAsia="Arial" w:hAnsi="Arial"/>
                <w:sz w:val="15"/>
                <w:szCs w:val="15"/>
                <w:color w:val="auto"/>
              </w:rPr>
              <w:t>16,791,408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Issuance of common stock in At the</w:t>
            </w: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Market offering (net of offering</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ind w:left="160"/>
              <w:spacing w:after="0" w:line="172" w:lineRule="exact"/>
              <w:rPr>
                <w:sz w:val="20"/>
                <w:szCs w:val="20"/>
                <w:color w:val="auto"/>
              </w:rPr>
            </w:pPr>
            <w:r>
              <w:rPr>
                <w:rFonts w:ascii="Arial" w:cs="Arial" w:eastAsia="Arial" w:hAnsi="Arial"/>
                <w:sz w:val="15"/>
                <w:szCs w:val="15"/>
                <w:color w:val="auto"/>
              </w:rPr>
              <w:t>costs of $1,101,572)</w:t>
            </w:r>
          </w:p>
        </w:tc>
        <w:tc>
          <w:tcPr>
            <w:tcW w:w="9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4,850,055</w:t>
            </w:r>
          </w:p>
        </w:tc>
        <w:tc>
          <w:tcPr>
            <w:tcW w:w="22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2"/>
            <w:shd w:val="clear" w:color="auto" w:fill="CCEEFF"/>
          </w:tcPr>
          <w:p>
            <w:pPr>
              <w:jc w:val="right"/>
              <w:ind w:right="200"/>
              <w:spacing w:after="0" w:line="172" w:lineRule="exact"/>
              <w:rPr>
                <w:sz w:val="20"/>
                <w:szCs w:val="20"/>
                <w:color w:val="auto"/>
              </w:rPr>
            </w:pPr>
            <w:r>
              <w:rPr>
                <w:rFonts w:ascii="Arial" w:cs="Arial" w:eastAsia="Arial" w:hAnsi="Arial"/>
                <w:sz w:val="15"/>
                <w:szCs w:val="15"/>
                <w:color w:val="auto"/>
              </w:rPr>
              <w:t>4,850</w:t>
            </w: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48,818,002</w:t>
            </w:r>
          </w:p>
        </w:tc>
        <w:tc>
          <w:tcPr>
            <w:tcW w:w="24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48,822,852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5"/>
                <w:szCs w:val="15"/>
                <w:color w:val="auto"/>
                <w:w w:val="95"/>
              </w:rPr>
              <w:t>Compensation in respect of restricted</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ind w:left="160"/>
              <w:spacing w:after="0" w:line="162" w:lineRule="exact"/>
              <w:rPr>
                <w:sz w:val="20"/>
                <w:szCs w:val="20"/>
                <w:color w:val="auto"/>
              </w:rPr>
            </w:pPr>
            <w:r>
              <w:rPr>
                <w:rFonts w:ascii="Arial" w:cs="Arial" w:eastAsia="Arial" w:hAnsi="Arial"/>
                <w:sz w:val="15"/>
                <w:szCs w:val="15"/>
                <w:color w:val="auto"/>
                <w:w w:val="97"/>
              </w:rPr>
              <w:t>stock and stock options granted to</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ind w:left="160"/>
              <w:spacing w:after="0" w:line="162" w:lineRule="exact"/>
              <w:rPr>
                <w:sz w:val="20"/>
                <w:szCs w:val="20"/>
                <w:color w:val="auto"/>
              </w:rPr>
            </w:pPr>
            <w:r>
              <w:rPr>
                <w:rFonts w:ascii="Arial" w:cs="Arial" w:eastAsia="Arial" w:hAnsi="Arial"/>
                <w:sz w:val="15"/>
                <w:szCs w:val="15"/>
                <w:color w:val="auto"/>
              </w:rPr>
              <w:t>employees, directors and</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ind w:left="160"/>
              <w:spacing w:after="0" w:line="172" w:lineRule="exact"/>
              <w:rPr>
                <w:sz w:val="20"/>
                <w:szCs w:val="20"/>
                <w:color w:val="auto"/>
              </w:rPr>
            </w:pPr>
            <w:r>
              <w:rPr>
                <w:rFonts w:ascii="Arial" w:cs="Arial" w:eastAsia="Arial" w:hAnsi="Arial"/>
                <w:sz w:val="15"/>
                <w:szCs w:val="15"/>
                <w:color w:val="auto"/>
              </w:rPr>
              <w:t>consultants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line="172" w:lineRule="exact"/>
              <w:rPr>
                <w:sz w:val="20"/>
                <w:szCs w:val="20"/>
                <w:color w:val="auto"/>
              </w:rPr>
            </w:pPr>
            <w:r>
              <w:rPr>
                <w:rFonts w:ascii="Arial" w:cs="Arial" w:eastAsia="Arial" w:hAnsi="Arial"/>
                <w:sz w:val="15"/>
                <w:szCs w:val="15"/>
                <w:color w:val="auto"/>
              </w:rPr>
              <w:t>21,105,292</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line="172" w:lineRule="exact"/>
              <w:rPr>
                <w:sz w:val="20"/>
                <w:szCs w:val="20"/>
                <w:color w:val="auto"/>
              </w:rPr>
            </w:pPr>
            <w:r>
              <w:rPr>
                <w:rFonts w:ascii="Arial" w:cs="Arial" w:eastAsia="Arial" w:hAnsi="Arial"/>
                <w:sz w:val="15"/>
                <w:szCs w:val="15"/>
                <w:color w:val="auto"/>
              </w:rPr>
              <w:t>21,105,292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w w:val="99"/>
              </w:rPr>
              <w:t>Common stock issued in connection</w:t>
            </w: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ind w:left="160"/>
              <w:spacing w:after="0" w:line="172" w:lineRule="exact"/>
              <w:rPr>
                <w:sz w:val="20"/>
                <w:szCs w:val="20"/>
                <w:color w:val="auto"/>
              </w:rPr>
            </w:pPr>
            <w:r>
              <w:rPr>
                <w:rFonts w:ascii="Arial" w:cs="Arial" w:eastAsia="Arial" w:hAnsi="Arial"/>
                <w:sz w:val="15"/>
                <w:szCs w:val="15"/>
                <w:color w:val="auto"/>
              </w:rPr>
              <w:t>with in-licensing agreements</w:t>
            </w:r>
          </w:p>
        </w:tc>
        <w:tc>
          <w:tcPr>
            <w:tcW w:w="9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496,530</w:t>
            </w:r>
          </w:p>
        </w:tc>
        <w:tc>
          <w:tcPr>
            <w:tcW w:w="22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2"/>
            <w:shd w:val="clear" w:color="auto" w:fill="CCEEFF"/>
          </w:tcPr>
          <w:p>
            <w:pPr>
              <w:jc w:val="right"/>
              <w:ind w:right="200"/>
              <w:spacing w:after="0" w:line="172" w:lineRule="exact"/>
              <w:rPr>
                <w:sz w:val="20"/>
                <w:szCs w:val="20"/>
                <w:color w:val="auto"/>
              </w:rPr>
            </w:pPr>
            <w:r>
              <w:rPr>
                <w:rFonts w:ascii="Arial" w:cs="Arial" w:eastAsia="Arial" w:hAnsi="Arial"/>
                <w:sz w:val="15"/>
                <w:szCs w:val="15"/>
                <w:color w:val="auto"/>
              </w:rPr>
              <w:t>496</w:t>
            </w: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5,349,597</w:t>
            </w:r>
          </w:p>
        </w:tc>
        <w:tc>
          <w:tcPr>
            <w:tcW w:w="24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5,350,093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(55,781,277)</w:t>
            </w:r>
          </w:p>
        </w:tc>
        <w:tc>
          <w:tcPr>
            <w:tcW w:w="122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(55,781,277)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Balance at December 31, 2014</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44,974,248</w:t>
            </w:r>
          </w:p>
        </w:tc>
        <w:tc>
          <w:tcPr>
            <w:tcW w:w="22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44,974</w:t>
            </w:r>
          </w:p>
        </w:tc>
        <w:tc>
          <w:tcPr>
            <w:tcW w:w="9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6</w:t>
            </w: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175,476,521</w:t>
            </w:r>
          </w:p>
        </w:tc>
        <w:tc>
          <w:tcPr>
            <w:tcW w:w="240" w:type="dxa"/>
            <w:vAlign w:val="bottom"/>
            <w:tcBorders>
              <w:right w:val="single" w:sz="8" w:color="CCEEFF"/>
            </w:tcBorders>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41,309</w:t>
            </w:r>
          </w:p>
        </w:tc>
        <w:tc>
          <w:tcPr>
            <w:tcW w:w="11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(234,337)</w:t>
            </w:r>
          </w:p>
        </w:tc>
        <w:tc>
          <w:tcPr>
            <w:tcW w:w="12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(95,185,280)</w:t>
            </w: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80,101,884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5"/>
                <w:szCs w:val="15"/>
                <w:color w:val="auto"/>
              </w:rPr>
              <w:t>Issuance of common stock in</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line="172" w:lineRule="exact"/>
              <w:rPr>
                <w:sz w:val="20"/>
                <w:szCs w:val="20"/>
                <w:color w:val="auto"/>
              </w:rPr>
            </w:pPr>
            <w:r>
              <w:rPr>
                <w:rFonts w:ascii="Arial" w:cs="Arial" w:eastAsia="Arial" w:hAnsi="Arial"/>
                <w:sz w:val="15"/>
                <w:szCs w:val="15"/>
                <w:color w:val="auto"/>
                <w:w w:val="99"/>
              </w:rPr>
              <w:t>connection with exercise of warrants</w:t>
            </w:r>
          </w:p>
        </w:tc>
        <w:tc>
          <w:tcPr>
            <w:tcW w:w="920" w:type="dxa"/>
            <w:vAlign w:val="bottom"/>
          </w:tcPr>
          <w:p>
            <w:pPr>
              <w:jc w:val="right"/>
              <w:spacing w:after="0" w:line="172" w:lineRule="exact"/>
              <w:rPr>
                <w:sz w:val="20"/>
                <w:szCs w:val="20"/>
                <w:color w:val="auto"/>
              </w:rPr>
            </w:pPr>
            <w:r>
              <w:rPr>
                <w:rFonts w:ascii="Arial" w:cs="Arial" w:eastAsia="Arial" w:hAnsi="Arial"/>
                <w:sz w:val="15"/>
                <w:szCs w:val="15"/>
                <w:color w:val="auto"/>
              </w:rPr>
              <w:t>2,946,703</w:t>
            </w:r>
          </w:p>
        </w:tc>
        <w:tc>
          <w:tcPr>
            <w:tcW w:w="220" w:type="dxa"/>
            <w:vAlign w:val="bottom"/>
          </w:tcPr>
          <w:p>
            <w:pPr>
              <w:spacing w:after="0"/>
              <w:rPr>
                <w:sz w:val="14"/>
                <w:szCs w:val="14"/>
                <w:color w:val="auto"/>
              </w:rPr>
            </w:pPr>
          </w:p>
        </w:tc>
        <w:tc>
          <w:tcPr>
            <w:tcW w:w="1020" w:type="dxa"/>
            <w:vAlign w:val="bottom"/>
            <w:gridSpan w:val="2"/>
          </w:tcPr>
          <w:p>
            <w:pPr>
              <w:jc w:val="right"/>
              <w:ind w:right="200"/>
              <w:spacing w:after="0" w:line="172" w:lineRule="exact"/>
              <w:rPr>
                <w:sz w:val="20"/>
                <w:szCs w:val="20"/>
                <w:color w:val="auto"/>
              </w:rPr>
            </w:pPr>
            <w:r>
              <w:rPr>
                <w:rFonts w:ascii="Arial" w:cs="Arial" w:eastAsia="Arial" w:hAnsi="Arial"/>
                <w:sz w:val="15"/>
                <w:szCs w:val="15"/>
                <w:color w:val="auto"/>
              </w:rPr>
              <w:t>2,946</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line="172" w:lineRule="exact"/>
              <w:rPr>
                <w:sz w:val="20"/>
                <w:szCs w:val="20"/>
                <w:color w:val="auto"/>
              </w:rPr>
            </w:pPr>
            <w:r>
              <w:rPr>
                <w:rFonts w:ascii="Arial" w:cs="Arial" w:eastAsia="Arial" w:hAnsi="Arial"/>
                <w:sz w:val="15"/>
                <w:szCs w:val="15"/>
                <w:color w:val="auto"/>
              </w:rPr>
              <w:t>1,064,393</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line="172" w:lineRule="exact"/>
              <w:rPr>
                <w:sz w:val="20"/>
                <w:szCs w:val="20"/>
                <w:color w:val="auto"/>
              </w:rPr>
            </w:pPr>
            <w:r>
              <w:rPr>
                <w:rFonts w:ascii="Arial" w:cs="Arial" w:eastAsia="Arial" w:hAnsi="Arial"/>
                <w:sz w:val="15"/>
                <w:szCs w:val="15"/>
                <w:color w:val="auto"/>
              </w:rPr>
              <w:t>1,067,339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Issuance of common stock in</w:t>
            </w: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8"/>
              </w:rPr>
              <w:t>connection with cashless exercise of</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warrants</w:t>
            </w:r>
          </w:p>
        </w:tc>
        <w:tc>
          <w:tcPr>
            <w:tcW w:w="9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2,915</w:t>
            </w:r>
          </w:p>
        </w:tc>
        <w:tc>
          <w:tcPr>
            <w:tcW w:w="22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2"/>
            <w:shd w:val="clear" w:color="auto" w:fill="CCEEFF"/>
          </w:tcPr>
          <w:p>
            <w:pPr>
              <w:jc w:val="right"/>
              <w:ind w:right="200"/>
              <w:spacing w:after="0" w:line="172" w:lineRule="exact"/>
              <w:rPr>
                <w:sz w:val="20"/>
                <w:szCs w:val="20"/>
                <w:color w:val="auto"/>
              </w:rPr>
            </w:pPr>
            <w:r>
              <w:rPr>
                <w:rFonts w:ascii="Arial" w:cs="Arial" w:eastAsia="Arial" w:hAnsi="Arial"/>
                <w:sz w:val="15"/>
                <w:szCs w:val="15"/>
                <w:color w:val="auto"/>
              </w:rPr>
              <w:t>3</w:t>
            </w: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tcBorders>
              <w:right w:val="single" w:sz="8" w:color="CCEEFF"/>
            </w:tcBorders>
            <w:gridSpan w:val="2"/>
            <w:shd w:val="clear" w:color="auto" w:fill="CCEEFF"/>
          </w:tcPr>
          <w:p>
            <w:pPr>
              <w:jc w:val="right"/>
              <w:ind w:right="200"/>
              <w:spacing w:after="0" w:line="172" w:lineRule="exact"/>
              <w:rPr>
                <w:sz w:val="20"/>
                <w:szCs w:val="20"/>
                <w:color w:val="auto"/>
              </w:rPr>
            </w:pPr>
            <w:r>
              <w:rPr>
                <w:rFonts w:ascii="Arial" w:cs="Arial" w:eastAsia="Arial" w:hAnsi="Arial"/>
                <w:sz w:val="15"/>
                <w:szCs w:val="15"/>
                <w:color w:val="auto"/>
              </w:rPr>
              <w:t>(3)</w:t>
            </w: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5"/>
                <w:szCs w:val="15"/>
                <w:color w:val="auto"/>
              </w:rPr>
              <w:t>Issuance of common stock in</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spacing w:after="0" w:line="162" w:lineRule="exact"/>
              <w:rPr>
                <w:sz w:val="20"/>
                <w:szCs w:val="20"/>
                <w:color w:val="auto"/>
              </w:rPr>
            </w:pPr>
            <w:r>
              <w:rPr>
                <w:rFonts w:ascii="Arial" w:cs="Arial" w:eastAsia="Arial" w:hAnsi="Arial"/>
                <w:sz w:val="15"/>
                <w:szCs w:val="15"/>
                <w:color w:val="auto"/>
              </w:rPr>
              <w:t>connection with conversion of notes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line="172" w:lineRule="exact"/>
              <w:rPr>
                <w:sz w:val="20"/>
                <w:szCs w:val="20"/>
                <w:color w:val="auto"/>
              </w:rPr>
            </w:pPr>
            <w:r>
              <w:rPr>
                <w:rFonts w:ascii="Arial" w:cs="Arial" w:eastAsia="Arial" w:hAnsi="Arial"/>
                <w:sz w:val="15"/>
                <w:szCs w:val="15"/>
                <w:color w:val="auto"/>
              </w:rPr>
              <w:t>payable</w:t>
            </w:r>
          </w:p>
        </w:tc>
        <w:tc>
          <w:tcPr>
            <w:tcW w:w="920" w:type="dxa"/>
            <w:vAlign w:val="bottom"/>
          </w:tcPr>
          <w:p>
            <w:pPr>
              <w:jc w:val="right"/>
              <w:spacing w:after="0" w:line="172" w:lineRule="exact"/>
              <w:rPr>
                <w:sz w:val="20"/>
                <w:szCs w:val="20"/>
                <w:color w:val="auto"/>
              </w:rPr>
            </w:pPr>
            <w:r>
              <w:rPr>
                <w:rFonts w:ascii="Arial" w:cs="Arial" w:eastAsia="Arial" w:hAnsi="Arial"/>
                <w:sz w:val="15"/>
                <w:szCs w:val="15"/>
                <w:color w:val="auto"/>
              </w:rPr>
              <w:t>522</w:t>
            </w:r>
          </w:p>
        </w:tc>
        <w:tc>
          <w:tcPr>
            <w:tcW w:w="220" w:type="dxa"/>
            <w:vAlign w:val="bottom"/>
          </w:tcPr>
          <w:p>
            <w:pPr>
              <w:spacing w:after="0"/>
              <w:rPr>
                <w:sz w:val="14"/>
                <w:szCs w:val="14"/>
                <w:color w:val="auto"/>
              </w:rPr>
            </w:pPr>
          </w:p>
        </w:tc>
        <w:tc>
          <w:tcPr>
            <w:tcW w:w="1020" w:type="dxa"/>
            <w:vAlign w:val="bottom"/>
            <w:gridSpan w:val="2"/>
          </w:tcPr>
          <w:p>
            <w:pPr>
              <w:jc w:val="right"/>
              <w:ind w:right="200"/>
              <w:spacing w:after="0" w:line="172" w:lineRule="exact"/>
              <w:rPr>
                <w:sz w:val="20"/>
                <w:szCs w:val="20"/>
                <w:color w:val="auto"/>
              </w:rPr>
            </w:pPr>
            <w:r>
              <w:rPr>
                <w:rFonts w:ascii="Arial" w:cs="Arial" w:eastAsia="Arial" w:hAnsi="Arial"/>
                <w:sz w:val="15"/>
                <w:szCs w:val="15"/>
                <w:color w:val="auto"/>
              </w:rPr>
              <w:t>1</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line="172" w:lineRule="exact"/>
              <w:rPr>
                <w:sz w:val="20"/>
                <w:szCs w:val="20"/>
                <w:color w:val="auto"/>
              </w:rPr>
            </w:pPr>
            <w:r>
              <w:rPr>
                <w:rFonts w:ascii="Arial" w:cs="Arial" w:eastAsia="Arial" w:hAnsi="Arial"/>
                <w:sz w:val="15"/>
                <w:szCs w:val="15"/>
                <w:color w:val="auto"/>
              </w:rPr>
              <w:t>6,924</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line="172" w:lineRule="exact"/>
              <w:rPr>
                <w:sz w:val="20"/>
                <w:szCs w:val="20"/>
                <w:color w:val="auto"/>
              </w:rPr>
            </w:pPr>
            <w:r>
              <w:rPr>
                <w:rFonts w:ascii="Arial" w:cs="Arial" w:eastAsia="Arial" w:hAnsi="Arial"/>
                <w:sz w:val="15"/>
                <w:szCs w:val="15"/>
                <w:color w:val="auto"/>
              </w:rPr>
              <w:t>6,925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Issuance of restricted stock</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1,992,535</w:t>
            </w:r>
          </w:p>
        </w:tc>
        <w:tc>
          <w:tcPr>
            <w:tcW w:w="22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1,993</w:t>
            </w: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tcBorders>
              <w:right w:val="single" w:sz="8" w:color="CCEEFF"/>
            </w:tcBorders>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(1,993)</w:t>
            </w: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color w:val="auto"/>
              </w:rPr>
              <w:t>Forfeiture of restricted stock</w:t>
            </w:r>
          </w:p>
        </w:tc>
        <w:tc>
          <w:tcPr>
            <w:tcW w:w="11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(31,166)</w:t>
            </w:r>
          </w:p>
        </w:tc>
        <w:tc>
          <w:tcPr>
            <w:tcW w:w="10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(31)</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31</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w w:val="97"/>
              </w:rPr>
              <w:t>Issuance of common stock to related</w:t>
            </w: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party for cash (See Note 9)</w:t>
            </w:r>
          </w:p>
        </w:tc>
        <w:tc>
          <w:tcPr>
            <w:tcW w:w="9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114,855</w:t>
            </w:r>
          </w:p>
        </w:tc>
        <w:tc>
          <w:tcPr>
            <w:tcW w:w="22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2"/>
            <w:shd w:val="clear" w:color="auto" w:fill="CCEEFF"/>
          </w:tcPr>
          <w:p>
            <w:pPr>
              <w:jc w:val="right"/>
              <w:ind w:right="200"/>
              <w:spacing w:after="0" w:line="172" w:lineRule="exact"/>
              <w:rPr>
                <w:sz w:val="20"/>
                <w:szCs w:val="20"/>
                <w:color w:val="auto"/>
              </w:rPr>
            </w:pPr>
            <w:r>
              <w:rPr>
                <w:rFonts w:ascii="Arial" w:cs="Arial" w:eastAsia="Arial" w:hAnsi="Arial"/>
                <w:sz w:val="15"/>
                <w:szCs w:val="15"/>
                <w:color w:val="auto"/>
              </w:rPr>
              <w:t>115</w:t>
            </w: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749,890</w:t>
            </w:r>
          </w:p>
        </w:tc>
        <w:tc>
          <w:tcPr>
            <w:tcW w:w="24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750,005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5"/>
                <w:szCs w:val="15"/>
                <w:color w:val="auto"/>
                <w:w w:val="98"/>
              </w:rPr>
              <w:t>Issuance of common stock in At-the-</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spacing w:after="0" w:line="162" w:lineRule="exact"/>
              <w:rPr>
                <w:sz w:val="20"/>
                <w:szCs w:val="20"/>
                <w:color w:val="auto"/>
              </w:rPr>
            </w:pPr>
            <w:r>
              <w:rPr>
                <w:rFonts w:ascii="Arial" w:cs="Arial" w:eastAsia="Arial" w:hAnsi="Arial"/>
                <w:sz w:val="15"/>
                <w:szCs w:val="15"/>
                <w:color w:val="auto"/>
                <w:w w:val="99"/>
              </w:rPr>
              <w:t>Market offering (net of offering costs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line="172" w:lineRule="exact"/>
              <w:rPr>
                <w:sz w:val="20"/>
                <w:szCs w:val="20"/>
                <w:color w:val="auto"/>
              </w:rPr>
            </w:pPr>
            <w:r>
              <w:rPr>
                <w:rFonts w:ascii="Arial" w:cs="Arial" w:eastAsia="Arial" w:hAnsi="Arial"/>
                <w:sz w:val="15"/>
                <w:szCs w:val="15"/>
                <w:color w:val="auto"/>
              </w:rPr>
              <w:t>of $1,310,591)</w:t>
            </w:r>
          </w:p>
        </w:tc>
        <w:tc>
          <w:tcPr>
            <w:tcW w:w="920" w:type="dxa"/>
            <w:vAlign w:val="bottom"/>
          </w:tcPr>
          <w:p>
            <w:pPr>
              <w:jc w:val="right"/>
              <w:spacing w:after="0" w:line="172" w:lineRule="exact"/>
              <w:rPr>
                <w:sz w:val="20"/>
                <w:szCs w:val="20"/>
                <w:color w:val="auto"/>
              </w:rPr>
            </w:pPr>
            <w:r>
              <w:rPr>
                <w:rFonts w:ascii="Arial" w:cs="Arial" w:eastAsia="Arial" w:hAnsi="Arial"/>
                <w:sz w:val="15"/>
                <w:szCs w:val="15"/>
                <w:color w:val="auto"/>
              </w:rPr>
              <w:t>4,094,498</w:t>
            </w:r>
          </w:p>
        </w:tc>
        <w:tc>
          <w:tcPr>
            <w:tcW w:w="220" w:type="dxa"/>
            <w:vAlign w:val="bottom"/>
          </w:tcPr>
          <w:p>
            <w:pPr>
              <w:spacing w:after="0"/>
              <w:rPr>
                <w:sz w:val="14"/>
                <w:szCs w:val="14"/>
                <w:color w:val="auto"/>
              </w:rPr>
            </w:pPr>
          </w:p>
        </w:tc>
        <w:tc>
          <w:tcPr>
            <w:tcW w:w="1020" w:type="dxa"/>
            <w:vAlign w:val="bottom"/>
            <w:gridSpan w:val="2"/>
          </w:tcPr>
          <w:p>
            <w:pPr>
              <w:jc w:val="right"/>
              <w:ind w:right="200"/>
              <w:spacing w:after="0" w:line="172" w:lineRule="exact"/>
              <w:rPr>
                <w:sz w:val="20"/>
                <w:szCs w:val="20"/>
                <w:color w:val="auto"/>
              </w:rPr>
            </w:pPr>
            <w:r>
              <w:rPr>
                <w:rFonts w:ascii="Arial" w:cs="Arial" w:eastAsia="Arial" w:hAnsi="Arial"/>
                <w:sz w:val="15"/>
                <w:szCs w:val="15"/>
                <w:color w:val="auto"/>
              </w:rPr>
              <w:t>4,094</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line="172" w:lineRule="exact"/>
              <w:rPr>
                <w:sz w:val="20"/>
                <w:szCs w:val="20"/>
                <w:color w:val="auto"/>
              </w:rPr>
            </w:pPr>
            <w:r>
              <w:rPr>
                <w:rFonts w:ascii="Arial" w:cs="Arial" w:eastAsia="Arial" w:hAnsi="Arial"/>
                <w:sz w:val="15"/>
                <w:szCs w:val="15"/>
                <w:color w:val="auto"/>
              </w:rPr>
              <w:t>66,894,609</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line="172" w:lineRule="exact"/>
              <w:rPr>
                <w:sz w:val="20"/>
                <w:szCs w:val="20"/>
                <w:color w:val="auto"/>
              </w:rPr>
            </w:pPr>
            <w:r>
              <w:rPr>
                <w:rFonts w:ascii="Arial" w:cs="Arial" w:eastAsia="Arial" w:hAnsi="Arial"/>
                <w:sz w:val="15"/>
                <w:szCs w:val="15"/>
                <w:color w:val="auto"/>
              </w:rPr>
              <w:t>66,898,703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w w:val="95"/>
              </w:rPr>
              <w:t>Compensation in respect of restricted</w:t>
            </w: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stock granted to employees, directors</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and consultants</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15,697,092</w:t>
            </w:r>
          </w:p>
        </w:tc>
        <w:tc>
          <w:tcPr>
            <w:tcW w:w="24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15,697,092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(62,948,646)</w:t>
            </w:r>
          </w:p>
        </w:tc>
        <w:tc>
          <w:tcPr>
            <w:tcW w:w="122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(62,948,646)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Balance at December 31, 2015</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54,095,110</w:t>
            </w:r>
          </w:p>
        </w:tc>
        <w:tc>
          <w:tcPr>
            <w:tcW w:w="22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54,095</w:t>
            </w:r>
          </w:p>
        </w:tc>
        <w:tc>
          <w:tcPr>
            <w:tcW w:w="9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6</w:t>
            </w: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259,887,464</w:t>
            </w:r>
          </w:p>
        </w:tc>
        <w:tc>
          <w:tcPr>
            <w:tcW w:w="240" w:type="dxa"/>
            <w:vAlign w:val="bottom"/>
            <w:tcBorders>
              <w:right w:val="single" w:sz="8" w:color="CCEEFF"/>
            </w:tcBorders>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41,309</w:t>
            </w:r>
          </w:p>
        </w:tc>
        <w:tc>
          <w:tcPr>
            <w:tcW w:w="11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(234,337)</w:t>
            </w:r>
          </w:p>
        </w:tc>
        <w:tc>
          <w:tcPr>
            <w:tcW w:w="12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(158,133,926)</w:t>
            </w: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101,573,302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5"/>
                <w:szCs w:val="15"/>
                <w:color w:val="auto"/>
              </w:rPr>
              <w:t>Issuance of common stock in</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line="172" w:lineRule="exact"/>
              <w:rPr>
                <w:sz w:val="20"/>
                <w:szCs w:val="20"/>
                <w:color w:val="auto"/>
              </w:rPr>
            </w:pPr>
            <w:r>
              <w:rPr>
                <w:rFonts w:ascii="Arial" w:cs="Arial" w:eastAsia="Arial" w:hAnsi="Arial"/>
                <w:sz w:val="15"/>
                <w:szCs w:val="15"/>
                <w:color w:val="auto"/>
                <w:w w:val="99"/>
              </w:rPr>
              <w:t>connection with exercise of warrants</w:t>
            </w:r>
          </w:p>
        </w:tc>
        <w:tc>
          <w:tcPr>
            <w:tcW w:w="920" w:type="dxa"/>
            <w:vAlign w:val="bottom"/>
          </w:tcPr>
          <w:p>
            <w:pPr>
              <w:jc w:val="right"/>
              <w:spacing w:after="0" w:line="172" w:lineRule="exact"/>
              <w:rPr>
                <w:sz w:val="20"/>
                <w:szCs w:val="20"/>
                <w:color w:val="auto"/>
              </w:rPr>
            </w:pPr>
            <w:r>
              <w:rPr>
                <w:rFonts w:ascii="Arial" w:cs="Arial" w:eastAsia="Arial" w:hAnsi="Arial"/>
                <w:sz w:val="15"/>
                <w:szCs w:val="15"/>
                <w:color w:val="auto"/>
              </w:rPr>
              <w:t>273,370</w:t>
            </w:r>
          </w:p>
        </w:tc>
        <w:tc>
          <w:tcPr>
            <w:tcW w:w="220" w:type="dxa"/>
            <w:vAlign w:val="bottom"/>
          </w:tcPr>
          <w:p>
            <w:pPr>
              <w:spacing w:after="0"/>
              <w:rPr>
                <w:sz w:val="14"/>
                <w:szCs w:val="14"/>
                <w:color w:val="auto"/>
              </w:rPr>
            </w:pPr>
          </w:p>
        </w:tc>
        <w:tc>
          <w:tcPr>
            <w:tcW w:w="1020" w:type="dxa"/>
            <w:vAlign w:val="bottom"/>
            <w:gridSpan w:val="2"/>
          </w:tcPr>
          <w:p>
            <w:pPr>
              <w:jc w:val="right"/>
              <w:ind w:right="200"/>
              <w:spacing w:after="0" w:line="172" w:lineRule="exact"/>
              <w:rPr>
                <w:sz w:val="20"/>
                <w:szCs w:val="20"/>
                <w:color w:val="auto"/>
              </w:rPr>
            </w:pPr>
            <w:r>
              <w:rPr>
                <w:rFonts w:ascii="Arial" w:cs="Arial" w:eastAsia="Arial" w:hAnsi="Arial"/>
                <w:sz w:val="15"/>
                <w:szCs w:val="15"/>
                <w:color w:val="auto"/>
              </w:rPr>
              <w:t>273</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line="172" w:lineRule="exact"/>
              <w:rPr>
                <w:sz w:val="20"/>
                <w:szCs w:val="20"/>
                <w:color w:val="auto"/>
              </w:rPr>
            </w:pPr>
            <w:r>
              <w:rPr>
                <w:rFonts w:ascii="Arial" w:cs="Arial" w:eastAsia="Arial" w:hAnsi="Arial"/>
                <w:sz w:val="15"/>
                <w:szCs w:val="15"/>
                <w:color w:val="auto"/>
              </w:rPr>
              <w:t>617,969</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line="172" w:lineRule="exact"/>
              <w:rPr>
                <w:sz w:val="20"/>
                <w:szCs w:val="20"/>
                <w:color w:val="auto"/>
              </w:rPr>
            </w:pPr>
            <w:r>
              <w:rPr>
                <w:rFonts w:ascii="Arial" w:cs="Arial" w:eastAsia="Arial" w:hAnsi="Arial"/>
                <w:sz w:val="15"/>
                <w:szCs w:val="15"/>
                <w:color w:val="auto"/>
              </w:rPr>
              <w:t>618,242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Issuance of common stock in</w:t>
            </w: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connection with conversion of notes</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payable</w:t>
            </w:r>
          </w:p>
        </w:tc>
        <w:tc>
          <w:tcPr>
            <w:tcW w:w="9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3,710</w:t>
            </w:r>
          </w:p>
        </w:tc>
        <w:tc>
          <w:tcPr>
            <w:tcW w:w="22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2"/>
            <w:shd w:val="clear" w:color="auto" w:fill="CCEEFF"/>
          </w:tcPr>
          <w:p>
            <w:pPr>
              <w:jc w:val="right"/>
              <w:ind w:right="200"/>
              <w:spacing w:after="0" w:line="172" w:lineRule="exact"/>
              <w:rPr>
                <w:sz w:val="20"/>
                <w:szCs w:val="20"/>
                <w:color w:val="auto"/>
              </w:rPr>
            </w:pPr>
            <w:r>
              <w:rPr>
                <w:rFonts w:ascii="Arial" w:cs="Arial" w:eastAsia="Arial" w:hAnsi="Arial"/>
                <w:sz w:val="15"/>
                <w:szCs w:val="15"/>
                <w:color w:val="auto"/>
              </w:rPr>
              <w:t>4</w:t>
            </w: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33,013</w:t>
            </w:r>
          </w:p>
        </w:tc>
        <w:tc>
          <w:tcPr>
            <w:tcW w:w="24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33,017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color w:val="auto"/>
              </w:rPr>
              <w:t>Issuance of restricted stock</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1,924,639</w:t>
            </w:r>
          </w:p>
        </w:tc>
        <w:tc>
          <w:tcPr>
            <w:tcW w:w="220" w:type="dxa"/>
            <w:vAlign w:val="bottom"/>
          </w:tcPr>
          <w:p>
            <w:pPr>
              <w:spacing w:after="0"/>
              <w:rPr>
                <w:sz w:val="14"/>
                <w:szCs w:val="14"/>
                <w:color w:val="auto"/>
              </w:rPr>
            </w:pPr>
          </w:p>
        </w:tc>
        <w:tc>
          <w:tcPr>
            <w:tcW w:w="10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1,925</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(1,925)</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Forfeiture of restricted stock</w:t>
            </w:r>
          </w:p>
        </w:tc>
        <w:tc>
          <w:tcPr>
            <w:tcW w:w="11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(46,773)</w:t>
            </w:r>
          </w:p>
        </w:tc>
        <w:tc>
          <w:tcPr>
            <w:tcW w:w="1020" w:type="dxa"/>
            <w:vAlign w:val="bottom"/>
            <w:tcBorders>
              <w:right w:val="single" w:sz="8" w:color="CCEEFF"/>
            </w:tcBorders>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(47)</w:t>
            </w: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47</w:t>
            </w:r>
          </w:p>
        </w:tc>
        <w:tc>
          <w:tcPr>
            <w:tcW w:w="24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5"/>
                <w:szCs w:val="15"/>
                <w:color w:val="auto"/>
                <w:w w:val="98"/>
              </w:rPr>
              <w:t>Issuance of common stock in At-the-</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spacing w:after="0" w:line="162" w:lineRule="exact"/>
              <w:rPr>
                <w:sz w:val="20"/>
                <w:szCs w:val="20"/>
                <w:color w:val="auto"/>
              </w:rPr>
            </w:pPr>
            <w:r>
              <w:rPr>
                <w:rFonts w:ascii="Arial" w:cs="Arial" w:eastAsia="Arial" w:hAnsi="Arial"/>
                <w:sz w:val="15"/>
                <w:szCs w:val="15"/>
                <w:color w:val="auto"/>
                <w:w w:val="99"/>
              </w:rPr>
              <w:t>Market offering (net of offering costs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line="172" w:lineRule="exact"/>
              <w:rPr>
                <w:sz w:val="20"/>
                <w:szCs w:val="20"/>
                <w:color w:val="auto"/>
              </w:rPr>
            </w:pPr>
            <w:r>
              <w:rPr>
                <w:rFonts w:ascii="Arial" w:cs="Arial" w:eastAsia="Arial" w:hAnsi="Arial"/>
                <w:sz w:val="15"/>
                <w:szCs w:val="15"/>
                <w:color w:val="auto"/>
              </w:rPr>
              <w:t>of $108,185)</w:t>
            </w:r>
          </w:p>
        </w:tc>
        <w:tc>
          <w:tcPr>
            <w:tcW w:w="920" w:type="dxa"/>
            <w:vAlign w:val="bottom"/>
          </w:tcPr>
          <w:p>
            <w:pPr>
              <w:jc w:val="right"/>
              <w:spacing w:after="0" w:line="172" w:lineRule="exact"/>
              <w:rPr>
                <w:sz w:val="20"/>
                <w:szCs w:val="20"/>
                <w:color w:val="auto"/>
              </w:rPr>
            </w:pPr>
            <w:r>
              <w:rPr>
                <w:rFonts w:ascii="Arial" w:cs="Arial" w:eastAsia="Arial" w:hAnsi="Arial"/>
                <w:sz w:val="15"/>
                <w:szCs w:val="15"/>
                <w:color w:val="auto"/>
              </w:rPr>
              <w:t>570,366</w:t>
            </w:r>
          </w:p>
        </w:tc>
        <w:tc>
          <w:tcPr>
            <w:tcW w:w="220" w:type="dxa"/>
            <w:vAlign w:val="bottom"/>
          </w:tcPr>
          <w:p>
            <w:pPr>
              <w:spacing w:after="0"/>
              <w:rPr>
                <w:sz w:val="14"/>
                <w:szCs w:val="14"/>
                <w:color w:val="auto"/>
              </w:rPr>
            </w:pPr>
          </w:p>
        </w:tc>
        <w:tc>
          <w:tcPr>
            <w:tcW w:w="1020" w:type="dxa"/>
            <w:vAlign w:val="bottom"/>
            <w:gridSpan w:val="2"/>
          </w:tcPr>
          <w:p>
            <w:pPr>
              <w:jc w:val="right"/>
              <w:ind w:right="200"/>
              <w:spacing w:after="0" w:line="172" w:lineRule="exact"/>
              <w:rPr>
                <w:sz w:val="20"/>
                <w:szCs w:val="20"/>
                <w:color w:val="auto"/>
              </w:rPr>
            </w:pPr>
            <w:r>
              <w:rPr>
                <w:rFonts w:ascii="Arial" w:cs="Arial" w:eastAsia="Arial" w:hAnsi="Arial"/>
                <w:sz w:val="15"/>
                <w:szCs w:val="15"/>
                <w:color w:val="auto"/>
              </w:rPr>
              <w:t>570</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line="172" w:lineRule="exact"/>
              <w:rPr>
                <w:sz w:val="20"/>
                <w:szCs w:val="20"/>
                <w:color w:val="auto"/>
              </w:rPr>
            </w:pPr>
            <w:r>
              <w:rPr>
                <w:rFonts w:ascii="Arial" w:cs="Arial" w:eastAsia="Arial" w:hAnsi="Arial"/>
                <w:sz w:val="15"/>
                <w:szCs w:val="15"/>
                <w:color w:val="auto"/>
              </w:rPr>
              <w:t>4,385,566</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line="172" w:lineRule="exact"/>
              <w:rPr>
                <w:sz w:val="20"/>
                <w:szCs w:val="20"/>
                <w:color w:val="auto"/>
              </w:rPr>
            </w:pPr>
            <w:r>
              <w:rPr>
                <w:rFonts w:ascii="Arial" w:cs="Arial" w:eastAsia="Arial" w:hAnsi="Arial"/>
                <w:sz w:val="15"/>
                <w:szCs w:val="15"/>
                <w:color w:val="auto"/>
              </w:rPr>
              <w:t>4,386,136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w w:val="95"/>
              </w:rPr>
              <w:t>Compensation in respect of restricted</w:t>
            </w: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stock granted to employees, directors</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and consultants</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7,509,999</w:t>
            </w:r>
          </w:p>
        </w:tc>
        <w:tc>
          <w:tcPr>
            <w:tcW w:w="24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7,509,999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5"/>
                <w:szCs w:val="15"/>
                <w:color w:val="auto"/>
              </w:rPr>
              <w:t>Adjustment to contingently issuable</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line="172" w:lineRule="exact"/>
              <w:rPr>
                <w:sz w:val="20"/>
                <w:szCs w:val="20"/>
                <w:color w:val="auto"/>
              </w:rPr>
            </w:pPr>
            <w:r>
              <w:rPr>
                <w:rFonts w:ascii="Arial" w:cs="Arial" w:eastAsia="Arial" w:hAnsi="Arial"/>
                <w:sz w:val="15"/>
                <w:szCs w:val="15"/>
                <w:color w:val="auto"/>
              </w:rPr>
              <w:t>shares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80"/>
              <w:spacing w:after="0" w:line="172" w:lineRule="exact"/>
              <w:rPr>
                <w:sz w:val="20"/>
                <w:szCs w:val="20"/>
                <w:color w:val="auto"/>
              </w:rPr>
            </w:pPr>
            <w:r>
              <w:rPr>
                <w:rFonts w:ascii="Arial" w:cs="Arial" w:eastAsia="Arial" w:hAnsi="Arial"/>
                <w:sz w:val="15"/>
                <w:szCs w:val="15"/>
                <w:color w:val="auto"/>
              </w:rPr>
              <w:t>(6)</w:t>
            </w:r>
          </w:p>
        </w:tc>
        <w:tc>
          <w:tcPr>
            <w:tcW w:w="1100" w:type="dxa"/>
            <w:vAlign w:val="bottom"/>
          </w:tcPr>
          <w:p>
            <w:pPr>
              <w:jc w:val="right"/>
              <w:spacing w:after="0" w:line="172" w:lineRule="exact"/>
              <w:rPr>
                <w:sz w:val="20"/>
                <w:szCs w:val="20"/>
                <w:color w:val="auto"/>
              </w:rPr>
            </w:pPr>
            <w:r>
              <w:rPr>
                <w:rFonts w:ascii="Arial" w:cs="Arial" w:eastAsia="Arial" w:hAnsi="Arial"/>
                <w:sz w:val="15"/>
                <w:szCs w:val="15"/>
                <w:color w:val="auto"/>
              </w:rPr>
              <w:t>6</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loss</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(78,252,894)</w:t>
            </w:r>
          </w:p>
        </w:tc>
        <w:tc>
          <w:tcPr>
            <w:tcW w:w="12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(78,252,894)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color w:val="auto"/>
              </w:rPr>
              <w:t>Balance at December 31, 2016</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56,820,422</w:t>
            </w:r>
          </w:p>
        </w:tc>
        <w:tc>
          <w:tcPr>
            <w:tcW w:w="220" w:type="dxa"/>
            <w:vAlign w:val="bottom"/>
          </w:tcPr>
          <w:p>
            <w:pPr>
              <w:spacing w:after="0"/>
              <w:rPr>
                <w:sz w:val="14"/>
                <w:szCs w:val="14"/>
                <w:color w:val="auto"/>
              </w:rPr>
            </w:pPr>
          </w:p>
        </w:tc>
        <w:tc>
          <w:tcPr>
            <w:tcW w:w="10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$56,820</w:t>
            </w:r>
          </w:p>
        </w:tc>
        <w:tc>
          <w:tcPr>
            <w:tcW w:w="9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$272,432,139</w:t>
            </w:r>
          </w:p>
        </w:tc>
        <w:tc>
          <w:tcPr>
            <w:tcW w:w="240" w:type="dxa"/>
            <w:vAlign w:val="bottom"/>
          </w:tcPr>
          <w:p>
            <w:pPr>
              <w:spacing w:after="0"/>
              <w:rPr>
                <w:sz w:val="14"/>
                <w:szCs w:val="14"/>
                <w:color w:val="auto"/>
              </w:rPr>
            </w:pPr>
          </w:p>
        </w:tc>
        <w:tc>
          <w:tcPr>
            <w:tcW w:w="9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41,309</w:t>
            </w:r>
          </w:p>
        </w:tc>
        <w:tc>
          <w:tcPr>
            <w:tcW w:w="11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$(234,337)</w:t>
            </w:r>
          </w:p>
        </w:tc>
        <w:tc>
          <w:tcPr>
            <w:tcW w:w="1260" w:type="dxa"/>
            <w:vAlign w:val="bottom"/>
            <w:gridSpan w:val="2"/>
          </w:tcPr>
          <w:p>
            <w:pPr>
              <w:jc w:val="right"/>
              <w:ind w:right="220"/>
              <w:spacing w:after="0" w:line="162"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(236,386,820)</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$35,867,802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for the Years Ended December 31, 2016, 2015 and 2014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loss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$(78,252,894)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$(62,948,646)</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$(55,781,277)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Adjustments to reconcile consolidated net loss to net cash used in operating activities: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Gain on settlement of notes payable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Gain on sale of long-term securities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(33,042)</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Noncash stock compensation expense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7,509,999</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15,697,092</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21,105,292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Noncash stock expense associated with in-licensing agreements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5,350,094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62,960</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15,452</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Amortization of premium on investment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459,429</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536,142</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193,581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notes payable and accrued interest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(109,657)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restricted cash</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(4,131)</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(575,012)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Decrease (increase) in other current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3,564,316</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(3,105,771)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(4,563,067)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leasehold interest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(2,042,281)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Decrease (increase) in accrued interest receivable</w:t>
            </w:r>
          </w:p>
        </w:tc>
        <w:tc>
          <w:tcPr>
            <w:tcW w:w="1120" w:type="dxa"/>
            <w:vAlign w:val="bottom"/>
          </w:tcPr>
          <w:p>
            <w:pPr>
              <w:jc w:val="right"/>
              <w:spacing w:after="0"/>
              <w:rPr>
                <w:sz w:val="20"/>
                <w:szCs w:val="20"/>
                <w:color w:val="auto"/>
              </w:rPr>
            </w:pPr>
            <w:r>
              <w:rPr>
                <w:rFonts w:ascii="Arial" w:cs="Arial" w:eastAsia="Arial" w:hAnsi="Arial"/>
                <w:sz w:val="18"/>
                <w:szCs w:val="18"/>
                <w:color w:val="auto"/>
              </w:rPr>
              <w:t>102,169</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(100,505)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(58,347)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other assets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(41,722)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Increase (decrease) in accounts payable and accrued expenses</w:t>
            </w:r>
          </w:p>
        </w:tc>
        <w:tc>
          <w:tcPr>
            <w:tcW w:w="1120" w:type="dxa"/>
            <w:vAlign w:val="bottom"/>
          </w:tcPr>
          <w:p>
            <w:pPr>
              <w:jc w:val="right"/>
              <w:spacing w:after="0"/>
              <w:rPr>
                <w:sz w:val="20"/>
                <w:szCs w:val="20"/>
                <w:color w:val="auto"/>
              </w:rPr>
            </w:pPr>
            <w:r>
              <w:rPr>
                <w:rFonts w:ascii="Arial" w:cs="Arial" w:eastAsia="Arial" w:hAnsi="Arial"/>
                <w:sz w:val="18"/>
                <w:szCs w:val="18"/>
                <w:color w:val="auto"/>
              </w:rPr>
              <w:t>6,492,644</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5,470,915</w:t>
            </w:r>
          </w:p>
        </w:tc>
        <w:tc>
          <w:tcPr>
            <w:tcW w:w="2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(603,377)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interest payable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Increase in deferred rent</w:t>
            </w:r>
          </w:p>
        </w:tc>
        <w:tc>
          <w:tcPr>
            <w:tcW w:w="1120" w:type="dxa"/>
            <w:vAlign w:val="bottom"/>
          </w:tcPr>
          <w:p>
            <w:pPr>
              <w:jc w:val="right"/>
              <w:spacing w:after="0"/>
              <w:rPr>
                <w:sz w:val="20"/>
                <w:szCs w:val="20"/>
                <w:color w:val="auto"/>
              </w:rPr>
            </w:pPr>
            <w:r>
              <w:rPr>
                <w:rFonts w:ascii="Arial" w:cs="Arial" w:eastAsia="Arial" w:hAnsi="Arial"/>
                <w:sz w:val="18"/>
                <w:szCs w:val="18"/>
                <w:color w:val="auto"/>
              </w:rPr>
              <w:t>816,257</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deferred revenue</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(152,381)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(152,381)</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(152,381)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(61,591,330)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(44,690,272)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(35,059,919)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Purchases of equipment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(343,985)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(42,217)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(18,570)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held-to-maturity securities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(15,199,922)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(48,993,652)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(18,336,719)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Proceeds from maturity of short-term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29,500,000</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24,350,000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the sale of long-term securities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12,589,219</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120" w:type="dxa"/>
            <w:vAlign w:val="bottom"/>
          </w:tcPr>
          <w:p>
            <w:pPr>
              <w:jc w:val="right"/>
              <w:spacing w:after="0"/>
              <w:rPr>
                <w:sz w:val="20"/>
                <w:szCs w:val="20"/>
                <w:color w:val="auto"/>
              </w:rPr>
            </w:pPr>
            <w:r>
              <w:rPr>
                <w:rFonts w:ascii="Arial" w:cs="Arial" w:eastAsia="Arial" w:hAnsi="Arial"/>
                <w:sz w:val="18"/>
                <w:szCs w:val="18"/>
                <w:color w:val="auto"/>
              </w:rPr>
              <w:t>26,545,312</w:t>
            </w:r>
          </w:p>
        </w:tc>
        <w:tc>
          <w:tcPr>
            <w:tcW w:w="26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(24,685,869)</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(18,355,289)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Proceeds from the exercise of warrants</w:t>
            </w:r>
          </w:p>
        </w:tc>
        <w:tc>
          <w:tcPr>
            <w:tcW w:w="1120" w:type="dxa"/>
            <w:vAlign w:val="bottom"/>
          </w:tcPr>
          <w:p>
            <w:pPr>
              <w:jc w:val="right"/>
              <w:spacing w:after="0"/>
              <w:rPr>
                <w:sz w:val="20"/>
                <w:szCs w:val="20"/>
                <w:color w:val="auto"/>
              </w:rPr>
            </w:pPr>
            <w:r>
              <w:rPr>
                <w:rFonts w:ascii="Arial" w:cs="Arial" w:eastAsia="Arial" w:hAnsi="Arial"/>
                <w:sz w:val="18"/>
                <w:szCs w:val="18"/>
                <w:color w:val="auto"/>
              </w:rPr>
              <w:t>618,242</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1,067,339</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3,556,624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exercise of options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Payment of notes payable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(677,778)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common stock, net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4,411,233</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67,760,517</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65,614,260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financing costs paid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(13,506)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(104,170)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(51,980)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5,015,969</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68,723,686</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68,643,526</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(30,030,049)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(652,455)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15,228,318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55,061,329</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55,713,784</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40,485,466</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8" w:lineRule="exact"/>
        <w:rPr>
          <w:sz w:val="20"/>
          <w:szCs w:val="20"/>
          <w:color w:val="auto"/>
        </w:rPr>
      </w:pPr>
    </w:p>
    <w:p>
      <w:pPr>
        <w:ind w:left="60" w:right="2620" w:hanging="43"/>
        <w:spacing w:after="0" w:line="348" w:lineRule="auto"/>
        <w:rPr>
          <w:sz w:val="20"/>
          <w:szCs w:val="20"/>
          <w:color w:val="auto"/>
        </w:rPr>
      </w:pPr>
      <w:r>
        <w:rPr>
          <w:rFonts w:ascii="Arial" w:cs="Arial" w:eastAsia="Arial" w:hAnsi="Arial"/>
          <w:sz w:val="18"/>
          <w:szCs w:val="18"/>
          <w:color w:val="auto"/>
        </w:rPr>
        <w:t>CASH AND CASH EQUIVALENTS AT END OF YEAR NONCASH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2400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ind w:right="1640" w:firstLine="44"/>
        <w:spacing w:after="0" w:line="323" w:lineRule="auto"/>
        <w:rPr>
          <w:sz w:val="20"/>
          <w:szCs w:val="20"/>
          <w:color w:val="auto"/>
        </w:rPr>
      </w:pPr>
      <w:r>
        <w:rPr>
          <w:rFonts w:ascii="Arial" w:cs="Arial" w:eastAsia="Arial" w:hAnsi="Arial"/>
          <w:sz w:val="16"/>
          <w:szCs w:val="16"/>
          <w:color w:val="auto"/>
        </w:rPr>
        <w:t>Reclassification of deferred financing costs to additional paid-in capital Conversion of convertible notes payable 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$25,031,280</w:t>
            </w: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$55,061,329</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$55,713,784</w:t>
            </w:r>
          </w:p>
        </w:tc>
      </w:tr>
      <w:tr>
        <w:trPr>
          <w:trHeight w:val="22"/>
        </w:trPr>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17"/>
        </w:trPr>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$(25,097)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$(111,810)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1120" w:type="dxa"/>
            <w:vAlign w:val="bottom"/>
          </w:tcPr>
          <w:p>
            <w:pPr>
              <w:jc w:val="right"/>
              <w:spacing w:after="0"/>
              <w:rPr>
                <w:sz w:val="20"/>
                <w:szCs w:val="20"/>
                <w:color w:val="auto"/>
              </w:rPr>
            </w:pPr>
            <w:r>
              <w:rPr>
                <w:rFonts w:ascii="Arial" w:cs="Arial" w:eastAsia="Arial" w:hAnsi="Arial"/>
                <w:sz w:val="18"/>
                <w:szCs w:val="18"/>
                <w:color w:val="auto"/>
              </w:rPr>
              <w:t>$33,017</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$6,924</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63" w:lineRule="exact"/>
        <w:rPr>
          <w:sz w:val="20"/>
          <w:szCs w:val="20"/>
          <w:color w:val="auto"/>
        </w:rPr>
      </w:pPr>
    </w:p>
    <w:p>
      <w:pPr>
        <w:sectPr>
          <w:pgSz w:w="11900" w:h="16838" w:orient="portrait"/>
          <w:cols w:equalWidth="0" w:num="2">
            <w:col w:w="6720" w:space="720"/>
            <w:col w:w="3980"/>
          </w:cols>
          <w:pgMar w:left="240" w:top="341" w:right="239" w:bottom="1440" w:gutter="0" w:footer="0" w:header="0"/>
          <w:type w:val="continuous"/>
        </w:sectPr>
      </w:pPr>
    </w:p>
    <w:p>
      <w:pPr>
        <w:spacing w:after="0" w:line="163" w:lineRule="exact"/>
        <w:rPr>
          <w:sz w:val="20"/>
          <w:szCs w:val="20"/>
          <w:color w:val="auto"/>
        </w:rPr>
      </w:pPr>
    </w:p>
    <w:p>
      <w:pPr>
        <w:ind w:left="2360"/>
        <w:spacing w:after="0"/>
        <w:rPr>
          <w:sz w:val="20"/>
          <w:szCs w:val="20"/>
          <w:color w:val="auto"/>
        </w:rPr>
      </w:pPr>
      <w:r>
        <w:rPr>
          <w:rFonts w:ascii="Arial" w:cs="Arial" w:eastAsia="Arial" w:hAnsi="Arial"/>
          <w:sz w:val="15"/>
          <w:szCs w:val="15"/>
          <w:i w:val="1"/>
          <w:iCs w:val="1"/>
          <w:color w:val="auto"/>
        </w:rPr>
        <w:t>The accompanying notes are an integral part of the consolidated financial statements.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Unless the context requires otherwise, references in this report to “TG,” “Company,” “we,” “us” and “our” refer to TG Therapeutics, Inc. and our subsidiaries.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31" w:lineRule="exact"/>
        <w:rPr>
          <w:sz w:val="20"/>
          <w:szCs w:val="20"/>
          <w:color w:val="auto"/>
        </w:rPr>
      </w:pPr>
    </w:p>
    <w:p>
      <w:pPr>
        <w:ind w:right="220" w:firstLine="648"/>
        <w:spacing w:after="0" w:line="290"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novel treatments for B-cell malignancies and autoimmune diseases. Currently, the Company is developing two therapies targeting hematologic malignancies. TG-1101 (ublituximab) is a novel, glycoengineered monoclonal antibody that targets a specific and unique epitope on the CD20 antigen found on mature B-lymphocytes. We are also developing TGR-1202,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The Company also has pre-clinical programs to develop IRAK4 (interleukin-1 receptor-associated kinase 4) inhibitors, BET (Bromodomain and Extra Terminal) inhibitors, and anti-PD-L1 and anti-GITR antibodies.</w:t>
      </w:r>
    </w:p>
    <w:p>
      <w:pPr>
        <w:spacing w:after="0" w:line="17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December 31, 2016, we have an accumulated deficit of $236.4 million.</w:t>
      </w:r>
    </w:p>
    <w:p>
      <w:pPr>
        <w:spacing w:after="0" w:line="186"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color w:val="auto"/>
        </w:rPr>
        <w:t>Our major sources of cash have been proceeds from the private placement and public offering of equity securities. We have not yet commercialized any of our drug candidates and cannot be sure if we will ever be able to do so. Even if we commercialize one or more of our drug candidates, we may not become profitable. Our ability to achieve profitability depends on many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70"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As of December 31, 2016, we had $45.0 million in cash and cash equivalents, investment securities, and interest receivable. The Company believes its cash, cash equivalents, investment securities, and interest receivable on hand as of December 31, 2016 combined with the additional capital raised in the first quarter of 2017 (see Note 13) will be sufficient to fund the Company’s planned operations for approximately the next 24 months.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operations, including the commercialization of any of our drug candidates.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quoted on the Nasdaq Capital Market and trades under the symbol “TGTX.”</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January 2017, the Financial Accounting Standards Board ("FASB") issued Accounting Standards Update (“ASU”) No. 2017-04, “Simplifying the Test for Goodwill Impairment” (“ASU 2017-04”). ASU 2017-04 removes the requirement to compare the implied fair value of goodwill with its carrying amount as part of step 2 of the goodwill impairment test. As a result, under ASU 2017-04, an entity should perform its annual, or interim, goodwill impairment test by comparing the fair value of a reporting unit with its carrying amount and should recognize an impairment charge for the amount by which the carrying amount exceeds the reporting unit’s fair value; however, the loss recognized should not exceed the total amount of goodwill allocated to that reporting unit. In addition, ASU 2017-04:</w:t>
      </w:r>
    </w:p>
    <w:p>
      <w:pPr>
        <w:spacing w:after="0" w:line="4" w:lineRule="exact"/>
        <w:rPr>
          <w:sz w:val="20"/>
          <w:szCs w:val="20"/>
          <w:color w:val="auto"/>
        </w:rPr>
      </w:pPr>
    </w:p>
    <w:p>
      <w:pPr>
        <w:ind w:left="980" w:hanging="324"/>
        <w:spacing w:after="0" w:line="250"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Clarifies the requirements for excluding and allocating foreign currency translation adjustments to reporting units in connection with an entity’s testing of reporting units for goodwill impairment.</w:t>
      </w:r>
    </w:p>
    <w:p>
      <w:pPr>
        <w:ind w:left="980" w:right="20" w:hanging="324"/>
        <w:spacing w:after="0" w:line="250"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Clarifies that an entity should consider income tax effects from any tax deductible goodwill on the carrying amount of the reporting unit when measuring the goodwill impairment loss, if applicable.</w:t>
      </w:r>
    </w:p>
    <w:p>
      <w:pPr>
        <w:ind w:left="980" w:hanging="324"/>
        <w:spacing w:after="0" w:line="261"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Makes minor changes to the overview and background sections of certain Accounting Standards Codification (“ASC” or “Codification”) subtopics and topics as part of the Board’s initiative to unify and improve those sections throughout the Codification.</w:t>
      </w:r>
    </w:p>
    <w:p>
      <w:pPr>
        <w:spacing w:after="0" w:line="192" w:lineRule="exact"/>
        <w:rPr>
          <w:sz w:val="20"/>
          <w:szCs w:val="20"/>
          <w:color w:val="auto"/>
        </w:rPr>
      </w:pPr>
    </w:p>
    <w:p>
      <w:pPr>
        <w:ind w:right="380" w:firstLine="648"/>
        <w:spacing w:after="0" w:line="332" w:lineRule="auto"/>
        <w:rPr>
          <w:sz w:val="20"/>
          <w:szCs w:val="20"/>
          <w:color w:val="auto"/>
        </w:rPr>
      </w:pPr>
      <w:r>
        <w:rPr>
          <w:rFonts w:ascii="Arial" w:cs="Arial" w:eastAsia="Arial" w:hAnsi="Arial"/>
          <w:sz w:val="16"/>
          <w:szCs w:val="16"/>
          <w:color w:val="auto"/>
        </w:rPr>
        <w:t>ASU 2017-04 is effective prospectively for annual and interim periods beginning on or after December 15, 2019, and early adoption is permitted on testing dates after January 1, 2017. We are currently evaluating the impact the adoption of ASU 2017-04 will have on our consolidated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2"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18"/>
          <w:szCs w:val="18"/>
          <w:color w:val="auto"/>
        </w:rPr>
        <w:t>In November 2016, the FASB issued ASU 2016-18, “Restricted Cash – a consensus of the FASB Emerging Issues Task Force” (“ASU 2016-18”). ASU 2016-18 amends ASC 230 to add or clarify guidance on the classification and presentation of restricted cash in the statement of cash flows. Key requirements of the ASU are as follows:</w:t>
      </w:r>
    </w:p>
    <w:p>
      <w:pPr>
        <w:jc w:val="both"/>
        <w:ind w:left="980" w:hanging="324"/>
        <w:spacing w:after="0" w:line="281"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 entity should include in its cash and cash-equivalent balances in the statement of cash flows those amounts that are deemed to be restricted cash and restricted cash equivalents. The ASU does not define the terms “restricted cash” and “restricted cash equivalents” but states that an entity should continue to provide appropriate disclosures about its accounting policies pertaining to restricted cash in accordance with other GAAP. The ASU also states that any change in accounting policy will need to be assessed under ASC 250.</w:t>
      </w:r>
    </w:p>
    <w:p>
      <w:pPr>
        <w:spacing w:after="0" w:line="2" w:lineRule="exact"/>
        <w:rPr>
          <w:rFonts w:ascii="Arial" w:cs="Arial" w:eastAsia="Arial" w:hAnsi="Arial"/>
          <w:sz w:val="16"/>
          <w:szCs w:val="16"/>
          <w:color w:val="auto"/>
        </w:rPr>
      </w:pPr>
    </w:p>
    <w:p>
      <w:pPr>
        <w:ind w:left="980" w:right="20" w:hanging="324"/>
        <w:spacing w:after="0" w:line="250"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reconciliation between the statement of financial position and the statement of cash flows must be disclosed when the statement of financial position includes more than one line item for cash, cash equivalents, restricted cash, and restricted cash equivalents.</w:t>
      </w:r>
    </w:p>
    <w:p>
      <w:pPr>
        <w:ind w:left="980" w:hanging="324"/>
        <w:spacing w:after="0" w:line="250"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restricted cash and restricted cash equivalents that result from transfers between cash, cash equivalents, and restricted cash and restricted cash equivalents should not be presented as cash flow activities in the statement of cash flows.</w:t>
      </w:r>
    </w:p>
    <w:p>
      <w:pPr>
        <w:ind w:left="980" w:hanging="324"/>
        <w:spacing w:after="0" w:line="261"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entity with a material balance of amounts generally described as restricted cash and restricted cash equivalents must disclose information about the nature of the restrictions.</w:t>
      </w:r>
    </w:p>
    <w:p>
      <w:pPr>
        <w:spacing w:after="0" w:line="192" w:lineRule="exact"/>
        <w:rPr>
          <w:sz w:val="20"/>
          <w:szCs w:val="20"/>
          <w:color w:val="auto"/>
        </w:rPr>
      </w:pPr>
    </w:p>
    <w:p>
      <w:pPr>
        <w:ind w:right="400" w:firstLine="648"/>
        <w:spacing w:after="0" w:line="268" w:lineRule="auto"/>
        <w:rPr>
          <w:sz w:val="20"/>
          <w:szCs w:val="20"/>
          <w:color w:val="auto"/>
        </w:rPr>
      </w:pPr>
      <w:r>
        <w:rPr>
          <w:rFonts w:ascii="Arial" w:cs="Arial" w:eastAsia="Arial" w:hAnsi="Arial"/>
          <w:sz w:val="18"/>
          <w:szCs w:val="18"/>
          <w:color w:val="auto"/>
        </w:rPr>
        <w:t>ASU 2016-18 is effective for annual and interim periods beginning after December 15, 2017, and early adoption is permitted for all entities. We are currently evaluating the impact the adoption of ASU 2016-18 will have on our consolidated financial statements.</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August 2016, the FASB issued ASU No. 2016-15, “Classification of Certain Cash Receipts and Cash Payments” (“ASU 2016-15”). ASU 2016-15 amends the guidance in ASC 230 on the classification of certain cash receipts and payments in the statement of cash flows. The primary purpose of ASU 2016-15 is to reduce the diversity in practice that has resulted from the lack of consistent principles on this topic. The amendments in ASU 2016-15 add or clarify guidance on eight cash flow issues:</w:t>
      </w:r>
    </w:p>
    <w:p>
      <w:pPr>
        <w:spacing w:after="0" w:line="130"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Debt prepayment or debt extinguishment costs.</w:t>
      </w:r>
    </w:p>
    <w:p>
      <w:pPr>
        <w:spacing w:after="0" w:line="15"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Settlement of zero-coupon debt instruments or other debt instruments with coupon interest rates that are insignificant in relation to the effective interest rate of the borrowing.</w:t>
      </w: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Contingent consideration payments made after a business combination.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Proceeds from the settlement of insurance claims.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Proceeds from the settlement of corporate-owned life insurance policies, including bank-owned life insurance policies.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Distributions received from equity method investees.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Beneficial interests in securitization transactions.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Separately identifiable cash flows and application of the predominance principle.</w:t>
      </w:r>
    </w:p>
    <w:p>
      <w:pPr>
        <w:spacing w:after="0" w:line="219"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ASU 2016-15 is effective for annual and interim periods beginning after December 15, 2017, and early adoption is permitted for all entities. Entities must apply the guidance retrospectively to all periods presented but may apply it prospectively from the earliest date practicable if retrospective application would be impracticable. The provisions of this standard are not expected to significantly impact the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May 2016, the FASB issued ASU No. 2016-11, “Rescission of SEC Guidance Because of Accounting Standards Update 2014-09 and 2014-16 Pursuant to Staff Announcements at the March 3, 2016 EITF Meeting” (“ASU 2016-11”). ASU 2016-11 rescinds certain SEC guidance from the FASB Codification in response to announcements made by the SEC staff at the Emerging Issues Task Force’s March 3, 2016 meeting. Specifically, ASU 2016-11 supersedes SEC observer comments on the following topics:</w:t>
      </w:r>
    </w:p>
    <w:p>
      <w:pPr>
        <w:spacing w:after="0" w:line="130"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the adoption of ASU 2014-09:</w:t>
      </w:r>
    </w:p>
    <w:p>
      <w:pPr>
        <w:spacing w:after="0" w:line="15" w:lineRule="exact"/>
        <w:rPr>
          <w:sz w:val="20"/>
          <w:szCs w:val="20"/>
          <w:color w:val="auto"/>
        </w:rPr>
      </w:pPr>
    </w:p>
    <w:p>
      <w:pPr>
        <w:ind w:left="1620" w:hanging="478"/>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Revenue and expense recognition for freight services in process (ASC 605-20-S99-2)</w:t>
      </w:r>
    </w:p>
    <w:p>
      <w:pPr>
        <w:spacing w:after="0" w:line="9" w:lineRule="exact"/>
        <w:rPr>
          <w:rFonts w:ascii="Arial" w:cs="Arial" w:eastAsia="Arial" w:hAnsi="Arial"/>
          <w:sz w:val="18"/>
          <w:szCs w:val="18"/>
          <w:color w:val="auto"/>
        </w:rPr>
      </w:pPr>
    </w:p>
    <w:p>
      <w:pPr>
        <w:ind w:left="1620" w:hanging="478"/>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Accounting for shipping and handling fees and costs (ASC 605-45-S99-1)</w:t>
      </w:r>
    </w:p>
    <w:p>
      <w:pPr>
        <w:spacing w:after="0" w:line="9" w:lineRule="exact"/>
        <w:rPr>
          <w:rFonts w:ascii="Arial" w:cs="Arial" w:eastAsia="Arial" w:hAnsi="Arial"/>
          <w:sz w:val="18"/>
          <w:szCs w:val="18"/>
          <w:color w:val="auto"/>
        </w:rPr>
      </w:pPr>
    </w:p>
    <w:p>
      <w:pPr>
        <w:ind w:left="1620" w:hanging="478"/>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Accounting for consideration given by a vendor to a customer (ASC 605-50-S99-1)</w:t>
      </w:r>
    </w:p>
    <w:p>
      <w:pPr>
        <w:spacing w:after="0" w:line="9" w:lineRule="exact"/>
        <w:rPr>
          <w:rFonts w:ascii="Arial" w:cs="Arial" w:eastAsia="Arial" w:hAnsi="Arial"/>
          <w:sz w:val="18"/>
          <w:szCs w:val="18"/>
          <w:color w:val="auto"/>
        </w:rPr>
      </w:pPr>
    </w:p>
    <w:p>
      <w:pPr>
        <w:ind w:left="1620" w:hanging="478"/>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Accounting for gas-balancing arrangements (ASC 932-10-S99-5)</w:t>
      </w:r>
    </w:p>
    <w:p>
      <w:pPr>
        <w:spacing w:after="0" w:line="218"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the adoption of ASU 2014-16:</w:t>
      </w:r>
    </w:p>
    <w:p>
      <w:pPr>
        <w:spacing w:after="0" w:line="15" w:lineRule="exact"/>
        <w:rPr>
          <w:rFonts w:ascii="Arial" w:cs="Arial" w:eastAsia="Arial" w:hAnsi="Arial"/>
          <w:sz w:val="18"/>
          <w:szCs w:val="18"/>
          <w:color w:val="auto"/>
        </w:rPr>
      </w:pPr>
    </w:p>
    <w:p>
      <w:pPr>
        <w:ind w:left="1620" w:right="20" w:hanging="478"/>
        <w:spacing w:after="0" w:line="261" w:lineRule="auto"/>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Determining the nature of a host contract related to a hybrid financial instrument issued in the form of a share under ASC 815 (ASC 815-10-S99-3).</w:t>
      </w:r>
    </w:p>
    <w:p>
      <w:pPr>
        <w:spacing w:after="0" w:line="192"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ASU 2016-11 is effective upon the adoption of ASU 2014-09 and ASU 2014-16. The adoption of ASU 2016-11 is not expected to have a material impact on the Company’s consolidated financial statements.</w:t>
      </w:r>
    </w:p>
    <w:p>
      <w:pPr>
        <w:spacing w:after="0" w:line="18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March 2016, the FASB issued ASU No. 2016-09, “Simplifying the Accounting for Share-Based Payments” (“ASU 2016-09”). ASU 2016-09 simplifies several aspects of the accounting for employee share-based payment transactions for both public and nonpublic entities, including the accounting for income taxes, forfeitures, and statutory tax withholding requirements, as well as classification in the statement of cash flows. ASU 2016-09 is effective for annual reporting periods beginning after December 15, 2016, including interim periods within those annual reporting periods. The provisions of this standard are not expected to significantly impact the Company.</w:t>
      </w:r>
    </w:p>
    <w:p>
      <w:pPr>
        <w:spacing w:after="0" w:line="19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February 2016, the FASB issued ASU No. 2016-02, “Leases (Topic 842),” which requires lessees to recognize assets and liabilities for the rights and obligations created by most leases on their balance sheet. The guidance is effective for fiscal years beginning after December 15, 2018, including interim periods within those fiscal years. Early application is permitted. ASU 2016-02 requires modified retrospective adoption for all leases existing at, or entered into after, the date of initial application, with an option to use certain transition relief. The Company is currently evaluating the impact the standard may have on its consolidated financial statements and related disclosures.</w:t>
      </w:r>
    </w:p>
    <w:p>
      <w:pPr>
        <w:spacing w:after="0" w:line="19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August 2014, the FASB issued ASU No. 2014-15, “Presentation of Financial Statements - Going Concern (Subtopic 205-40)”, which will require management to assess an entity’s ability to continue as a going concern at each annual and interim period. Related footnote disclosures will be required if conditions give rise to substantial doubt about an entity’s ability to continue as a going concern within one year of the report issuance date. If conditions do not give rise to substantial doubt, no disclosures will be required specific to going concern uncertainties. The guidance defines substantial doubt using a likelihood threshold of “probable” similar to the current use of that term in U.S. GAAP for loss contingencies and provides example indicators. The guidance is effective for reporting periods ending after December 15, 2016, and early adoption is permitted. Therefore, the Company has adopted this new standard on December 15, 2016. The adoption of this standard did not have a material impact on our consolidated financial statements as of December 31, 2016.</w:t>
      </w:r>
    </w:p>
    <w:p>
      <w:pPr>
        <w:spacing w:after="0" w:line="172"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Actual results could differ from those estimates. Such differences could be material to the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treat liquid investments with original maturities of less than three months when purchased as cash and cash equivalents.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We record cash pledged or held in trust as restricted cash. As of December 31, 2016, we have approximately $0.6 million of restricted cash pledged to secure a line of credit as a security deposit for an Office Agreement (see Note 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23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Investment securities at December 31, 2016 consist of short-term government securities and at December 31, 2015 consist of short-term and long-term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97"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are included in interest and other income (expense), net. Unrealized gains, if determined to be temporary, are included in accumulated other comprehensive income in equity. Dividend and interest income are recognized when earned.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31"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short-term investments. The Company maintains its cash and cash equivalents with high-credit quality financial institutions. At times, such amounts may exceed federally-insured limits.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recognize license revenue in accordance with the revenue recognition guidance of the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3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5"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Prepaid research and development in our consolidated balance sheets includes, among other things, certain fees related to development and manufacturing services. These development and manufacturing agreements often require payments in advance of services performed or goods received. Accordingly, as of December 31, 2016 and 2015, we recorded approximately $5.7 million and $9.2 million, respectively, in prepaid research and development related to such advance agreements.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8"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 We recognize interest and penalties related to uncertain income tax positions in income tax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We recognize all share-based payments to employees and non-employee directors (as compensation for service) as noncash compensation expense in the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For share-based payments to consultants and other third-parties (including related parties), noncash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(including related parties) are then revalued, or the total compensation is recalculated based on the then current fair value, at each subsequent reporting date.</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because some of the options, restricted stock and warrants issued to employees, consultants and other third-parties vest upon achievement of certain milestones, the total expense is uncertain. Compensation expense for such awards that vest upon the achievement of milestones is recognized when the achievement of such milestone becomes probable.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31"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Basic net loss per common share is calculated by dividing net loss applicable to common shares by the weighted-average number of common shares outstanding for the period. Diluted net loss per common share is the same as basic net loss per common share, since potentially dilutive securities from stock options, stock warrants and convertible notes would have an antidilutive effect either because the Company incurred a net loss during the period presented or because such potentially dilutive securities were out of the money and the Company realized net income during the period presented. The amounts of potentially dilutive securities excluded from the calculation were 8,033,779, 7,064,396 and 8,890,796 at December 31, 2016, 2015 and 2014, respectively. During the years ended December 31, 2016, 2015 and 2014 the Company incurred a net loss, therefore, all of the securities are antidilutive and excluded from the computation of diluted loss per share.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1"/>
                <w:szCs w:val="21"/>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1"/>
                <w:szCs w:val="21"/>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7,142,055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5,859,914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4,725,001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Warrants</w:t>
            </w:r>
          </w:p>
        </w:tc>
        <w:tc>
          <w:tcPr>
            <w:tcW w:w="1120" w:type="dxa"/>
            <w:vAlign w:val="bottom"/>
          </w:tcPr>
          <w:p>
            <w:pPr>
              <w:jc w:val="right"/>
              <w:spacing w:after="0"/>
              <w:rPr>
                <w:sz w:val="20"/>
                <w:szCs w:val="20"/>
                <w:color w:val="auto"/>
              </w:rPr>
            </w:pPr>
            <w:r>
              <w:rPr>
                <w:rFonts w:ascii="Arial" w:cs="Arial" w:eastAsia="Arial" w:hAnsi="Arial"/>
                <w:sz w:val="18"/>
                <w:szCs w:val="18"/>
                <w:color w:val="auto"/>
              </w:rPr>
              <w:t>876,912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1,186,749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4,148,228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note conversion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17,733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17,373</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Options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8,033,779</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7,064,396</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8,890,796</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GOODWILL</w:t>
      </w:r>
    </w:p>
    <w:p>
      <w:pPr>
        <w:spacing w:after="0" w:line="231" w:lineRule="exact"/>
        <w:rPr>
          <w:sz w:val="20"/>
          <w:szCs w:val="20"/>
          <w:color w:val="auto"/>
        </w:rPr>
      </w:pPr>
    </w:p>
    <w:p>
      <w:pPr>
        <w:ind w:right="80" w:firstLine="648"/>
        <w:spacing w:after="0" w:line="323" w:lineRule="auto"/>
        <w:rPr>
          <w:sz w:val="20"/>
          <w:szCs w:val="20"/>
          <w:color w:val="auto"/>
        </w:rPr>
      </w:pPr>
      <w:r>
        <w:rPr>
          <w:rFonts w:ascii="Arial" w:cs="Arial" w:eastAsia="Arial" w:hAnsi="Arial"/>
          <w:sz w:val="15"/>
          <w:szCs w:val="15"/>
          <w:color w:val="auto"/>
        </w:rPr>
        <w:t>Long-lived assets are reviewed for an impairment loss when circumstances indicate that the carrying value of long-lived tangible and intangible assets with finite lives may not be recoverable. Management’s policy in determining whether an impairment indicator, a triggering event, exists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5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w w:val="95"/>
              </w:rPr>
              <w:t>NOTE 2</w:t>
            </w:r>
          </w:p>
        </w:tc>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 CASH AND CASH EQUIVALENTS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140" w:type="dxa"/>
            <w:vAlign w:val="bottom"/>
          </w:tcPr>
          <w:p>
            <w:pPr>
              <w:ind w:left="20"/>
              <w:spacing w:after="0"/>
              <w:rPr>
                <w:sz w:val="20"/>
                <w:szCs w:val="20"/>
                <w:color w:val="auto"/>
              </w:rPr>
            </w:pPr>
            <w:r>
              <w:rPr>
                <w:rFonts w:ascii="Arial" w:cs="Arial" w:eastAsia="Arial" w:hAnsi="Arial"/>
                <w:sz w:val="18"/>
                <w:szCs w:val="18"/>
                <w:color w:val="auto"/>
                <w:w w:val="92"/>
              </w:rPr>
              <w:t>The following tables summarize our cash and cash equivalents at December 31, 2016 and 2015:</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December 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20,978,947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8,265,583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Checking and bank deposits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4,052,333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46,795,746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7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Total</w:t>
            </w:r>
          </w:p>
        </w:tc>
        <w:tc>
          <w:tcPr>
            <w:tcW w:w="71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25,031,280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55,061,329</w:t>
            </w:r>
          </w:p>
        </w:tc>
        <w:tc>
          <w:tcPr>
            <w:tcW w:w="0" w:type="dxa"/>
            <w:vAlign w:val="bottom"/>
          </w:tcPr>
          <w:p>
            <w:pPr>
              <w:spacing w:after="0"/>
              <w:rPr>
                <w:sz w:val="1"/>
                <w:szCs w:val="1"/>
                <w:color w:val="auto"/>
              </w:rPr>
            </w:pPr>
          </w:p>
        </w:tc>
      </w:tr>
      <w:tr>
        <w:trPr>
          <w:trHeight w:val="21"/>
        </w:trPr>
        <w:tc>
          <w:tcPr>
            <w:tcW w:w="6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NOTE 3</w:t>
            </w:r>
          </w:p>
        </w:tc>
        <w:tc>
          <w:tcPr>
            <w:tcW w:w="7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INVESTMENT SECURITIES</w:t>
            </w: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640" w:type="dxa"/>
            <w:vAlign w:val="bottom"/>
            <w:gridSpan w:val="2"/>
            <w:vMerge w:val="continue"/>
          </w:tcPr>
          <w:p>
            <w:pPr>
              <w:spacing w:after="0"/>
              <w:rPr>
                <w:sz w:val="24"/>
                <w:szCs w:val="24"/>
                <w:color w:val="auto"/>
              </w:rPr>
            </w:pPr>
          </w:p>
        </w:tc>
        <w:tc>
          <w:tcPr>
            <w:tcW w:w="71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400" w:firstLine="648"/>
        <w:spacing w:after="0" w:line="298" w:lineRule="auto"/>
        <w:rPr>
          <w:sz w:val="20"/>
          <w:szCs w:val="20"/>
          <w:color w:val="auto"/>
        </w:rPr>
      </w:pPr>
      <w:r>
        <w:rPr>
          <w:rFonts w:ascii="Arial" w:cs="Arial" w:eastAsia="Arial" w:hAnsi="Arial"/>
          <w:sz w:val="16"/>
          <w:szCs w:val="16"/>
          <w:color w:val="auto"/>
        </w:rPr>
        <w:t>Our investments as of December 31, 2016 and 2015 are classified as held-to-maturity. Held-to-maturity investments are recorded at amortized cost. During the year ended December 31, 2016, we liquidated our long-term investment securities with a net carrying amount of approximately $12.6 million, realizing a gain of approximately $33,000 on the sale. The decision to sell our long-term securities was made due to market rate conditions on long-term securities coupled with the recognized gain we were able to yield on the sale of the securities.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investment securities at December 31, 2016 and 2015: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8"/>
                <w:szCs w:val="18"/>
                <w:b w:val="1"/>
                <w:bCs w:val="1"/>
                <w:color w:val="auto"/>
              </w:rPr>
              <w:t>December 31, 2016</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2"/>
              <w:spacing w:after="0" w:line="201" w:lineRule="exact"/>
              <w:rPr>
                <w:sz w:val="20"/>
                <w:szCs w:val="20"/>
                <w:color w:val="auto"/>
              </w:rPr>
            </w:pPr>
            <w:r>
              <w:rPr>
                <w:rFonts w:ascii="Arial" w:cs="Arial" w:eastAsia="Arial" w:hAnsi="Arial"/>
                <w:sz w:val="18"/>
                <w:szCs w:val="18"/>
                <w:b w:val="1"/>
                <w:bCs w:val="1"/>
                <w:color w:val="auto"/>
                <w:w w:val="90"/>
              </w:rPr>
              <w:t>Amortized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32"/>
              <w:spacing w:after="0" w:line="201" w:lineRule="exact"/>
              <w:rPr>
                <w:sz w:val="20"/>
                <w:szCs w:val="20"/>
                <w:color w:val="auto"/>
              </w:rPr>
            </w:pPr>
            <w:r>
              <w:rPr>
                <w:rFonts w:ascii="Arial" w:cs="Arial" w:eastAsia="Arial" w:hAnsi="Arial"/>
                <w:sz w:val="18"/>
                <w:szCs w:val="18"/>
                <w:b w:val="1"/>
                <w:bCs w:val="1"/>
                <w:color w:val="auto"/>
                <w:w w:val="80"/>
              </w:rPr>
              <w:t>Gross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12"/>
              <w:spacing w:after="0" w:line="201" w:lineRule="exact"/>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2"/>
              <w:spacing w:after="0"/>
              <w:rPr>
                <w:sz w:val="20"/>
                <w:szCs w:val="20"/>
                <w:color w:val="auto"/>
              </w:rPr>
            </w:pPr>
            <w:r>
              <w:rPr>
                <w:rFonts w:ascii="Arial" w:cs="Arial" w:eastAsia="Arial" w:hAnsi="Arial"/>
                <w:sz w:val="18"/>
                <w:szCs w:val="18"/>
                <w:b w:val="1"/>
                <w:bCs w:val="1"/>
                <w:color w:val="auto"/>
                <w:w w:val="77"/>
              </w:rPr>
              <w:t>cost, as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unrealized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unrealized</w:t>
            </w:r>
          </w:p>
        </w:tc>
        <w:tc>
          <w:tcPr>
            <w:tcW w:w="2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Estimated 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adjusted</w:t>
            </w:r>
          </w:p>
        </w:tc>
        <w:tc>
          <w:tcPr>
            <w:tcW w:w="2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holding gains</w:t>
            </w:r>
          </w:p>
        </w:tc>
        <w:tc>
          <w:tcPr>
            <w:tcW w:w="2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0"/>
              </w:rPr>
              <w:t>holding losses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2"/>
              </w:rPr>
              <w:t>Obligations of domestic governmental agencies (maturing between February 2017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and September 2017) (held-to-maturity)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19,853,860</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3,270</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2,492</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19,854,638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short-term investment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19,853,860</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19,854,638</w:t>
            </w:r>
          </w:p>
        </w:tc>
        <w:tc>
          <w:tcPr>
            <w:tcW w:w="14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8"/>
                <w:szCs w:val="18"/>
                <w:b w:val="1"/>
                <w:bCs w:val="1"/>
                <w:color w:val="auto"/>
              </w:rPr>
              <w:t>December 31, 2015</w:t>
            </w: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2"/>
              <w:spacing w:after="0" w:line="201" w:lineRule="exact"/>
              <w:rPr>
                <w:sz w:val="20"/>
                <w:szCs w:val="20"/>
                <w:color w:val="auto"/>
              </w:rPr>
            </w:pPr>
            <w:r>
              <w:rPr>
                <w:rFonts w:ascii="Arial" w:cs="Arial" w:eastAsia="Arial" w:hAnsi="Arial"/>
                <w:sz w:val="18"/>
                <w:szCs w:val="18"/>
                <w:b w:val="1"/>
                <w:bCs w:val="1"/>
                <w:color w:val="auto"/>
                <w:w w:val="90"/>
              </w:rPr>
              <w:t>Amortized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32"/>
              <w:spacing w:after="0" w:line="201" w:lineRule="exact"/>
              <w:rPr>
                <w:sz w:val="20"/>
                <w:szCs w:val="20"/>
                <w:color w:val="auto"/>
              </w:rPr>
            </w:pPr>
            <w:r>
              <w:rPr>
                <w:rFonts w:ascii="Arial" w:cs="Arial" w:eastAsia="Arial" w:hAnsi="Arial"/>
                <w:sz w:val="18"/>
                <w:szCs w:val="18"/>
                <w:b w:val="1"/>
                <w:bCs w:val="1"/>
                <w:color w:val="auto"/>
                <w:w w:val="80"/>
              </w:rPr>
              <w:t>Gross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12"/>
              <w:spacing w:after="0" w:line="201" w:lineRule="exact"/>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2"/>
              <w:spacing w:after="0"/>
              <w:rPr>
                <w:sz w:val="20"/>
                <w:szCs w:val="20"/>
                <w:color w:val="auto"/>
              </w:rPr>
            </w:pPr>
            <w:r>
              <w:rPr>
                <w:rFonts w:ascii="Arial" w:cs="Arial" w:eastAsia="Arial" w:hAnsi="Arial"/>
                <w:sz w:val="18"/>
                <w:szCs w:val="18"/>
                <w:b w:val="1"/>
                <w:bCs w:val="1"/>
                <w:color w:val="auto"/>
                <w:w w:val="77"/>
              </w:rPr>
              <w:t>cost, as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unrealized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unrealized</w:t>
            </w:r>
          </w:p>
        </w:tc>
        <w:tc>
          <w:tcPr>
            <w:tcW w:w="2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Estimated 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adjusted</w:t>
            </w:r>
          </w:p>
        </w:tc>
        <w:tc>
          <w:tcPr>
            <w:tcW w:w="2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holding gains</w:t>
            </w:r>
          </w:p>
        </w:tc>
        <w:tc>
          <w:tcPr>
            <w:tcW w:w="2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0"/>
              </w:rPr>
              <w:t>holding losses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3"/>
              </w:rPr>
              <w:t>Obligations of domestic governmental agencies (maturing between January 2016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and December 2016) (held-to-maturity)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22,166,512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22,822</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22,143,690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Long-term investments: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Obligations of domestic governmental agencies (maturing between January 2017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and December 2017) (held-to-maturity)</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25,003,032</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85,846</w:t>
            </w:r>
          </w:p>
        </w:tc>
        <w:tc>
          <w:tcPr>
            <w:tcW w:w="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24,917,186</w:t>
            </w:r>
          </w:p>
        </w:tc>
        <w:tc>
          <w:tcPr>
            <w:tcW w:w="140" w:type="dxa"/>
            <w:vAlign w:val="bottom"/>
            <w:tcBorders>
              <w:left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Total short-term and long-term investment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47,169,544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108,668</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47,060,876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3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We measure certain financial assets and liabilities at fair value on a recurring basis in the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94"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ind w:right="540" w:firstLine="648"/>
        <w:spacing w:after="0" w:line="268" w:lineRule="auto"/>
        <w:rPr>
          <w:sz w:val="20"/>
          <w:szCs w:val="20"/>
          <w:color w:val="auto"/>
        </w:rPr>
      </w:pPr>
      <w:r>
        <w:rPr>
          <w:rFonts w:ascii="Arial" w:cs="Arial" w:eastAsia="Arial" w:hAnsi="Arial"/>
          <w:sz w:val="18"/>
          <w:szCs w:val="18"/>
          <w:color w:val="auto"/>
        </w:rPr>
        <w:t>As of December 31, 2016 and 2015, the fair values of cash and cash equivalents, restricted cash, and notes and interest payable approximate their carrying value.</w:t>
      </w:r>
    </w:p>
    <w:p>
      <w:pPr>
        <w:spacing w:after="0" w:line="186"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74" w:lineRule="exact"/>
        <w:rPr>
          <w:sz w:val="20"/>
          <w:szCs w:val="20"/>
          <w:color w:val="auto"/>
        </w:rPr>
      </w:pPr>
    </w:p>
    <w:p>
      <w:pPr>
        <w:ind w:right="520" w:firstLine="648"/>
        <w:spacing w:after="0" w:line="268" w:lineRule="auto"/>
        <w:rPr>
          <w:sz w:val="20"/>
          <w:szCs w:val="20"/>
          <w:color w:val="auto"/>
        </w:rPr>
      </w:pPr>
      <w:r>
        <w:rPr>
          <w:rFonts w:ascii="Arial" w:cs="Arial" w:eastAsia="Arial" w:hAnsi="Arial"/>
          <w:sz w:val="18"/>
          <w:szCs w:val="18"/>
          <w:color w:val="auto"/>
        </w:rPr>
        <w:t>The cumulative liability including accrued and unpaid interest of the 5% Notes was approximately $16.7 million at December 31, 2016 and $19.9 million at December 31, 2015. No payments have been made on the 5% Notes as of December 31, 2016.</w:t>
      </w:r>
    </w:p>
    <w:p>
      <w:pPr>
        <w:spacing w:after="0" w:line="186" w:lineRule="exact"/>
        <w:rPr>
          <w:sz w:val="20"/>
          <w:szCs w:val="20"/>
          <w:color w:val="auto"/>
        </w:rPr>
      </w:pPr>
    </w:p>
    <w:p>
      <w:pPr>
        <w:ind w:right="560" w:firstLine="648"/>
        <w:spacing w:after="0" w:line="268" w:lineRule="auto"/>
        <w:rPr>
          <w:sz w:val="20"/>
          <w:szCs w:val="20"/>
          <w:color w:val="auto"/>
        </w:rPr>
      </w:pPr>
      <w:r>
        <w:rPr>
          <w:rFonts w:ascii="Arial" w:cs="Arial" w:eastAsia="Arial" w:hAnsi="Arial"/>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w:t>
      </w:r>
    </w:p>
    <w:p>
      <w:pPr>
        <w:spacing w:after="0" w:line="18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December 31, 2016 and 2015.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 the fair value measurements of applicable financial liabilities as of December 31, 2016 and 2015: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5340" w:type="dxa"/>
            <w:vAlign w:val="bottom"/>
            <w:gridSpan w:val="12"/>
          </w:tcPr>
          <w:p>
            <w:pPr>
              <w:ind w:left="480"/>
              <w:spacing w:after="0"/>
              <w:rPr>
                <w:sz w:val="20"/>
                <w:szCs w:val="20"/>
                <w:color w:val="auto"/>
              </w:rPr>
            </w:pPr>
            <w:r>
              <w:rPr>
                <w:rFonts w:ascii="Arial" w:cs="Arial" w:eastAsia="Arial" w:hAnsi="Arial"/>
                <w:sz w:val="18"/>
                <w:szCs w:val="18"/>
                <w:b w:val="1"/>
                <w:bCs w:val="1"/>
                <w:color w:val="auto"/>
              </w:rPr>
              <w:t>Financial liabilities at fair value as of December 31,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Level 3</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5% Notes</w:t>
            </w: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ind w:right="712"/>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68,875</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68,875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Totals</w:t>
            </w:r>
          </w:p>
        </w:tc>
        <w:tc>
          <w:tcPr>
            <w:tcW w:w="92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68,875</w:t>
            </w:r>
          </w:p>
        </w:tc>
        <w:tc>
          <w:tcPr>
            <w:tcW w:w="14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340" w:type="dxa"/>
            <w:vAlign w:val="bottom"/>
            <w:gridSpan w:val="12"/>
          </w:tcPr>
          <w:p>
            <w:pPr>
              <w:ind w:left="480"/>
              <w:spacing w:after="0"/>
              <w:rPr>
                <w:sz w:val="20"/>
                <w:szCs w:val="20"/>
                <w:color w:val="auto"/>
              </w:rPr>
            </w:pPr>
            <w:r>
              <w:rPr>
                <w:rFonts w:ascii="Arial" w:cs="Arial" w:eastAsia="Arial" w:hAnsi="Arial"/>
                <w:sz w:val="18"/>
                <w:szCs w:val="18"/>
                <w:b w:val="1"/>
                <w:bCs w:val="1"/>
                <w:color w:val="auto"/>
              </w:rPr>
              <w:t>Financial liabilities at fair value as of December 31, 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Level 3</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5% Notes</w:t>
            </w: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ind w:right="712"/>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211,549</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211,549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Totals</w:t>
            </w:r>
          </w:p>
        </w:tc>
        <w:tc>
          <w:tcPr>
            <w:tcW w:w="92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211,549</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211,549</w:t>
            </w:r>
          </w:p>
        </w:tc>
        <w:tc>
          <w:tcPr>
            <w:tcW w:w="14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Level 3 instruments for the years ended December 31, 2015 and 2016: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20" w:type="dxa"/>
            <w:vAlign w:val="bottom"/>
          </w:tcPr>
          <w:p>
            <w:pPr>
              <w:spacing w:after="0"/>
              <w:rPr>
                <w:sz w:val="24"/>
                <w:szCs w:val="24"/>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84"/>
              </w:rPr>
              <w:t>Balance at January 1,</w:t>
            </w: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275,190</w:t>
            </w:r>
          </w:p>
        </w:tc>
        <w:tc>
          <w:tcPr>
            <w:tcW w:w="14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tcPr>
          <w:p>
            <w:pPr>
              <w:ind w:left="200"/>
              <w:spacing w:after="0"/>
              <w:rPr>
                <w:sz w:val="20"/>
                <w:szCs w:val="20"/>
                <w:color w:val="auto"/>
              </w:rPr>
            </w:pPr>
            <w:r>
              <w:rPr>
                <w:rFonts w:ascii="Arial" w:cs="Arial" w:eastAsia="Arial" w:hAnsi="Arial"/>
                <w:sz w:val="18"/>
                <w:szCs w:val="18"/>
                <w:color w:val="auto"/>
              </w:rPr>
              <w:t>Interest accrued on face value of 5% Notes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972,736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Conversion of 5% Notes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(6,924)</w:t>
            </w:r>
          </w:p>
        </w:tc>
      </w:tr>
      <w:tr>
        <w:trPr>
          <w:trHeight w:val="223"/>
        </w:trPr>
        <w:tc>
          <w:tcPr>
            <w:tcW w:w="20" w:type="dxa"/>
            <w:vAlign w:val="bottom"/>
          </w:tcPr>
          <w:p>
            <w:pPr>
              <w:spacing w:after="0"/>
              <w:rPr>
                <w:sz w:val="19"/>
                <w:szCs w:val="19"/>
                <w:color w:val="auto"/>
              </w:rPr>
            </w:pPr>
          </w:p>
        </w:tc>
        <w:tc>
          <w:tcPr>
            <w:tcW w:w="10180" w:type="dxa"/>
            <w:vAlign w:val="bottom"/>
            <w:gridSpan w:val="2"/>
          </w:tcPr>
          <w:p>
            <w:pPr>
              <w:ind w:left="200"/>
              <w:spacing w:after="0"/>
              <w:rPr>
                <w:sz w:val="20"/>
                <w:szCs w:val="20"/>
                <w:color w:val="auto"/>
              </w:rPr>
            </w:pPr>
            <w:r>
              <w:rPr>
                <w:rFonts w:ascii="Arial" w:cs="Arial" w:eastAsia="Arial" w:hAnsi="Arial"/>
                <w:sz w:val="18"/>
                <w:szCs w:val="18"/>
                <w:color w:val="auto"/>
              </w:rPr>
              <w:t>Change in fair value of Level 3 liabilities</w:t>
            </w: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(1,029,453)</w:t>
            </w:r>
          </w:p>
        </w:tc>
      </w:tr>
      <w:tr>
        <w:trPr>
          <w:trHeight w:val="216"/>
        </w:trPr>
        <w:tc>
          <w:tcPr>
            <w:tcW w:w="20" w:type="dxa"/>
            <w:vAlign w:val="bottom"/>
          </w:tcPr>
          <w:p>
            <w:pPr>
              <w:spacing w:after="0"/>
              <w:rPr>
                <w:sz w:val="18"/>
                <w:szCs w:val="18"/>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211,549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tcPr>
          <w:p>
            <w:pPr>
              <w:ind w:left="200"/>
              <w:spacing w:after="0"/>
              <w:rPr>
                <w:sz w:val="20"/>
                <w:szCs w:val="20"/>
                <w:color w:val="auto"/>
              </w:rPr>
            </w:pPr>
            <w:r>
              <w:rPr>
                <w:rFonts w:ascii="Arial" w:cs="Arial" w:eastAsia="Arial" w:hAnsi="Arial"/>
                <w:sz w:val="18"/>
                <w:szCs w:val="18"/>
                <w:color w:val="auto"/>
              </w:rPr>
              <w:t>Interest accrued on face value of 5% Notes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886,084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Conversion of 5%</w:t>
            </w:r>
          </w:p>
        </w:tc>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(33,017)</w:t>
            </w:r>
          </w:p>
        </w:tc>
      </w:tr>
      <w:tr>
        <w:trPr>
          <w:trHeight w:val="223"/>
        </w:trPr>
        <w:tc>
          <w:tcPr>
            <w:tcW w:w="20" w:type="dxa"/>
            <w:vAlign w:val="bottom"/>
          </w:tcPr>
          <w:p>
            <w:pPr>
              <w:spacing w:after="0"/>
              <w:rPr>
                <w:sz w:val="19"/>
                <w:szCs w:val="19"/>
                <w:color w:val="auto"/>
              </w:rPr>
            </w:pPr>
          </w:p>
        </w:tc>
        <w:tc>
          <w:tcPr>
            <w:tcW w:w="10180" w:type="dxa"/>
            <w:vAlign w:val="bottom"/>
            <w:gridSpan w:val="2"/>
          </w:tcPr>
          <w:p>
            <w:pPr>
              <w:ind w:left="200"/>
              <w:spacing w:after="0"/>
              <w:rPr>
                <w:sz w:val="20"/>
                <w:szCs w:val="20"/>
                <w:color w:val="auto"/>
              </w:rPr>
            </w:pPr>
            <w:r>
              <w:rPr>
                <w:rFonts w:ascii="Arial" w:cs="Arial" w:eastAsia="Arial" w:hAnsi="Arial"/>
                <w:sz w:val="18"/>
                <w:szCs w:val="18"/>
                <w:color w:val="auto"/>
              </w:rPr>
              <w:t>Change in fair value of Level 3 liabilities</w:t>
            </w: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(995,741)</w:t>
            </w:r>
          </w:p>
        </w:tc>
      </w:tr>
      <w:tr>
        <w:trPr>
          <w:trHeight w:val="473"/>
        </w:trPr>
        <w:tc>
          <w:tcPr>
            <w:tcW w:w="20" w:type="dxa"/>
            <w:vAlign w:val="bottom"/>
          </w:tcPr>
          <w:p>
            <w:pPr>
              <w:spacing w:after="0"/>
              <w:rPr>
                <w:sz w:val="24"/>
                <w:szCs w:val="24"/>
                <w:color w:val="auto"/>
              </w:rPr>
            </w:pPr>
          </w:p>
        </w:tc>
        <w:tc>
          <w:tcPr>
            <w:tcW w:w="10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68,875</w:t>
            </w:r>
          </w:p>
        </w:tc>
        <w:tc>
          <w:tcPr>
            <w:tcW w:w="140" w:type="dxa"/>
            <w:vAlign w:val="bottom"/>
            <w:tcBorders>
              <w:bottom w:val="single" w:sz="8" w:color="CCEEFF"/>
            </w:tcBorders>
            <w:shd w:val="clear" w:color="auto" w:fill="CCEEFF"/>
          </w:tcPr>
          <w:p>
            <w:pPr>
              <w:spacing w:after="0"/>
              <w:rPr>
                <w:sz w:val="24"/>
                <w:szCs w:val="24"/>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 in the fair value of the Level 3 liabilities is reported in other (income) expense in the accompanying consolidated statements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the Company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Rights Plan</w:t>
      </w:r>
    </w:p>
    <w:p>
      <w:pPr>
        <w:spacing w:after="0" w:line="225" w:lineRule="exact"/>
        <w:rPr>
          <w:sz w:val="20"/>
          <w:szCs w:val="20"/>
          <w:color w:val="auto"/>
        </w:rPr>
      </w:pPr>
    </w:p>
    <w:p>
      <w:pPr>
        <w:ind w:right="120" w:firstLine="648"/>
        <w:spacing w:after="0" w:line="332" w:lineRule="auto"/>
        <w:rPr>
          <w:sz w:val="20"/>
          <w:szCs w:val="20"/>
          <w:color w:val="auto"/>
        </w:rPr>
      </w:pPr>
      <w:r>
        <w:rPr>
          <w:rFonts w:ascii="Arial" w:cs="Arial" w:eastAsia="Arial" w:hAnsi="Arial"/>
          <w:sz w:val="16"/>
          <w:szCs w:val="16"/>
          <w:color w:val="auto"/>
        </w:rPr>
        <w:t>On July 18, 2014, we adopted a stockholder rights plan. The stockholder rights plan is embodied in the Stockholder Protection Rights Agreement dated as of July 18, 2014 (the "Rights Agreement"), between us and American Stock Transfer &amp; Trust Company, LLC, as rights agent (the "Rights Agent").</w:t>
      </w:r>
    </w:p>
    <w:p>
      <w:pPr>
        <w:spacing w:after="0" w:line="139"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Accordingly, the Board of Directors declared a distribution of one right (a “Right”) for each outstanding share of common stock, to stockholders of record at the close of business on July 28, 2014, for each share of common stock issued (including shares distributed from treasury) by us thereafter and prior to the Separation Time (as defined in the Rights Agreement), and for certain shares of common stock issued after the Separation Time. Following the Separation Time, each Right entitles the registered holder to purchase from us one one-thousandth (1/1,000) of a share of Series A Junior Participating Preferred Stock, par value $0.001 per share (the "Preferred Stock"), at a purchase price of $100.00 (the "Exercise Price"), subject to adjustment. The description and terms of the Rights are set forth in the Rights Agreement. Each one one-thousandth of a share of Preferred Stock has substantially the same rights as one share of common stock. Subject to the terms and conditions of the Rights Agreement, Rights become exercisable ten days after the public announcement that a “Person” has become an “Acquiring Person” (as each such term is defined in the Rights Agreement). Any Rights held by an Acquiring Person are void and may not be exercised.</w:t>
      </w:r>
    </w:p>
    <w:p>
      <w:pPr>
        <w:spacing w:after="0" w:line="174" w:lineRule="exact"/>
        <w:rPr>
          <w:sz w:val="20"/>
          <w:szCs w:val="20"/>
          <w:color w:val="auto"/>
        </w:rPr>
      </w:pPr>
    </w:p>
    <w:p>
      <w:pPr>
        <w:jc w:val="both"/>
        <w:ind w:right="140" w:firstLine="648"/>
        <w:spacing w:after="0" w:line="283" w:lineRule="auto"/>
        <w:rPr>
          <w:sz w:val="20"/>
          <w:szCs w:val="20"/>
          <w:color w:val="auto"/>
        </w:rPr>
      </w:pPr>
      <w:r>
        <w:rPr>
          <w:rFonts w:ascii="Arial" w:cs="Arial" w:eastAsia="Arial" w:hAnsi="Arial"/>
          <w:sz w:val="16"/>
          <w:szCs w:val="16"/>
          <w:color w:val="auto"/>
        </w:rPr>
        <w:t>If a Person becomes an Acquiring Person, all holders of Rights, except the Acquiring Person, may purchase at the Right’s then-current exercise price, common stock having a market value equal to twice the exercise price. Moreover, at any time after a Person becomes an Acquiring Person (unless such Person acquires 50 percent or more of our common stock then outstanding, as more fully described in the Rights Agreement), the Board of Directors may exchange all (but not less than all) of the then outstanding Rights (other than rights owned by such Person, which would have become void) for shares of common stock at an exchange ratio of one share of common stock per Right, appropriately adjusted in order to protect the interests of holders of Rights.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ind w:right="720" w:firstLine="648"/>
        <w:spacing w:after="0" w:line="268" w:lineRule="auto"/>
        <w:rPr>
          <w:sz w:val="20"/>
          <w:szCs w:val="20"/>
          <w:color w:val="auto"/>
        </w:rPr>
      </w:pPr>
      <w:r>
        <w:rPr>
          <w:rFonts w:ascii="Arial" w:cs="Arial" w:eastAsia="Arial" w:hAnsi="Arial"/>
          <w:sz w:val="18"/>
          <w:szCs w:val="18"/>
          <w:color w:val="auto"/>
        </w:rPr>
        <w:t>The Rights Agreement was approved by our Board of Directors on July 18, 2014. The Rights will expire at the close of business on its ten year anniversary, unless earlier exchanged or terminated by 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amended and restated certificate of incorporation authorizes the issuance of up to 150,000,000 shares of $0.001 par value common stock.</w:t>
      </w:r>
    </w:p>
    <w:p>
      <w:pPr>
        <w:spacing w:after="0" w:line="248"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On June 21, 2013, we entered into an At-the-Market Issuance Sales Agreement (the "2013 ATM") with MLV &amp; Co. LLC ("MLV") under which we could issue and sell shares of our common stock, having an aggregate offering price of up to $50.0 million, from time to time through MLV, acting as the sales agent. Under the agreement we would pay MLV a commission rate of up to 3.0% of the gross proceeds from the sale of any shares of common stock sold through MLV.</w:t>
      </w:r>
    </w:p>
    <w:p>
      <w:pPr>
        <w:spacing w:after="0" w:line="197"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During the year ended December 31, 2014, we sold a total of 4,850,055 shares of common stock under the 2013 ATM for aggregate total gross proceeds of approximately $50.0 million at an average selling price of $10.31 per share. Net proceeds were approximately $48.9 million after deducting commissions and other transactions costs.</w:t>
      </w:r>
    </w:p>
    <w:p>
      <w:pPr>
        <w:spacing w:after="0" w:line="194"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December 2014, we filed a shelf registration statement on Form S-3 (the "2015 S-3"), which was declared effective in January 2015. Under the 2015 S-3, the Company may sell up to a total of $250 million of its securities. In connection with the 2015 S-3, we amended our 2013 At-the-Market Issuance Sales Agreement with MLV (the "2015 ATM") such that we may issue and sell additional shares of our common stock, having an aggregate offering price of up to $175.0 million, from time to time through MLV and FBR Capital Markets &amp; Co. ("FBR", each of MLV and FBR individually an "Agent" and collectively the "Agents"), acting as the sales agents. Under the 2015 ATM we pay the Agents a commission rate of up to 3.0% of the gross proceeds from the sale of any shares of common stock sold through the Agents.</w:t>
      </w:r>
    </w:p>
    <w:p>
      <w:pPr>
        <w:spacing w:after="0" w:line="1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the year ended December 31, 2016, we sold a total of 570,366 shares of common stock under the 2015 ATM for aggregate total gross proceeds of approximately $4.5 million at an average selling price of $7.88 per share, resulting in net proceeds of approximately $4.4 million after deducting commissions and other transaction costs. During the year ended December 31, 2015, we sold a total of 4,094,498 shares of common stock under the 2015 ATM for aggregate total gross proceeds of approximately $68.2 million at an average selling price of $16.66 per share, resulting in net proceeds of approximately $67.0 million after deducting commissions and other transaction costs.</w:t>
      </w:r>
    </w:p>
    <w:p>
      <w:pPr>
        <w:spacing w:after="0" w:line="197"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color w:val="auto"/>
        </w:rPr>
        <w:t>The 2015 S-3 is currently our only active shelf registration statement. After deducting shares already sold, including under the 2015 ATM, there is approximately $177.3 million of common stock that remains available for sale under the 2015 S-3. We may offer the securities under the 2015 S-3 from time to time in response to market conditions or other circumstances if we believe such a plan of financing is in the best interests of our stockholders. We believe that the 2015 S-3 provides us with the flexibility to raise additional capital to finance our operations as needed.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As of December 31, 2016 and 2015, 41,309 shares of common stock are being held in Treasury, at a cost of approximately $234,000, representing the fair market value on the date the shares were surrendered to the Company to satisfy employee tax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right="640" w:firstLine="692"/>
        <w:spacing w:after="0" w:line="370" w:lineRule="auto"/>
        <w:rPr>
          <w:sz w:val="20"/>
          <w:szCs w:val="20"/>
          <w:color w:val="auto"/>
        </w:rPr>
      </w:pPr>
      <w:r>
        <w:rPr>
          <w:rFonts w:ascii="Arial" w:cs="Arial" w:eastAsia="Arial" w:hAnsi="Arial"/>
          <w:sz w:val="15"/>
          <w:szCs w:val="15"/>
          <w:color w:val="auto"/>
        </w:rPr>
        <w:t>The TG Therapeutics, Inc. Amended and Restated 2012 Incentive Plan (“2012 Incentive Plan”) was approved by stockholders in June 2015. As of December 31, 2016 and 2015, no options were outstanding and up to an additional 2,286,764 shares may be issued under the 2012 Incentive Plan.</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years ended December 31, 2016, 2015 and 2014: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Weighted-</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5"/>
              </w:rPr>
              <w:t>average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8"/>
                <w:szCs w:val="18"/>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85"/>
              </w:rPr>
              <w:t>average</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contractual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of shares</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exercise price</w:t>
            </w:r>
          </w:p>
        </w:tc>
        <w:tc>
          <w:tcPr>
            <w:tcW w:w="2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term</w:t>
            </w:r>
          </w:p>
        </w:tc>
        <w:tc>
          <w:tcPr>
            <w:tcW w:w="28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9"/>
              </w:rPr>
              <w:t>intrinsic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(in years)</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Outstanding at January 1, 2014</w:t>
            </w:r>
          </w:p>
        </w:tc>
        <w:tc>
          <w:tcPr>
            <w:tcW w:w="1120" w:type="dxa"/>
            <w:vAlign w:val="bottom"/>
          </w:tcPr>
          <w:p>
            <w:pPr>
              <w:jc w:val="right"/>
              <w:spacing w:after="0"/>
              <w:rPr>
                <w:sz w:val="20"/>
                <w:szCs w:val="20"/>
                <w:color w:val="auto"/>
              </w:rPr>
            </w:pPr>
            <w:r>
              <w:rPr>
                <w:rFonts w:ascii="Arial" w:cs="Arial" w:eastAsia="Arial" w:hAnsi="Arial"/>
                <w:sz w:val="18"/>
                <w:szCs w:val="18"/>
                <w:color w:val="auto"/>
              </w:rPr>
              <w:t>46,591</w:t>
            </w:r>
          </w:p>
        </w:tc>
        <w:tc>
          <w:tcPr>
            <w:tcW w:w="2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46.37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8.50</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Granted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(46,000)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4.40</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Forfeited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Expired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4,457.57</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971.70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Granted</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Exercised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463.32</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Expired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2,811.53</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2015</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gridSpan w:val="2"/>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Granted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Exercised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Forfeited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Expired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right="1700" w:firstLine="648"/>
        <w:spacing w:after="0" w:line="440" w:lineRule="auto"/>
        <w:rPr>
          <w:sz w:val="20"/>
          <w:szCs w:val="20"/>
          <w:color w:val="auto"/>
        </w:rPr>
      </w:pPr>
      <w:r>
        <w:rPr>
          <w:rFonts w:ascii="Arial" w:cs="Arial" w:eastAsia="Arial" w:hAnsi="Arial"/>
          <w:sz w:val="18"/>
          <w:szCs w:val="18"/>
          <w:color w:val="auto"/>
        </w:rPr>
        <w:t xml:space="preserve">As of December 31, 2016, there are no unvested option awards and no unrecognized compensation cost related to option awards. </w:t>
      </w:r>
      <w:r>
        <w:rPr>
          <w:rFonts w:ascii="Arial" w:cs="Arial" w:eastAsia="Arial" w:hAnsi="Arial"/>
          <w:sz w:val="18"/>
          <w:szCs w:val="18"/>
          <w:u w:val="single" w:color="auto"/>
          <w:color w:val="auto"/>
        </w:rPr>
        <w:t>Restricted Stock</w:t>
      </w:r>
    </w:p>
    <w:p>
      <w:pPr>
        <w:spacing w:after="0" w:line="38" w:lineRule="exact"/>
        <w:rPr>
          <w:sz w:val="20"/>
          <w:szCs w:val="20"/>
          <w:color w:val="auto"/>
        </w:rPr>
      </w:pPr>
    </w:p>
    <w:p>
      <w:pPr>
        <w:ind w:right="460" w:firstLine="648"/>
        <w:spacing w:after="0" w:line="332" w:lineRule="auto"/>
        <w:rPr>
          <w:sz w:val="20"/>
          <w:szCs w:val="20"/>
          <w:color w:val="auto"/>
        </w:rPr>
      </w:pPr>
      <w:r>
        <w:rPr>
          <w:rFonts w:ascii="Arial" w:cs="Arial" w:eastAsia="Arial" w:hAnsi="Arial"/>
          <w:sz w:val="16"/>
          <w:szCs w:val="16"/>
          <w:color w:val="auto"/>
        </w:rPr>
        <w:t>Certain employees, directors and consultants have been awarded restricted stock. The restricted stock vesting consists of milestone and time-based vesting. The following table summarizes restricted share activity for the years ended December 31, 2016, 2015 and 2014: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4"/>
              </w:rPr>
              <w:t>Average</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Number of</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1"/>
              </w:rPr>
              <w:t>Grant Date</w:t>
            </w: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January 1, 2014</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7,034,957</w:t>
            </w: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4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Granted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982,793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(1,616,749)</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6.53</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2014</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6,400,001</w:t>
            </w: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5.86</w:t>
            </w:r>
          </w:p>
        </w:tc>
        <w:tc>
          <w:tcPr>
            <w:tcW w:w="14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Granted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1,992,535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(1,001,455)</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(31,166)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2015</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7,359,915</w:t>
            </w: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7.83</w:t>
            </w:r>
          </w:p>
        </w:tc>
        <w:tc>
          <w:tcPr>
            <w:tcW w:w="14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Granted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1,924,639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(595,726)</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7.38</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(46,773)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2016</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8,642,055</w:t>
            </w: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4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Total expense associated with restricted stock grants was $7,509,999, $15,697,092 and $20,726,512 during the years ended December 31, 2016, 2015 and 2014, respectively. As of December 31, 2016, there was approximately $18.8 million of total unrecognized compensation cost related to unvested time-based restricted stock, which is expected to be recognized over a weighted-average period of 1.6 years. This amount does not include, as of December 31, 2016, 696,172 shares of restricted stock outstanding which are milestone-based and vest upon certain corporate milestones; and 2,477,958 shares of restricted stock outstanding issued to non-employees. Milestone-based non-cash compensation expense will be measured and recorded if and when a milestone becomes probable. The expense for non-employee shares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years ended December 31, 2016, 2015 and 2014: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right="52"/>
              <w:spacing w:after="0"/>
              <w:rPr>
                <w:sz w:val="20"/>
                <w:szCs w:val="20"/>
                <w:color w:val="auto"/>
              </w:rPr>
            </w:pPr>
            <w:r>
              <w:rPr>
                <w:rFonts w:ascii="Arial" w:cs="Arial" w:eastAsia="Arial" w:hAnsi="Arial"/>
                <w:sz w:val="18"/>
                <w:szCs w:val="18"/>
                <w:b w:val="1"/>
                <w:bCs w:val="1"/>
                <w:color w:val="auto"/>
                <w:w w:val="89"/>
              </w:rPr>
              <w:t>Weighted-</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52"/>
              <w:spacing w:after="0"/>
              <w:rPr>
                <w:sz w:val="20"/>
                <w:szCs w:val="20"/>
                <w:color w:val="auto"/>
              </w:rPr>
            </w:pPr>
            <w:r>
              <w:rPr>
                <w:rFonts w:ascii="Arial" w:cs="Arial" w:eastAsia="Arial" w:hAnsi="Arial"/>
                <w:sz w:val="18"/>
                <w:szCs w:val="18"/>
                <w:b w:val="1"/>
                <w:bCs w:val="1"/>
                <w:color w:val="auto"/>
                <w:w w:val="85"/>
              </w:rPr>
              <w:t>average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Aggregate</w:t>
            </w:r>
          </w:p>
        </w:tc>
      </w:tr>
      <w:tr>
        <w:trPr>
          <w:trHeight w:val="237"/>
        </w:trPr>
        <w:tc>
          <w:tcPr>
            <w:tcW w:w="20" w:type="dxa"/>
            <w:vAlign w:val="bottom"/>
          </w:tcPr>
          <w:p>
            <w:pPr>
              <w:spacing w:after="0"/>
              <w:rPr>
                <w:sz w:val="20"/>
                <w:szCs w:val="20"/>
                <w:color w:val="auto"/>
              </w:rPr>
            </w:pPr>
          </w:p>
        </w:tc>
        <w:tc>
          <w:tcPr>
            <w:tcW w:w="7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Warrants</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exercise price</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87"/>
              </w:rPr>
              <w:t>intrinsic value</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Outstanding at January 1, 2014</w:t>
            </w:r>
          </w:p>
        </w:tc>
        <w:tc>
          <w:tcPr>
            <w:tcW w:w="1120" w:type="dxa"/>
            <w:vAlign w:val="bottom"/>
          </w:tcPr>
          <w:p>
            <w:pPr>
              <w:jc w:val="right"/>
              <w:spacing w:after="0"/>
              <w:rPr>
                <w:sz w:val="20"/>
                <w:szCs w:val="20"/>
                <w:color w:val="auto"/>
              </w:rPr>
            </w:pPr>
            <w:r>
              <w:rPr>
                <w:rFonts w:ascii="Arial" w:cs="Arial" w:eastAsia="Arial" w:hAnsi="Arial"/>
                <w:sz w:val="18"/>
                <w:szCs w:val="18"/>
                <w:color w:val="auto"/>
              </w:rPr>
              <w:t>5,718,947</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14,809,030</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(1,560,826)</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Expired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(9,893)</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2014</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4,148,228</w:t>
            </w: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0.94</w:t>
            </w:r>
          </w:p>
        </w:tc>
        <w:tc>
          <w:tcPr>
            <w:tcW w:w="400" w:type="dxa"/>
            <w:vAlign w:val="bottom"/>
            <w:tcBorders>
              <w:top w:val="single" w:sz="8" w:color="CCEEFF"/>
            </w:tcBorders>
            <w:gridSpan w:val="2"/>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61,792,184</w:t>
            </w:r>
          </w:p>
        </w:tc>
        <w:tc>
          <w:tcPr>
            <w:tcW w:w="14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(2,950,115)</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Expired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(11,364)</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2015</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1,186,749</w:t>
            </w: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2.37</w:t>
            </w:r>
          </w:p>
        </w:tc>
        <w:tc>
          <w:tcPr>
            <w:tcW w:w="400" w:type="dxa"/>
            <w:vAlign w:val="bottom"/>
            <w:tcBorders>
              <w:top w:val="single" w:sz="8" w:color="CCEEFF"/>
            </w:tcBorders>
            <w:gridSpan w:val="2"/>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11,341,452</w:t>
            </w:r>
          </w:p>
        </w:tc>
        <w:tc>
          <w:tcPr>
            <w:tcW w:w="14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(273,370)</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Expired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(36,467)</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2016</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876,912</w:t>
            </w: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2.41</w:t>
            </w:r>
          </w:p>
        </w:tc>
        <w:tc>
          <w:tcPr>
            <w:tcW w:w="400" w:type="dxa"/>
            <w:vAlign w:val="bottom"/>
            <w:tcBorders>
              <w:top w:val="single" w:sz="8" w:color="CCEEFF"/>
            </w:tcBorders>
            <w:gridSpan w:val="2"/>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1,961,403</w:t>
            </w:r>
          </w:p>
        </w:tc>
        <w:tc>
          <w:tcPr>
            <w:tcW w:w="14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color w:val="auto"/>
        </w:rPr>
        <w:t>The fair value of stock options granted is estimated at the date of grant using the Black-Scholes pricing model. The expected term of options granted is derived from historical data and the expected vesting period. Expected volatility is based on the historical volatility of our common stock. The risk-free interest rate is based on the U.S. Treasury yield for a period consistent with the expected term of the option in effect at the time of the grant. We have assumed no expected dividend yield, as dividends have never been paid to stock or option holders and will not be paid for the foreseeable future. The Company did not grant any stock options during the years ended December 31, 2016, 2015 and 2014.</w:t>
      </w:r>
    </w:p>
    <w:p>
      <w:pPr>
        <w:spacing w:after="0" w:line="170"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The following table summarizes stock-based compensation expense information about stock options and restricted stock for the years ended December 31, 2016, 2015 and 2014: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420" w:type="dxa"/>
            <w:vAlign w:val="bottom"/>
            <w:gridSpan w:val="2"/>
          </w:tcPr>
          <w:p>
            <w:pPr>
              <w:spacing w:after="0"/>
              <w:rPr>
                <w:sz w:val="20"/>
                <w:szCs w:val="20"/>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auto"/>
            </w:tcBorders>
          </w:tcPr>
          <w:p>
            <w:pPr>
              <w:spacing w:after="0"/>
              <w:rPr>
                <w:sz w:val="20"/>
                <w:szCs w:val="20"/>
                <w:color w:val="auto"/>
              </w:rPr>
            </w:pPr>
          </w:p>
        </w:tc>
        <w:tc>
          <w:tcPr>
            <w:tcW w:w="360" w:type="dxa"/>
            <w:vAlign w:val="bottom"/>
            <w:gridSpan w:val="2"/>
          </w:tcPr>
          <w:p>
            <w:pPr>
              <w:spacing w:after="0"/>
              <w:rPr>
                <w:sz w:val="20"/>
                <w:szCs w:val="20"/>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auto"/>
            </w:tcBorders>
          </w:tcPr>
          <w:p>
            <w:pPr>
              <w:spacing w:after="0"/>
              <w:rPr>
                <w:sz w:val="20"/>
                <w:szCs w:val="20"/>
                <w:color w:val="auto"/>
              </w:rPr>
            </w:pPr>
          </w:p>
        </w:tc>
        <w:tc>
          <w:tcPr>
            <w:tcW w:w="360" w:type="dxa"/>
            <w:vAlign w:val="bottom"/>
            <w:gridSpan w:val="2"/>
          </w:tcPr>
          <w:p>
            <w:pPr>
              <w:spacing w:after="0"/>
              <w:rPr>
                <w:sz w:val="20"/>
                <w:szCs w:val="20"/>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2014</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3"/>
              </w:rPr>
              <w:t>Stock-based compensation expense associated with restricted stock</w:t>
            </w:r>
          </w:p>
        </w:tc>
        <w:tc>
          <w:tcPr>
            <w:tcW w:w="3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$7,509,999</w:t>
            </w: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$15,697,092</w:t>
            </w: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$20,726,512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w w:val="96"/>
              </w:rPr>
              <w:t>Stock-based compensation expense associated with stock options</w:t>
            </w:r>
          </w:p>
        </w:tc>
        <w:tc>
          <w:tcPr>
            <w:tcW w:w="230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378,780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1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$7,509,999</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$15,697,092</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$21,105,292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641"/>
        </w:trPr>
        <w:tc>
          <w:tcPr>
            <w:tcW w:w="20" w:type="dxa"/>
            <w:vAlign w:val="bottom"/>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ind w:left="400"/>
              <w:spacing w:after="0"/>
              <w:rPr>
                <w:sz w:val="20"/>
                <w:szCs w:val="20"/>
                <w:color w:val="auto"/>
              </w:rPr>
            </w:pPr>
            <w:r>
              <w:rPr>
                <w:rFonts w:ascii="Arial" w:cs="Arial" w:eastAsia="Arial" w:hAnsi="Arial"/>
                <w:sz w:val="18"/>
                <w:szCs w:val="18"/>
                <w:color w:val="auto"/>
              </w:rPr>
              <w:t>F-17</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NOTES PAYABLE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notes payable: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439"/>
        </w:trPr>
        <w:tc>
          <w:tcPr>
            <w:tcW w:w="20" w:type="dxa"/>
            <w:vAlign w:val="bottom"/>
          </w:tcPr>
          <w:p>
            <w:pPr>
              <w:spacing w:after="0"/>
              <w:rPr>
                <w:sz w:val="24"/>
                <w:szCs w:val="24"/>
                <w:color w:val="auto"/>
              </w:rPr>
            </w:pPr>
          </w:p>
        </w:tc>
        <w:tc>
          <w:tcPr>
            <w:tcW w:w="46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360" w:type="dxa"/>
            <w:vAlign w:val="bottom"/>
            <w:tcBorders>
              <w:bottom w:val="single" w:sz="8" w:color="auto"/>
            </w:tcBorders>
            <w:gridSpan w:val="6"/>
            <w:shd w:val="clear" w:color="auto" w:fill="CCEEFF"/>
          </w:tcPr>
          <w:p>
            <w:pPr>
              <w:jc w:val="center"/>
              <w:ind w:left="512"/>
              <w:spacing w:after="0"/>
              <w:rPr>
                <w:sz w:val="20"/>
                <w:szCs w:val="20"/>
                <w:color w:val="auto"/>
              </w:rPr>
            </w:pPr>
            <w:r>
              <w:rPr>
                <w:rFonts w:ascii="Arial" w:cs="Arial" w:eastAsia="Arial" w:hAnsi="Arial"/>
                <w:sz w:val="18"/>
                <w:szCs w:val="18"/>
                <w:b w:val="1"/>
                <w:bCs w:val="1"/>
                <w:color w:val="auto"/>
                <w:w w:val="86"/>
              </w:rPr>
              <w:t>December 31, 2016</w:t>
            </w:r>
          </w:p>
        </w:tc>
        <w:tc>
          <w:tcPr>
            <w:tcW w:w="7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340" w:type="dxa"/>
            <w:vAlign w:val="bottom"/>
            <w:tcBorders>
              <w:bottom w:val="single" w:sz="8" w:color="auto"/>
            </w:tcBorders>
            <w:gridSpan w:val="6"/>
            <w:shd w:val="clear" w:color="auto" w:fill="CCEEFF"/>
          </w:tcPr>
          <w:p>
            <w:pPr>
              <w:jc w:val="center"/>
              <w:ind w:left="512"/>
              <w:spacing w:after="0"/>
              <w:rPr>
                <w:sz w:val="20"/>
                <w:szCs w:val="20"/>
                <w:color w:val="auto"/>
              </w:rPr>
            </w:pPr>
            <w:r>
              <w:rPr>
                <w:rFonts w:ascii="Arial" w:cs="Arial" w:eastAsia="Arial" w:hAnsi="Arial"/>
                <w:sz w:val="18"/>
                <w:szCs w:val="18"/>
                <w:b w:val="1"/>
                <w:bCs w:val="1"/>
                <w:color w:val="auto"/>
                <w:w w:val="87"/>
              </w:rPr>
              <w:t>December 31, 2015</w:t>
            </w:r>
          </w:p>
        </w:tc>
        <w:tc>
          <w:tcPr>
            <w:tcW w:w="7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52"/>
              <w:spacing w:after="0" w:line="201" w:lineRule="exact"/>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center"/>
              <w:ind w:right="52"/>
              <w:spacing w:after="0" w:line="201" w:lineRule="exact"/>
              <w:rPr>
                <w:sz w:val="20"/>
                <w:szCs w:val="20"/>
                <w:color w:val="auto"/>
              </w:rPr>
            </w:pPr>
            <w:r>
              <w:rPr>
                <w:rFonts w:ascii="Arial" w:cs="Arial" w:eastAsia="Arial" w:hAnsi="Arial"/>
                <w:sz w:val="18"/>
                <w:szCs w:val="18"/>
                <w:b w:val="1"/>
                <w:bCs w:val="1"/>
                <w:color w:val="auto"/>
                <w:w w:val="87"/>
              </w:rPr>
              <w:t>Non-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b w:val="1"/>
                <w:bCs w:val="1"/>
                <w:color w:val="auto"/>
                <w:w w:val="95"/>
              </w:rPr>
              <w:t>Current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current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b w:val="1"/>
                <w:bCs w:val="1"/>
                <w:color w:val="auto"/>
                <w:w w:val="95"/>
              </w:rPr>
              <w:t>Current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current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portion, net</w:t>
            </w:r>
          </w:p>
        </w:tc>
        <w:tc>
          <w:tcPr>
            <w:tcW w:w="240" w:type="dxa"/>
            <w:vAlign w:val="bottom"/>
          </w:tcPr>
          <w:p>
            <w:pPr>
              <w:spacing w:after="0"/>
              <w:rPr>
                <w:sz w:val="20"/>
                <w:szCs w:val="2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portion, net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portion, net</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portion, net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Convertible 5% Notes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211,549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211,549</w:t>
            </w:r>
          </w:p>
        </w:tc>
        <w:tc>
          <w:tcPr>
            <w:tcW w:w="10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Totals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68,875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68,875</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211,549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211,549</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The 5% Notes and accrued and unpaid interest thereon are convertible at the option of the holder into common stock at the conversion price of $1,125 per share. We have no obligation under the 5% Notes aside from (a) 50% of the net product cash flows from Ariston’s product candidates, if any, payable to noteholders; and (b) the conversion feature, discussed above. Interest accrues monthly, is added to principal on an annual basis, every March 8, and is payable at maturity, which was March 8, 2015 (see Note 4 for further details).</w:t>
      </w:r>
    </w:p>
    <w:p>
      <w:pPr>
        <w:spacing w:after="0" w:line="197"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The cumulative liability including accrued and unpaid interest of these notes was approximately $16.7 million at December 31, 2016 and $19.9 million at December 31, 2015. No payments have been made on the 5% Notes as of December 31, 2016.</w:t>
      </w:r>
    </w:p>
    <w:p>
      <w:pPr>
        <w:spacing w:after="0" w:line="186" w:lineRule="exact"/>
        <w:rPr>
          <w:sz w:val="20"/>
          <w:szCs w:val="20"/>
          <w:color w:val="auto"/>
        </w:rPr>
      </w:pPr>
    </w:p>
    <w:p>
      <w:pPr>
        <w:ind w:right="560" w:firstLine="648"/>
        <w:spacing w:after="0" w:line="332" w:lineRule="auto"/>
        <w:rPr>
          <w:sz w:val="20"/>
          <w:szCs w:val="20"/>
          <w:color w:val="auto"/>
        </w:rPr>
      </w:pPr>
      <w:r>
        <w:rPr>
          <w:rFonts w:ascii="Arial" w:cs="Arial" w:eastAsia="Arial" w:hAnsi="Arial"/>
          <w:sz w:val="16"/>
          <w:szCs w:val="16"/>
          <w:color w:val="auto"/>
        </w:rPr>
        <w:t>In December 2011, we elected the fair value option for valuing the 5% Notes. The fair value option was elected in order to reflect in our financial statements the assumptions that market participants use in evaluating these financial instruments (see Note 4 for further details).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31"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We account for income taxes under the asset and liability method. Deferred tax assets and liabilities are determined based on differences between the financial reporting and tax basis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including current and historical results of operations, future income projections and the overall prospects of our business. Based upon management's assessment of all available evidence, we believe that it is more-likely-than-not that the deferred tax assets will not be realizable, and therefore, a valuation allowance has been established. The valuation allowance for deferred tax assets was approximately $116,172,000 and $86,359,000 as of December 31, 2016 and 2015, respectively.</w:t>
      </w:r>
    </w:p>
    <w:p>
      <w:pPr>
        <w:spacing w:after="0" w:line="172"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As of December 31, 2016, we have U.S. net operating loss carryforwards ('NOLs") of approximately $271,828,000 and research and development credit carryforwards (?R&amp;D credits?) of approximately $7,327,000. For income tax purposes, these NOLs and R&amp;D credits will expire in various amounts through 2036. The Tax Reform Act of 1986 contains provisions which limit the ability to utilize net operating loss carryforwards and R&amp;D credit carryforwards in the case of certain events including significant changes in ownership interests. The Exchange Transaction with TG Bio may have resulted in a "change in ownership" as defined by IRC Section 382 of the Internal Revenue Code of 1986, as amended. Additionally, stock issuance activities may have resulted in a "change in ownership" as defined by IRC Section 382 of the Internal Revenue Code of 1986, as amended. Accordingly, a substantial portion of the Company's NOLs above may be subject to annual limitations in reducing any future year's taxable income, and a substantial portion of the R&amp;D Credit carryforwards may be subject to annual limitations in reducing any future year's tax.</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December 31, 2016 and 2015 are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(liabilities):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95,329,928</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68,700,379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7,326,715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4,962,298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Noncash compensation</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12,915,672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12,087,968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599,514</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608,205</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tax asset, excluding valuation allowance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116,171,829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86,358,850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(116,171,829)</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(86,358,850)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There was no current or deferred income tax expense for the year ended December 31, 2016. Income tax expense differed from amounts computed by applying the US Federal income tax rate of 34% to pretax loss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0" w:type="dxa"/>
            <w:vAlign w:val="bottom"/>
            <w:gridSpan w:val="9"/>
          </w:tcPr>
          <w:p>
            <w:pPr>
              <w:jc w:val="right"/>
              <w:ind w:right="82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Loss before income taxes, as reported in the consolidated statements of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(78,252,894)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(62,948,646)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(55,781,277)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Computed “expected” tax benefit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(26,605,984)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(21,402,540)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(18,965,634)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Increase (decrease) in income taxes resulting from:</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Expected benefit from state and local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(835,072)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(672,306)</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(2,533,156)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Research and development credits</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(2,364,417)</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(1,603,364)</w:t>
            </w:r>
          </w:p>
        </w:tc>
        <w:tc>
          <w:tcPr>
            <w:tcW w:w="16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(1,092,767)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566,310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Permanent difference related to contingent note payable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(244,814)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Impact of change in state tax rates on deferred taxes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5,836,819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Change in the balance of the valuation allowance for deferred tax assets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29,812,979</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17,275,081</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22,800,912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file income tax returns in the U.S Federal and various state and local jurisdictions. With certain exceptions, the Company is no longer subject to U.S. Federal and state income tax examinations by tax authorities for years prior to 2013. However, NOLs and tax credits generated from those prior years could still be adjusted upon audit.</w:t>
      </w:r>
    </w:p>
    <w:p>
      <w:pPr>
        <w:spacing w:after="0" w:line="194" w:lineRule="exact"/>
        <w:rPr>
          <w:sz w:val="20"/>
          <w:szCs w:val="20"/>
          <w:color w:val="auto"/>
        </w:rPr>
      </w:pPr>
    </w:p>
    <w:p>
      <w:pPr>
        <w:ind w:right="220" w:firstLine="648"/>
        <w:spacing w:after="0" w:line="306" w:lineRule="auto"/>
        <w:rPr>
          <w:sz w:val="20"/>
          <w:szCs w:val="20"/>
          <w:color w:val="auto"/>
        </w:rPr>
      </w:pPr>
      <w:r>
        <w:rPr>
          <w:rFonts w:ascii="Arial" w:cs="Arial" w:eastAsia="Arial" w:hAnsi="Arial"/>
          <w:sz w:val="16"/>
          <w:szCs w:val="16"/>
          <w:color w:val="auto"/>
        </w:rPr>
        <w:t>The Company would recognize interest and penalties, if any, to uncertain tax position in income tax expense in the statement of operations. There was no accrual for interest and penalties related to uncertain tax positions for 2016. We do not believe that there will be a material change in our unrecognized tax positions over the next twelve months. All of the unrecognized tax benefits, if recognized, would be offset by the valuation allowance.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LICENSE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w:t>
      </w:r>
    </w:p>
    <w:p>
      <w:pPr>
        <w:spacing w:after="0" w:line="225"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In May 2016, as part of a broader agreement with Jubilant Biosys (“Jubilant”), an India-based biotechnology company, we entered into a sub-license agreement (“JBET Agreement”) with Checkpoint Therapeutics, Inc. (“Checkpoint”) (see Note 9), for the development and commercialization of Jubilant’s novel BET inhibitor program in the field of hematological malignancies.</w:t>
      </w: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Under the terms of the agreement, we paid Checkpoint an up-front licensing fee of $1.0 million and will make additional payments contingent on certain preclinical, clinical, and regulatory milestones, including commercial milestones totaling up to approximately $177 million and a single-digit royalty on net sales. TG will also provide funding to support certain targeted research efforts at Jubilant.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Anti-PD-L1 and anti-GITR</w:t>
      </w:r>
    </w:p>
    <w:p>
      <w:pPr>
        <w:spacing w:after="0" w:line="225" w:lineRule="exact"/>
        <w:rPr>
          <w:sz w:val="20"/>
          <w:szCs w:val="20"/>
          <w:color w:val="auto"/>
        </w:rPr>
      </w:pPr>
    </w:p>
    <w:p>
      <w:pPr>
        <w:jc w:val="both"/>
        <w:ind w:right="400" w:firstLine="648"/>
        <w:spacing w:after="0" w:line="306" w:lineRule="auto"/>
        <w:rPr>
          <w:sz w:val="20"/>
          <w:szCs w:val="20"/>
          <w:color w:val="auto"/>
        </w:rPr>
      </w:pPr>
      <w:r>
        <w:rPr>
          <w:rFonts w:ascii="Arial" w:cs="Arial" w:eastAsia="Arial" w:hAnsi="Arial"/>
          <w:sz w:val="16"/>
          <w:szCs w:val="16"/>
          <w:color w:val="auto"/>
        </w:rPr>
        <w:t>On March 3, 2015, we entered into a Global Collaboration Agreement (the “Collaboration”) with Checkpoint, a subsidiary of Fortress Biotech, Inc. (“FBIO”), a related party, for the development and commercialization of Checkpoint’s anti-PD-L1 and anti-GITR antibody research programs in the field of hematological malignancies. Checkpoint retains the rights to develop and commercialize these antibodies in solid tumors.</w:t>
      </w:r>
    </w:p>
    <w:p>
      <w:pPr>
        <w:spacing w:after="0" w:line="16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Under the terms of the Collaboration, we made an up-front payment of $0.5 million, will make development and sales-based milestone payments up to an aggregate of $164 million, and will pay a tiered single digit royalty on net sales. The royalty term will terminate on a country by country basis upon the later of</w:t>
      </w:r>
    </w:p>
    <w:p>
      <w:pPr>
        <w:ind w:right="220" w:firstLine="8"/>
        <w:spacing w:after="0" w:line="261" w:lineRule="auto"/>
        <w:tabs>
          <w:tab w:leader="none" w:pos="21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ten years after the first commercial sale of any applicable licensed product in such country, or (ii) the expiration of the last-to-expire patent held by the Dana Farber Cancer Institute containing a valid claim to any licensed product in such country.</w:t>
      </w:r>
    </w:p>
    <w:p>
      <w:pPr>
        <w:spacing w:after="0" w:line="192" w:lineRule="exact"/>
        <w:rPr>
          <w:sz w:val="20"/>
          <w:szCs w:val="20"/>
          <w:color w:val="auto"/>
        </w:rPr>
      </w:pPr>
    </w:p>
    <w:p>
      <w:pPr>
        <w:ind w:firstLine="698"/>
        <w:spacing w:after="0" w:line="268" w:lineRule="auto"/>
        <w:rPr>
          <w:sz w:val="20"/>
          <w:szCs w:val="20"/>
          <w:color w:val="auto"/>
        </w:rPr>
      </w:pPr>
      <w:r>
        <w:rPr>
          <w:rFonts w:ascii="Arial" w:cs="Arial" w:eastAsia="Arial" w:hAnsi="Arial"/>
          <w:sz w:val="18"/>
          <w:szCs w:val="18"/>
          <w:color w:val="auto"/>
        </w:rPr>
        <w:t>Michael Weiss, our Executive Chairman, CEO and President is also the Executive Vice Chairman of FBIO and the Executive Chairman of Checkpoint (see Note 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On September 22, 2014, we exercised our option to license the global rights to TGR-1202, thereby entering into an exclusive licensing agreement (the “TGR-1202 License”) with Rhizen Pharmaceuticals, SA (“Rhizen”) for the development and commercialization of TGR-1202. Prior to this, we had been jointly developing TGR-1202 in a 50:50 joint venture with Rhizen.</w:t>
      </w:r>
    </w:p>
    <w:p>
      <w:pPr>
        <w:spacing w:after="0" w:line="19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Under the terms of the TGR-1202 License, Rhizen received a $4.0 million cash payment and 371,530 shares of our common stock as an upfront license fee. With respect to TGR-1202, Rhizen will be eligible to receive regulatory filing, approval and sales-based milestone payments in the aggregate of approximately $175 million, a small portion of which will be payable on the first New Drug Application (NDA) filing and the remainder on approval in multiple jurisdictions for up to two oncology indications and one non-oncology indication and attaining certain sales milestones. In addition, if TGR-1202 is co-formulated with another drug to create a new product (a "New Product"), Rhizen will be eligible to receive similar regulatory approval and sales-based milestone payments for such New Product. Additionally, Rhizen will be entitled to tiered royalties on our future net sales of TGR-1202 and any New Product. In lieu of sales milestones and royalties on net sales, Rhizen shall also be eligible to participate in sublicensing revenue, if any, based on a percentage that decreases as a function of the number of patients treated in clinical trials following the exercise of the license option. Rhizen will retain global manufacturing rights to TGR-1202, provided that they are price competitive with alternative manufacturers.</w:t>
      </w:r>
    </w:p>
    <w:p>
      <w:pPr>
        <w:spacing w:after="0" w:line="17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connection with the TGR-1202 License, we recognized $4.1 million of noncash research and development expense during the year ended December 31, 2014 related to the issuance of the above mentioned common stock. In addition, we recognized $4.0 million of other research and development expense during the year ended December 31, 2014 related to the cash milestone payment.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IRAK4</w:t>
      </w:r>
    </w:p>
    <w:p>
      <w:pPr>
        <w:spacing w:after="0" w:line="158"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On June 23, 2014, we entered into an exclusive licensing agreement with Ligand Pharmaceuticals Incorporated ("Ligand") for the development and commercialization of Ligand's interleukin-1 receptor associated kinase-4 ("IRAK4") inhibitor technology, which currently is in preclinical development for potential use against certain cancers and autoimmune diseases. IRAK4 is a serine/threonine protein kinase that is a key downstream signaling component of the interleukin-1 receptor and multiple toll-like receptors.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7"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color w:val="auto"/>
        </w:rPr>
        <w:t>Under the terms of the license agreement, Ligand received 125,000 shares of our common stock as an upfront license fee. Ligand will also be eligible to receive maximum potential milestone payments of approximately $207 million upon the achievement of specific clinical, regulatory and commercial milestone events. Additionally, Ligand will be entitled to royalties on our future net sales of licensed products containing IRAK4 inhibitors. The basic royalty rate for licensed products covered by Ligand's issued patents will be 6% for annual sales of up to $1 billion and 9.5% for annual sales in excess of that threshold.</w:t>
      </w:r>
    </w:p>
    <w:p>
      <w:pPr>
        <w:spacing w:after="0" w:line="99"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In connection with the license agreement, we recognized $1,211,250 of noncash research and development expense during the year ended December 31, 2014 in connection with the issuance of the above mentioned common stock.</w:t>
      </w:r>
    </w:p>
    <w:p>
      <w:pPr>
        <w:spacing w:after="0" w:line="118" w:lineRule="exact"/>
        <w:rPr>
          <w:sz w:val="20"/>
          <w:szCs w:val="20"/>
          <w:color w:val="auto"/>
        </w:rPr>
      </w:pPr>
    </w:p>
    <w:p>
      <w:pPr>
        <w:ind w:right="40" w:firstLine="648"/>
        <w:spacing w:after="0" w:line="332" w:lineRule="auto"/>
        <w:rPr>
          <w:sz w:val="20"/>
          <w:szCs w:val="20"/>
          <w:color w:val="auto"/>
        </w:rPr>
      </w:pPr>
      <w:r>
        <w:rPr>
          <w:rFonts w:ascii="Arial" w:cs="Arial" w:eastAsia="Arial" w:hAnsi="Arial"/>
          <w:sz w:val="16"/>
          <w:szCs w:val="16"/>
          <w:color w:val="auto"/>
        </w:rPr>
        <w:t>Additionally, Opus Point Partners, LLC, who identified the opportunity and advised us on the transaction, will also be entitled to receive a 1% royalty for annual sales of up to $1 billion. Michael S. Weiss, our Executive Chairman and Chief Executive Officer, is a Managing Member of Opus Point Partners, LLC.</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w:t>
      </w:r>
    </w:p>
    <w:p>
      <w:pPr>
        <w:spacing w:after="0" w:line="225" w:lineRule="exact"/>
        <w:rPr>
          <w:sz w:val="20"/>
          <w:szCs w:val="20"/>
          <w:color w:val="auto"/>
        </w:rPr>
      </w:pPr>
    </w:p>
    <w:p>
      <w:pPr>
        <w:ind w:right="480" w:firstLine="648"/>
        <w:spacing w:after="0" w:line="256"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w:t>
      </w:r>
    </w:p>
    <w:p>
      <w:pPr>
        <w:spacing w:after="0" w:line="19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$152,000 for each of the years ended December 31, 2016, 2015 and 2014, and, at December 31, 2016, 2015 and 2014, have deferred revenue of approximately $1,371,000, $1,524,000 and $1,676,000, respectively, associated with this $2,000,000 payment (approximately $152,000 of which has been classified in current liabilities at December 31, 2016).</w:t>
      </w:r>
    </w:p>
    <w:p>
      <w:pPr>
        <w:spacing w:after="0" w:line="174"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TG-1101 in the sublicense territory.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LFB Biotechnologies</w:t>
      </w:r>
    </w:p>
    <w:p>
      <w:pPr>
        <w:spacing w:after="0" w:line="225"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color w:val="auto"/>
        </w:rPr>
        <w:t>On January 30, 2012, we entered into an exclusive license agreement with LFB Biotechnologies, GTC Biotherapeutics and LFB/GTC LLC, all wholly-owned subsidiaries of LFB Group, relating to the development of ublituximab (the “LFB License Agreement”). In connection with the LFB License Agreement, LFB Group was issued 5,000,000 shares of common stock, and a warrant to purchase 2,500,000 shares of common stock at a purchase price of $0.001 per share. In addition, on November 9, 2012, we nominated Dr. Yann Echelard to our Board of Directors as LFB Group’s nominee. LFB Group maintains the right to nominate a board member until such time as LFB Group owns less than 10% of the outstanding common stock.</w:t>
      </w:r>
    </w:p>
    <w:p>
      <w:pPr>
        <w:spacing w:after="0" w:line="170" w:lineRule="exact"/>
        <w:rPr>
          <w:sz w:val="20"/>
          <w:szCs w:val="20"/>
          <w:color w:val="auto"/>
        </w:rPr>
      </w:pPr>
    </w:p>
    <w:p>
      <w:pPr>
        <w:jc w:val="both"/>
        <w:ind w:right="120" w:firstLine="648"/>
        <w:spacing w:after="0" w:line="252" w:lineRule="auto"/>
        <w:rPr>
          <w:sz w:val="20"/>
          <w:szCs w:val="20"/>
          <w:color w:val="auto"/>
        </w:rPr>
      </w:pPr>
      <w:r>
        <w:rPr>
          <w:rFonts w:ascii="Arial" w:cs="Arial" w:eastAsia="Arial" w:hAnsi="Arial"/>
          <w:sz w:val="18"/>
          <w:szCs w:val="18"/>
          <w:color w:val="auto"/>
        </w:rPr>
        <w:t>In connection with the LFB License Agreement, LFB Group maintained the right to purchase at least $750,000 in additional shares of common stock at a purchase price per share as defined in a November 2012 securities exchange agreement. Accordingly, in February 2015, LFB Group purchased 114,855 shares of our common stock at a price of $6.53 per share for net proceeds of $750,000. In May 2015, LFB Group exercised its warrant to purchase 2,500,000 shares of common stock at a purchase price of $0.001 per share.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Under the terms of the LFB License Agreement, we utilize LFB Group for certain development and manufacturing services. We incurred approximately $8,100,000, $9,300,000 and $5,200,000 in expenses for such services during the years ended December 31, 2016, 2015 and 2014, respectively, which have been included in other research and development expenses in the accompanying consolidated statements of operations. As of December 31, 2016, and 2015, we had approximately $0.4 million and $2.1 million, respectively, recorded in accounts payable related to the LFB License Agreement. In conjunction with the development and manufacturing services discussed above, certain agreements between us and LFB Group require payments in advance of services performed or goods delivered. Accordingly, as of December 31, 2016 and 2015, we recorded $1.3 million and $3.0 million, respectively, in prepaid research and development for such advance payments.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Parties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March 2014, we entered into a shared services agreement (the “Opus Shared Services Agreement”) with Opus Point Partners Management, LLC (“Opus”) in which the parties agreed to share a rented facility and costs for certain other services. Michael S. Weiss, our Executive Chairman and CEO, is a Managing Member of Opus. During the years ended December 31, 2016 and 2015, we incurred expenses of approximately $0.3 million and $0.1 million, respectively, principally for rent, related to this Opus Shared Services Agreement. As of December 31, 2016 and 2015, we had $0 and approximately $0.1 million, respectively, recorded in accounts payable related to this Opus Shared Services Agreement. The Opus Shared Services Agreement is no longer in effect as we began occupying new space in April 2016.</w:t>
      </w:r>
    </w:p>
    <w:p>
      <w:pPr>
        <w:spacing w:after="0" w:line="198"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color w:val="auto"/>
        </w:rPr>
        <w:t>In October 2014, we entered into an agreement (the “Office Agreement”) with FBIO to occupy approximately 45% of the 24,000 square feet of New York City office space leased by FBIO, which is now our corporate headquarters.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During the year ended December 31, 2016, we recorded rent expense of approximately $1.4 million and at December 31, 2016, have deferred rent of approximately $0.8 million. Mr. Weiss, our Executive Chairman and CEO, is also Executive Vice Chairman of FBIO.</w:t>
      </w:r>
    </w:p>
    <w:p>
      <w:pPr>
        <w:spacing w:after="0" w:line="17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During the year ended December 31, 2016, we agreed to pay FBIO $2.2 million for our portion of the build-out costs, which have been allocated to us at the 45% rate mentioned above. The allocated build-out costs have been recorded in Leasehold Interest on the Company’s consolidated balance sheet and will be amortized over the 15-year term of the Office Agreement. After an initial commitment period of the 45% rate for a period of three (3) years, we and FBIO will determine actual office space utilization annually and if our utilization differs from the amount we have been billed, we will either receive credits or be assessed incremental utilization charges. Also in connection with this lease, in October 2014 we pledged $0.6 million to secure a line of credit as a security deposit for the Office Agreement, which has been recorded as restricted cash in the accompanying consolidated balance sheets.</w:t>
      </w:r>
    </w:p>
    <w:p>
      <w:pPr>
        <w:spacing w:after="0" w:line="174" w:lineRule="exact"/>
        <w:rPr>
          <w:sz w:val="20"/>
          <w:szCs w:val="20"/>
          <w:color w:val="auto"/>
        </w:rPr>
      </w:pPr>
    </w:p>
    <w:p>
      <w:pPr>
        <w:ind w:right="220" w:firstLine="648"/>
        <w:spacing w:after="0" w:line="294" w:lineRule="auto"/>
        <w:rPr>
          <w:sz w:val="20"/>
          <w:szCs w:val="20"/>
          <w:color w:val="auto"/>
        </w:rPr>
      </w:pPr>
      <w:r>
        <w:rPr>
          <w:rFonts w:ascii="Arial" w:cs="Arial" w:eastAsia="Arial" w:hAnsi="Arial"/>
          <w:sz w:val="16"/>
          <w:szCs w:val="16"/>
          <w:color w:val="auto"/>
        </w:rPr>
        <w:t>In July 2015, we entered into a Shared Services Agreement (the “Shared Services Agreement”) with FBIO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$0.8 million and $0.1 million for shared services for the years ended December 31, 2016 and 2015, primarily related to shared personnel. As of December 31, 2016, we had approximately $0.4 million recorded in accounts payable related mostly to the Shared Services Agreement, and no amounts were due at December 31, 2015.</w:t>
      </w:r>
    </w:p>
    <w:p>
      <w:pPr>
        <w:spacing w:after="0" w:line="170" w:lineRule="exact"/>
        <w:rPr>
          <w:sz w:val="20"/>
          <w:szCs w:val="20"/>
          <w:color w:val="auto"/>
        </w:rPr>
      </w:pPr>
    </w:p>
    <w:p>
      <w:pPr>
        <w:ind w:right="440" w:firstLine="648"/>
        <w:spacing w:after="0" w:line="283" w:lineRule="auto"/>
        <w:rPr>
          <w:sz w:val="20"/>
          <w:szCs w:val="20"/>
          <w:color w:val="auto"/>
        </w:rPr>
      </w:pPr>
      <w:r>
        <w:rPr>
          <w:rFonts w:ascii="Arial" w:cs="Arial" w:eastAsia="Arial" w:hAnsi="Arial"/>
          <w:sz w:val="16"/>
          <w:szCs w:val="16"/>
          <w:color w:val="auto"/>
        </w:rPr>
        <w:t>In May 2016, as part of a broader agreement with Jubilant, an India-based biotechnology company, we entered into the JBET Agreement with Checkpoint, a subsidiary of FBIO, for the development and commercialization of Jubilant’s novel BET inhibitor program in the field of hematological malignancies. We paid Checkpoint an up-front licensing fee of $1.0 million as part of the JBET Agreement which was recorded in other research and development in the accompanying consolidated statement of operations. As of December 31, 2016, we had approximately $0.8 million recorded in accounts payable, related mostly to the JBET Agreement. Mr. Weiss is also the Executive Chairman of Checkpoint.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For the year ended December 31, 2016, we incurred expenses of approximately $4,000 to AOI Communications, L.P. for manuscript services related to TG-1101. Mr. Weiss is the owner of AOI Communications, L.P.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31" w:lineRule="exact"/>
        <w:rPr>
          <w:sz w:val="20"/>
          <w:szCs w:val="20"/>
          <w:color w:val="auto"/>
        </w:rPr>
      </w:pPr>
    </w:p>
    <w:p>
      <w:pPr>
        <w:ind w:right="540" w:firstLine="648"/>
        <w:spacing w:after="0" w:line="268" w:lineRule="auto"/>
        <w:rPr>
          <w:sz w:val="20"/>
          <w:szCs w:val="20"/>
          <w:color w:val="auto"/>
        </w:rPr>
      </w:pPr>
      <w:r>
        <w:rPr>
          <w:rFonts w:ascii="Arial" w:cs="Arial" w:eastAsia="Arial" w:hAnsi="Arial"/>
          <w:sz w:val="18"/>
          <w:szCs w:val="18"/>
          <w:color w:val="auto"/>
        </w:rPr>
        <w:t>As of December 31, 2016, we have known contractual obligations, commitments and contingencies of approximately $18.0 million related to our operating lease obligations.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jc w:val="right"/>
              <w:ind w:right="652"/>
              <w:spacing w:after="0"/>
              <w:rPr>
                <w:sz w:val="20"/>
                <w:szCs w:val="20"/>
                <w:color w:val="auto"/>
              </w:rPr>
            </w:pPr>
            <w:r>
              <w:rPr>
                <w:rFonts w:ascii="Arial" w:cs="Arial" w:eastAsia="Arial" w:hAnsi="Arial"/>
                <w:sz w:val="18"/>
                <w:szCs w:val="18"/>
                <w:b w:val="1"/>
                <w:bCs w:val="1"/>
                <w:color w:val="auto"/>
              </w:rPr>
              <w:t>Payment due by period</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w w:val="84"/>
              </w:rPr>
              <w:t>Less than 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center"/>
              <w:spacing w:after="0" w:line="201" w:lineRule="exact"/>
              <w:rPr>
                <w:sz w:val="20"/>
                <w:szCs w:val="20"/>
                <w:color w:val="auto"/>
              </w:rPr>
            </w:pPr>
            <w:r>
              <w:rPr>
                <w:rFonts w:ascii="Arial" w:cs="Arial" w:eastAsia="Arial" w:hAnsi="Arial"/>
                <w:sz w:val="18"/>
                <w:szCs w:val="18"/>
                <w:b w:val="1"/>
                <w:bCs w:val="1"/>
                <w:color w:val="auto"/>
                <w:w w:val="90"/>
              </w:rPr>
              <w:t>More than</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12"/>
              <w:spacing w:after="0"/>
              <w:rPr>
                <w:sz w:val="20"/>
                <w:szCs w:val="20"/>
                <w:color w:val="auto"/>
              </w:rPr>
            </w:pPr>
            <w:r>
              <w:rPr>
                <w:rFonts w:ascii="Arial" w:cs="Arial" w:eastAsia="Arial" w:hAnsi="Arial"/>
                <w:sz w:val="18"/>
                <w:szCs w:val="18"/>
                <w:b w:val="1"/>
                <w:bCs w:val="1"/>
                <w:color w:val="auto"/>
              </w:rPr>
              <w:t>year</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w w:val="84"/>
              </w:rPr>
              <w:t>1-3 years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w w:val="87"/>
              </w:rPr>
              <w:t>3-5 years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5 years</w:t>
            </w:r>
          </w:p>
        </w:tc>
      </w:tr>
      <w:tr>
        <w:trPr>
          <w:trHeight w:val="216"/>
        </w:trPr>
        <w:tc>
          <w:tcPr>
            <w:tcW w:w="20" w:type="dxa"/>
            <w:vAlign w:val="bottom"/>
          </w:tcPr>
          <w:p>
            <w:pPr>
              <w:spacing w:after="0"/>
              <w:rPr>
                <w:sz w:val="18"/>
                <w:szCs w:val="18"/>
                <w:color w:val="auto"/>
              </w:rPr>
            </w:pPr>
          </w:p>
        </w:tc>
        <w:tc>
          <w:tcPr>
            <w:tcW w:w="5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Operating leases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18,020</w:t>
            </w: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1,185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2,281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2,286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12,268</w:t>
            </w:r>
          </w:p>
        </w:tc>
        <w:tc>
          <w:tcPr>
            <w:tcW w:w="1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8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18,020</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12,268</w:t>
            </w:r>
          </w:p>
        </w:tc>
        <w:tc>
          <w:tcPr>
            <w:tcW w:w="10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1"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See Note 9 for a detailed description of our lease arrangements. Total rental expense was approximately $1.6 million, $0.3 million and $0.1 million for the years ended December 31, 2016, 2015 and 2014, respectively.</w:t>
      </w:r>
    </w:p>
    <w:p>
      <w:pPr>
        <w:spacing w:after="0" w:line="192"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Future minimum lease commitments as of December 31, 2016, in the aggregate total approximately $18.0 million through December 31, 2031. The preceding table shows future minimum lease commitments, which include our office leases in New York, North Carolina and Tennessee, by period as of December 31, 2016.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NOTE 11 – QUARTERLY FINANCIAL INFORMATION (UNAUDITED)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8"/>
                <w:szCs w:val="18"/>
                <w:b w:val="1"/>
                <w:bCs w:val="1"/>
                <w:color w:val="auto"/>
              </w:rPr>
              <w:t>3 Months Ended</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line="201" w:lineRule="exact"/>
              <w:rPr>
                <w:sz w:val="20"/>
                <w:szCs w:val="20"/>
                <w:color w:val="auto"/>
              </w:rPr>
            </w:pPr>
            <w:r>
              <w:rPr>
                <w:rFonts w:ascii="Arial" w:cs="Arial" w:eastAsia="Arial" w:hAnsi="Arial"/>
                <w:sz w:val="18"/>
                <w:szCs w:val="18"/>
                <w:b w:val="1"/>
                <w:bCs w:val="1"/>
                <w:color w:val="auto"/>
                <w:w w:val="91"/>
              </w:rPr>
              <w:t>March 31,</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3"/>
          </w:tcPr>
          <w:p>
            <w:pPr>
              <w:ind w:left="20"/>
              <w:spacing w:after="0" w:line="201" w:lineRule="exact"/>
              <w:rPr>
                <w:sz w:val="20"/>
                <w:szCs w:val="20"/>
                <w:color w:val="auto"/>
              </w:rPr>
            </w:pPr>
            <w:r>
              <w:rPr>
                <w:rFonts w:ascii="Arial" w:cs="Arial" w:eastAsia="Arial" w:hAnsi="Arial"/>
                <w:sz w:val="18"/>
                <w:szCs w:val="18"/>
                <w:b w:val="1"/>
                <w:bCs w:val="1"/>
                <w:color w:val="auto"/>
              </w:rPr>
              <w:t>September 30,</w:t>
            </w:r>
          </w:p>
        </w:tc>
        <w:tc>
          <w:tcPr>
            <w:tcW w:w="1120" w:type="dxa"/>
            <w:vAlign w:val="bottom"/>
            <w:gridSpan w:val="3"/>
          </w:tcPr>
          <w:p>
            <w:pPr>
              <w:jc w:val="center"/>
              <w:ind w:right="60"/>
              <w:spacing w:after="0" w:line="201" w:lineRule="exact"/>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2016</w:t>
            </w:r>
          </w:p>
        </w:tc>
        <w:tc>
          <w:tcPr>
            <w:tcW w:w="260" w:type="dxa"/>
            <w:vAlign w:val="bottom"/>
          </w:tcPr>
          <w:p>
            <w:pPr>
              <w:spacing w:after="0"/>
              <w:rPr>
                <w:sz w:val="20"/>
                <w:szCs w:val="20"/>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88"/>
              </w:rPr>
              <w:t>June 30, 2016</w:t>
            </w:r>
          </w:p>
        </w:tc>
        <w:tc>
          <w:tcPr>
            <w:tcW w:w="180" w:type="dxa"/>
            <w:vAlign w:val="bottom"/>
          </w:tcPr>
          <w:p>
            <w:pPr>
              <w:spacing w:after="0"/>
              <w:rPr>
                <w:sz w:val="20"/>
                <w:szCs w:val="20"/>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center"/>
              <w:ind w:right="72"/>
              <w:spacing w:after="0"/>
              <w:rPr>
                <w:sz w:val="20"/>
                <w:szCs w:val="20"/>
                <w:color w:val="auto"/>
              </w:rPr>
            </w:pPr>
            <w:r>
              <w:rPr>
                <w:rFonts w:ascii="Arial" w:cs="Arial" w:eastAsia="Arial" w:hAnsi="Arial"/>
                <w:sz w:val="18"/>
                <w:szCs w:val="18"/>
                <w:b w:val="1"/>
                <w:bCs w:val="1"/>
                <w:color w:val="auto"/>
                <w:w w:val="89"/>
              </w:rPr>
              <w:t>2016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License revenue</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38,095</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38,095</w:t>
            </w:r>
          </w:p>
        </w:tc>
        <w:tc>
          <w:tcPr>
            <w:tcW w:w="2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38,096</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38,095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14,030,251</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16,061,538</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24,963,567</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24,066,153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(13,848,662)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(15,899,062)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(24,831,027)</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(23,674,143)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(0.33)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(0.50)</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8"/>
                <w:szCs w:val="18"/>
                <w:b w:val="1"/>
                <w:bCs w:val="1"/>
                <w:color w:val="auto"/>
              </w:rPr>
              <w:t>3 Months Ended</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line="201" w:lineRule="exact"/>
              <w:rPr>
                <w:sz w:val="20"/>
                <w:szCs w:val="20"/>
                <w:color w:val="auto"/>
              </w:rPr>
            </w:pPr>
            <w:r>
              <w:rPr>
                <w:rFonts w:ascii="Arial" w:cs="Arial" w:eastAsia="Arial" w:hAnsi="Arial"/>
                <w:sz w:val="18"/>
                <w:szCs w:val="18"/>
                <w:b w:val="1"/>
                <w:bCs w:val="1"/>
                <w:color w:val="auto"/>
                <w:w w:val="91"/>
              </w:rPr>
              <w:t>March 31,</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3"/>
          </w:tcPr>
          <w:p>
            <w:pPr>
              <w:ind w:left="20"/>
              <w:spacing w:after="0" w:line="201" w:lineRule="exact"/>
              <w:rPr>
                <w:sz w:val="20"/>
                <w:szCs w:val="20"/>
                <w:color w:val="auto"/>
              </w:rPr>
            </w:pPr>
            <w:r>
              <w:rPr>
                <w:rFonts w:ascii="Arial" w:cs="Arial" w:eastAsia="Arial" w:hAnsi="Arial"/>
                <w:sz w:val="18"/>
                <w:szCs w:val="18"/>
                <w:b w:val="1"/>
                <w:bCs w:val="1"/>
                <w:color w:val="auto"/>
              </w:rPr>
              <w:t>September 30,</w:t>
            </w:r>
          </w:p>
        </w:tc>
        <w:tc>
          <w:tcPr>
            <w:tcW w:w="1120" w:type="dxa"/>
            <w:vAlign w:val="bottom"/>
            <w:gridSpan w:val="3"/>
          </w:tcPr>
          <w:p>
            <w:pPr>
              <w:jc w:val="center"/>
              <w:ind w:right="60"/>
              <w:spacing w:after="0" w:line="201" w:lineRule="exact"/>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2015</w:t>
            </w:r>
          </w:p>
        </w:tc>
        <w:tc>
          <w:tcPr>
            <w:tcW w:w="260" w:type="dxa"/>
            <w:vAlign w:val="bottom"/>
          </w:tcPr>
          <w:p>
            <w:pPr>
              <w:spacing w:after="0"/>
              <w:rPr>
                <w:sz w:val="20"/>
                <w:szCs w:val="20"/>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88"/>
              </w:rPr>
              <w:t>June 30, 2015</w:t>
            </w:r>
          </w:p>
        </w:tc>
        <w:tc>
          <w:tcPr>
            <w:tcW w:w="180" w:type="dxa"/>
            <w:vAlign w:val="bottom"/>
          </w:tcPr>
          <w:p>
            <w:pPr>
              <w:spacing w:after="0"/>
              <w:rPr>
                <w:sz w:val="20"/>
                <w:szCs w:val="20"/>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center"/>
              <w:ind w:right="72"/>
              <w:spacing w:after="0"/>
              <w:rPr>
                <w:sz w:val="20"/>
                <w:szCs w:val="20"/>
                <w:color w:val="auto"/>
              </w:rPr>
            </w:pPr>
            <w:r>
              <w:rPr>
                <w:rFonts w:ascii="Arial" w:cs="Arial" w:eastAsia="Arial" w:hAnsi="Arial"/>
                <w:sz w:val="18"/>
                <w:szCs w:val="18"/>
                <w:b w:val="1"/>
                <w:bCs w:val="1"/>
                <w:color w:val="auto"/>
                <w:w w:val="89"/>
              </w:rPr>
              <w:t>2015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License revenue</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38,095</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38,095</w:t>
            </w:r>
          </w:p>
        </w:tc>
        <w:tc>
          <w:tcPr>
            <w:tcW w:w="2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38,096</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38,095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14,640,946</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17,149,675</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13,863,680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17,678,096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(14,577,735)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(17,103,183)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(13,655,916)</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(17,611,812)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(0.35)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(0.38)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(0.28)</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LITIGATION</w:t>
      </w:r>
    </w:p>
    <w:p>
      <w:pPr>
        <w:spacing w:after="0" w:line="2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January 6, 2017, a purported securities class action complaint was filed in New York federal court against the Company and certain of its directors, officers or consultants on behalf of all shareholders who purchased or otherwise acquired TG Therapeutics common stock between September 15, 2014 and October 12, 2016 (the “Class Period”). The case is captioned John Lyon v. TG Therapeutics, Michael S. Weiss, Sean A. Power and Robert Niecestro, Case No. 1:17-cv-00112-VM (S.D.N.Y.). The complaint alleges that, throughout the Class Period and including on October 13, 2016, that the Company had filed an “amended protocol for its GENUINE Phase 3 trial,” various statements made by the Company regarding its GENUINE Phase 3 trial were materially false or misleading when made in violation of the Securities Exchange Act of 1934 and Rule 10b-5 promulgated thereunder. On January 24, 2017, a second purported class action complaint was filed in New York federal court against the Company and certain of its directors, officers or consultants also on behalf of all shareholders who purchased or otherwise acquired TG Therapeutics common stock between September 15, 2014 and October 12, 2016. The case is captioned Kenneth C. Wyzgoski v. TG Therapeutics, Michael S. Weiss, Sean A. Power and Robert Niecestro, Case No. 1:17-cv-00508-VM (S.D.N.Y.). The claims and allegations in the Wyzgoski complaint are substantially identical to those in the Lyon case. Both actions remain pending and are in the early stages of litigation.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23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first quarter of 2017, we sold a total of 3,104,253 shares of common stock under the 2015 ATM for aggregate total gross proceeds of approximately $31.6 million at an average selling price of $10.18 per share. Net proceeds were approximately $31 million after deducting commissions and other transactions costs.</w:t>
      </w:r>
    </w:p>
    <w:p>
      <w:pPr>
        <w:spacing w:after="0" w:line="194"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On March 9, 2017, we announced the pricing of an underwritten public offering of 5,128,206 shares of our common stock (plus a 30-day underwriter option to purchase up to an additional 769,230 shares of common stock, which has been exercised) at a price of $9.75 per share, with expected gross proceeds to TG Therapeutics of $57.5 million, less underwriting discounts and commissions. Total net proceeds from this offering, including the overallotment, are $54 million, net of underwriting discounts and estimated offering expenses of approximately $3.5 million. The shares were sold under a shelf registration statement on Form S-3 (File No. 333-201339) that was previously filed and declared effective by the SEC in January 2015. The offering closed on March 14, 2017.</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2017</w:t>
      </w:r>
    </w:p>
    <w:p>
      <w:pPr>
        <w:spacing w:after="0" w:line="219"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TG THERAPEUTICS, INC.</w:t>
      </w:r>
    </w:p>
    <w:p>
      <w:pPr>
        <w:spacing w:after="0" w:line="23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 /s/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-13970</wp:posOffset>
            </wp:positionV>
            <wp:extent cx="2550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50160" cy="889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8"/>
          <w:szCs w:val="18"/>
          <w:color w:val="auto"/>
        </w:rPr>
        <w:t>Michael S. Weiss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Executive Chairman, Chief Executive Officer and President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each of Michael S. Weiss and Sean A. Power, his true and lawful attorney-in-fact and agent, with full power of substitution and resubstitution, for him and his name, place and stead, in any and all capacities, to sign any or all amendments to this annual report on Form 10-K, and to file the same, with all exhibits thereto and other documents in connection therewith, with the SEC,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any of his substitutes, may lawfully do or cause to be done by virtue hereof.</w:t>
      </w:r>
    </w:p>
    <w:p>
      <w:pPr>
        <w:spacing w:after="0" w:line="174"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Form 10-K has been signed by the following persons on behalf of the Registrant on March 15, 2017, and in the capacities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9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85"/>
              </w:rPr>
              <w:t>Signatures</w:t>
            </w:r>
          </w:p>
        </w:tc>
        <w:tc>
          <w:tcPr>
            <w:tcW w:w="5460" w:type="dxa"/>
            <w:vAlign w:val="bottom"/>
            <w:tcBorders>
              <w:bottom w:val="single" w:sz="8" w:color="auto"/>
            </w:tcBorders>
          </w:tcPr>
          <w:p>
            <w:pPr>
              <w:ind w:left="256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430"/>
        </w:trPr>
        <w:tc>
          <w:tcPr>
            <w:tcW w:w="59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8"/>
              </w:rPr>
              <w:t>/s/ Michael S. Weiss</w:t>
            </w:r>
          </w:p>
        </w:tc>
        <w:tc>
          <w:tcPr>
            <w:tcW w:w="5460" w:type="dxa"/>
            <w:vAlign w:val="bottom"/>
          </w:tcPr>
          <w:p>
            <w:pPr>
              <w:spacing w:after="0"/>
              <w:rPr>
                <w:sz w:val="20"/>
                <w:szCs w:val="20"/>
                <w:color w:val="auto"/>
              </w:rPr>
            </w:pPr>
            <w:r>
              <w:rPr>
                <w:rFonts w:ascii="Arial" w:cs="Arial" w:eastAsia="Arial" w:hAnsi="Arial"/>
                <w:sz w:val="18"/>
                <w:szCs w:val="18"/>
                <w:color w:val="auto"/>
              </w:rPr>
              <w:t>Executive Chairman, Chief Executive Officer and President</w:t>
            </w:r>
          </w:p>
        </w:tc>
        <w:tc>
          <w:tcPr>
            <w:tcW w:w="0" w:type="dxa"/>
            <w:vAlign w:val="bottom"/>
          </w:tcPr>
          <w:p>
            <w:pPr>
              <w:spacing w:after="0"/>
              <w:rPr>
                <w:sz w:val="1"/>
                <w:szCs w:val="1"/>
                <w:color w:val="auto"/>
              </w:rPr>
            </w:pPr>
          </w:p>
        </w:tc>
      </w:tr>
      <w:tr>
        <w:trPr>
          <w:trHeight w:val="218"/>
        </w:trPr>
        <w:tc>
          <w:tcPr>
            <w:tcW w:w="5960" w:type="dxa"/>
            <w:vAlign w:val="bottom"/>
          </w:tcPr>
          <w:p>
            <w:pPr>
              <w:jc w:val="center"/>
              <w:ind w:right="132"/>
              <w:spacing w:after="0"/>
              <w:rPr>
                <w:sz w:val="20"/>
                <w:szCs w:val="20"/>
                <w:color w:val="auto"/>
              </w:rPr>
            </w:pPr>
            <w:r>
              <w:rPr>
                <w:rFonts w:ascii="Arial" w:cs="Arial" w:eastAsia="Arial" w:hAnsi="Arial"/>
                <w:sz w:val="18"/>
                <w:szCs w:val="18"/>
                <w:color w:val="auto"/>
                <w:w w:val="88"/>
              </w:rPr>
              <w:t>Michael S. Weiss</w:t>
            </w:r>
          </w:p>
        </w:tc>
        <w:tc>
          <w:tcPr>
            <w:tcW w:w="5460" w:type="dxa"/>
            <w:vAlign w:val="bottom"/>
          </w:tcPr>
          <w:p>
            <w:pPr>
              <w:spacing w:after="0" w:line="202" w:lineRule="exact"/>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17"/>
        </w:trPr>
        <w:tc>
          <w:tcPr>
            <w:tcW w:w="5960" w:type="dxa"/>
            <w:vAlign w:val="bottom"/>
            <w:tcBorders>
              <w:bottom w:val="single" w:sz="8" w:color="auto"/>
            </w:tcBorders>
          </w:tcPr>
          <w:p>
            <w:pPr>
              <w:spacing w:after="0"/>
              <w:rPr>
                <w:sz w:val="18"/>
                <w:szCs w:val="18"/>
                <w:color w:val="auto"/>
              </w:rPr>
            </w:pPr>
          </w:p>
        </w:tc>
        <w:tc>
          <w:tcPr>
            <w:tcW w:w="5460" w:type="dxa"/>
            <w:vAlign w:val="bottom"/>
            <w:vMerge w:val="restart"/>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7"/>
              </w:rPr>
              <w:t>/s/ Sean A. Power</w:t>
            </w:r>
          </w:p>
        </w:tc>
        <w:tc>
          <w:tcPr>
            <w:tcW w:w="5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jc w:val="center"/>
              <w:ind w:right="152"/>
              <w:spacing w:after="0"/>
              <w:rPr>
                <w:sz w:val="20"/>
                <w:szCs w:val="20"/>
                <w:color w:val="auto"/>
              </w:rPr>
            </w:pPr>
            <w:r>
              <w:rPr>
                <w:rFonts w:ascii="Arial" w:cs="Arial" w:eastAsia="Arial" w:hAnsi="Arial"/>
                <w:sz w:val="18"/>
                <w:szCs w:val="18"/>
                <w:color w:val="auto"/>
                <w:w w:val="86"/>
              </w:rPr>
              <w:t>Sean A. Power</w:t>
            </w:r>
          </w:p>
        </w:tc>
        <w:tc>
          <w:tcPr>
            <w:tcW w:w="5460" w:type="dxa"/>
            <w:vAlign w:val="bottom"/>
          </w:tcPr>
          <w:p>
            <w:pPr>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217"/>
        </w:trPr>
        <w:tc>
          <w:tcPr>
            <w:tcW w:w="5960" w:type="dxa"/>
            <w:vAlign w:val="bottom"/>
            <w:tcBorders>
              <w:bottom w:val="single" w:sz="8" w:color="auto"/>
            </w:tcBorders>
          </w:tcPr>
          <w:p>
            <w:pPr>
              <w:spacing w:after="0"/>
              <w:rPr>
                <w:sz w:val="18"/>
                <w:szCs w:val="18"/>
                <w:color w:val="auto"/>
              </w:rPr>
            </w:pPr>
          </w:p>
        </w:tc>
        <w:tc>
          <w:tcPr>
            <w:tcW w:w="54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8"/>
              </w:rPr>
              <w:t>/s/ Laurence N. Charney</w:t>
            </w:r>
          </w:p>
        </w:tc>
        <w:tc>
          <w:tcPr>
            <w:tcW w:w="5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jc w:val="center"/>
              <w:ind w:right="132"/>
              <w:spacing w:after="0"/>
              <w:rPr>
                <w:sz w:val="20"/>
                <w:szCs w:val="20"/>
                <w:color w:val="auto"/>
              </w:rPr>
            </w:pPr>
            <w:r>
              <w:rPr>
                <w:rFonts w:ascii="Arial" w:cs="Arial" w:eastAsia="Arial" w:hAnsi="Arial"/>
                <w:sz w:val="18"/>
                <w:szCs w:val="18"/>
                <w:color w:val="auto"/>
                <w:w w:val="87"/>
              </w:rPr>
              <w:t>Laurence N. Charney</w:t>
            </w:r>
          </w:p>
        </w:tc>
        <w:tc>
          <w:tcPr>
            <w:tcW w:w="5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60" w:type="dxa"/>
            <w:vAlign w:val="bottom"/>
            <w:tcBorders>
              <w:bottom w:val="single" w:sz="8" w:color="auto"/>
            </w:tcBorders>
          </w:tcPr>
          <w:p>
            <w:pPr>
              <w:spacing w:after="0"/>
              <w:rPr>
                <w:sz w:val="18"/>
                <w:szCs w:val="18"/>
                <w:color w:val="auto"/>
              </w:rPr>
            </w:pPr>
          </w:p>
        </w:tc>
        <w:tc>
          <w:tcPr>
            <w:tcW w:w="54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7"/>
              </w:rPr>
              <w:t>/s/ Yann Echelard</w:t>
            </w:r>
          </w:p>
        </w:tc>
        <w:tc>
          <w:tcPr>
            <w:tcW w:w="5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jc w:val="center"/>
              <w:ind w:right="152"/>
              <w:spacing w:after="0"/>
              <w:rPr>
                <w:sz w:val="20"/>
                <w:szCs w:val="20"/>
                <w:color w:val="auto"/>
              </w:rPr>
            </w:pPr>
            <w:r>
              <w:rPr>
                <w:rFonts w:ascii="Arial" w:cs="Arial" w:eastAsia="Arial" w:hAnsi="Arial"/>
                <w:sz w:val="18"/>
                <w:szCs w:val="18"/>
                <w:color w:val="auto"/>
                <w:w w:val="88"/>
              </w:rPr>
              <w:t>Yann Echelard</w:t>
            </w:r>
          </w:p>
        </w:tc>
        <w:tc>
          <w:tcPr>
            <w:tcW w:w="5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60" w:type="dxa"/>
            <w:vAlign w:val="bottom"/>
            <w:tcBorders>
              <w:bottom w:val="single" w:sz="8" w:color="auto"/>
            </w:tcBorders>
          </w:tcPr>
          <w:p>
            <w:pPr>
              <w:spacing w:after="0"/>
              <w:rPr>
                <w:sz w:val="18"/>
                <w:szCs w:val="18"/>
                <w:color w:val="auto"/>
              </w:rPr>
            </w:pPr>
          </w:p>
        </w:tc>
        <w:tc>
          <w:tcPr>
            <w:tcW w:w="54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8"/>
              </w:rPr>
              <w:t>/s/ Kenneth Hoberman</w:t>
            </w:r>
          </w:p>
        </w:tc>
        <w:tc>
          <w:tcPr>
            <w:tcW w:w="5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jc w:val="center"/>
              <w:ind w:right="132"/>
              <w:spacing w:after="0"/>
              <w:rPr>
                <w:sz w:val="20"/>
                <w:szCs w:val="20"/>
                <w:color w:val="auto"/>
              </w:rPr>
            </w:pPr>
            <w:r>
              <w:rPr>
                <w:rFonts w:ascii="Arial" w:cs="Arial" w:eastAsia="Arial" w:hAnsi="Arial"/>
                <w:sz w:val="18"/>
                <w:szCs w:val="18"/>
                <w:color w:val="auto"/>
                <w:w w:val="88"/>
              </w:rPr>
              <w:t>Kenneth Hoberman</w:t>
            </w:r>
          </w:p>
        </w:tc>
        <w:tc>
          <w:tcPr>
            <w:tcW w:w="5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60" w:type="dxa"/>
            <w:vAlign w:val="bottom"/>
            <w:tcBorders>
              <w:bottom w:val="single" w:sz="8" w:color="auto"/>
            </w:tcBorders>
          </w:tcPr>
          <w:p>
            <w:pPr>
              <w:spacing w:after="0"/>
              <w:rPr>
                <w:sz w:val="18"/>
                <w:szCs w:val="18"/>
                <w:color w:val="auto"/>
              </w:rPr>
            </w:pPr>
          </w:p>
        </w:tc>
        <w:tc>
          <w:tcPr>
            <w:tcW w:w="54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0"/>
              </w:rPr>
              <w:t>/s/ Daniel Hume</w:t>
            </w:r>
          </w:p>
        </w:tc>
        <w:tc>
          <w:tcPr>
            <w:tcW w:w="5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jc w:val="center"/>
              <w:ind w:right="132"/>
              <w:spacing w:after="0"/>
              <w:rPr>
                <w:sz w:val="20"/>
                <w:szCs w:val="20"/>
                <w:color w:val="auto"/>
              </w:rPr>
            </w:pPr>
            <w:r>
              <w:rPr>
                <w:rFonts w:ascii="Arial" w:cs="Arial" w:eastAsia="Arial" w:hAnsi="Arial"/>
                <w:sz w:val="18"/>
                <w:szCs w:val="18"/>
                <w:color w:val="auto"/>
                <w:w w:val="90"/>
              </w:rPr>
              <w:t>Daniel Hume</w:t>
            </w:r>
          </w:p>
        </w:tc>
        <w:tc>
          <w:tcPr>
            <w:tcW w:w="5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60" w:type="dxa"/>
            <w:vAlign w:val="bottom"/>
            <w:tcBorders>
              <w:bottom w:val="single" w:sz="8" w:color="auto"/>
            </w:tcBorders>
          </w:tcPr>
          <w:p>
            <w:pPr>
              <w:spacing w:after="0"/>
              <w:rPr>
                <w:sz w:val="18"/>
                <w:szCs w:val="18"/>
                <w:color w:val="auto"/>
              </w:rPr>
            </w:pPr>
          </w:p>
        </w:tc>
        <w:tc>
          <w:tcPr>
            <w:tcW w:w="54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0"/>
              </w:rPr>
              <w:t>/s/ William J. Kennedy</w:t>
            </w:r>
          </w:p>
        </w:tc>
        <w:tc>
          <w:tcPr>
            <w:tcW w:w="5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jc w:val="center"/>
              <w:ind w:right="152"/>
              <w:spacing w:after="0"/>
              <w:rPr>
                <w:sz w:val="20"/>
                <w:szCs w:val="20"/>
                <w:color w:val="auto"/>
              </w:rPr>
            </w:pPr>
            <w:r>
              <w:rPr>
                <w:rFonts w:ascii="Arial" w:cs="Arial" w:eastAsia="Arial" w:hAnsi="Arial"/>
                <w:sz w:val="18"/>
                <w:szCs w:val="18"/>
                <w:color w:val="auto"/>
                <w:w w:val="91"/>
              </w:rPr>
              <w:t>William J. Kennedy</w:t>
            </w:r>
          </w:p>
        </w:tc>
        <w:tc>
          <w:tcPr>
            <w:tcW w:w="5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60" w:type="dxa"/>
            <w:vAlign w:val="bottom"/>
            <w:tcBorders>
              <w:bottom w:val="single" w:sz="8" w:color="auto"/>
            </w:tcBorders>
          </w:tcPr>
          <w:p>
            <w:pPr>
              <w:spacing w:after="0"/>
              <w:rPr>
                <w:sz w:val="18"/>
                <w:szCs w:val="18"/>
                <w:color w:val="auto"/>
              </w:rPr>
            </w:pPr>
          </w:p>
        </w:tc>
        <w:tc>
          <w:tcPr>
            <w:tcW w:w="54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9"/>
              </w:rPr>
              <w:t>/s/ Mark Schoenebaum, M.D.</w:t>
            </w:r>
          </w:p>
        </w:tc>
        <w:tc>
          <w:tcPr>
            <w:tcW w:w="5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jc w:val="center"/>
              <w:ind w:right="132"/>
              <w:spacing w:after="0"/>
              <w:rPr>
                <w:sz w:val="20"/>
                <w:szCs w:val="20"/>
                <w:color w:val="auto"/>
              </w:rPr>
            </w:pPr>
            <w:r>
              <w:rPr>
                <w:rFonts w:ascii="Arial" w:cs="Arial" w:eastAsia="Arial" w:hAnsi="Arial"/>
                <w:sz w:val="18"/>
                <w:szCs w:val="18"/>
                <w:color w:val="auto"/>
                <w:w w:val="88"/>
              </w:rPr>
              <w:t>Mark Schoenebaum, M.D.</w:t>
            </w:r>
          </w:p>
        </w:tc>
        <w:tc>
          <w:tcPr>
            <w:tcW w:w="5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59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19"/>
                <w:szCs w:val="19"/>
                <w:color w:val="auto"/>
              </w:rPr>
            </w:pPr>
          </w:p>
        </w:tc>
        <w:tc>
          <w:tcPr>
            <w:tcW w:w="10480" w:type="dxa"/>
            <w:vAlign w:val="bottom"/>
          </w:tcPr>
          <w:p>
            <w:pPr>
              <w:ind w:left="4100"/>
              <w:spacing w:after="0"/>
              <w:rPr>
                <w:sz w:val="20"/>
                <w:szCs w:val="20"/>
                <w:color w:val="auto"/>
              </w:rPr>
            </w:pPr>
            <w:r>
              <w:rPr>
                <w:rFonts w:ascii="Arial" w:cs="Arial" w:eastAsia="Arial" w:hAnsi="Arial"/>
                <w:sz w:val="18"/>
                <w:szCs w:val="18"/>
                <w:b w:val="1"/>
                <w:bCs w:val="1"/>
                <w:color w:val="auto"/>
              </w:rPr>
              <w:t>EXHIBIT INDEX</w:t>
            </w:r>
          </w:p>
        </w:tc>
      </w:tr>
      <w:tr>
        <w:trPr>
          <w:trHeight w:val="420"/>
        </w:trPr>
        <w:tc>
          <w:tcPr>
            <w:tcW w:w="9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480" w:type="dxa"/>
            <w:vAlign w:val="bottom"/>
          </w:tcPr>
          <w:p>
            <w:pPr>
              <w:spacing w:after="0"/>
              <w:rPr>
                <w:sz w:val="24"/>
                <w:szCs w:val="24"/>
                <w:color w:val="auto"/>
              </w:rPr>
            </w:pPr>
          </w:p>
        </w:tc>
      </w:tr>
      <w:tr>
        <w:trPr>
          <w:trHeight w:val="228"/>
        </w:trPr>
        <w:tc>
          <w:tcPr>
            <w:tcW w:w="94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480" w:type="dxa"/>
            <w:vAlign w:val="bottom"/>
          </w:tcPr>
          <w:p>
            <w:pPr>
              <w:ind w:left="220"/>
              <w:spacing w:after="0"/>
              <w:rPr>
                <w:sz w:val="20"/>
                <w:szCs w:val="20"/>
                <w:color w:val="auto"/>
              </w:rPr>
            </w:pPr>
            <w:r>
              <w:rPr>
                <w:rFonts w:ascii="Arial" w:cs="Arial" w:eastAsia="Arial" w:hAnsi="Arial"/>
                <w:sz w:val="18"/>
                <w:szCs w:val="18"/>
                <w:b w:val="1"/>
                <w:bCs w:val="1"/>
                <w:color w:val="auto"/>
              </w:rPr>
              <w:t>Exhibit Description</w:t>
            </w:r>
          </w:p>
        </w:tc>
      </w:tr>
      <w:tr>
        <w:trPr>
          <w:trHeight w:val="432"/>
        </w:trPr>
        <w:tc>
          <w:tcPr>
            <w:tcW w:w="940" w:type="dxa"/>
            <w:vAlign w:val="bottom"/>
          </w:tcPr>
          <w:p>
            <w:pPr>
              <w:jc w:val="right"/>
              <w:ind w:right="112"/>
              <w:spacing w:after="0"/>
              <w:rPr>
                <w:sz w:val="20"/>
                <w:szCs w:val="20"/>
                <w:color w:val="auto"/>
              </w:rPr>
            </w:pPr>
            <w:r>
              <w:rPr>
                <w:rFonts w:ascii="Arial" w:cs="Arial" w:eastAsia="Arial" w:hAnsi="Arial"/>
                <w:sz w:val="18"/>
                <w:szCs w:val="18"/>
                <w:color w:val="auto"/>
              </w:rPr>
              <w:t>21.1</w:t>
            </w:r>
          </w:p>
        </w:tc>
        <w:tc>
          <w:tcPr>
            <w:tcW w:w="10480" w:type="dxa"/>
            <w:vAlign w:val="bottom"/>
          </w:tcPr>
          <w:p>
            <w:pPr>
              <w:ind w:left="400"/>
              <w:spacing w:after="0"/>
              <w:rPr>
                <w:sz w:val="20"/>
                <w:szCs w:val="20"/>
                <w:color w:val="auto"/>
              </w:rPr>
            </w:pPr>
            <w:r>
              <w:rPr>
                <w:rFonts w:ascii="Arial" w:cs="Arial" w:eastAsia="Arial" w:hAnsi="Arial"/>
                <w:sz w:val="18"/>
                <w:szCs w:val="18"/>
                <w:color w:val="auto"/>
              </w:rPr>
              <w:t>Subsidiaries of TG Therapeutics, Inc.</w:t>
            </w:r>
          </w:p>
        </w:tc>
      </w:tr>
      <w:tr>
        <w:trPr>
          <w:trHeight w:val="432"/>
        </w:trPr>
        <w:tc>
          <w:tcPr>
            <w:tcW w:w="940" w:type="dxa"/>
            <w:vAlign w:val="bottom"/>
          </w:tcPr>
          <w:p>
            <w:pPr>
              <w:jc w:val="right"/>
              <w:ind w:right="112"/>
              <w:spacing w:after="0"/>
              <w:rPr>
                <w:sz w:val="20"/>
                <w:szCs w:val="20"/>
                <w:color w:val="auto"/>
              </w:rPr>
            </w:pPr>
            <w:r>
              <w:rPr>
                <w:rFonts w:ascii="Arial" w:cs="Arial" w:eastAsia="Arial" w:hAnsi="Arial"/>
                <w:sz w:val="18"/>
                <w:szCs w:val="18"/>
                <w:color w:val="auto"/>
              </w:rPr>
              <w:t>23.1</w:t>
            </w:r>
          </w:p>
        </w:tc>
        <w:tc>
          <w:tcPr>
            <w:tcW w:w="10480" w:type="dxa"/>
            <w:vAlign w:val="bottom"/>
          </w:tcPr>
          <w:p>
            <w:pPr>
              <w:ind w:left="3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940" w:type="dxa"/>
            <w:vAlign w:val="bottom"/>
          </w:tcPr>
          <w:p>
            <w:pPr>
              <w:jc w:val="right"/>
              <w:ind w:right="112"/>
              <w:spacing w:after="0"/>
              <w:rPr>
                <w:sz w:val="20"/>
                <w:szCs w:val="20"/>
                <w:color w:val="auto"/>
              </w:rPr>
            </w:pPr>
            <w:r>
              <w:rPr>
                <w:rFonts w:ascii="Arial" w:cs="Arial" w:eastAsia="Arial" w:hAnsi="Arial"/>
                <w:sz w:val="18"/>
                <w:szCs w:val="18"/>
                <w:color w:val="auto"/>
              </w:rPr>
              <w:t>31.1</w:t>
            </w:r>
          </w:p>
        </w:tc>
        <w:tc>
          <w:tcPr>
            <w:tcW w:w="10480" w:type="dxa"/>
            <w:vAlign w:val="bottom"/>
          </w:tcPr>
          <w:p>
            <w:pPr>
              <w:ind w:left="380"/>
              <w:spacing w:after="0"/>
              <w:rPr>
                <w:sz w:val="20"/>
                <w:szCs w:val="20"/>
                <w:color w:val="auto"/>
              </w:rPr>
            </w:pPr>
            <w:r>
              <w:rPr>
                <w:rFonts w:ascii="Arial" w:cs="Arial" w:eastAsia="Arial" w:hAnsi="Arial"/>
                <w:sz w:val="18"/>
                <w:szCs w:val="18"/>
                <w:color w:val="auto"/>
              </w:rPr>
              <w:t>Certification of Principal Executive Officer</w:t>
            </w:r>
          </w:p>
        </w:tc>
      </w:tr>
      <w:tr>
        <w:trPr>
          <w:trHeight w:val="432"/>
        </w:trPr>
        <w:tc>
          <w:tcPr>
            <w:tcW w:w="940" w:type="dxa"/>
            <w:vAlign w:val="bottom"/>
          </w:tcPr>
          <w:p>
            <w:pPr>
              <w:jc w:val="right"/>
              <w:ind w:right="112"/>
              <w:spacing w:after="0"/>
              <w:rPr>
                <w:sz w:val="20"/>
                <w:szCs w:val="20"/>
                <w:color w:val="auto"/>
              </w:rPr>
            </w:pPr>
            <w:r>
              <w:rPr>
                <w:rFonts w:ascii="Arial" w:cs="Arial" w:eastAsia="Arial" w:hAnsi="Arial"/>
                <w:sz w:val="18"/>
                <w:szCs w:val="18"/>
                <w:color w:val="auto"/>
              </w:rPr>
              <w:t>31.2</w:t>
            </w:r>
          </w:p>
        </w:tc>
        <w:tc>
          <w:tcPr>
            <w:tcW w:w="10480" w:type="dxa"/>
            <w:vAlign w:val="bottom"/>
          </w:tcPr>
          <w:p>
            <w:pPr>
              <w:ind w:left="380"/>
              <w:spacing w:after="0"/>
              <w:rPr>
                <w:sz w:val="20"/>
                <w:szCs w:val="20"/>
                <w:color w:val="auto"/>
              </w:rPr>
            </w:pPr>
            <w:r>
              <w:rPr>
                <w:rFonts w:ascii="Arial" w:cs="Arial" w:eastAsia="Arial" w:hAnsi="Arial"/>
                <w:sz w:val="18"/>
                <w:szCs w:val="18"/>
                <w:color w:val="auto"/>
              </w:rPr>
              <w:t>Certification of Principal Financial Officer</w:t>
            </w:r>
          </w:p>
        </w:tc>
      </w:tr>
      <w:tr>
        <w:trPr>
          <w:trHeight w:val="432"/>
        </w:trPr>
        <w:tc>
          <w:tcPr>
            <w:tcW w:w="940" w:type="dxa"/>
            <w:vAlign w:val="bottom"/>
          </w:tcPr>
          <w:p>
            <w:pPr>
              <w:jc w:val="right"/>
              <w:ind w:right="112"/>
              <w:spacing w:after="0"/>
              <w:rPr>
                <w:sz w:val="20"/>
                <w:szCs w:val="20"/>
                <w:color w:val="auto"/>
              </w:rPr>
            </w:pPr>
            <w:r>
              <w:rPr>
                <w:rFonts w:ascii="Arial" w:cs="Arial" w:eastAsia="Arial" w:hAnsi="Arial"/>
                <w:sz w:val="18"/>
                <w:szCs w:val="18"/>
                <w:color w:val="auto"/>
              </w:rPr>
              <w:t>32.1</w:t>
            </w:r>
          </w:p>
        </w:tc>
        <w:tc>
          <w:tcPr>
            <w:tcW w:w="10480" w:type="dxa"/>
            <w:vAlign w:val="bottom"/>
          </w:tcPr>
          <w:p>
            <w:pPr>
              <w:ind w:left="38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940" w:type="dxa"/>
            <w:vAlign w:val="bottom"/>
          </w:tcPr>
          <w:p>
            <w:pPr>
              <w:jc w:val="right"/>
              <w:ind w:right="112"/>
              <w:spacing w:after="0"/>
              <w:rPr>
                <w:sz w:val="20"/>
                <w:szCs w:val="20"/>
                <w:color w:val="auto"/>
              </w:rPr>
            </w:pPr>
            <w:r>
              <w:rPr>
                <w:rFonts w:ascii="Arial" w:cs="Arial" w:eastAsia="Arial" w:hAnsi="Arial"/>
                <w:sz w:val="18"/>
                <w:szCs w:val="18"/>
                <w:color w:val="auto"/>
              </w:rPr>
              <w:t>32.2</w:t>
            </w:r>
          </w:p>
        </w:tc>
        <w:tc>
          <w:tcPr>
            <w:tcW w:w="10480" w:type="dxa"/>
            <w:vAlign w:val="bottom"/>
          </w:tcPr>
          <w:p>
            <w:pPr>
              <w:ind w:left="38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866"/>
        </w:trPr>
        <w:tc>
          <w:tcPr>
            <w:tcW w:w="940" w:type="dxa"/>
            <w:vAlign w:val="bottom"/>
            <w:tcBorders>
              <w:bottom w:val="single" w:sz="8" w:color="auto"/>
            </w:tcBorders>
          </w:tcPr>
          <w:p>
            <w:pPr>
              <w:spacing w:after="0"/>
              <w:rPr>
                <w:sz w:val="24"/>
                <w:szCs w:val="24"/>
                <w:color w:val="auto"/>
              </w:rPr>
            </w:pPr>
          </w:p>
        </w:tc>
        <w:tc>
          <w:tcPr>
            <w:tcW w:w="10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23.1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consent to the incorporation by reference in registration statement No. 333-181439 on Form S-8 and registration statement Nos. 333-189015 and 333-201339 on Form S-3 of our report dated March 15, 2017 on our audits of the consolidated financial statements of TG Therapeutics, Inc. and Subsidiaries as of December 31, 2016 and 2015, and for each of the three years in the period ended December 31, 2016, and our report on our audit of internal control over financial reporting of TG Therapeutics, Inc. and Subsidiaries as of December 31, 2016, dated March 16, 2017, included in this Annual Report on Form 10-K of TG Therapeutics, Inc. and Subsidiaries for the year ended December 31, 2016.</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Subsidiaries of TG Therapeutics,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Ariston Pharmaceuticals,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TG Biologics,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00" w:lineRule="exact"/>
        <w:rPr>
          <w:sz w:val="20"/>
          <w:szCs w:val="20"/>
          <w:color w:val="auto"/>
        </w:rPr>
      </w:pPr>
    </w:p>
    <w:p>
      <w:pPr>
        <w:spacing w:after="0" w:line="268" w:lineRule="exact"/>
        <w:rPr>
          <w:sz w:val="20"/>
          <w:szCs w:val="20"/>
          <w:color w:val="auto"/>
        </w:rPr>
      </w:pPr>
    </w:p>
    <w:p>
      <w:pPr>
        <w:ind w:left="380" w:hanging="264"/>
        <w:spacing w:after="0"/>
        <w:tabs>
          <w:tab w:leader="none" w:pos="3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TG Therapeutics, Inc.;</w:t>
      </w:r>
    </w:p>
    <w:p>
      <w:pPr>
        <w:spacing w:after="0" w:line="387" w:lineRule="exact"/>
        <w:rPr>
          <w:rFonts w:ascii="Arial" w:cs="Arial" w:eastAsia="Arial" w:hAnsi="Arial"/>
          <w:sz w:val="18"/>
          <w:szCs w:val="18"/>
          <w:color w:val="auto"/>
        </w:rPr>
      </w:pPr>
    </w:p>
    <w:p>
      <w:pPr>
        <w:ind w:left="320" w:right="100" w:hanging="258"/>
        <w:spacing w:after="0" w:line="332" w:lineRule="auto"/>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1" w:lineRule="exact"/>
        <w:rPr>
          <w:rFonts w:ascii="Arial" w:cs="Arial" w:eastAsia="Arial" w:hAnsi="Arial"/>
          <w:sz w:val="16"/>
          <w:szCs w:val="16"/>
          <w:color w:val="auto"/>
        </w:rPr>
      </w:pPr>
    </w:p>
    <w:p>
      <w:pPr>
        <w:ind w:left="320" w:right="180" w:hanging="258"/>
        <w:spacing w:after="0" w:line="332" w:lineRule="auto"/>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1" w:lineRule="exact"/>
        <w:rPr>
          <w:rFonts w:ascii="Arial" w:cs="Arial" w:eastAsia="Arial" w:hAnsi="Arial"/>
          <w:sz w:val="16"/>
          <w:szCs w:val="16"/>
          <w:color w:val="auto"/>
        </w:rPr>
      </w:pPr>
    </w:p>
    <w:p>
      <w:pPr>
        <w:ind w:left="320" w:right="40" w:hanging="258"/>
        <w:spacing w:after="0" w:line="259" w:lineRule="auto"/>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6" w:lineRule="exact"/>
        <w:rPr>
          <w:rFonts w:ascii="Arial" w:cs="Arial" w:eastAsia="Arial" w:hAnsi="Arial"/>
          <w:sz w:val="18"/>
          <w:szCs w:val="18"/>
          <w:color w:val="auto"/>
        </w:rPr>
      </w:pPr>
    </w:p>
    <w:p>
      <w:pPr>
        <w:ind w:left="660" w:right="300" w:hanging="328"/>
        <w:spacing w:after="0" w:line="259" w:lineRule="auto"/>
        <w:tabs>
          <w:tab w:leader="none" w:pos="660" w:val="left"/>
        </w:tabs>
        <w:numPr>
          <w:ilvl w:val="2"/>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6" w:lineRule="exact"/>
        <w:rPr>
          <w:rFonts w:ascii="Arial" w:cs="Arial" w:eastAsia="Arial" w:hAnsi="Arial"/>
          <w:sz w:val="18"/>
          <w:szCs w:val="18"/>
          <w:color w:val="auto"/>
        </w:rPr>
      </w:pPr>
    </w:p>
    <w:p>
      <w:pPr>
        <w:ind w:left="660" w:right="100" w:hanging="328"/>
        <w:spacing w:after="0" w:line="259" w:lineRule="auto"/>
        <w:tabs>
          <w:tab w:leader="none" w:pos="660" w:val="left"/>
        </w:tabs>
        <w:numPr>
          <w:ilvl w:val="2"/>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6" w:lineRule="exact"/>
        <w:rPr>
          <w:rFonts w:ascii="Arial" w:cs="Arial" w:eastAsia="Arial" w:hAnsi="Arial"/>
          <w:sz w:val="18"/>
          <w:szCs w:val="18"/>
          <w:color w:val="auto"/>
        </w:rPr>
      </w:pPr>
    </w:p>
    <w:p>
      <w:pPr>
        <w:ind w:left="660" w:right="160" w:hanging="328"/>
        <w:spacing w:after="0" w:line="332" w:lineRule="auto"/>
        <w:tabs>
          <w:tab w:leader="none" w:pos="660" w:val="left"/>
        </w:tabs>
        <w:numPr>
          <w:ilvl w:val="2"/>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1" w:lineRule="exact"/>
        <w:rPr>
          <w:rFonts w:ascii="Arial" w:cs="Arial" w:eastAsia="Arial" w:hAnsi="Arial"/>
          <w:sz w:val="16"/>
          <w:szCs w:val="16"/>
          <w:color w:val="auto"/>
        </w:rPr>
      </w:pPr>
    </w:p>
    <w:p>
      <w:pPr>
        <w:ind w:left="660" w:right="200" w:hanging="328"/>
        <w:spacing w:after="0" w:line="259" w:lineRule="auto"/>
        <w:tabs>
          <w:tab w:leader="none" w:pos="660" w:val="left"/>
        </w:tabs>
        <w:numPr>
          <w:ilvl w:val="2"/>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6" w:lineRule="exact"/>
        <w:rPr>
          <w:rFonts w:ascii="Arial" w:cs="Arial" w:eastAsia="Arial" w:hAnsi="Arial"/>
          <w:sz w:val="18"/>
          <w:szCs w:val="18"/>
          <w:color w:val="auto"/>
        </w:rPr>
      </w:pPr>
    </w:p>
    <w:p>
      <w:pPr>
        <w:ind w:left="320" w:right="780" w:hanging="258"/>
        <w:spacing w:after="0" w:line="332" w:lineRule="auto"/>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1" w:lineRule="exact"/>
        <w:rPr>
          <w:rFonts w:ascii="Arial" w:cs="Arial" w:eastAsia="Arial" w:hAnsi="Arial"/>
          <w:sz w:val="16"/>
          <w:szCs w:val="16"/>
          <w:color w:val="auto"/>
        </w:rPr>
      </w:pPr>
    </w:p>
    <w:p>
      <w:pPr>
        <w:ind w:left="660" w:right="80" w:hanging="328"/>
        <w:spacing w:after="0" w:line="268" w:lineRule="auto"/>
        <w:tabs>
          <w:tab w:leader="none" w:pos="660" w:val="left"/>
        </w:tabs>
        <w:numPr>
          <w:ilvl w:val="2"/>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8" w:lineRule="exact"/>
        <w:rPr>
          <w:rFonts w:ascii="Arial" w:cs="Arial" w:eastAsia="Arial" w:hAnsi="Arial"/>
          <w:sz w:val="18"/>
          <w:szCs w:val="18"/>
          <w:color w:val="auto"/>
        </w:rPr>
      </w:pPr>
    </w:p>
    <w:p>
      <w:pPr>
        <w:ind w:left="660" w:right="320" w:hanging="328"/>
        <w:spacing w:after="0" w:line="268" w:lineRule="auto"/>
        <w:tabs>
          <w:tab w:leader="none" w:pos="660" w:val="left"/>
        </w:tabs>
        <w:numPr>
          <w:ilvl w:val="2"/>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15, 2017</w:t>
      </w:r>
      <w:r>
        <w:rPr>
          <w:sz w:val="20"/>
          <w:szCs w:val="20"/>
          <w:color w:val="auto"/>
        </w:rPr>
        <w:tab/>
      </w:r>
      <w:r>
        <w:rPr>
          <w:rFonts w:ascii="Arial" w:cs="Arial" w:eastAsia="Arial" w:hAnsi="Arial"/>
          <w:sz w:val="15"/>
          <w:szCs w:val="15"/>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S. Weiss</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Chairman, Chief Executive Officer and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773"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00" w:lineRule="exact"/>
        <w:rPr>
          <w:sz w:val="20"/>
          <w:szCs w:val="20"/>
          <w:color w:val="auto"/>
        </w:rPr>
      </w:pPr>
    </w:p>
    <w:p>
      <w:pPr>
        <w:spacing w:after="0" w:line="268" w:lineRule="exact"/>
        <w:rPr>
          <w:sz w:val="20"/>
          <w:szCs w:val="20"/>
          <w:color w:val="auto"/>
        </w:rPr>
      </w:pPr>
    </w:p>
    <w:p>
      <w:pPr>
        <w:ind w:left="380" w:hanging="264"/>
        <w:spacing w:after="0"/>
        <w:tabs>
          <w:tab w:leader="none" w:pos="3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TG Therapeutics, Inc.;</w:t>
      </w:r>
    </w:p>
    <w:p>
      <w:pPr>
        <w:spacing w:after="0" w:line="387" w:lineRule="exact"/>
        <w:rPr>
          <w:rFonts w:ascii="Arial" w:cs="Arial" w:eastAsia="Arial" w:hAnsi="Arial"/>
          <w:sz w:val="18"/>
          <w:szCs w:val="18"/>
          <w:color w:val="auto"/>
        </w:rPr>
      </w:pPr>
    </w:p>
    <w:p>
      <w:pPr>
        <w:ind w:left="320" w:right="100" w:hanging="258"/>
        <w:spacing w:after="0" w:line="332" w:lineRule="auto"/>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1" w:lineRule="exact"/>
        <w:rPr>
          <w:rFonts w:ascii="Arial" w:cs="Arial" w:eastAsia="Arial" w:hAnsi="Arial"/>
          <w:sz w:val="16"/>
          <w:szCs w:val="16"/>
          <w:color w:val="auto"/>
        </w:rPr>
      </w:pPr>
    </w:p>
    <w:p>
      <w:pPr>
        <w:ind w:left="320" w:right="180" w:hanging="258"/>
        <w:spacing w:after="0" w:line="332" w:lineRule="auto"/>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1" w:lineRule="exact"/>
        <w:rPr>
          <w:rFonts w:ascii="Arial" w:cs="Arial" w:eastAsia="Arial" w:hAnsi="Arial"/>
          <w:sz w:val="16"/>
          <w:szCs w:val="16"/>
          <w:color w:val="auto"/>
        </w:rPr>
      </w:pPr>
    </w:p>
    <w:p>
      <w:pPr>
        <w:ind w:left="320" w:right="40" w:hanging="258"/>
        <w:spacing w:after="0" w:line="259" w:lineRule="auto"/>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6" w:lineRule="exact"/>
        <w:rPr>
          <w:rFonts w:ascii="Arial" w:cs="Arial" w:eastAsia="Arial" w:hAnsi="Arial"/>
          <w:sz w:val="18"/>
          <w:szCs w:val="18"/>
          <w:color w:val="auto"/>
        </w:rPr>
      </w:pPr>
    </w:p>
    <w:p>
      <w:pPr>
        <w:ind w:left="660" w:right="300" w:hanging="328"/>
        <w:spacing w:after="0" w:line="259" w:lineRule="auto"/>
        <w:tabs>
          <w:tab w:leader="none" w:pos="6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6" w:lineRule="exact"/>
        <w:rPr>
          <w:rFonts w:ascii="Arial" w:cs="Arial" w:eastAsia="Arial" w:hAnsi="Arial"/>
          <w:sz w:val="18"/>
          <w:szCs w:val="18"/>
          <w:color w:val="auto"/>
        </w:rPr>
      </w:pPr>
    </w:p>
    <w:p>
      <w:pPr>
        <w:ind w:left="660" w:right="100" w:hanging="328"/>
        <w:spacing w:after="0" w:line="259" w:lineRule="auto"/>
        <w:tabs>
          <w:tab w:leader="none" w:pos="6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6" w:lineRule="exact"/>
        <w:rPr>
          <w:rFonts w:ascii="Arial" w:cs="Arial" w:eastAsia="Arial" w:hAnsi="Arial"/>
          <w:sz w:val="18"/>
          <w:szCs w:val="18"/>
          <w:color w:val="auto"/>
        </w:rPr>
      </w:pPr>
    </w:p>
    <w:p>
      <w:pPr>
        <w:ind w:left="660" w:right="160" w:hanging="328"/>
        <w:spacing w:after="0" w:line="332" w:lineRule="auto"/>
        <w:tabs>
          <w:tab w:leader="none" w:pos="660" w:val="left"/>
        </w:tabs>
        <w:numPr>
          <w:ilvl w:val="2"/>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1" w:lineRule="exact"/>
        <w:rPr>
          <w:rFonts w:ascii="Arial" w:cs="Arial" w:eastAsia="Arial" w:hAnsi="Arial"/>
          <w:sz w:val="16"/>
          <w:szCs w:val="16"/>
          <w:color w:val="auto"/>
        </w:rPr>
      </w:pPr>
    </w:p>
    <w:p>
      <w:pPr>
        <w:ind w:left="660" w:right="200" w:hanging="328"/>
        <w:spacing w:after="0" w:line="259" w:lineRule="auto"/>
        <w:tabs>
          <w:tab w:leader="none" w:pos="6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6" w:lineRule="exact"/>
        <w:rPr>
          <w:rFonts w:ascii="Arial" w:cs="Arial" w:eastAsia="Arial" w:hAnsi="Arial"/>
          <w:sz w:val="18"/>
          <w:szCs w:val="18"/>
          <w:color w:val="auto"/>
        </w:rPr>
      </w:pPr>
    </w:p>
    <w:p>
      <w:pPr>
        <w:ind w:left="320" w:right="780" w:hanging="258"/>
        <w:spacing w:after="0" w:line="332" w:lineRule="auto"/>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1" w:lineRule="exact"/>
        <w:rPr>
          <w:rFonts w:ascii="Arial" w:cs="Arial" w:eastAsia="Arial" w:hAnsi="Arial"/>
          <w:sz w:val="16"/>
          <w:szCs w:val="16"/>
          <w:color w:val="auto"/>
        </w:rPr>
      </w:pPr>
    </w:p>
    <w:p>
      <w:pPr>
        <w:ind w:left="660" w:right="80" w:hanging="328"/>
        <w:spacing w:after="0" w:line="268" w:lineRule="auto"/>
        <w:tabs>
          <w:tab w:leader="none" w:pos="6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8" w:lineRule="exact"/>
        <w:rPr>
          <w:rFonts w:ascii="Arial" w:cs="Arial" w:eastAsia="Arial" w:hAnsi="Arial"/>
          <w:sz w:val="18"/>
          <w:szCs w:val="18"/>
          <w:color w:val="auto"/>
        </w:rPr>
      </w:pPr>
    </w:p>
    <w:p>
      <w:pPr>
        <w:ind w:left="660" w:right="320" w:hanging="328"/>
        <w:spacing w:after="0" w:line="268" w:lineRule="auto"/>
        <w:tabs>
          <w:tab w:leader="none" w:pos="6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15, 2017</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746"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343"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In connection with the annual report of TG Therapeutics, Inc. (the “Company”) on Form 10-K for the year ended December 31, 2016 as filed with the Securities and Exchange Commission (the “Report”), I, Michael S. Weiss, Executive Chairman, Chief Executive Officer and President of the Company, certify, pursuant to 18 U.S.C. §1350, as adopted pursuant to §906 of the Sarbanes-Oxley Act of 2002, that, based on my knowledge:</w:t>
      </w:r>
    </w:p>
    <w:p>
      <w:pPr>
        <w:spacing w:after="0" w:line="200" w:lineRule="exact"/>
        <w:rPr>
          <w:sz w:val="20"/>
          <w:szCs w:val="20"/>
          <w:color w:val="auto"/>
        </w:rPr>
      </w:pPr>
    </w:p>
    <w:p>
      <w:pPr>
        <w:spacing w:after="0" w:line="285" w:lineRule="exact"/>
        <w:rPr>
          <w:sz w:val="20"/>
          <w:szCs w:val="20"/>
          <w:color w:val="auto"/>
        </w:rPr>
      </w:pPr>
    </w:p>
    <w:p>
      <w:pPr>
        <w:ind w:left="560" w:hanging="228"/>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520" w:hanging="188"/>
        <w:spacing w:after="0"/>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15, 2017</w:t>
      </w:r>
      <w:r>
        <w:rPr>
          <w:sz w:val="20"/>
          <w:szCs w:val="20"/>
          <w:color w:val="auto"/>
        </w:rPr>
        <w:tab/>
      </w:r>
      <w:r>
        <w:rPr>
          <w:rFonts w:ascii="Arial" w:cs="Arial" w:eastAsia="Arial" w:hAnsi="Arial"/>
          <w:sz w:val="15"/>
          <w:szCs w:val="15"/>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S. Weiss</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Chairman, Chief Executive Officer and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773"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343"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connection with the annual report of TG Therapeutics, Inc. (the “Company”) on Form 10-K for the year ended December 31, 2016 as filed with the Securities and Exchange Commission (the “Report”), I, Sean A. Power, Chief Financial Officer of the Company, certify, pursuant to 18 U.S.C. §1350, as adopted pursuant to §906 of the Sarbanes-Oxley Act of 2002, that, based on my knowledge:</w:t>
      </w:r>
    </w:p>
    <w:p>
      <w:pPr>
        <w:spacing w:after="0" w:line="200" w:lineRule="exact"/>
        <w:rPr>
          <w:sz w:val="20"/>
          <w:szCs w:val="20"/>
          <w:color w:val="auto"/>
        </w:rPr>
      </w:pPr>
    </w:p>
    <w:p>
      <w:pPr>
        <w:spacing w:after="0" w:line="318" w:lineRule="exact"/>
        <w:rPr>
          <w:sz w:val="20"/>
          <w:szCs w:val="20"/>
          <w:color w:val="auto"/>
        </w:rPr>
      </w:pPr>
    </w:p>
    <w:p>
      <w:pPr>
        <w:ind w:left="520" w:hanging="188"/>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520" w:hanging="188"/>
        <w:spacing w:after="0"/>
        <w:tabs>
          <w:tab w:leader="none" w:pos="5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15, 2017</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7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decimal"/>
      <w:start w:val="1"/>
    </w:lvl>
    <w:lvl w:ilvl="1">
      <w:lvlJc w:val="left"/>
      <w:lvlText w:val="(%2)"/>
      <w:numFmt w:val="decimal"/>
      <w:start w:val="1"/>
    </w:lvl>
  </w:abstractNum>
  <w:abstractNum w:abstractNumId="25">
    <w:nsid w:val="7724C67E"/>
    <w:multiLevelType w:val="hybridMultilevel"/>
    <w:lvl w:ilvl="0">
      <w:lvlJc w:val="left"/>
      <w:lvlText w:val="(%1)"/>
      <w:numFmt w:val="decimal"/>
      <w:start w:val="2"/>
    </w:lvl>
    <w:lvl w:ilvl="1">
      <w:lvlJc w:val="left"/>
      <w:lvlText w:val="%2"/>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lvl w:ilvl="1">
      <w:lvlJc w:val="left"/>
      <w:lvlText w:val="o"/>
      <w:numFmt w:val="bullet"/>
      <w:start w:val="1"/>
    </w:lvl>
  </w:abstractNum>
  <w:abstractNum w:abstractNumId="32">
    <w:nsid w:val="153EA438"/>
    <w:multiLevelType w:val="hybridMultilevel"/>
    <w:lvl w:ilvl="0">
      <w:lvlJc w:val="left"/>
      <w:lvlText w:val="%1."/>
      <w:numFmt w:val="decimal"/>
      <w:start w:val="2"/>
    </w:lvl>
  </w:abstractNum>
  <w:abstractNum w:abstractNumId="33">
    <w:nsid w:val="3855585C"/>
    <w:multiLevelType w:val="hybridMultilevel"/>
    <w:lvl w:ilvl="0">
      <w:lvlJc w:val="left"/>
      <w:lvlText w:val="%1."/>
      <w:numFmt w:val="decimal"/>
      <w:start w:val="3"/>
    </w:lvl>
  </w:abstractNum>
  <w:abstractNum w:abstractNumId="34">
    <w:nsid w:val="70A64E2A"/>
    <w:multiLevelType w:val="hybridMultilevel"/>
    <w:lvl w:ilvl="0">
      <w:lvlJc w:val="left"/>
      <w:lvlText w:val="†"/>
      <w:numFmt w:val="bullet"/>
      <w:start w:val="1"/>
    </w:lvl>
    <w:lvl w:ilvl="1">
      <w:lvlJc w:val="left"/>
      <w:lvlText w:val="%2"/>
      <w:numFmt w:val="decimal"/>
      <w:start w:val="10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lvl w:ilvl="1">
      <w:lvlJc w:val="left"/>
      <w:lvlText w:val="o"/>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lowerRoman"/>
      <w:start w:val="1"/>
    </w:lvl>
  </w:abstractNum>
  <w:abstractNum w:abstractNumId="43">
    <w:nsid w:val="542289E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4">
    <w:nsid w:val="6DE91B18"/>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45">
    <w:nsid w:val="38437FD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6">
    <w:nsid w:val="7644A45C"/>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2019-12-06T03:25:22Z</dcterms:created>
  <dcterms:modified xsi:type="dcterms:W3CDTF">2019-12-06T03:25:22Z</dcterms:modified>
</cp:coreProperties>
</file>