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gtx20260630_10q.htm"/>
      <w:bookmarkStart w:id="1" w:name="kstgtx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6215"/>
      </w:tblGrid>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18"/>
              </w:rPr>
              <w:t>QUARTERLY REPORT PURSUANT TO SECTION</w:t>
            </w:r>
            <w:r>
              <w:rPr>
                <w:rFonts w:ascii="Times New Roman" w:hAnsi="Times New Roman"/>
                <w:caps w:val="false"/>
                <w:smallCaps w:val="false"/>
                <w:sz w:val="18"/>
              </w:rPr>
              <w:t> </w:t>
            </w:r>
            <w:r>
              <w:rPr>
                <w:rFonts w:ascii="Times New Roman" w:hAnsi="Times New Roman"/>
                <w:b/>
                <w:caps w:val="false"/>
                <w:smallCaps w:val="false"/>
                <w:sz w:val="18"/>
              </w:rPr>
              <w:t>13 OR 15(d)</w:t>
            </w:r>
            <w:r>
              <w:rPr>
                <w:rFonts w:ascii="Times New Roman" w:hAnsi="Times New Roman"/>
                <w:caps w:val="false"/>
                <w:smallCaps w:val="false"/>
                <w:sz w:val="18"/>
              </w:rPr>
              <w:t> </w:t>
            </w:r>
            <w:r>
              <w:rPr>
                <w:rFonts w:ascii="Times New Roman" w:hAnsi="Times New Roman"/>
                <w:b/>
                <w:caps w:val="false"/>
                <w:smallCaps w:val="false"/>
                <w:sz w:val="18"/>
              </w:rPr>
              <w:t xml:space="preserve">OF THE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SECURITIES EXCHANGE ACT OF 1934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For the quarterly period ended June 30, 2026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OR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18"/>
              </w:rPr>
              <w:t>TRANSITION REPORT PURSUANT TO SECTION</w:t>
            </w:r>
            <w:r>
              <w:rPr>
                <w:rFonts w:ascii="Times New Roman" w:hAnsi="Times New Roman"/>
                <w:caps w:val="false"/>
                <w:smallCaps w:val="false"/>
                <w:sz w:val="18"/>
              </w:rPr>
              <w:t> </w:t>
            </w:r>
            <w:r>
              <w:rPr>
                <w:rFonts w:ascii="Times New Roman" w:hAnsi="Times New Roman"/>
                <w:b/>
                <w:caps w:val="false"/>
                <w:smallCaps w:val="false"/>
                <w:sz w:val="18"/>
              </w:rPr>
              <w:t>13 OR 15(d)</w:t>
            </w:r>
            <w:r>
              <w:rPr>
                <w:rFonts w:ascii="Times New Roman" w:hAnsi="Times New Roman"/>
                <w:caps w:val="false"/>
                <w:smallCaps w:val="false"/>
                <w:sz w:val="18"/>
              </w:rPr>
              <w:t> </w:t>
            </w:r>
            <w:r>
              <w:rPr>
                <w:rFonts w:ascii="Times New Roman" w:hAnsi="Times New Roman"/>
                <w:b/>
                <w:caps w:val="false"/>
                <w:smallCaps w:val="false"/>
                <w:sz w:val="18"/>
              </w:rPr>
              <w:t xml:space="preserve">OF THE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SECURITIES EXCHANGE ACT OF 1934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For the transition period from to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001-32639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TG THERAPEUTICS,</w:t>
      </w:r>
      <w:r>
        <w:rPr>
          <w:rFonts w:ascii="Times New Roman" w:hAnsi="Times New Roman"/>
          <w:caps w:val="false"/>
          <w:smallCaps w:val="false"/>
          <w:sz w:val="28"/>
        </w:rPr>
        <w:t> </w:t>
      </w:r>
      <w:r>
        <w:rPr>
          <w:rFonts w:ascii="Times New Roman" w:hAnsi="Times New Roman"/>
          <w:b/>
          <w:caps w:val="false"/>
          <w:smallCaps w:val="false"/>
          <w:sz w:val="28"/>
        </w:rPr>
        <w:t>INC.</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4220"/>
        <w:gridCol w:w="2585"/>
      </w:tblGrid>
      <w:tr>
        <w:trPr/>
        <w:tc>
          <w:tcPr>
            <w:tcW w:w="422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Delaware </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36-3898269 </w:t>
            </w:r>
          </w:p>
        </w:tc>
      </w:tr>
      <w:tr>
        <w:trPr/>
        <w:tc>
          <w:tcPr>
            <w:tcW w:w="422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(State or other jurisdiction of incorporation or organization)</w:t>
            </w:r>
          </w:p>
        </w:tc>
        <w:tc>
          <w:tcPr>
            <w:tcW w:w="25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3020 Carrington Mill Blvd, Suite 475</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Morrisville, North Carolina 27560</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(877) 575-8489</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28" w:type="dxa"/>
          <w:left w:w="28" w:type="dxa"/>
          <w:bottom w:w="28" w:type="dxa"/>
          <w:right w:w="0" w:type="dxa"/>
        </w:tblCellMar>
      </w:tblPr>
      <w:tblGrid>
        <w:gridCol w:w="2405"/>
        <w:gridCol w:w="1520"/>
        <w:gridCol w:w="1655"/>
      </w:tblGrid>
      <w:tr>
        <w:trPr/>
        <w:tc>
          <w:tcPr>
            <w:tcW w:w="24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Class</w:t>
            </w:r>
          </w:p>
        </w:tc>
        <w:tc>
          <w:tcPr>
            <w:tcW w:w="15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Trading Symbol(s)</w:t>
            </w:r>
            <w:r>
              <w:rPr>
                <w:rFonts w:ascii="Times New Roman" w:hAnsi="Times New Roman"/>
                <w:caps w:val="false"/>
                <w:smallCaps w:val="false"/>
                <w:sz w:val="18"/>
              </w:rPr>
              <w:t> </w:t>
            </w:r>
          </w:p>
        </w:tc>
        <w:tc>
          <w:tcPr>
            <w:tcW w:w="165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Exchange Name </w:t>
            </w:r>
          </w:p>
        </w:tc>
      </w:tr>
      <w:tr>
        <w:trPr/>
        <w:tc>
          <w:tcPr>
            <w:tcW w:w="24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$0.001</w:t>
            </w:r>
          </w:p>
        </w:tc>
        <w:tc>
          <w:tcPr>
            <w:tcW w:w="15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TGTX</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18"/>
        </w:rPr>
        <w:t>Yes ☐ No</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775"/>
        <w:gridCol w:w="2165"/>
      </w:tblGrid>
      <w:tr>
        <w:trPr/>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Accelerated filer ☐</w:t>
            </w:r>
          </w:p>
        </w:tc>
      </w:tr>
      <w:tr>
        <w:trPr/>
        <w:tc>
          <w:tcPr>
            <w:tcW w:w="17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 ☐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Smaller reporting company ☐</w:t>
            </w:r>
          </w:p>
        </w:tc>
      </w:tr>
      <w:tr>
        <w:trPr/>
        <w:tc>
          <w:tcPr>
            <w:tcW w:w="17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There were 153,069,053 shares of the registrant’s common stock, $0.001 par value, outstanding as of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680"/>
        <w:gridCol w:w="7280"/>
        <w:gridCol w:w="230"/>
      </w:tblGrid>
      <w:tr>
        <w:trPr/>
        <w:tc>
          <w:tcPr>
            <w:tcW w:w="7960" w:type="dxa"/>
            <w:gridSpan w:val="2"/>
            <w:tcBorders/>
            <w:vAlign w:val="center"/>
          </w:tcPr>
          <w:p>
            <w:pPr>
              <w:pStyle w:val="TableContents"/>
              <w:bidi w:val="0"/>
              <w:spacing w:before="0" w:after="0"/>
              <w:ind w:left="0" w:right="0" w:hanging="0"/>
              <w:jc w:val="left"/>
              <w:rPr/>
            </w:pPr>
            <w:hyperlink w:anchor="specialnotice">
              <w:r>
                <w:rPr>
                  <w:rStyle w:val="InternetLink"/>
                  <w:rFonts w:ascii="Times New Roman" w:hAnsi="Times New Roman"/>
                  <w:caps w:val="false"/>
                  <w:smallCaps w:val="false"/>
                  <w:sz w:val="20"/>
                </w:rPr>
                <w:t>SPECIAL CAUTIONARY NOTICE REGARDING FORWARD-LOOKING STATEMENTS</w:t>
              </w:r>
            </w:hyperlink>
          </w:p>
        </w:tc>
        <w:tc>
          <w:tcPr>
            <w:tcW w:w="230" w:type="dxa"/>
            <w:tcBorders/>
            <w:vAlign w:val="center"/>
          </w:tcPr>
          <w:p>
            <w:pPr>
              <w:pStyle w:val="TableContents"/>
              <w:bidi w:val="0"/>
              <w:spacing w:before="0" w:after="0"/>
              <w:ind w:left="0" w:right="0" w:hanging="0"/>
              <w:jc w:val="right"/>
              <w:rPr/>
            </w:pPr>
            <w:hyperlink w:anchor="specialnotice">
              <w:r>
                <w:rPr>
                  <w:rStyle w:val="InternetLink"/>
                  <w:rFonts w:ascii="Times New Roman" w:hAnsi="Times New Roman"/>
                  <w:caps w:val="false"/>
                  <w:smallCaps w:val="false"/>
                  <w:sz w:val="20"/>
                </w:rPr>
                <w:t>3</w:t>
              </w:r>
            </w:hyperlink>
          </w:p>
        </w:tc>
      </w:tr>
      <w:tr>
        <w:trPr/>
        <w:tc>
          <w:tcPr>
            <w:tcW w:w="796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60" w:type="dxa"/>
            <w:gridSpan w:val="2"/>
            <w:tcBorders/>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rPr>
                <w:t>SUMMARY RISK FACTORS</w:t>
              </w:r>
            </w:hyperlink>
          </w:p>
        </w:tc>
        <w:tc>
          <w:tcPr>
            <w:tcW w:w="230" w:type="dxa"/>
            <w:tcBorders/>
            <w:vAlign w:val="center"/>
          </w:tcPr>
          <w:p>
            <w:pPr>
              <w:pStyle w:val="TableContents"/>
              <w:bidi w:val="0"/>
              <w:spacing w:before="0" w:after="0"/>
              <w:ind w:left="0" w:right="0" w:hanging="0"/>
              <w:jc w:val="right"/>
              <w:rPr/>
            </w:pPr>
            <w:hyperlink w:anchor="summary">
              <w:r>
                <w:rPr>
                  <w:rStyle w:val="InternetLink"/>
                  <w:rFonts w:ascii="Times New Roman" w:hAnsi="Times New Roman"/>
                  <w:caps w:val="false"/>
                  <w:smallCaps w:val="false"/>
                  <w:sz w:val="20"/>
                </w:rPr>
                <w:t>4</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PART I</w:t>
              </w:r>
            </w:hyperlink>
          </w:p>
        </w:tc>
        <w:tc>
          <w:tcPr>
            <w:tcW w:w="72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FINANCIAL INFORMATION</w:t>
              </w:r>
            </w:hyperlink>
          </w:p>
        </w:tc>
        <w:tc>
          <w:tcPr>
            <w:tcW w:w="230" w:type="dxa"/>
            <w:tcBorders/>
            <w:vAlign w:val="center"/>
          </w:tcPr>
          <w:p>
            <w:pPr>
              <w:pStyle w:val="TableContents"/>
              <w:bidi w:val="0"/>
              <w:spacing w:before="0" w:after="0"/>
              <w:ind w:left="0" w:right="0" w:hanging="0"/>
              <w:jc w:val="right"/>
              <w:rPr/>
            </w:pPr>
            <w:hyperlink w:anchor="partonefininfo">
              <w:r>
                <w:rPr>
                  <w:rStyle w:val="InternetLink"/>
                  <w:rFonts w:ascii="Times New Roman" w:hAnsi="Times New Roman"/>
                  <w:caps w:val="false"/>
                  <w:smallCaps w:val="false"/>
                  <w:sz w:val="20"/>
                </w:rPr>
                <w:t>6</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Financial Statements:</w:t>
              </w:r>
            </w:hyperlink>
          </w:p>
        </w:tc>
        <w:tc>
          <w:tcPr>
            <w:tcW w:w="23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6</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23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6</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 (unaudited)</w:t>
              </w:r>
            </w:hyperlink>
          </w:p>
        </w:tc>
        <w:tc>
          <w:tcPr>
            <w:tcW w:w="23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7</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Changes in Stockholders’ Equity (unaudited)</w:t>
              </w:r>
            </w:hyperlink>
          </w:p>
        </w:tc>
        <w:tc>
          <w:tcPr>
            <w:tcW w:w="23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8</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(unaudited)</w:t>
              </w:r>
            </w:hyperlink>
          </w:p>
        </w:tc>
        <w:tc>
          <w:tcPr>
            <w:tcW w:w="23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9</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Condensed Consolidated Financial Statements (unaudited)</w:t>
              </w:r>
            </w:hyperlink>
          </w:p>
        </w:tc>
        <w:tc>
          <w:tcPr>
            <w:tcW w:w="23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10</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29</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23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41</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23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41</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PART II</w:t>
              </w:r>
            </w:hyperlink>
          </w:p>
        </w:tc>
        <w:tc>
          <w:tcPr>
            <w:tcW w:w="72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OTHER INFORMATION</w:t>
              </w:r>
            </w:hyperlink>
          </w:p>
        </w:tc>
        <w:tc>
          <w:tcPr>
            <w:tcW w:w="230" w:type="dxa"/>
            <w:tcBorders/>
            <w:vAlign w:val="center"/>
          </w:tcPr>
          <w:p>
            <w:pPr>
              <w:pStyle w:val="TableContents"/>
              <w:bidi w:val="0"/>
              <w:spacing w:before="0" w:after="0"/>
              <w:ind w:left="0" w:right="0" w:hanging="0"/>
              <w:jc w:val="right"/>
              <w:rPr/>
            </w:pPr>
            <w:hyperlink w:anchor="parttwootherinfo">
              <w:r>
                <w:rPr>
                  <w:rStyle w:val="InternetLink"/>
                  <w:rFonts w:ascii="Times New Roman" w:hAnsi="Times New Roman"/>
                  <w:caps w:val="false"/>
                  <w:smallCaps w:val="false"/>
                  <w:sz w:val="20"/>
                </w:rPr>
                <w:t>42</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23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42</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w:t>
              </w:r>
            </w:hyperlink>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23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42</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23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94</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of Senior Securities</w:t>
              </w:r>
            </w:hyperlink>
          </w:p>
        </w:tc>
        <w:tc>
          <w:tcPr>
            <w:tcW w:w="23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94</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23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94</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w:t>
              </w:r>
            </w:hyperlink>
          </w:p>
        </w:tc>
        <w:tc>
          <w:tcPr>
            <w:tcW w:w="72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23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94</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w:t>
              </w:r>
            </w:hyperlink>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23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95</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specialnotice"/>
      <w:bookmarkEnd w:id="3"/>
      <w:r>
        <w:rPr>
          <w:rFonts w:ascii="Times New Roman" w:hAnsi="Times New Roman"/>
          <w:b/>
          <w:caps w:val="false"/>
          <w:smallCaps w:val="false"/>
          <w:sz w:val="20"/>
        </w:rPr>
        <w:t>SPECIAL CAUTIONARY NOTICE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Certain matters discussed in this Quarterly Report on Form 10-Q contain forward-looking statements. All statements other than statements of historical facts may constitute forward-looking statements. We intend such forward-looking statements to be subject to the safe harbor provisions of the Private Securities Litigation Reform Act of 1995, including Section 27A of the Securities Act of 1933, as amended (Securities Act) and Section 21E of the Securities Exchange Act of 1934, as amended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All written or oral forward-looking statements attributable to us are expressly qualified in their entirety by these cautionary statements. Such forward-looking statements include, but are not limited to, statements about: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obtain regulatory approvals for our product candidates, including a subcutaneous (SubQ) formulation of ublituximab and azer-cel, and our ability to maintain regulatory approval of BRIUMVI® (ublituximab-xiiy) 150 mg/6 mL Injection for intravenous therapy for the treatment of relapsing forms of multiple sclerosis (RMS) or any other future indication in the United States (U.S.) or any other jurisdiction outside of the U.S.;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adapt and expand our commercial infrastructure to successfully, or in the timeframe projected, market and sell BRIUMVI and our other product candidates;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a reliable supply of our products that meets market demand;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timing and success of the ongoing commercialization and availability of BRIUMVI or any future products or combinations of products, including the anticipated rate and degree of market acceptance and pricing and reimbursement;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initiation, timing, progress and results of our preclinical studies and clinical trials;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advance drug candidates into, and successfully complete, clinical trials;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develop, formulate, manufacture and commercialize our product candidates;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implementation of our business model and strategic plans for our business and drug candidates;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scope of protection we are able to establish and maintain for intellectual property rights covering our product and product candidates;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estimates of our expenses, future revenues, capital requirements and our needs for additional financing;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and establish collaborations and enter into strategic arrangements, if desired;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meet any of our financial projections or guidance, including without limitation short and long-term revenue and operating expense projections or guidance and changes to the assumptions underlying those projections or guidance; </w:t>
            </w:r>
          </w:p>
        </w:tc>
      </w:tr>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 w:hAnsi="Times New Roman"/>
                <w:b w:val="false"/>
                <w:sz w:val="18"/>
              </w:rPr>
            </w:pPr>
            <w:r>
              <w:rPr>
                <w:rFonts w:ascii="Times New Roman" w:hAnsi="Times New Roman"/>
                <w:b w:val="false"/>
                <w:sz w:val="18"/>
              </w:rPr>
              <w:t>our ability to obtain sufficient capital to fund our planned operations;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financial performance and cash burn management;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or obtain adequate product liability and other insurance coverage;</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developments relating to our competitors and our industry;</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effects on our company of future regulatory developments or legislative actions, including changes in healthcare, environmental and other laws and regulations to which we are subject, including tariffs that may apply to products that we purchase or sell;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prevailing economic, market and business conditions;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retain, attract and hire key personnel;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competitive position;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fluctuations in the trading price of our common stock;</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use of cash and other resources; and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successfully implement our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Forward-looking statements are not guarantees of performance. They involve risks, uncertainties and assumptions. You should refer to the “Risk Factors” section in this Quarterly Report on Form 10-Q for a discussion of important factors that may cause our actual results to differ materially from those expressed or implied by our forward-looking statements. Although we make such statements based on assumptions that we believe to be reasonable, there can be no assurance that actual results will not differ materially from our expectations. We caution you not to rely unduly on any forward-looking statements.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These forward-looking statements speak only as of the date of this Quarterly Report on Form 10-Q. We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views as of any date subsequent to the date of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4" w:name="summary"/>
      <w:bookmarkEnd w:id="4"/>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our Annual Report on Form 10-K for the fiscal year ended December 31, 2025, and any other risks described in the other reports and documents that we have filed with the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Commercialization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obtain marketing approval from the U.S. Food and Drug Administration (FDA) or any comparable regulatory authority outside of the U.S. for a product candidate and do not achieve broad market acceptance among physicians, patients, healthcare payors, and the medical community, the revenues that we generate from product sales will be limited.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be subject to limitations on the indicated uses or requirements to fulfill certain post-marketing requirements or commitments to the satisfaction of regulatory authorities or may be unable to maintain marketing approval for BRIUMVI or future products that we may bring to market.</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BRIUMVI, and any of our product candidates for which we in the future obtain marketing approval, may, after approval, be found to cause undesirable side effects that could result in significant negative consequences following commercialization.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face substantial competition, which may result in others commercializing drugs before or more successfully than we do, resulting in the reduction or elimination of our commercial opportunity. </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sz w:val="18"/>
              </w:rPr>
            </w:pPr>
            <w:r>
              <w:rPr>
                <w:sz w:val="18"/>
              </w:rPr>
              <w:t>BRIUMVI, as well as any products that we are able to commercialize in the future, may become subject to unfavorable pricing regulations or third-party payor coverage and reimbursement policies, which would harm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Product liability lawsuits against us could cause us to incur substantial liabilities and could limit commercialization of any drug candidates that we may develop.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our Financial Position and Need for Additional Capital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have a history of losses and our ability to maintain profitability in the future remains uncertain. We expect to incur significant expenses for the foreseeable future as we commercialize BRIUMVI and advance our other product candidates through clinical trials, seek regulatory approvals and pursue commercialization.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While we do not expect to need to raise additional capital, we may need to do so. If we are unable to raise capital, if needed, we may be required to delay, limit, reduce or eliminate some of our drug development programs or commercialization efforts.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level of indebtedness and debt service obligations could adversely affect our financial condition and may make it more difficult for us to fund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Drug Development and Regulatory Approval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are unable to maintain or obtain regulatory approval for our product or product candidates and ultimately cannot successfully commercialize our product or product candidates, or experience significant delays in doing so, our business will be materially harmed.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18"/>
              </w:rPr>
            </w:pPr>
            <w:r>
              <w:rPr>
                <w:sz w:val="18"/>
              </w:rPr>
              <w:t>Biologics carry unique risks and uncertainties, which could have a negative impact on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product or product candidates may cause undesirable side effects that could delay or prevent their regulatory approval or impact their availability and commercial potential after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Any products or product candidates we may advance through clinical development are subject to extensive regulation, which can be costly and time consuming, cause unanticipated delays or prevent the receipt of the required approvals.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Risks Related to Governmental Regulation of the Pharmaceutical Industry and Legal Compliance Matters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are subject to new legislation, regulatory proposals and third-party payor initiatives that may increase our costs of compliance and adversely affect our ability to market our products, obtain collaborators and raise capital.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fail to adequately understand and comply with the local laws and customs as we expand into new international markets, these operations may incur losses or otherwise adversely affect our business and results of operations.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Risks Related to our Dependence on Third Parties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Because we have in-licensed BRIUMVI and our product candidates from third parties, any dispute with or non-performance by our licensors will adversely affect our ability to develop and commercialize the applicable product or product candidate.</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Intellectual Property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not be able to enforce our intellectual property rights throughout the world.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or our partners are sued for infringing intellectual property rights of third parties, it will be costly and time consuming, and an unfavorable outcome in that litigation would have a material adverse effect on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need to license certain intellectual property from third parties, and such licenses may not be available or may not be available on commercially reasonable terms.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are unable to protect the confidentiality of our trade secrets, our business and competitive position may be harmed.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Our Business Organization and Governance, Strategy, Employees and Growth Management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fail to attract and keep key management, commercial, and clinical development personnel, we may be unable to successfully develop or commercialize our product and product candidates.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will need to develop and expand our business, and we may encounter difficulties in managing this development and expansion, which could disrupt our operations.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Certain of our executive officers, directors, principal stockholders and their affiliates maintain the ability to exercise significant influence over our company and all matters submitted to stockholders for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internal information technology systems, or those of our third-party contract research organizations (CROs), contract manufacturing organizations (CMOs), or other contractors or consultants, may fail or suffer security breaches, which could result in a material disruption of our drug candidates’ development programs and our commercialization of any products for which we receive regulatory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Unfavorable global economic conditions and changes in government regulations could adversely affect our business, financial condition or results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 xml:space="preserve">Risks Related to Our Common Stock and Being a Publicly Traded Company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stock price is, and we expect it to remain, volatile, which could limit investors’ ability to sell our stock at a profit.</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incur significant increased costs as a result of operating as a public company, and our management is required to devote substantial time to compliance initiatives.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The foregoing is only a summary of some of our risks. These and other risks are discussed more fully in the section entitled “Risk Factors” in Part II, Item 1A and elsewhere in this Quarterly Report on Form 10-Q (our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partonefininfo"/>
      <w:bookmarkEnd w:id="5"/>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 xml:space="preserve">I.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6" w:name="finstmts"/>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center"/>
        <w:rPr>
          <w:rFonts w:ascii="Times New Roman" w:hAnsi="Times New Roman"/>
          <w:caps w:val="false"/>
          <w:smallCaps w:val="false"/>
          <w:sz w:val="20"/>
        </w:rPr>
      </w:pPr>
      <w:bookmarkStart w:id="7" w:name="bs"/>
      <w:bookmarkEnd w:id="7"/>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4"/>
        <w:gridCol w:w="60"/>
        <w:gridCol w:w="125"/>
        <w:gridCol w:w="905"/>
        <w:gridCol w:w="80"/>
        <w:gridCol w:w="60"/>
        <w:gridCol w:w="129"/>
        <w:gridCol w:w="941"/>
        <w:gridCol w:w="81"/>
      </w:tblGrid>
      <w:tr>
        <w:trPr/>
        <w:tc>
          <w:tcPr>
            <w:tcW w:w="7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(Note 1)</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03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482,575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79,148</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investment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62,822</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401,565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305,628</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125,586</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57,580</w:t>
            </w:r>
          </w:p>
        </w:tc>
        <w:tc>
          <w:tcPr>
            <w:tcW w:w="81" w:type="dxa"/>
            <w:tcBorders/>
            <w:shd w:fill="CCEEFF" w:val="clear"/>
            <w:vAlign w:val="center"/>
          </w:tcPr>
          <w:p>
            <w:pPr>
              <w:pStyle w:val="TableContents"/>
              <w:bidi w:val="0"/>
              <w:spacing w:before="0" w:after="0"/>
              <w:jc w:val="left"/>
              <w:rPr/>
            </w:pPr>
            <w:r>
              <w:rPr/>
              <w:t> </w:t>
            </w:r>
          </w:p>
        </w:tc>
      </w:tr>
      <w:tr>
        <w:trPr/>
        <w:tc>
          <w:tcPr>
            <w:tcW w:w="782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630,764</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1,342</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investment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59,136</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6,278</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348,000</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15,689</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noncurrent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2,044</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1,639,629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1,063,253</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107,508</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2,124</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1,044</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revenue -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21,234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21,850</w:t>
            </w:r>
          </w:p>
        </w:tc>
        <w:tc>
          <w:tcPr>
            <w:tcW w:w="81" w:type="dxa"/>
            <w:tcBorders/>
            <w:shd w:fill="CCEEFF" w:val="clear"/>
            <w:vAlign w:val="center"/>
          </w:tcPr>
          <w:p>
            <w:pPr>
              <w:pStyle w:val="TableContents"/>
              <w:bidi w:val="0"/>
              <w:spacing w:before="0" w:after="0"/>
              <w:jc w:val="left"/>
              <w:rPr/>
            </w:pPr>
            <w:r>
              <w:rPr/>
              <w:t> </w:t>
            </w:r>
          </w:p>
        </w:tc>
      </w:tr>
      <w:tr>
        <w:trPr/>
        <w:tc>
          <w:tcPr>
            <w:tcW w:w="782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153,760</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revenue,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8,807</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Loan payable – 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745,387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245,645</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7,021</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415,233</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$0.001 par value per share (190,000,000 and 190,000,000 shares authorized, 159,949,330 and 158,849,596 shares issued, 153,077,784 and 155,305,953 shares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1,858,606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1,830,110</w:t>
            </w:r>
          </w:p>
        </w:tc>
        <w:tc>
          <w:tcPr>
            <w:tcW w:w="81" w:type="dxa"/>
            <w:tcBorders/>
            <w:shd w:fill="FFFFFF" w:val="clear"/>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Treasury stock, at cost, 6,871,546 and 3,543,643 shares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(200,226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(100,234</w:t>
            </w:r>
          </w:p>
        </w:tc>
        <w:tc>
          <w:tcPr>
            <w:tcW w:w="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(1,054,457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(1,082,015</w:t>
            </w:r>
          </w:p>
        </w:tc>
        <w:tc>
          <w:tcPr>
            <w:tcW w:w="8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824"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648,020</w:t>
            </w:r>
          </w:p>
        </w:tc>
        <w:tc>
          <w:tcPr>
            <w:tcW w:w="81" w:type="dxa"/>
            <w:tcBorders/>
            <w:shd w:fill="CCEEFF" w:val="clear"/>
            <w:vAlign w:val="center"/>
          </w:tcPr>
          <w:p>
            <w:pPr>
              <w:pStyle w:val="TableContents"/>
              <w:bidi w:val="0"/>
              <w:spacing w:before="0" w:after="283"/>
              <w:jc w:val="left"/>
              <w:rPr/>
            </w:pPr>
            <w:r>
              <w:rPr/>
              <w:t> </w:t>
            </w:r>
          </w:p>
        </w:tc>
      </w:tr>
      <w:tr>
        <w:trPr/>
        <w:tc>
          <w:tcPr>
            <w:tcW w:w="782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1,639,629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1,063,253</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6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firstLine="5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ops"/>
      <w:bookmarkEnd w:id="8"/>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785" w:type="dxa"/>
        <w:jc w:val="left"/>
        <w:tblInd w:w="0" w:type="dxa"/>
        <w:tblLayout w:type="fixed"/>
        <w:tblCellMar>
          <w:top w:w="0" w:type="dxa"/>
          <w:left w:w="0" w:type="dxa"/>
          <w:bottom w:w="0" w:type="dxa"/>
          <w:right w:w="0" w:type="dxa"/>
        </w:tblCellMar>
      </w:tblPr>
      <w:tblGrid>
        <w:gridCol w:w="4505"/>
        <w:gridCol w:w="60"/>
        <w:gridCol w:w="125"/>
        <w:gridCol w:w="1055"/>
        <w:gridCol w:w="80"/>
        <w:gridCol w:w="60"/>
        <w:gridCol w:w="125"/>
        <w:gridCol w:w="1055"/>
        <w:gridCol w:w="80"/>
        <w:gridCol w:w="60"/>
        <w:gridCol w:w="125"/>
        <w:gridCol w:w="1055"/>
        <w:gridCol w:w="80"/>
        <w:gridCol w:w="60"/>
        <w:gridCol w:w="125"/>
        <w:gridCol w:w="1055"/>
        <w:gridCol w:w="8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258,498</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262,004</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34,479</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7,649</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70,495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78,144</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23,684</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82,232</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105,916</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218,539</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13,473</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36,388</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141,770,283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146,739,833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143,097,453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146,708,980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157,281,850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162,559,404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158,664,407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162,528,551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6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9" w:name="se"/>
      <w:bookmarkEnd w:id="9"/>
      <w:r>
        <w:rPr>
          <w:rFonts w:ascii="Times New Roman;Times;serif" w:hAnsi="Times New Roman;Times;serif"/>
          <w:b/>
          <w:sz w:val="20"/>
        </w:rPr>
        <w:t>TG Therapeutics,</w:t>
      </w:r>
      <w:r>
        <w:rPr>
          <w:rFonts w:ascii="Times New Roman;Times;serif" w:hAnsi="Times New Roman;Times;serif"/>
          <w:sz w:val="20"/>
        </w:rPr>
        <w:t> </w:t>
      </w:r>
      <w:r>
        <w:rPr>
          <w:rFonts w:ascii="Times New Roman;Times;serif" w:hAnsi="Times New Roman;Times;serif"/>
          <w:b/>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5"/>
        <w:gridCol w:w="60"/>
        <w:gridCol w:w="60"/>
        <w:gridCol w:w="920"/>
        <w:gridCol w:w="80"/>
        <w:gridCol w:w="60"/>
        <w:gridCol w:w="158"/>
        <w:gridCol w:w="417"/>
        <w:gridCol w:w="60"/>
        <w:gridCol w:w="60"/>
        <w:gridCol w:w="110"/>
        <w:gridCol w:w="740"/>
        <w:gridCol w:w="80"/>
        <w:gridCol w:w="60"/>
        <w:gridCol w:w="60"/>
        <w:gridCol w:w="605"/>
        <w:gridCol w:w="60"/>
        <w:gridCol w:w="60"/>
        <w:gridCol w:w="110"/>
        <w:gridCol w:w="575"/>
        <w:gridCol w:w="80"/>
        <w:gridCol w:w="60"/>
        <w:gridCol w:w="113"/>
        <w:gridCol w:w="822"/>
        <w:gridCol w:w="80"/>
        <w:gridCol w:w="60"/>
        <w:gridCol w:w="110"/>
        <w:gridCol w:w="605"/>
        <w:gridCol w:w="95"/>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156,204,159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1,760,396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(1,529,194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222,364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2,547,179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199,695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(6,123</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in respect of restricted stock granted to employees, directors and consultants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15,967</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5,060</w:t>
            </w:r>
          </w:p>
        </w:tc>
        <w:tc>
          <w:tcPr>
            <w:tcW w:w="95" w:type="dxa"/>
            <w:tcBorders/>
            <w:shd w:fill="CCEEFF" w:val="clear"/>
            <w:vAlign w:val="center"/>
          </w:tcPr>
          <w:p>
            <w:pPr>
              <w:pStyle w:val="TableContents"/>
              <w:bidi w:val="0"/>
              <w:spacing w:before="0" w:after="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158,736,286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1,776,381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567,598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(1,524,134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237,289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in connection with exercise of options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(173,068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Treasury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193,500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(6,875</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Compensation in respect of restricted stock granted to employees, directors and consultants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17,399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17,399</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28,187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28,187</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158,786,335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1,794,212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761,098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(21,992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(1,495,947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276,432</w:t>
            </w:r>
          </w:p>
        </w:tc>
        <w:tc>
          <w:tcPr>
            <w:tcW w:w="9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0"/>
        <w:gridCol w:w="60"/>
        <w:gridCol w:w="60"/>
        <w:gridCol w:w="920"/>
        <w:gridCol w:w="80"/>
        <w:gridCol w:w="60"/>
        <w:gridCol w:w="158"/>
        <w:gridCol w:w="417"/>
        <w:gridCol w:w="60"/>
        <w:gridCol w:w="60"/>
        <w:gridCol w:w="110"/>
        <w:gridCol w:w="740"/>
        <w:gridCol w:w="80"/>
        <w:gridCol w:w="60"/>
        <w:gridCol w:w="60"/>
        <w:gridCol w:w="740"/>
        <w:gridCol w:w="60"/>
        <w:gridCol w:w="60"/>
        <w:gridCol w:w="110"/>
        <w:gridCol w:w="665"/>
        <w:gridCol w:w="80"/>
        <w:gridCol w:w="60"/>
        <w:gridCol w:w="113"/>
        <w:gridCol w:w="822"/>
        <w:gridCol w:w="80"/>
        <w:gridCol w:w="60"/>
        <w:gridCol w:w="110"/>
        <w:gridCol w:w="605"/>
        <w:gridCol w:w="95"/>
      </w:tblGrid>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158,849,596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1,830,110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3,543,643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(1,082,015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648,020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1,047,977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(63,148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3,327,903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(99,992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(99,992</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in respect of restricted stock granted to employees, directors and consultants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14,563</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19,777</w:t>
            </w:r>
          </w:p>
        </w:tc>
        <w:tc>
          <w:tcPr>
            <w:tcW w:w="95" w:type="dxa"/>
            <w:tcBorders/>
            <w:shd w:fill="CCEEFF" w:val="clear"/>
            <w:vAlign w:val="center"/>
          </w:tcPr>
          <w:p>
            <w:pPr>
              <w:pStyle w:val="TableContents"/>
              <w:bidi w:val="0"/>
              <w:spacing w:before="0" w:after="0"/>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159,965,425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1,845,435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6,871,546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(200,226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(1,062,238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583,131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in connection with exercise of options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Treasury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Compensation in respect of restricted stock granted to employees, directors and consultants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13,086</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7,781</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159,949,330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1,858,606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6,871,546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(200,226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(1,054,457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604,083</w:t>
            </w:r>
          </w:p>
        </w:tc>
        <w:tc>
          <w:tcPr>
            <w:tcW w:w="9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*Amount less than one thousand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10" w:name="cf"/>
      <w:bookmarkEnd w:id="10"/>
      <w:r>
        <w:rPr>
          <w:rFonts w:ascii="Times New Roman;Times;serif" w:hAnsi="Times New Roman;Times;serif"/>
          <w:b/>
          <w:sz w:val="20"/>
        </w:rPr>
        <w:t>TG Therapeutics,</w:t>
      </w:r>
      <w:r>
        <w:rPr>
          <w:rFonts w:ascii="Times New Roman;Times;serif" w:hAnsi="Times New Roman;Times;serif"/>
          <w:sz w:val="20"/>
        </w:rPr>
        <w:t> </w:t>
      </w:r>
      <w:r>
        <w:rPr>
          <w:rFonts w:ascii="Times New Roman;Times;serif" w:hAnsi="Times New Roman;Times;serif"/>
          <w:b/>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6620"/>
        <w:gridCol w:w="60"/>
        <w:gridCol w:w="110"/>
        <w:gridCol w:w="665"/>
        <w:gridCol w:w="80"/>
        <w:gridCol w:w="60"/>
        <w:gridCol w:w="110"/>
        <w:gridCol w:w="665"/>
        <w:gridCol w:w="95"/>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FLOWS FROM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27,558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33,247</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31,333</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premium (discount) on investment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(2,619</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leasehold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95" w:type="dxa"/>
            <w:tcBorders/>
            <w:shd w:fill="FFFFFF" w:val="clear"/>
            <w:vAlign w:val="center"/>
          </w:tcPr>
          <w:p>
            <w:pPr>
              <w:pStyle w:val="TableContents"/>
              <w:bidi w:val="0"/>
              <w:spacing w:before="0" w:after="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change in lease liability and right of use asset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equity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notes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inventory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(80,099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(42,710</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(9,887</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accounts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(95,937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(102,331</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income taxes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accounts payable and accrued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73,419</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(2,370</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1,927</w:t>
            </w:r>
          </w:p>
        </w:tc>
        <w:tc>
          <w:tcPr>
            <w:tcW w:w="95"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(21,279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maturity of held-to-maturity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129,750</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held-to-maturity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(37,490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(145,359</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equity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plant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95"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(8,834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(16,926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loan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(255,000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options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debt financings, net of debt discount costs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747,656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costs paid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(99,992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(12,998</w:t>
            </w:r>
          </w:p>
        </w:tc>
        <w:tc>
          <w:tcPr>
            <w:tcW w:w="95"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(12,545</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(50,750</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80,490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181,192</w:t>
            </w:r>
          </w:p>
        </w:tc>
        <w:tc>
          <w:tcPr>
            <w:tcW w:w="95"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483,939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130,442</w:t>
            </w:r>
          </w:p>
        </w:tc>
        <w:tc>
          <w:tcPr>
            <w:tcW w:w="9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to amounts on condensed consolidated balance sheets: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482,575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129,126</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Restricted cash</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1,316</w:t>
            </w:r>
          </w:p>
        </w:tc>
        <w:tc>
          <w:tcPr>
            <w:tcW w:w="9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483,939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130,442</w:t>
            </w:r>
          </w:p>
        </w:tc>
        <w:tc>
          <w:tcPr>
            <w:tcW w:w="9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paid for: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12,240</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11,318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5,077</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75" w:type="dxa"/>
            <w:gridSpan w:val="2"/>
            <w:tcBorders/>
            <w:shd w:fill="CCEEFF" w:val="clear"/>
            <w:vAlign w:val="center"/>
          </w:tcPr>
          <w:p>
            <w:pPr>
              <w:pStyle w:val="TableContents"/>
              <w:bidi w:val="0"/>
              <w:spacing w:before="0" w:after="0"/>
              <w:ind w:left="0" w:right="0" w:hanging="0"/>
              <w:jc w:val="center"/>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75" w:type="dxa"/>
            <w:gridSpan w:val="2"/>
            <w:tcBorders/>
            <w:shd w:fill="CCEEFF" w:val="clear"/>
            <w:vAlign w:val="center"/>
          </w:tcPr>
          <w:p>
            <w:pPr>
              <w:pStyle w:val="TableContents"/>
              <w:bidi w:val="0"/>
              <w:spacing w:before="0" w:after="0"/>
              <w:ind w:left="0" w:right="0" w:hanging="0"/>
              <w:jc w:val="center"/>
              <w:rPr/>
            </w:pPr>
            <w:r>
              <w:rPr/>
              <w:t> </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TRANSACTIONS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Reduction of lease liability and right-of-use asset due to lease modification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requires otherwise, references in this report to “TG,” </w:t>
      </w:r>
      <w:r>
        <w:rPr>
          <w:rFonts w:ascii="Times New Roman" w:hAnsi="Times New Roman"/>
          <w:caps w:val="false"/>
          <w:smallCaps w:val="false"/>
          <w:sz w:val="20"/>
        </w:rPr>
        <w:t xml:space="preserve">“the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TG Therapeutics,</w:t>
      </w:r>
      <w:r>
        <w:rPr>
          <w:rFonts w:ascii="Times New Roman" w:hAnsi="Times New Roman"/>
          <w:caps w:val="false"/>
          <w:smallCaps w:val="false"/>
          <w:sz w:val="20"/>
        </w:rPr>
        <w:t> </w:t>
      </w:r>
      <w:r>
        <w:rPr>
          <w:rFonts w:ascii="Times New Roman" w:hAnsi="Times New Roman"/>
          <w:i/>
          <w:caps w:val="false"/>
          <w:smallCaps w:val="false"/>
          <w:sz w:val="20"/>
        </w:rPr>
        <w:t>Inc. and its subsidiaries.</w:t>
      </w:r>
    </w:p>
    <w:p>
      <w:pPr>
        <w:pStyle w:val="TextBody"/>
        <w:bidi w:val="0"/>
        <w:spacing w:before="0" w:after="283"/>
        <w:jc w:val="left"/>
        <w:rPr/>
      </w:pPr>
      <w:r>
        <w:rPr/>
        <w:t xml:space="preserve">  </w:t>
      </w:r>
    </w:p>
    <w:p>
      <w:pPr>
        <w:pStyle w:val="TextBody"/>
        <w:bidi w:val="0"/>
        <w:spacing w:before="0" w:after="0"/>
        <w:ind w:left="0" w:right="0" w:hanging="0"/>
        <w:jc w:val="both"/>
        <w:rPr/>
      </w:pPr>
      <w:bookmarkStart w:id="11" w:name="notes"/>
      <w:bookmarkEnd w:id="11"/>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 ORGANIZATION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The Company also actively evaluates complementary products, technologies and companies for in-licensing, partnership, acquisition and/or investment opportunities.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accompanying unaudited condensed consolidated financial statements were prepared in accordance with U.S. generally accepted accounting principles (GAAP), for interim financial information and with the instructions to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of the Exchange Act. Accordingly, they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include all of the information and footnotes required by GAAP for annual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accompanying condensed balance sheet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has been derived from these statements.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the entire fiscal year or any other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Although the Company has recently achieved profitability, the Company has incurred substantial operating losses since its inception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experience fluctuations in operating results. Despite the commercialization of BRIUMVI and the potential future commercialization of other product candidates,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maintain profitability on an ongoing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generated revenue of $445.3 million and generated operating income and positive cash flows from operations. The Company will continue to invest in its research and development programs and in selling, general and administrative activities to support its commercialization efforts, while maintaining discipline around overall expense growth relative to revenue. The Company’s operating results and cash flows have fluctuated in the past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continue to vary significantly from period to period. The Company will need to generate substantial revenues to sustain profitability and positive cash flow over the long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Company’s accumulated deficit was approximately $1.1 billion, and the Company had $612.3 million in cash and cash equivalents, and investment securities, excluding equity investments. Based on its current operating plan and results, the Company anticipates that its existing cash, cash equivalents, and investment securities, together with projected future revenues, will be sufficient to fund operations and meet its liquidity needs for more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after the date of filing of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actual level of cash required for operations will depend on numerous factors, including, among others, the scope of commercialization activities for BRIUMVI, the timing of collection of receivables from the Company’s customers on extended payment terms, the timing and design of clinical trials for the Company’s product candidates, and the costs associated with licensing or acquiring new product candidates.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expect to need to raise additional capital to fund its ongoing operations,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from time to time seek additional financing to support strategic initiatives, including potential business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common stock is listed on the Nasdaq Capital Market under the symbol “TGTX.”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Credit Risk</w:t>
      </w:r>
    </w:p>
    <w:p>
      <w:pPr>
        <w:pStyle w:val="TextBody"/>
        <w:bidi w:val="0"/>
        <w:spacing w:before="0" w:after="0"/>
        <w:ind w:left="160" w:right="0" w:hanging="18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that potentially subject the Company to concentrations of credit risk consist primarily of cash and cash equivalents, investments and accounts receivable. The Company maintains its cash and cash equivalents and investments with high-credit quality financial institutions. At times, such amounts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federally-insured limits, and the Company monitors the creditworthiness of these institutions on an ongoing basis. We are also potentially subject to concentrations of credit risk in our accounts receivable with respect to amounts owed by a limited number of entities comprising our customer base. Our exposure to credit losses is low, however, owing largely to the credit quality of our distributors.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significant accounting policies are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Organization and Summary of Significant Accounting Policies to the audited consolidated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except as updated herein or as it relates to revenue recognition, accounts receivable, inventory, cost of revenue, income taxes, equity securities, and the adoption of new accounting standards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any recently issued,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accounting pronouncements, if currently adopted, would have a material effect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monitors new accounting pronouncements issued by the Financial Accounting Standards Board (FASB). Management evaluates, and continues to monitor, recently issued but </w:t>
      </w:r>
      <w:r>
        <w:rPr>
          <w:rStyle w:val="Emphasis"/>
          <w:rFonts w:ascii="Times New Roman" w:hAnsi="Times New Roman"/>
          <w:caps w:val="false"/>
          <w:smallCaps w:val="false"/>
          <w:sz w:val="20"/>
        </w:rPr>
        <w:t>not</w:t>
      </w:r>
      <w:r>
        <w:rPr>
          <w:rFonts w:ascii="Times New Roman" w:hAnsi="Times New Roman"/>
          <w:caps w:val="false"/>
          <w:smallCaps w:val="false"/>
          <w:sz w:val="20"/>
        </w:rPr>
        <w:t> yet effective accounting pronouncements and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the adoption of such standards to have a material impact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 - Reporting Comprehensive Income - Expense Disaggregation Disclosures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requires entities to provide additional disaggregated disclosures of certain income statement expenses, including employee compensation, depreciation, and amortization, within the notes to the financial statements.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is effective for annual reporting periods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and interim reporting periods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with early adoption permitted. The guidance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applied either prospectively or retrospectively. The Company is currently evaluating the impact that adoption of this new accounting guidance will have on its financial statements.</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to depict the transfer of promised goods or services to customers in an amount that reflects the consideration the Company expects to be entitled in exchange for those goods or services. To achieve this core principle,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includes provisions within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contract inception, the Company assesses the goods or services promised within each contract and determines which promised good or service is distinct and therefore considered a performance obligation. The Company then recognizes as revenue the amount of the transaction price that is allocated to the respective performance obligation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Product Revenue, Net</w:t>
      </w:r>
      <w:r>
        <w:rPr>
          <w:rFonts w:ascii="Times New Roman" w:hAnsi="Times New Roman"/>
          <w:caps w:val="false"/>
          <w:smallCaps w:val="false"/>
          <w:sz w:val="20"/>
        </w:rPr>
        <w:t>: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for variable consideration are calculated using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constraint and is included in net product revenues only to the extent that it is probable that a significant reversal in the amount of the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Actual amounts of consideration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ultimately differ from the Company’s estimates. If actual results vary, the Company adjusts these estimates, which could have an effect on earnings in the period of adjustment.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Chargebacks</w:t>
      </w:r>
      <w:r>
        <w:rPr>
          <w:rFonts w:ascii="Times New Roman" w:hAnsi="Times New Roman"/>
          <w:caps w:val="false"/>
          <w:smallCaps w:val="false"/>
          <w:sz w:val="20"/>
        </w:rPr>
        <w:t>: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government-required lower selling price to the qualified healthcare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Government Rebates</w:t>
      </w:r>
      <w:r>
        <w:rPr>
          <w:rFonts w:ascii="Times New Roman" w:hAnsi="Times New Roman"/>
          <w:caps w:val="false"/>
          <w:smallCaps w:val="false"/>
          <w:sz w:val="20"/>
        </w:rPr>
        <w:t>: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Commercial Payer Rebates</w:t>
      </w:r>
      <w:r>
        <w:rPr>
          <w:rFonts w:ascii="Times New Roman" w:hAnsi="Times New Roman"/>
          <w:caps w:val="false"/>
          <w:smallCaps w:val="false"/>
          <w:sz w:val="20"/>
        </w:rPr>
        <w:t>: The Company contracts with various private payer organizations, primarily insurance companies and pharmacy benefit managers, for the payment of rebates tied to utilization of its product and contracted formulary status. These rebates are estimated and recorded in the same period the related revenue is recognized, resulting in a reduction of product revenue and the establishment of a current liability.</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Trade Discounts and Allowances</w:t>
      </w:r>
      <w:r>
        <w:rPr>
          <w:rFonts w:ascii="Times New Roman" w:hAnsi="Times New Roman"/>
          <w:caps w:val="false"/>
          <w:smallCaps w:val="false"/>
          <w:sz w:val="20"/>
        </w:rPr>
        <w:t>: The Company provides its customers with discounts that are explicitly stated in the applicable contracts and are recorded in the period the related product revenue is recognized. In addition, the Company receives sales order management, inventory management, and data services from its customers in exchange for certain fees.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u w:val="single"/>
        </w:rPr>
        <w:t>Product Returns</w:t>
      </w:r>
      <w:r>
        <w:rPr>
          <w:rFonts w:ascii="Times New Roman" w:hAnsi="Times New Roman"/>
          <w:caps w:val="false"/>
          <w:smallCaps w:val="false"/>
          <w:sz w:val="20"/>
        </w:rPr>
        <w:t xml:space="preserve">: Consistent with industry practice, the Company generally offers customers a limited right of return for product that has been purchased from the Company.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limitations, the Company’s return policy allows for eligible returns of commercial products sold for credit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receipt of damaged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shipment errors that were a result of an error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pPr>
      <w:r>
        <w:rPr>
          <w:caps w:val="false"/>
          <w:smallCaps w:val="false"/>
        </w:rPr>
        <w:t xml:space="preserve">● </w:t>
      </w:r>
      <w:r>
        <w:rPr>
          <w:rFonts w:ascii="Times New Roman" w:hAnsi="Times New Roman"/>
          <w:caps w:val="false"/>
          <w:smallCaps w:val="false"/>
          <w:sz w:val="20"/>
        </w:rPr>
        <w:t xml:space="preserve">expired product that is returned during the period beginning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prior to the product’s expiration and ending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product subject to a recall;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product that the Company, at its sole discretion, has specified can be returned for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date, the Company has experienced an immaterial amount of product returns related to sales of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Co-Payment Assistance Programs</w:t>
      </w:r>
      <w:r>
        <w:rPr>
          <w:rFonts w:ascii="Times New Roman" w:hAnsi="Times New Roman"/>
          <w:caps w:val="false"/>
          <w:smallCaps w:val="false"/>
          <w:sz w:val="20"/>
        </w:rPr>
        <w:t xml:space="preserve">: Co-payment assistance is provided to qualified patients with commercial insurance, whereby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financial assistance to patients with prescription drug co-payments required by the patient’s insurance provider. Reserves for co-payment assistance are recorded in the same period the related revenue is recognized.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License Agreements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generates revenue from license or similar agreements with pharmaceutical companies for the development and commercialization of certain products. Such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the transfer of intellectual property rights in the form of licenses. Payments made by the customer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non-refundable upfront fees, payments based upon the achievement of defined milestones, and royalties on sales of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Licenses of intellectual property</w:t>
      </w:r>
      <w:r>
        <w:rPr>
          <w:rFonts w:ascii="Times New Roman" w:hAnsi="Times New Roman"/>
          <w:caps w:val="false"/>
          <w:smallCaps w:val="false"/>
          <w:sz w:val="20"/>
        </w:rPr>
        <w:t xml:space="preserve">: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they are combined with other promised goods or services to create a bundle of promised goods or services that is distinct.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u w:val="single"/>
        </w:rPr>
        <w:t>Milestone payments</w:t>
      </w:r>
      <w:r>
        <w:rPr>
          <w:rFonts w:ascii="Times New Roman" w:hAnsi="Times New Roman"/>
          <w:caps w:val="false"/>
          <w:smallCaps w:val="false"/>
          <w:sz w:val="20"/>
        </w:rPr>
        <w:t xml:space="preserve">: Contingent milestones at contract inception are estimated at the amount which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of a material reversal and included in the transaction price using the most likely amount method.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control, such as regulatory approvals,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of being achieved until those approvals are received, and therefore the variable consideration is constrained. The transaction price is then allocated to each performance obligation on a relative stand-alone selling price basis, and the Company recognizes revenue as or when the performance obligations under the contract are satisfied. At the end of each reporting period, the Company re-evaluates the probability of achieving development or sales-based milestone payments that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subject to a material reversal and, if necessary, adjusts the estimate of the overall transaction price. Any such adjustments are recorded on a cumulative catch-up basis, which </w:t>
      </w:r>
      <w:r>
        <w:rPr>
          <w:rStyle w:val="Emphasis"/>
          <w:rFonts w:ascii="Times New Roman" w:hAnsi="Times New Roman"/>
          <w:caps w:val="false"/>
          <w:smallCaps w:val="false"/>
          <w:sz w:val="20"/>
        </w:rPr>
        <w:t>may </w:t>
      </w:r>
      <w:r>
        <w:rPr>
          <w:rFonts w:ascii="Times New Roman" w:hAnsi="Times New Roman"/>
          <w:caps w:val="false"/>
          <w:smallCaps w:val="false"/>
          <w:sz w:val="20"/>
        </w:rPr>
        <w:t>affect license and other revenue, as well as earnings, in the period of adjustment.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Sales-based royalties:</w:t>
      </w:r>
      <w:r>
        <w:rPr>
          <w:rFonts w:ascii="Times New Roman" w:hAnsi="Times New Roman"/>
          <w:caps w:val="false"/>
          <w:smallCaps w:val="false"/>
          <w:sz w:val="20"/>
        </w:rPr>
        <w:t xml:space="preserve">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Optional Purchases:</w:t>
      </w:r>
      <w:r>
        <w:rPr>
          <w:rFonts w:ascii="Times New Roman" w:hAnsi="Times New Roman"/>
          <w:caps w:val="false"/>
          <w:smallCaps w:val="false"/>
          <w:sz w:val="20"/>
        </w:rPr>
        <w:t xml:space="preserve"> The Company’s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Revenue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also generated from service-based fees recognized for providing regulatory support and development services to customers. Service fee revenue is recognized over time as the services are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When consideration is received, or such consideration is unconditionally due, from a customer prior to the Company completing its performance obligation under the terms of a contract, a contract liability is recorded as deferred revenue. Deferred revenues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current liabilities. Deferred revenues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long-term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general, accounts receivable consists of amounts due from customers, net of customer allowances for cash discounts, product returns, and chargebacks. The Company’s standard payment terms for invoiced amounts typically range between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however, extended payment terms have been offered during the BRIUMVI commercial launch. The extended payment terms are meant to align with the timing of reimbursement by government and commercial payers and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affected the collectability of 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addition,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adjust accounts receivable for the effects of financing, as the expected time between transfer of the promised products and the payment of the associated consideration is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The Company analyzes accounts that are past due for collectability and regularly evaluates the creditworthiness of its customers so that it can properly assess and respond to changes in their credit profiles.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determined that an allowance for expected credit losses related to outstanding accounts receivable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because outstanding receivables were due from large, established, credit-worthy customers.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Cost of revenue consists primarily of royalties owed to the Company’s licensing partner for BRIUMVI sales,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manufacturing costs, distribution, and overhead. Cost of revenue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costs related to excess or obsolete inventory adjustment charges, abnormal costs, unabsorbed manufacturing and overhead costs, and manufacturing variances. All manufacturing costs incurred to produce BRIUMVI prior to the approval of BRIUMVI by the FDA were expensed to research and development and therefore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cost of revenue. Costs related to providing regulatory support and development services to the Company’s ex-U.S. commercialization partner, Neuraxpharm, are included in the Company’s cost of revenue.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Inventories are stated at the lower of cost or estimated net realizable value, with cost based on the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-out method (FIFO). The Company classifies inventory costs as non-current inventory in its consolidated balance sheets, when the Company expects to utilize the inventory beyond its normal operating cycle. Prior to regulatory approval, the Company expenses costs relating to the production of inventory as research and development expense in the period incurred. Following regulatory approval, costs to manufacture those approved products are capitalized. Inventory that can be used in either the production of clinical or commercial products is expensed as research and development costs when identified for use in clinical trials. Prior to the approval of BRIUMVI, all manufacturing and other potential costs related to the commercial launch of BRIUMVI were expensed to research and development in the period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as well as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liabilities is less than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a valuation allowance is recorded.</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The Company, and its subsidiaries, file income tax returns in the U.S. federal jurisdiction and in various states. The Company has tax net operating loss carryforwards that are subject to examination for a number of years beyond the year in which they were generated for tax purposes. Since a portion of these net operating loss carryforwards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utilized in the future, many of these net operating loss carryforwards will remain subject to examination. The Company recognizes interest and penalties related to uncertain income tax positions in income tax expense. Refer to Note </w:t>
      </w:r>
      <w:r>
        <w:rPr>
          <w:rStyle w:val="Emphasis"/>
          <w:rFonts w:ascii="Times New Roman" w:hAnsi="Times New Roman"/>
          <w:caps w:val="false"/>
          <w:smallCaps w:val="false"/>
          <w:sz w:val="20"/>
        </w:rPr>
        <w:t>10</w:t>
      </w:r>
      <w:r>
        <w:rPr>
          <w:rFonts w:ascii="Times New Roman" w:hAnsi="Times New Roman"/>
          <w:caps w:val="false"/>
          <w:smallCaps w:val="false"/>
          <w:sz w:val="20"/>
        </w:rPr>
        <w:t> – Income Taxes for further information.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Stock-based compensation costs related to equity awards granted to employees and non-employees are measured at the date of grant based on the fair value of the award. Equity-classified awards are measured at grant-date fair value and recognized as compensation expense over the requisite service period.</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Company estimates the grant-date fair value of stock options using the Black-Scholes option-pricing model. Awards with market conditions are valued using a Monte Carlo simulation or other appropriate valuation techniques, with the impact of the market condition reflected in the grant-date fair value. The fair value of restricted stock awards is based on the closing price of the Company’s common stock on the date of grant.</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Compensation expense for time-based awards is recognized on a straight-line basis over the requisite service period. For awards with performance conditions, compensation expense is recognized when it is probable that the performance condition will be achieved. For awards with market conditions, compensation expense is recognized over the derived service period, regardless of whether the market condition is ultimately satisfied. The Company accounts for forfeitures as they occur.</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Company also grants stock tracking units (STUs), which are liability-classified awards that are economically similar to phantom stock. STUs are remeasured at fair value at each reporting date, with changes in fair value recognized as compensation expense in the consolidated statements of operations. Compensation expense for STUs is recognized over the requisite service period, and the related liability is recorded within accrued compensation on the consolidated balance sheet until settlement.</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All compensation expense related to these awards is recorded within stock-based compensation expense in the consolidated statements of operations.</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equity securities consist of the common stock of Precision BioSciences, Inc. (Precision). Equity securities are recognized at their fair value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Investments – Equity Securities. Forward contracts to purchase equity securities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as derivatives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are accounted for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These forward contracts are recorded at fair value at the balance sheet date. 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Fair Value Measures for further details.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Income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net income per share of the Company’s common stock is calculated by dividing net income applicable to the common stock by the weighted-average number of shares of the Company’s common stock outstanding for the period. Diluted net income per share of common stock reflects the effect of potential common shares from the assumed exercise or conversion of securities such as warrants, stock options, and unvested restricted stock awards, to the extent they are dilutive. For all periods presented, the Company reported net income in the condensed consolidated statements of operations and, accordingly, present the dilutive effect of potential common shares in the computation of diluted earnings per share, as shown in the table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Company’s potentially dilutive securities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3065"/>
        <w:gridCol w:w="60"/>
        <w:gridCol w:w="60"/>
        <w:gridCol w:w="950"/>
        <w:gridCol w:w="60"/>
        <w:gridCol w:w="60"/>
        <w:gridCol w:w="60"/>
        <w:gridCol w:w="950"/>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Unvested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11,220,893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11,270,068</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4,060,156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4,362,316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165,214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issuable upon note conversion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21,973</w:t>
            </w:r>
          </w:p>
        </w:tc>
        <w:tc>
          <w:tcPr>
            <w:tcW w:w="60" w:type="dxa"/>
            <w:tcBorders/>
            <w:shd w:fill="FFFFFF" w:val="clear"/>
            <w:vAlign w:val="center"/>
          </w:tcPr>
          <w:p>
            <w:pPr>
              <w:pStyle w:val="TableContents"/>
              <w:bidi w:val="0"/>
              <w:spacing w:before="0" w:after="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Tracking Units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15,511,567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15,819,571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computation of basic and diluted EPS is as follows:</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5"/>
        <w:gridCol w:w="60"/>
        <w:gridCol w:w="60"/>
        <w:gridCol w:w="1055"/>
        <w:gridCol w:w="60"/>
        <w:gridCol w:w="60"/>
        <w:gridCol w:w="60"/>
        <w:gridCol w:w="1055"/>
        <w:gridCol w:w="60"/>
        <w:gridCol w:w="60"/>
        <w:gridCol w:w="60"/>
        <w:gridCol w:w="1055"/>
        <w:gridCol w:w="60"/>
        <w:gridCol w:w="60"/>
        <w:gridCol w:w="60"/>
        <w:gridCol w:w="1055"/>
        <w:gridCol w:w="60"/>
      </w:tblGrid>
      <w:tr>
        <w:trPr/>
        <w:tc>
          <w:tcPr>
            <w:tcW w:w="5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33,247</w:t>
            </w:r>
          </w:p>
        </w:tc>
        <w:tc>
          <w:tcPr>
            <w:tcW w:w="60" w:type="dxa"/>
            <w:tcBorders/>
            <w:shd w:fill="CCEE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141,770,283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146,739,833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143,097,453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146,708,980</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15,511,567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15,819,571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15,566,954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15,819,571</w:t>
            </w:r>
          </w:p>
        </w:tc>
        <w:tc>
          <w:tcPr>
            <w:tcW w:w="60" w:type="dxa"/>
            <w:tcBorders/>
            <w:shd w:fill="CCEE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assuming dilution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157,281,850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162,559,404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158,664,407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162,528,551</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0" w:type="dxa"/>
            <w:gridSpan w:val="6"/>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0" w:type="dxa"/>
            <w:gridSpan w:val="6"/>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0.23</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Operating segments are defined as components of an enterprise that engage in business activities from which it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recognize revenues and incur expenses, and for which discrete financial information is available and is evaluated regularly by the chief operating decision maker (CODM) to allocate resources and assess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operates as a single reportable segment, focused on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CODM, which is its chief executive officer, who evaluates financial results and operating metrics, specifically consolidated net income(loss), for purposes of assessing performance, making operating decisions, allocating resources and planning and forecasting for future periods. The measure of segment assets reported to the CODM corresponds to the total assets presented on the Company’s condensed consolidated balance sheet as total assets.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Organization and Summary of Significant Accounting Policies, revenues are recognized under guidance within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following table presents the Company’s disaggregated revenue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3710"/>
        <w:gridCol w:w="60"/>
        <w:gridCol w:w="172"/>
        <w:gridCol w:w="961"/>
        <w:gridCol w:w="83"/>
        <w:gridCol w:w="83"/>
        <w:gridCol w:w="172"/>
        <w:gridCol w:w="961"/>
        <w:gridCol w:w="60"/>
        <w:gridCol w:w="60"/>
        <w:gridCol w:w="158"/>
        <w:gridCol w:w="878"/>
        <w:gridCol w:w="75"/>
        <w:gridCol w:w="75"/>
        <w:gridCol w:w="158"/>
        <w:gridCol w:w="878"/>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235,794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437,102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258,498</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240,335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445,253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product revenue consists of U.S. sales of BRIUMVI, of $227.7 million and $422.5 million, respectively. Also included in product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are sales of BRIUMVI to the Company’s ex-U.S. licensing partner, Neuraxpharm, of $8.1 million and $14.6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gross-to-net accruals of approximately $29.2 million and $69.3 million are included on the condensed consolidated balance sheets within accounts receivable, net, and accounts payable and accrued expenses, respectively.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gross-to-net accruals of approximately $16.1 million and $33.3 million are included on the condensed consolidated balance sheets within accounts receivable, net, and accounts payable and accrued expenses, respectively.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primarily sells BRIUMVI through specialty distributors. The following table summarizes the customers that represent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gross product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094" w:type="dxa"/>
        <w:jc w:val="left"/>
        <w:tblInd w:w="0" w:type="dxa"/>
        <w:tblLayout w:type="fixed"/>
        <w:tblCellMar>
          <w:top w:w="0" w:type="dxa"/>
          <w:left w:w="0" w:type="dxa"/>
          <w:bottom w:w="0" w:type="dxa"/>
          <w:right w:w="0" w:type="dxa"/>
        </w:tblCellMar>
      </w:tblPr>
      <w:tblGrid>
        <w:gridCol w:w="950"/>
        <w:gridCol w:w="60"/>
        <w:gridCol w:w="177"/>
        <w:gridCol w:w="678"/>
        <w:gridCol w:w="546"/>
        <w:gridCol w:w="177"/>
        <w:gridCol w:w="177"/>
        <w:gridCol w:w="678"/>
        <w:gridCol w:w="185"/>
        <w:gridCol w:w="60"/>
        <w:gridCol w:w="161"/>
        <w:gridCol w:w="620"/>
        <w:gridCol w:w="498"/>
        <w:gridCol w:w="161"/>
        <w:gridCol w:w="161"/>
        <w:gridCol w:w="620"/>
        <w:gridCol w:w="185"/>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5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49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5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4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5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4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5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4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4</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5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4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customers with amounts due that represent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accounts receivable associated with the Company’s product sales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238" w:type="dxa"/>
        <w:jc w:val="left"/>
        <w:tblInd w:w="0" w:type="dxa"/>
        <w:tblLayout w:type="fixed"/>
        <w:tblCellMar>
          <w:top w:w="0" w:type="dxa"/>
          <w:left w:w="0" w:type="dxa"/>
          <w:bottom w:w="0" w:type="dxa"/>
          <w:right w:w="0" w:type="dxa"/>
        </w:tblCellMar>
      </w:tblPr>
      <w:tblGrid>
        <w:gridCol w:w="950"/>
        <w:gridCol w:w="60"/>
        <w:gridCol w:w="243"/>
        <w:gridCol w:w="946"/>
        <w:gridCol w:w="185"/>
        <w:gridCol w:w="60"/>
        <w:gridCol w:w="331"/>
        <w:gridCol w:w="1278"/>
        <w:gridCol w:w="185"/>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12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2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12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4</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2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License, Milestone, Royalty and Other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License, milestone, royalty and other revenue consist primarily of recognition of consideration received under the ex-U.S. commercialization agreement (the Commercialization Agreement) with Neuraxpharm.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 License Agreements for a description of the Commercialization Agreement and for further information of the accounting in accordance with ASC </w:t>
      </w:r>
      <w:r>
        <w:rPr>
          <w:rStyle w:val="Emphasis"/>
          <w:rFonts w:ascii="Times New Roman" w:hAnsi="Times New Roman"/>
          <w:caps w:val="false"/>
          <w:smallCaps w:val="false"/>
          <w:sz w:val="20"/>
        </w:rPr>
        <w:t>606.</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 INVESTMENT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investment securities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primarily consist of government debt securities that are classified as held-to-maturity. Held-to-maturity securities are recorded at amortized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summarize the Company’s held-to-maturity securities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6"/>
        <w:gridCol w:w="60"/>
        <w:gridCol w:w="133"/>
        <w:gridCol w:w="742"/>
        <w:gridCol w:w="60"/>
        <w:gridCol w:w="60"/>
        <w:gridCol w:w="513"/>
        <w:gridCol w:w="515"/>
        <w:gridCol w:w="60"/>
        <w:gridCol w:w="60"/>
        <w:gridCol w:w="249"/>
        <w:gridCol w:w="794"/>
        <w:gridCol w:w="80"/>
        <w:gridCol w:w="60"/>
        <w:gridCol w:w="131"/>
        <w:gridCol w:w="729"/>
        <w:gridCol w:w="63"/>
      </w:tblGrid>
      <w:tr>
        <w:trPr/>
        <w:tc>
          <w:tcPr>
            <w:tcW w:w="58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8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3" w:type="dxa"/>
            <w:tcBorders/>
            <w:shd w:fill="FFFFFF"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3" w:type="dxa"/>
            <w:tcBorders/>
            <w:shd w:fill="FFFFFF"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3" w:type="dxa"/>
            <w:tcBorders/>
            <w:shd w:fill="FFFFFF" w:val="clear"/>
            <w:vAlign w:val="center"/>
          </w:tcPr>
          <w:p>
            <w:pPr>
              <w:pStyle w:val="TableContents"/>
              <w:bidi w:val="0"/>
              <w:spacing w:before="0" w:after="283"/>
              <w:jc w:val="left"/>
              <w:rPr/>
            </w:pPr>
            <w:r>
              <w:rPr/>
              <w:t> </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obligations of domestic governmental agencies (maturing between July 2026 and June 2027) (held-to-maturity)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69,625</w:t>
            </w:r>
          </w:p>
        </w:tc>
        <w:tc>
          <w:tcPr>
            <w:tcW w:w="63" w:type="dxa"/>
            <w:tcBorders/>
            <w:shd w:fill="CCEEFF"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obligations of domestic governmental agencies (maturing between July 2027 and June 2028) (held-to-maturity)</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59,689</w:t>
            </w:r>
          </w:p>
        </w:tc>
        <w:tc>
          <w:tcPr>
            <w:tcW w:w="63" w:type="dxa"/>
            <w:tcBorders/>
            <w:shd w:fill="FFFFFF" w:val="clear"/>
            <w:vAlign w:val="center"/>
          </w:tcPr>
          <w:p>
            <w:pPr>
              <w:pStyle w:val="TableContents"/>
              <w:bidi w:val="0"/>
              <w:spacing w:before="0" w:after="283"/>
              <w:jc w:val="left"/>
              <w:rPr/>
            </w:pPr>
            <w:r>
              <w:rPr/>
              <w:t> </w:t>
            </w:r>
          </w:p>
        </w:tc>
      </w:tr>
      <w:tr>
        <w:trPr/>
        <w:tc>
          <w:tcPr>
            <w:tcW w:w="5896"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129,314</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2"/>
        <w:gridCol w:w="60"/>
        <w:gridCol w:w="133"/>
        <w:gridCol w:w="742"/>
        <w:gridCol w:w="60"/>
        <w:gridCol w:w="60"/>
        <w:gridCol w:w="275"/>
        <w:gridCol w:w="746"/>
        <w:gridCol w:w="60"/>
        <w:gridCol w:w="60"/>
        <w:gridCol w:w="335"/>
        <w:gridCol w:w="700"/>
        <w:gridCol w:w="60"/>
        <w:gridCol w:w="60"/>
        <w:gridCol w:w="131"/>
        <w:gridCol w:w="729"/>
        <w:gridCol w:w="62"/>
      </w:tblGrid>
      <w:tr>
        <w:trPr/>
        <w:tc>
          <w:tcPr>
            <w:tcW w:w="5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283"/>
              <w:jc w:val="lef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obligations of domestic governmental agencies (maturing between January 2026 and December 2026) (held-to-maturity)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62,952</w:t>
            </w:r>
          </w:p>
        </w:tc>
        <w:tc>
          <w:tcPr>
            <w:tcW w:w="62" w:type="dxa"/>
            <w:tcBorders/>
            <w:shd w:fill="CCEE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obligations of domestic governmental agencies (maturing between January 2027 and November 2027)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57,742</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held-to-maturity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120,694</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 xml:space="preserve">Included in long-term investment securities on the condensed consolidated balance sheet, are equity securities held in connection with the Precision License Agreement. See Note </w:t>
      </w:r>
      <w:r>
        <w:rPr>
          <w:rStyle w:val="Emphasis"/>
          <w:rFonts w:ascii="Times New Roman" w:hAnsi="Times New Roman"/>
          <w:sz w:val="20"/>
        </w:rPr>
        <w:t>5</w:t>
      </w:r>
      <w:r>
        <w:rPr>
          <w:rFonts w:ascii="Times New Roman" w:hAnsi="Times New Roman"/>
          <w:sz w:val="20"/>
        </w:rPr>
        <w:t> – Fair Value Measurements for a description of the Precision License Agreement and for further information on the Company’s equity investments.</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Company’s inventory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pPr>
      <w:r>
        <w:rPr/>
        <w:t> </w:t>
      </w:r>
    </w:p>
    <w:tbl>
      <w:tblPr>
        <w:tblW w:w="4913" w:type="dxa"/>
        <w:jc w:val="left"/>
        <w:tblInd w:w="0" w:type="dxa"/>
        <w:tblLayout w:type="fixed"/>
        <w:tblCellMar>
          <w:top w:w="0" w:type="dxa"/>
          <w:left w:w="0" w:type="dxa"/>
          <w:bottom w:w="0" w:type="dxa"/>
          <w:right w:w="0" w:type="dxa"/>
        </w:tblCellMar>
      </w:tblPr>
      <w:tblGrid>
        <w:gridCol w:w="1835"/>
        <w:gridCol w:w="60"/>
        <w:gridCol w:w="181"/>
        <w:gridCol w:w="1008"/>
        <w:gridCol w:w="80"/>
        <w:gridCol w:w="60"/>
        <w:gridCol w:w="243"/>
        <w:gridCol w:w="1366"/>
        <w:gridCol w:w="80"/>
      </w:tblGrid>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sz w:val="20"/>
              </w:rPr>
            </w:pPr>
            <w:r>
              <w:rPr>
                <w:sz w:val="20"/>
              </w:rPr>
              <w:t>$</w:t>
            </w:r>
          </w:p>
        </w:tc>
        <w:tc>
          <w:tcPr>
            <w:tcW w:w="1008" w:type="dxa"/>
            <w:tcBorders/>
            <w:shd w:fill="CCEEFF" w:val="clear"/>
            <w:vAlign w:val="center"/>
          </w:tcPr>
          <w:p>
            <w:pPr>
              <w:pStyle w:val="TableContents"/>
              <w:bidi w:val="0"/>
              <w:spacing w:before="0" w:after="283"/>
              <w:ind w:left="0" w:right="0" w:hanging="0"/>
              <w:jc w:val="right"/>
              <w:rPr>
                <w:sz w:val="20"/>
              </w:rPr>
            </w:pPr>
            <w:r>
              <w:rPr>
                <w:sz w:val="20"/>
              </w:rPr>
              <w:t>8,115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sz w:val="20"/>
              </w:rPr>
            </w:pPr>
            <w:r>
              <w:rPr>
                <w:sz w:val="20"/>
              </w:rPr>
              <w:t>$</w:t>
            </w:r>
          </w:p>
        </w:tc>
        <w:tc>
          <w:tcPr>
            <w:tcW w:w="1366" w:type="dxa"/>
            <w:tcBorders/>
            <w:shd w:fill="CCEEFF" w:val="clear"/>
            <w:vAlign w:val="center"/>
          </w:tcPr>
          <w:p>
            <w:pPr>
              <w:pStyle w:val="TableContents"/>
              <w:bidi w:val="0"/>
              <w:spacing w:before="0" w:after="283"/>
              <w:ind w:left="0" w:right="0" w:hanging="0"/>
              <w:jc w:val="right"/>
              <w:rPr>
                <w:sz w:val="20"/>
              </w:rPr>
            </w:pPr>
            <w:r>
              <w:rPr>
                <w:sz w:val="20"/>
              </w:rPr>
              <w:t>12,960</w:t>
            </w:r>
          </w:p>
        </w:tc>
        <w:tc>
          <w:tcPr>
            <w:tcW w:w="8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sz w:val="20"/>
              </w:rPr>
            </w:pPr>
            <w:r>
              <w:rPr>
                <w:sz w:val="20"/>
              </w:rPr>
              <w:t>193,209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sz w:val="20"/>
              </w:rPr>
            </w:pPr>
            <w:r>
              <w:rPr>
                <w:sz w:val="20"/>
              </w:rPr>
              <w:t>112,397</w:t>
            </w:r>
          </w:p>
        </w:tc>
        <w:tc>
          <w:tcPr>
            <w:tcW w:w="8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28,306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22,089</w:t>
            </w:r>
          </w:p>
        </w:tc>
        <w:tc>
          <w:tcPr>
            <w:tcW w:w="8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gross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sz w:val="20"/>
              </w:rPr>
            </w:pPr>
            <w:r>
              <w:rPr>
                <w:sz w:val="20"/>
              </w:rPr>
              <w:t>229,630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147,446</w:t>
            </w:r>
          </w:p>
        </w:tc>
        <w:tc>
          <w:tcPr>
            <w:tcW w:w="8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(6,171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(6,171</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0"/>
              <w:jc w:val="right"/>
              <w:rPr>
                <w:sz w:val="20"/>
              </w:rPr>
            </w:pPr>
            <w:r>
              <w:rPr>
                <w:sz w:val="20"/>
              </w:rPr>
              <w:t>223,459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0"/>
              <w:jc w:val="right"/>
              <w:rPr>
                <w:sz w:val="20"/>
              </w:rPr>
            </w:pPr>
            <w:r>
              <w:rPr>
                <w:sz w:val="20"/>
              </w:rPr>
              <w:t>141,275</w:t>
            </w:r>
          </w:p>
        </w:tc>
        <w:tc>
          <w:tcPr>
            <w:tcW w:w="8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Reported As: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sz w:val="20"/>
              </w:rPr>
            </w:pPr>
            <w:r>
              <w:rPr>
                <w:sz w:val="20"/>
              </w:rPr>
              <w:t>147,973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sz w:val="20"/>
              </w:rPr>
            </w:pPr>
            <w:r>
              <w:rPr>
                <w:sz w:val="20"/>
              </w:rPr>
              <w:t>$</w:t>
            </w:r>
          </w:p>
        </w:tc>
        <w:tc>
          <w:tcPr>
            <w:tcW w:w="1366" w:type="dxa"/>
            <w:tcBorders/>
            <w:shd w:fill="CCEEFF" w:val="clear"/>
            <w:vAlign w:val="center"/>
          </w:tcPr>
          <w:p>
            <w:pPr>
              <w:pStyle w:val="TableContents"/>
              <w:bidi w:val="0"/>
              <w:spacing w:before="0" w:after="283"/>
              <w:jc w:val="right"/>
              <w:rPr>
                <w:sz w:val="20"/>
              </w:rPr>
            </w:pPr>
            <w:r>
              <w:rPr>
                <w:sz w:val="20"/>
              </w:rPr>
              <w:t>125,586</w:t>
            </w:r>
          </w:p>
        </w:tc>
        <w:tc>
          <w:tcPr>
            <w:tcW w:w="8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75,486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15,689</w:t>
            </w:r>
          </w:p>
        </w:tc>
        <w:tc>
          <w:tcPr>
            <w:tcW w:w="8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223,459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141,275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in the period in which it is consumed.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Company’s inventory was solely related to BRIUMVI. The work in process materials consist primarily of bulk drug substance, which has a multi-year shelf life. When the bulk drug substance is manufactured into BRIUMVI finished goods, those finished goods have a shelf life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from the date of manufacture. The Company expects to sell finished goods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prior to expiration. Because a portion of our existing inventory will be utilized beyond our normal operating cycle, $75.5 million of inventory, comprised predominantly of work in process drug substance, is classified as Non-current Inventory at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On a quarterly basis, the Company analyzes its inventory levels for excess quantities and obsolescence (expiration) by considering factors such as historical and anticipated future sales relative to quantities on hand and the remaining shelf-life. On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 determined that a reserve related to BRIUMVI inventory for excess quantities and obsolescence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In addition, since FDA approval of BRIUMVI, the Company has not recognized any inventory write downs.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inventory reserve was $6.2 million at both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and relates to a manufacturing deviation identified by the Company affecting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batch of bulk drug substance, rendering the batch unsuitable for commercial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United States and other countries have recently imposed,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impose, new tariffs. Tariffs are an inventoriable cost, and the Company’s sole supplier of bulk drug substance is located outside of the U.S. While the tariffs imposed to date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had a material effect on the Company’s business or results of operations, the Company continues to evaluate their potential impact on its business and results of operations going forward.</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measures certain financial assets and liabilities at fair value on a recurring basis in its condensed consolidated financial statements. The fair value hierarchy ranks the quality and reliability of inputs, or assumptions, used in the determination of fair value and requires financial assets and liabilities carried at fair value to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 quoted prices in active markets for identical assets and liabilities;</w:t>
            </w:r>
          </w:p>
        </w:tc>
      </w:tr>
    </w:tbl>
    <w:tbl>
      <w:tblPr>
        <w:tblW w:w="7990" w:type="dxa"/>
        <w:jc w:val="left"/>
        <w:tblInd w:w="0" w:type="dxa"/>
        <w:tblLayout w:type="fixed"/>
        <w:tblCellMar>
          <w:top w:w="0" w:type="dxa"/>
          <w:left w:w="0" w:type="dxa"/>
          <w:bottom w:w="0" w:type="dxa"/>
          <w:right w:w="0" w:type="dxa"/>
        </w:tblCellMar>
      </w:tblPr>
      <w:tblGrid>
        <w:gridCol w:w="60"/>
        <w:gridCol w:w="170"/>
        <w:gridCol w:w="7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quoted prices that are directly or indirectly observable; and</w:t>
            </w:r>
          </w:p>
        </w:tc>
      </w:tr>
    </w:tbl>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 unobservable inputs for which market data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available.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Investments and Forward Contract Liabilities</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the Company and its wholly-owned subsidiary, TG Cell Therapy, Inc. (TG Cell), entered into a License Agreement (the Precision License Agreement) with Precision. Under the Precision License Agreement, Precision granted the Company certain exclusive and non-exclusive license rights to develop, manufacture, and commercialize Precision’s allogeneic CAR T therapy, azer-cel, for the treatment of autoimmune and other non-oncology diseases and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Upon execution of the Precision License Agreement, the Company made an upfront payment to Precision of $7.5 million, comprised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implemented a 30-to-</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reverse stock split in </w:t>
      </w:r>
      <w:r>
        <w:rPr>
          <w:rStyle w:val="Emphasis"/>
          <w:rFonts w:ascii="Times New Roman" w:hAnsi="Times New Roman"/>
          <w:caps w:val="false"/>
          <w:smallCaps w:val="false"/>
          <w:sz w:val="20"/>
        </w:rPr>
        <w:t>February 2024.</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2025, </w:t>
      </w:r>
      <w:r>
        <w:rPr>
          <w:rFonts w:ascii="Times New Roman" w:hAnsi="Times New Roman"/>
          <w:caps w:val="false"/>
          <w:smallCaps w:val="false"/>
          <w:sz w:val="20"/>
        </w:rPr>
        <w:t xml:space="preserve">the Company made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payment to Precision equal to $2.5 million (the Deferred Precision Stock Payment), as an equity investment, for the purchase of 220,712 shares of Precision common stock calculated by dividing the Deferred Precision Stock Payment by 200% of the weighted average share price of the Precision common stock for the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(30) trading days preceding the payment date. The Deferred Precision Stock Payment, which had previously been classified as a forward contract liability in Other Current Liabilities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was then reclassed to equity investments at its fair market value of $1.4 million on the date the payment was made to Precision.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23, 2026,  </w:t>
      </w:r>
      <w:r>
        <w:rPr>
          <w:rFonts w:ascii="Times New Roman" w:hAnsi="Times New Roman"/>
          <w:caps w:val="false"/>
          <w:smallCaps w:val="false"/>
          <w:sz w:val="20"/>
        </w:rPr>
        <w:t xml:space="preserve">the Company achieved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 defined in the Precision License Agreement) and made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payment to Precision equal to $7.5 million comprised of (i) $5.25 million in cash and (ii) $2.25 million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Stock Payment), as an equity investment, for the purchase of 201,504 shares of Precision’s common stock calculated by dividing the Deferred Precision Stock Payment by 200% of the weighted average share price of the Precision common stock for the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(30) trading days preceding the payment date.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Stock Payment, which was classified as a forward contract liability in Other Current Liabilities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was reclassed to equity investments at its fair market value of $0.8 million on the date the payment was made to Precision. The shares purchased with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Stock Payment, the Upfront Precision Stock Payment and the Deferred Precision Stock Payment and are collectively known as the Precision Shares. All Precision Shares are recognized at fair market value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are classified as an equity investment and included within long-term investments on the condensed consolidated balance sheet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$15.5 million aggregate principal amount of 5% convertible notes outstanding, which are convertible at the option of the holder into common stock at a conversion price of $1,125 per share.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cash repayment obligation associated with these notes. The notes are classified within other current liabilities on the Company’s consolidated balance sheet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financial instruments include cash, cash equivalents consisting of money market funds, accounts receivable, accounts payable and loan payable.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fair values of cash and cash equivalents, restricted cash, accounts receivable, and loan and interest payable approximate their carrying value. The carrying value of the loan payable on the Company’s balance sheet is estimated to approximate its fair value as the interest rate approximates the market rate for loans with similar terms and risk characteristics.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equity investments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were valued using their respective closing stock prices on the Nasdaq Stock Market, which represent unadjusted quoted prices in active markets for identical instruments.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 any transfers of financial instruments between the fair value hierarchy levels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forward contract liabilities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were valued using Precision’s closing stock price on the Nasdaq Stock Market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instrument amounts represent the fair value of the convertible notes and related accrued interest, as certain inputs to determine fair value were unobservable.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provide the fair value measurements of applicable financial assets and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firstLine="560"/>
        <w:jc w:val="both"/>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315"/>
        <w:gridCol w:w="60"/>
        <w:gridCol w:w="255"/>
        <w:gridCol w:w="992"/>
        <w:gridCol w:w="122"/>
        <w:gridCol w:w="122"/>
        <w:gridCol w:w="255"/>
        <w:gridCol w:w="532"/>
        <w:gridCol w:w="122"/>
        <w:gridCol w:w="122"/>
        <w:gridCol w:w="255"/>
        <w:gridCol w:w="992"/>
        <w:gridCol w:w="122"/>
        <w:gridCol w:w="122"/>
        <w:gridCol w:w="255"/>
        <w:gridCol w:w="992"/>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6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Financial assets and liabilities at fair value as of June 30, 2026</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Contract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FFFFFF" w:val="cle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FFFFFF" w:val="cle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FFFFFF" w:val="cle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17" w:type="dxa"/>
        <w:jc w:val="left"/>
        <w:tblInd w:w="0" w:type="dxa"/>
        <w:tblLayout w:type="fixed"/>
        <w:tblCellMar>
          <w:top w:w="0" w:type="dxa"/>
          <w:left w:w="0" w:type="dxa"/>
          <w:bottom w:w="0" w:type="dxa"/>
          <w:right w:w="0" w:type="dxa"/>
        </w:tblCellMar>
      </w:tblPr>
      <w:tblGrid>
        <w:gridCol w:w="2315"/>
        <w:gridCol w:w="60"/>
        <w:gridCol w:w="268"/>
        <w:gridCol w:w="1041"/>
        <w:gridCol w:w="128"/>
        <w:gridCol w:w="128"/>
        <w:gridCol w:w="268"/>
        <w:gridCol w:w="1041"/>
        <w:gridCol w:w="128"/>
        <w:gridCol w:w="128"/>
        <w:gridCol w:w="268"/>
        <w:gridCol w:w="719"/>
        <w:gridCol w:w="128"/>
        <w:gridCol w:w="128"/>
        <w:gridCol w:w="268"/>
        <w:gridCol w:w="1041"/>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8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Financial assets and liabilities at fair value as of December 31, 2025</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Contract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FFFFFF" w:val="cle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change in the fair value of the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assets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is recognized in other (income) expense in the accompanying condensed consolidated statements of operations.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amended and restated certificate of incorporation authorizes the issuance of up to 10,000,000 shares of preferred stock, $0.001 par value, with rights senior to those of the Company’s common stock, issuable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Upon issuance, the Company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greater than the rights of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amended and restated certificate of incorporation authorizes the issuance of up to 190,000,000 shares of $0.001 par value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8, 2025, </w:t>
      </w:r>
      <w:r>
        <w:rPr>
          <w:rFonts w:ascii="Times New Roman" w:hAnsi="Times New Roman"/>
          <w:caps w:val="false"/>
          <w:smallCaps w:val="false"/>
          <w:sz w:val="20"/>
        </w:rPr>
        <w:t>the Company filed an automatic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as a “well-known" issuer” (WKSI) as defined in Rule </w:t>
      </w:r>
      <w:r>
        <w:rPr>
          <w:rStyle w:val="Emphasis"/>
          <w:rFonts w:ascii="Times New Roman" w:hAnsi="Times New Roman"/>
          <w:caps w:val="false"/>
          <w:smallCaps w:val="false"/>
          <w:sz w:val="20"/>
        </w:rPr>
        <w:t>405</w:t>
      </w:r>
      <w:r>
        <w:rPr>
          <w:rFonts w:ascii="Times New Roman" w:hAnsi="Times New Roman"/>
          <w:caps w:val="false"/>
          <w:smallCaps w:val="false"/>
          <w:sz w:val="20"/>
        </w:rPr>
        <w:t xml:space="preserv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was declared effective upon filing and registers an unlimited amount of debt securities, equity securities, or other securities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issue and sell from time to time. Accordingly,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with Cantor Fitzgerald &amp; Co. and B. Riley Securities, Inc. has expired.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offer and sell securities registered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offerings, from time to time, depending on market conditions and its capital needs.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also file additional registration statements in the future to maintain financing flexibility in support of its operations. </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 Repurchase Program and 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2024, </w:t>
      </w:r>
      <w:r>
        <w:rPr>
          <w:rFonts w:ascii="Times New Roman" w:hAnsi="Times New Roman"/>
          <w:caps w:val="false"/>
          <w:smallCaps w:val="false"/>
          <w:sz w:val="20"/>
        </w:rPr>
        <w:t>the Company’s Board of Directors (the Board) authorized a share repurchase program (the Prior Share Repurchase Program) pursuant to which the Company could repurchase up to $100 million of its outstanding common stock. In </w:t>
      </w:r>
      <w:r>
        <w:rPr>
          <w:rStyle w:val="Emphasis"/>
          <w:rFonts w:ascii="Times New Roman" w:hAnsi="Times New Roman"/>
          <w:caps w:val="false"/>
          <w:smallCaps w:val="false"/>
          <w:sz w:val="20"/>
        </w:rPr>
        <w:t xml:space="preserve"> September 2025, </w:t>
      </w:r>
      <w:r>
        <w:rPr>
          <w:rFonts w:ascii="Times New Roman" w:hAnsi="Times New Roman"/>
          <w:caps w:val="false"/>
          <w:smallCaps w:val="false"/>
          <w:sz w:val="20"/>
        </w:rPr>
        <w:t>the Company announced the completion of the Prior Share Repurchase Program. Under the Prior Share Repurchase Program, the Company repurchased an aggregate of 3,502,334 shares of common stock at an average price of $28.55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Board authorized and approved a new share repurchase program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for up to $100 million of the currently outstanding shares of the Company’s common stock.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the Company intends to repurchase shares through open market purchases, privately-negotiated transactions, or other methods in accordance with applicable federal securities laws, including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Exchange Act.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fixed expiration date,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discontinued at any time,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acquire any particular amount of its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the Board authorized and approved an increase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from $100 million to $300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repurchased approximately $100.0 million of common stock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at an average price of $30.44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6,871,546 shares of common stock are being held in Treasury, at a cost of approximately $200.2 million, representing the fair market value on the date the shares were surrendered to the Company, mainly as part of the Prior Share Repurchase Program and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TG Therapeutics, Inc. Amended and Restated </w:t>
      </w:r>
      <w:r>
        <w:rPr>
          <w:rStyle w:val="Emphasis"/>
          <w:rFonts w:ascii="Times New Roman" w:hAnsi="Times New Roman"/>
          <w:caps w:val="false"/>
          <w:smallCaps w:val="false"/>
          <w:sz w:val="20"/>
        </w:rPr>
        <w:t>2012</w:t>
      </w:r>
      <w:r>
        <w:rPr>
          <w:rFonts w:ascii="Times New Roman" w:hAnsi="Times New Roman"/>
          <w:caps w:val="false"/>
          <w:smallCaps w:val="false"/>
          <w:sz w:val="20"/>
        </w:rPr>
        <w:t> Incentive Plan (the </w:t>
      </w:r>
      <w:r>
        <w:rPr>
          <w:rStyle w:val="Emphasis"/>
          <w:rFonts w:ascii="Times New Roman" w:hAnsi="Times New Roman"/>
          <w:caps w:val="false"/>
          <w:smallCaps w:val="false"/>
          <w:sz w:val="20"/>
        </w:rPr>
        <w:t>2012</w:t>
      </w:r>
      <w:r>
        <w:rPr>
          <w:rFonts w:ascii="Times New Roman" w:hAnsi="Times New Roman"/>
          <w:caps w:val="false"/>
          <w:smallCaps w:val="false"/>
          <w:sz w:val="20"/>
        </w:rPr>
        <w:t> Incentive Plan) was approved by stockholders in </w:t>
      </w:r>
      <w:r>
        <w:rPr>
          <w:rStyle w:val="Emphasis"/>
          <w:rFonts w:ascii="Times New Roman" w:hAnsi="Times New Roman"/>
          <w:caps w:val="false"/>
          <w:smallCaps w:val="false"/>
          <w:sz w:val="20"/>
        </w:rPr>
        <w:t xml:space="preserve"> June 2020.</w:t>
      </w:r>
      <w:r>
        <w:rPr>
          <w:rFonts w:ascii="Times New Roman" w:hAnsi="Times New Roman"/>
          <w:caps w:val="false"/>
          <w:smallCaps w:val="false"/>
          <w:sz w:val="20"/>
        </w:rPr>
        <w: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2,976,163 shares of restricted stock and 1,863,656 options were outstanding, and no additional shares were available to be issued under the </w:t>
      </w:r>
      <w:r>
        <w:rPr>
          <w:rStyle w:val="Emphasis"/>
          <w:rFonts w:ascii="Times New Roman" w:hAnsi="Times New Roman"/>
          <w:caps w:val="false"/>
          <w:smallCaps w:val="false"/>
          <w:sz w:val="20"/>
        </w:rPr>
        <w:t>2012</w:t>
      </w:r>
      <w:r>
        <w:rPr>
          <w:rFonts w:ascii="Times New Roman" w:hAnsi="Times New Roman"/>
          <w:caps w:val="false"/>
          <w:smallCaps w:val="false"/>
          <w:sz w:val="20"/>
        </w:rPr>
        <w:t>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TG Therapeutics, Inc. </w:t>
      </w:r>
      <w:r>
        <w:rPr>
          <w:rStyle w:val="Emphasis"/>
          <w:rFonts w:ascii="Times New Roman" w:hAnsi="Times New Roman"/>
          <w:caps w:val="false"/>
          <w:smallCaps w:val="false"/>
          <w:sz w:val="20"/>
        </w:rPr>
        <w:t>2022</w:t>
      </w:r>
      <w:r>
        <w:rPr>
          <w:rFonts w:ascii="Times New Roman" w:hAnsi="Times New Roman"/>
          <w:caps w:val="false"/>
          <w:smallCaps w:val="false"/>
          <w:sz w:val="20"/>
        </w:rPr>
        <w:t> Incentive Plan (the </w:t>
      </w:r>
      <w:r>
        <w:rPr>
          <w:rStyle w:val="Emphasis"/>
          <w:rFonts w:ascii="Times New Roman" w:hAnsi="Times New Roman"/>
          <w:caps w:val="false"/>
          <w:smallCaps w:val="false"/>
          <w:sz w:val="20"/>
        </w:rPr>
        <w:t>2022</w:t>
      </w:r>
      <w:r>
        <w:rPr>
          <w:rFonts w:ascii="Times New Roman" w:hAnsi="Times New Roman"/>
          <w:caps w:val="false"/>
          <w:smallCaps w:val="false"/>
          <w:sz w:val="20"/>
        </w:rPr>
        <w:t> Incentive Plan) was approved by stockholders in </w:t>
      </w:r>
      <w:r>
        <w:rPr>
          <w:rStyle w:val="Emphasis"/>
          <w:rFonts w:ascii="Times New Roman" w:hAnsi="Times New Roman"/>
          <w:caps w:val="false"/>
          <w:smallCaps w:val="false"/>
          <w:sz w:val="20"/>
        </w:rPr>
        <w:t xml:space="preserve"> June 2022 </w:t>
      </w:r>
      <w:r>
        <w:rPr>
          <w:rFonts w:ascii="Times New Roman" w:hAnsi="Times New Roman"/>
          <w:caps w:val="false"/>
          <w:smallCaps w:val="false"/>
          <w:sz w:val="20"/>
        </w:rPr>
        <w:t xml:space="preserve">with 17,000,000 shares available to be issued, and was amended to increase the shares available to be issued from 17,000,000 to 22,000,000 in </w:t>
      </w:r>
      <w:r>
        <w:rPr>
          <w:rStyle w:val="Emphasis"/>
          <w:rFonts w:ascii="Times New Roman" w:hAnsi="Times New Roman"/>
          <w:caps w:val="false"/>
          <w:smallCaps w:val="false"/>
          <w:sz w:val="20"/>
        </w:rPr>
        <w:t>June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Amendment).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8,244,761 shares of restricted stock and 2,196,500 options were outstanding, and 41,625 Stock Tracking Units (STUs) were reserved, leaving up to an additional 5,653,450 shares available to be issued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is currently the Company’s only active incentive plan. The Company’s equity incentive plan includes both equity and liability-classified awards granted to employees and directors.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activity for restricted stock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56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4475"/>
        <w:gridCol w:w="60"/>
        <w:gridCol w:w="60"/>
        <w:gridCol w:w="950"/>
        <w:gridCol w:w="80"/>
        <w:gridCol w:w="60"/>
        <w:gridCol w:w="60"/>
        <w:gridCol w:w="950"/>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Restricted Stock</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Restricted stock awards outstanding,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12,011,881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11,843,586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1,047,977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2,723,646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(1,746,031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(1,604,013</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Expired or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(92,903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(193,120</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Restricted stock awards outstanding,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11,220,924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12,770,099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sz w:val="20"/>
        </w:rPr>
      </w:pPr>
      <w:r>
        <w:rPr>
          <w:sz w:val="20"/>
        </w:rPr>
        <w:t xml:space="preserve">These unvested shares are included in the Company's common shares issued and outstanding as reported on the condensed consolidated balance sheet.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ind w:left="0" w:right="0" w:firstLine="740"/>
        <w:jc w:val="both"/>
        <w:rPr/>
      </w:pPr>
      <w:r>
        <w:rPr>
          <w:sz w:val="20"/>
        </w:rPr>
        <w:t xml:space="preserve">Total stock-based compensation expense related to restricted stock grants was  $12.3 million and  $16.0 million for the  </w:t>
      </w:r>
      <w:r>
        <w:rPr>
          <w:rStyle w:val="Emphasis"/>
          <w:sz w:val="20"/>
        </w:rPr>
        <w:t>three</w:t>
      </w:r>
      <w:r>
        <w:rPr>
          <w:sz w:val="20"/>
        </w:rPr>
        <w:t xml:space="preserve"> months ended  </w:t>
      </w:r>
      <w:r>
        <w:rPr>
          <w:rStyle w:val="Emphasis"/>
          <w:sz w:val="20"/>
        </w:rPr>
        <w:t xml:space="preserve">June 30, 2026 </w:t>
      </w:r>
      <w:r>
        <w:rPr>
          <w:sz w:val="20"/>
        </w:rPr>
        <w:t xml:space="preserve">and </w:t>
      </w:r>
      <w:r>
        <w:rPr>
          <w:rStyle w:val="Emphasis"/>
          <w:sz w:val="20"/>
        </w:rPr>
        <w:t>2025</w:t>
      </w:r>
      <w:r>
        <w:rPr>
          <w:sz w:val="20"/>
        </w:rPr>
        <w:t xml:space="preserve">, respectively, net of  $0.6 million and  $1.0 million of expense capitalized into inventory during the respective periods. Total stock-based compensation expense related to restricted stock grants was $26.1 million and  $30.5 million for the  </w:t>
      </w:r>
      <w:r>
        <w:rPr>
          <w:rStyle w:val="Emphasis"/>
          <w:sz w:val="20"/>
        </w:rPr>
        <w:t>six</w:t>
      </w:r>
      <w:r>
        <w:rPr>
          <w:sz w:val="20"/>
        </w:rPr>
        <w:t xml:space="preserve"> months ended </w:t>
      </w:r>
      <w:r>
        <w:rPr>
          <w:rStyle w:val="Emphasis"/>
          <w:sz w:val="20"/>
        </w:rPr>
        <w:t xml:space="preserve">June 30, 2026 </w:t>
      </w:r>
      <w:r>
        <w:rPr>
          <w:sz w:val="20"/>
        </w:rPr>
        <w:t xml:space="preserve">and </w:t>
      </w:r>
      <w:r>
        <w:rPr>
          <w:rStyle w:val="Emphasis"/>
          <w:sz w:val="20"/>
        </w:rPr>
        <w:t>2025</w:t>
      </w:r>
      <w:r>
        <w:rPr>
          <w:sz w:val="20"/>
        </w:rPr>
        <w:t xml:space="preserve">, respectively, net of  $1.2 million and  $2.0 million of expense capitalized into inventory during the respective periods. </w:t>
      </w:r>
    </w:p>
    <w:p>
      <w:pPr>
        <w:pStyle w:val="TextBody"/>
        <w:bidi w:val="0"/>
        <w:spacing w:before="0" w:after="0"/>
        <w:ind w:left="0" w:right="0" w:firstLine="740"/>
        <w:jc w:val="both"/>
        <w:rPr/>
      </w:pPr>
      <w:r>
        <w:rPr/>
        <w:t> </w:t>
      </w:r>
    </w:p>
    <w:p>
      <w:pPr>
        <w:pStyle w:val="TextBody"/>
        <w:bidi w:val="0"/>
        <w:spacing w:before="0" w:after="0"/>
        <w:ind w:left="0" w:right="0" w:firstLine="740"/>
        <w:jc w:val="both"/>
        <w:rPr/>
      </w:pPr>
      <w:r>
        <w:rPr>
          <w:sz w:val="20"/>
        </w:rPr>
        <w:t xml:space="preserve">As of </w:t>
      </w:r>
      <w:r>
        <w:rPr>
          <w:rStyle w:val="Emphasis"/>
          <w:sz w:val="20"/>
        </w:rPr>
        <w:t>June 30, 2026</w:t>
      </w:r>
      <w:r>
        <w:rPr>
          <w:sz w:val="20"/>
        </w:rPr>
        <w:t xml:space="preserve">, the Company had approximately $33.6 million of total unrecognized compensation expense related to unvested time-based restricted stock, expected to be recognized over a weighted-average period of  2.5 years.  </w:t>
      </w:r>
    </w:p>
    <w:p>
      <w:pPr>
        <w:pStyle w:val="TextBody"/>
        <w:bidi w:val="0"/>
        <w:spacing w:before="0" w:after="0"/>
        <w:ind w:left="0" w:right="0" w:firstLine="740"/>
        <w:jc w:val="both"/>
        <w:rPr/>
      </w:pPr>
      <w:r>
        <w:rPr/>
        <w:t xml:space="preserve">  </w:t>
      </w:r>
    </w:p>
    <w:p>
      <w:pPr>
        <w:pStyle w:val="TextBody"/>
        <w:bidi w:val="0"/>
        <w:spacing w:before="0" w:after="0"/>
        <w:ind w:left="0" w:right="0" w:firstLine="740"/>
        <w:jc w:val="both"/>
        <w:rPr>
          <w:sz w:val="20"/>
        </w:rPr>
      </w:pPr>
      <w:r>
        <w:rPr>
          <w:sz w:val="20"/>
        </w:rPr>
        <w:t xml:space="preserve">Milestone-based noncash compensation expense will be recognized if and when achievement of the related milestone becomes probable. Awards with market conditions are valued using advanced option-pricing models, such as a Monte Carlo simulation, with the effect of the market condition reflected in the grant-date fair value. Compensation expense for awards with market conditions is recognized over the requisite service period determined by the grant-date valuation, regardless of whether the market condition is ultimately satisfied </w:t>
      </w:r>
    </w:p>
    <w:p>
      <w:pPr>
        <w:pStyle w:val="TextBody"/>
        <w:bidi w:val="0"/>
        <w:spacing w:before="0" w:after="0"/>
        <w:ind w:left="0" w:right="0" w:firstLine="740"/>
        <w:jc w:val="both"/>
        <w:rPr/>
      </w:pPr>
      <w:r>
        <w:rPr/>
        <w:t xml:space="preserve">  </w:t>
      </w:r>
    </w:p>
    <w:p>
      <w:pPr>
        <w:pStyle w:val="TextBody"/>
        <w:bidi w:val="0"/>
        <w:ind w:left="0" w:right="0" w:firstLine="740"/>
        <w:jc w:val="both"/>
        <w:rPr/>
      </w:pPr>
      <w:r>
        <w:rPr>
          <w:sz w:val="20"/>
        </w:rPr>
        <w:t xml:space="preserve">As of  </w:t>
      </w:r>
      <w:r>
        <w:rPr>
          <w:rStyle w:val="Emphasis"/>
          <w:sz w:val="20"/>
        </w:rPr>
        <w:t>June 30, 2026</w:t>
      </w:r>
      <w:r>
        <w:rPr>
          <w:sz w:val="20"/>
        </w:rPr>
        <w:t xml:space="preserve">, the Company had approximately  $20.7 million of total unrecognized compensation expense related to unvested milestone-based restricted stock. Of this amount, $1.9 million is expected to be recognized over a weighted-average period of 0.2 years, while the remaining $18.8 million will be recognized only if and when achievement of the applicable milestones become probable. As of  </w:t>
      </w:r>
      <w:r>
        <w:rPr>
          <w:rStyle w:val="Emphasis"/>
          <w:sz w:val="20"/>
        </w:rPr>
        <w:t>June 30, 2026</w:t>
      </w:r>
      <w:r>
        <w:rPr>
          <w:sz w:val="20"/>
        </w:rPr>
        <w:t xml:space="preserve">, the Company had approximately  $47.6 million related to restricted stock with market conditions, expected to be recognized over a weighted-average period of  2.7 years. </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caps w:val="false"/>
          <w:smallCaps w:val="false"/>
          <w:sz w:val="20"/>
          <w:u w:val="single"/>
        </w:rPr>
      </w:pPr>
      <w:r>
        <w:rPr>
          <w:rFonts w:ascii="Times New Roman" w:hAnsi="Times New Roman"/>
          <w:caps w:val="false"/>
          <w:smallCaps w:val="false"/>
          <w:sz w:val="20"/>
          <w:u w:val="single"/>
        </w:rPr>
        <w:t>Stock Tracking Units (STUs)</w:t>
      </w:r>
    </w:p>
    <w:p>
      <w:pPr>
        <w:pStyle w:val="TextBody"/>
        <w:bidi w:val="0"/>
        <w:spacing w:before="0" w:after="0"/>
        <w:ind w:left="160" w:right="0" w:hanging="180"/>
        <w:jc w:val="both"/>
        <w:rPr>
          <w:caps w:val="false"/>
          <w:smallCaps w:val="false"/>
        </w:rPr>
      </w:pPr>
      <w:r>
        <w:rPr>
          <w:caps w:val="false"/>
          <w:smallCaps w:val="false"/>
        </w:rPr>
        <w:t> </w:t>
      </w:r>
    </w:p>
    <w:p>
      <w:pPr>
        <w:pStyle w:val="TextBody"/>
        <w:bidi w:val="0"/>
        <w:spacing w:before="0" w:after="0"/>
        <w:ind w:left="0" w:right="0" w:firstLine="740"/>
        <w:jc w:val="both"/>
        <w:rPr/>
      </w:pPr>
      <w:r>
        <w:rPr>
          <w:rFonts w:ascii="Times New Roman" w:hAnsi="Times New Roman"/>
          <w:caps w:val="false"/>
          <w:smallCaps w:val="false"/>
          <w:sz w:val="20"/>
        </w:rPr>
        <w:t xml:space="preserve">The Company grants stock tracking units (STUs), which are equity-linked compensation awards granted under the TG Therapeutics,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Each STU represents the right to receive the value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either in cash or, for certain awards, in shares of stock. STUs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either time-based awards or performance-based awards.</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caps w:val="false"/>
          <w:smallCaps w:val="false"/>
          <w:sz w:val="20"/>
        </w:rPr>
        <w:t>STUs are accounted for as liability awards and are remeasured at fair value at each reporting date, with changes in fair value recognized as stock-based compensation expense in the condensed consolidated statements of operations. The fair value of STUs is based on the closing price of the Company’s common stock at each reporting date.</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caps w:val="false"/>
          <w:smallCaps w:val="false"/>
          <w:sz w:val="20"/>
        </w:rPr>
        <w:t>Compensation expense for STUs is recognized over the requisite service period. For STUs with performance conditions, expense is recognized when it is probable that the performance condition will be achieved. The related liability is recorded within accrued compensation and is adjusted each reporting period until settlement.</w:t>
      </w:r>
    </w:p>
    <w:p>
      <w:pPr>
        <w:pStyle w:val="TextBody"/>
        <w:bidi w:val="0"/>
        <w:spacing w:before="0" w:after="0"/>
        <w:ind w:left="0" w:right="0" w:firstLine="740"/>
        <w:jc w:val="left"/>
        <w:rPr/>
      </w:pPr>
      <w:r>
        <w:rPr/>
        <w:t> </w:t>
      </w:r>
    </w:p>
    <w:p>
      <w:pPr>
        <w:pStyle w:val="TextBody"/>
        <w:bidi w:val="0"/>
        <w:spacing w:before="0" w:after="0"/>
        <w:ind w:left="0" w:right="0" w:firstLine="74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approximately 1,949,005 STUs outstanding. Stock-based compensation expense related to STUs was $15.3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net of $0.7 million of expense capitalized into inventory. Stock-based compensation expense related to STUs was $21.4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net of $0.9 million of expense capitalized into inventory. The expense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includes approximately $8.6 million attributable to the remeasurement of outstanding STUs to fair value based on the increase in the Company's closing stock price during the period.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had approximately $84.8 million of unrecognized compensation expense related to unvested STUs, expected to be recognized over a weighted-average period of 3.6 years.</w:t>
      </w:r>
    </w:p>
    <w:p>
      <w:pPr>
        <w:pStyle w:val="TextBody"/>
        <w:bidi w:val="0"/>
        <w:spacing w:before="0" w:after="0"/>
        <w:ind w:left="0" w:right="0" w:firstLine="740"/>
        <w:jc w:val="both"/>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 following table summarizes the activity for stock options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3695"/>
        <w:gridCol w:w="60"/>
        <w:gridCol w:w="60"/>
        <w:gridCol w:w="845"/>
        <w:gridCol w:w="80"/>
        <w:gridCol w:w="60"/>
        <w:gridCol w:w="60"/>
        <w:gridCol w:w="845"/>
        <w:gridCol w:w="80"/>
      </w:tblGrid>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 Options</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outstanding,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4,470,216</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 or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outstanding,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4,362,316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stock-based compensation expense associated with stock options was approximately $0.2 million and $0.4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Total stock-based compensation expense associated with stock options was approximately $0.4 million and $0.8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there was approximately zero of total unrecognized compensation cost related to unvested time-based stock options, which is expected to be recognized over a weighted-average period of 0.1 years.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stock options outstanding include options granted to both employees and non-employees which are both time-based and milestone-based. Stock-based compensation for milestone-based options will be recorded if and when a milestone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outstanding warrants issued to Hercules Capital, Inc. (Hercules) to purchase 115,042 and 50,172 shares of its common stock with exercise prices of $17.95 and $14.70, respectively. The warrants were issued in connection with the Company’s prior loan agreement with Hercules, which has been repaid and terminated. These Warrants shall be exercisable for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from their date of issuance, and will expire on </w:t>
      </w:r>
      <w:r>
        <w:rPr>
          <w:rStyle w:val="Emphasis"/>
          <w:rFonts w:ascii="Times New Roman" w:hAnsi="Times New Roman"/>
          <w:caps w:val="false"/>
          <w:smallCaps w:val="false"/>
          <w:sz w:val="20"/>
        </w:rPr>
        <w:t xml:space="preserve"> December 30, 2028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7</w:t>
      </w:r>
      <w:r>
        <w:rPr>
          <w:rFonts w:ascii="Times New Roman;Times;serif" w:hAnsi="Times New Roman;Times;serif"/>
          <w:b/>
          <w:sz w:val="20"/>
        </w:rPr>
        <w:t xml:space="preserve"> - LOAN PAYABLE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 2024 (</w:t>
      </w:r>
      <w:r>
        <w:rPr>
          <w:rFonts w:ascii="Times New Roman" w:hAnsi="Times New Roman"/>
          <w:caps w:val="false"/>
          <w:smallCaps w:val="false"/>
          <w:sz w:val="20"/>
        </w:rPr>
        <w:t>the Closing Date), the Company entered into a term loan facility of $250 million (the Initial Term Loan) with Blue Owl Capital Corporation, as administrative agent (the Administrative Agent), HealthCare Royalty (HCR) and Blue Owl Capital under the Financing Agreement (as defined below) to repay all outstanding principal and accrued interest and fees under our prior loan agreement with Hercules.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Initial Term Loan is governed by a financing agreement (the Financing Agreement), which provides for (i) a single draw of the Initial Term Loan, which was funded on </w:t>
      </w:r>
      <w:r>
        <w:rPr>
          <w:rStyle w:val="Emphasis"/>
          <w:rFonts w:ascii="Times New Roman" w:hAnsi="Times New Roman"/>
          <w:caps w:val="false"/>
          <w:smallCaps w:val="false"/>
          <w:sz w:val="20"/>
        </w:rPr>
        <w:t xml:space="preserve">August 2, 2024, </w:t>
      </w:r>
      <w:r>
        <w:rPr>
          <w:rFonts w:ascii="Times New Roman" w:hAnsi="Times New Roman"/>
          <w:caps w:val="false"/>
          <w:smallCaps w:val="false"/>
          <w:sz w:val="20"/>
        </w:rPr>
        <w:t>and (ii) an uncommitted additional facility in an aggregate principal amount of up to $100 million. The Initial Term Loan will mature on </w:t>
      </w:r>
      <w:r>
        <w:rPr>
          <w:rStyle w:val="Emphasis"/>
          <w:rFonts w:ascii="Times New Roman" w:hAnsi="Times New Roman"/>
          <w:caps w:val="false"/>
          <w:smallCaps w:val="false"/>
          <w:sz w:val="20"/>
        </w:rPr>
        <w:t xml:space="preserve"> August 2, 2029 (</w:t>
      </w:r>
      <w:r>
        <w:rPr>
          <w:rFonts w:ascii="Times New Roman" w:hAnsi="Times New Roman"/>
          <w:caps w:val="false"/>
          <w:smallCaps w:val="false"/>
          <w:sz w:val="20"/>
        </w:rPr>
        <w:t>the Term Loan Maturity Date). The Initial Term Loan accrues interest at a per annum rate of interest equal to an applicable margin plus, at the Company’s option, either (a) a base rate determined by reference to the highest of (</w:t>
      </w:r>
      <w:r>
        <w:rPr>
          <w:rStyle w:val="Emphasis"/>
          <w:rFonts w:ascii="Times New Roman" w:hAnsi="Times New Roman"/>
          <w:caps w:val="false"/>
          <w:smallCaps w:val="false"/>
          <w:sz w:val="20"/>
        </w:rPr>
        <w:t>1</w:t>
      </w:r>
      <w:r>
        <w:rPr>
          <w:rFonts w:ascii="Times New Roman" w:hAnsi="Times New Roman"/>
          <w:caps w:val="false"/>
          <w:smallCaps w:val="false"/>
          <w:sz w:val="20"/>
        </w:rPr>
        <w:t>) the prime rate published by the Wall Street Journal, (</w:t>
      </w:r>
      <w:r>
        <w:rPr>
          <w:rStyle w:val="Emphasis"/>
          <w:rFonts w:ascii="Times New Roman" w:hAnsi="Times New Roman"/>
          <w:caps w:val="false"/>
          <w:smallCaps w:val="false"/>
          <w:sz w:val="20"/>
        </w:rPr>
        <w:t>2</w:t>
      </w:r>
      <w:r>
        <w:rPr>
          <w:rFonts w:ascii="Times New Roman" w:hAnsi="Times New Roman"/>
          <w:caps w:val="false"/>
          <w:smallCaps w:val="false"/>
          <w:sz w:val="20"/>
        </w:rPr>
        <w:t>) the federal funds effective rate plus 0.50% and (</w:t>
      </w:r>
      <w:r>
        <w:rPr>
          <w:rStyle w:val="Emphasis"/>
          <w:rFonts w:ascii="Times New Roman" w:hAnsi="Times New Roman"/>
          <w:caps w:val="false"/>
          <w:smallCaps w:val="false"/>
          <w:sz w:val="20"/>
        </w:rPr>
        <w:t>3</w:t>
      </w:r>
      <w:r>
        <w:rPr>
          <w:rFonts w:ascii="Times New Roman" w:hAnsi="Times New Roman"/>
          <w:caps w:val="false"/>
          <w:smallCaps w:val="false"/>
          <w:sz w:val="20"/>
        </w:rPr>
        <w:t>) Term SOFR (as defined in the Financing Agreement), plus 1.00%.</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18, 2026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Closing Date), the Company entered into a First Amendment to the Financing Agreement (the First Amendment) to repay in full the Initial Term Loan and enter into a new term loan facility of $750 million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with Blue Owl Capital.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will mature on </w:t>
      </w:r>
      <w:r>
        <w:rPr>
          <w:rStyle w:val="Emphasis"/>
          <w:rFonts w:ascii="Times New Roman" w:hAnsi="Times New Roman"/>
          <w:caps w:val="false"/>
          <w:smallCaps w:val="false"/>
          <w:sz w:val="20"/>
        </w:rPr>
        <w:t>March 18, 2031 (</w:t>
      </w:r>
      <w:r>
        <w:rPr>
          <w:rFonts w:ascii="Times New Roman" w:hAnsi="Times New Roman"/>
          <w:caps w:val="false"/>
          <w:smallCaps w:val="false"/>
          <w:sz w:val="20"/>
        </w:rPr>
        <w:t xml:space="preserve">the Term Loan Maturity Date).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accrues interest at a per annum rate equal to an applicable margin plus (a) a base rate determined by reference to the highest of (</w:t>
      </w:r>
      <w:r>
        <w:rPr>
          <w:rStyle w:val="Emphasis"/>
          <w:rFonts w:ascii="Times New Roman" w:hAnsi="Times New Roman"/>
          <w:caps w:val="false"/>
          <w:smallCaps w:val="false"/>
          <w:sz w:val="20"/>
        </w:rPr>
        <w:t>1</w:t>
      </w:r>
      <w:r>
        <w:rPr>
          <w:rFonts w:ascii="Times New Roman" w:hAnsi="Times New Roman"/>
          <w:caps w:val="false"/>
          <w:smallCaps w:val="false"/>
          <w:sz w:val="20"/>
        </w:rPr>
        <w:t>) the prime rate published by The Wall Street Journal, (</w:t>
      </w:r>
      <w:r>
        <w:rPr>
          <w:rStyle w:val="Emphasis"/>
          <w:rFonts w:ascii="Times New Roman" w:hAnsi="Times New Roman"/>
          <w:caps w:val="false"/>
          <w:smallCaps w:val="false"/>
          <w:sz w:val="20"/>
        </w:rPr>
        <w:t>2</w:t>
      </w:r>
      <w:r>
        <w:rPr>
          <w:rFonts w:ascii="Times New Roman" w:hAnsi="Times New Roman"/>
          <w:caps w:val="false"/>
          <w:smallCaps w:val="false"/>
          <w:sz w:val="20"/>
        </w:rPr>
        <w:t>) the federal funds effective rate plus 0.50%, (</w:t>
      </w:r>
      <w:r>
        <w:rPr>
          <w:rStyle w:val="Emphasis"/>
          <w:rFonts w:ascii="Times New Roman" w:hAnsi="Times New Roman"/>
          <w:caps w:val="false"/>
          <w:smallCaps w:val="false"/>
          <w:sz w:val="20"/>
        </w:rPr>
        <w:t>3</w:t>
      </w:r>
      <w:r>
        <w:rPr>
          <w:rFonts w:ascii="Times New Roman" w:hAnsi="Times New Roman"/>
          <w:caps w:val="false"/>
          <w:smallCaps w:val="false"/>
          <w:sz w:val="20"/>
        </w:rPr>
        <w:t>) Term SOFR plus 1.00% and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2.00% or (b) Term SOFR, which shall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1.00%. The applicable margin is determined on a quarterly basis by reference to a pricing grid based on the Total Net Leverage Ratio (as defined in the First Amendment) for the most recently completed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consecutive fiscal quarters. The pricing grid commences at 4.75% for SOFR borrowings and 3.75% for base rate borrowings and is subject to a 25 basis point step-down upon achievement of a specified leverage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requires scheduled quarterly amortization payments commencing with the fiscal quarter ending </w:t>
      </w:r>
      <w:r>
        <w:rPr>
          <w:rStyle w:val="Emphasis"/>
          <w:rFonts w:ascii="Times New Roman" w:hAnsi="Times New Roman"/>
          <w:caps w:val="false"/>
          <w:smallCaps w:val="false"/>
          <w:sz w:val="20"/>
        </w:rPr>
        <w:t xml:space="preserve">March 31, 2030, </w:t>
      </w:r>
      <w:r>
        <w:rPr>
          <w:rFonts w:ascii="Times New Roman" w:hAnsi="Times New Roman"/>
          <w:caps w:val="false"/>
          <w:smallCaps w:val="false"/>
          <w:sz w:val="20"/>
        </w:rPr>
        <w:t xml:space="preserve">in an amount equal to $37.5 million, with the balance due and payable on the Term Loan Maturity Date; provided that such amortization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deferred upon the achievement of a Total Net Leverage Ratio that is less than or equal to an agreed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is secured by a lien on substantially all of the assets of the Company and certain subsidiaries of the Company as guarantors and contains customary covenants and representations.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 was in compliance with all financial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events of default under the Financing Agreement are customary for financings of this type. If an event of default occurs, Blue Owl Capital is entitled to take enforcement action, including acceleration of amounts due under the Financing Agreement. In connection with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the Company incurred additional </w:t>
      </w:r>
      <w:r>
        <w:rPr>
          <w:rStyle w:val="Emphasis"/>
          <w:rFonts w:ascii="Times New Roman" w:hAnsi="Times New Roman"/>
          <w:caps w:val="false"/>
          <w:smallCaps w:val="false"/>
          <w:sz w:val="20"/>
        </w:rPr>
        <w:t>third</w:t>
      </w:r>
      <w:r>
        <w:rPr>
          <w:rFonts w:ascii="Times New Roman" w:hAnsi="Times New Roman"/>
          <w:caps w:val="false"/>
          <w:smallCaps w:val="false"/>
          <w:sz w:val="20"/>
        </w:rPr>
        <w:t>-party fees, which were capitalized as debt issuance costs and are being amortized over the term of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evaluated the refinancing of the Initial Term Loan in connection with the First Amendment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t>
      </w:r>
      <w:r>
        <w:rPr>
          <w:rFonts w:ascii="Times New Roman" w:hAnsi="Times New Roman"/>
          <w:caps w:val="false"/>
          <w:smallCaps w:val="false"/>
          <w:sz w:val="20"/>
        </w:rPr>
        <w:t xml:space="preserve">– </w:t>
      </w:r>
      <w:r>
        <w:rPr>
          <w:rFonts w:ascii="Times New Roman" w:hAnsi="Times New Roman"/>
          <w:i/>
          <w:caps w:val="false"/>
          <w:smallCaps w:val="false"/>
          <w:sz w:val="20"/>
        </w:rPr>
        <w:t>Modifications and Extinguishments</w:t>
      </w:r>
      <w:r>
        <w:rPr>
          <w:rFonts w:ascii="Times New Roman" w:hAnsi="Times New Roman"/>
          <w:caps w:val="false"/>
          <w:smallCaps w:val="false"/>
          <w:sz w:val="20"/>
        </w:rPr>
        <w:t xml:space="preserve">. The Company determined that the First Amendment represents a refinancing transaction resulting in extinguishment accounting for the Initial Term Loan held by Blue Owl Capital and HCR, which was repaid in full, including applicable prepayment premiums and accrued interest. As a result, the Company recorded a loss on extinguishment of debt of approximately $9.2 million in the Company’s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representing the write-off of a portion of unamortized debt issuance costs, unamortized debt discount costs, and the prepayment premiums associated with the extinguished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incurred total financing and upfront costs of $4.9 million related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which are recorded as debt issuance costs and debt discount costs and as an offset to loan payable on the Company’s consolidated balance sheet. The debt issuance and debt discount costs are being amortized over the term of the debt using the straight-line method, and will be included in interest expense in the Company’s condensed consolidated statements of operations. Amortization of debt issuance and debt discount costs was $0.5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$0.6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remaining unamortized balance of debt issuance and discount costs was approximately $4.6 million.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loan payable balance of the Initial Term Loan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is as follows:</w:t>
      </w:r>
    </w:p>
    <w:p>
      <w:pPr>
        <w:pStyle w:val="TextBody"/>
        <w:bidi w:val="0"/>
        <w:spacing w:before="0" w:after="0"/>
        <w:ind w:left="0" w:right="0" w:firstLine="720"/>
        <w:jc w:val="both"/>
        <w:rPr>
          <w:caps w:val="false"/>
          <w:smallCaps w:val="false"/>
        </w:rPr>
      </w:pPr>
      <w:r>
        <w:rPr>
          <w:caps w:val="false"/>
          <w:smallCaps w:val="false"/>
        </w:rPr>
        <w:t> </w:t>
      </w:r>
    </w:p>
    <w:tbl>
      <w:tblPr>
        <w:tblW w:w="6911" w:type="dxa"/>
        <w:jc w:val="left"/>
        <w:tblInd w:w="0" w:type="dxa"/>
        <w:tblLayout w:type="fixed"/>
        <w:tblCellMar>
          <w:top w:w="0" w:type="dxa"/>
          <w:left w:w="0" w:type="dxa"/>
          <w:bottom w:w="0" w:type="dxa"/>
          <w:right w:w="0" w:type="dxa"/>
        </w:tblCellMar>
      </w:tblPr>
      <w:tblGrid>
        <w:gridCol w:w="4595"/>
        <w:gridCol w:w="60"/>
        <w:gridCol w:w="126"/>
        <w:gridCol w:w="765"/>
        <w:gridCol w:w="81"/>
        <w:gridCol w:w="60"/>
        <w:gridCol w:w="173"/>
        <w:gridCol w:w="971"/>
        <w:gridCol w:w="80"/>
      </w:tblGrid>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The Initial Term Loan</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sz w:val="20"/>
              </w:rPr>
            </w:pPr>
            <w:r>
              <w:rPr>
                <w:sz w:val="20"/>
              </w:rPr>
              <w:t>$</w:t>
            </w:r>
          </w:p>
        </w:tc>
        <w:tc>
          <w:tcPr>
            <w:tcW w:w="765" w:type="dxa"/>
            <w:tcBorders/>
            <w:shd w:fill="CCEEFF" w:val="clear"/>
            <w:vAlign w:val="center"/>
          </w:tcPr>
          <w:p>
            <w:pPr>
              <w:pStyle w:val="TableContents"/>
              <w:bidi w:val="0"/>
              <w:spacing w:before="0" w:after="283"/>
              <w:ind w:left="0" w:right="0" w:hanging="0"/>
              <w:jc w:val="right"/>
              <w:rPr>
                <w:sz w:val="20"/>
              </w:rPr>
            </w:pPr>
            <w:r>
              <w:rPr>
                <w:sz w:val="20"/>
              </w:rPr>
              <w:t>250,000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sz w:val="20"/>
              </w:rPr>
            </w:pPr>
            <w:r>
              <w:rPr>
                <w:sz w:val="20"/>
              </w:rPr>
              <w:t>$</w:t>
            </w:r>
          </w:p>
        </w:tc>
        <w:tc>
          <w:tcPr>
            <w:tcW w:w="971" w:type="dxa"/>
            <w:tcBorders/>
            <w:shd w:fill="CCEEFF" w:val="clear"/>
            <w:vAlign w:val="center"/>
          </w:tcPr>
          <w:p>
            <w:pPr>
              <w:pStyle w:val="TableContents"/>
              <w:bidi w:val="0"/>
              <w:spacing w:before="0" w:after="283"/>
              <w:ind w:left="0" w:right="0" w:hanging="0"/>
              <w:jc w:val="right"/>
              <w:rPr>
                <w:sz w:val="20"/>
              </w:rPr>
            </w:pPr>
            <w:r>
              <w:rPr>
                <w:sz w:val="20"/>
              </w:rPr>
              <w:t>250,000</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Accreted Liability of final payment fee</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pPr>
            <w:r>
              <w:rPr>
                <w:rStyle w:val="Emphasis"/>
                <w:sz w:val="20"/>
              </w:rPr>
              <w:t>250,000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pPr>
            <w:r>
              <w:rPr>
                <w:rStyle w:val="Emphasis"/>
                <w:sz w:val="20"/>
              </w:rPr>
              <w:t>250,000</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and debt discount costs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(4,355</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pPr>
            <w:r>
              <w:rPr>
                <w:rStyle w:val="Emphasis"/>
                <w:sz w:val="20"/>
              </w:rPr>
              <w:t>250,000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pPr>
            <w:r>
              <w:rPr>
                <w:rStyle w:val="Emphasis"/>
                <w:sz w:val="20"/>
              </w:rPr>
              <w:t>245,645</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principal payments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(250,000</w:t>
            </w:r>
          </w:p>
        </w:tc>
        <w:tc>
          <w:tcPr>
            <w:tcW w:w="81"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 payable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sz w:val="20"/>
              </w:rPr>
            </w:pPr>
            <w:r>
              <w:rPr>
                <w:sz w:val="20"/>
              </w:rPr>
              <w:t>245,645</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245,645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firstLine="540"/>
        <w:jc w:val="both"/>
        <w:rPr/>
      </w:pPr>
      <w:r>
        <w:rPr>
          <w:rFonts w:ascii="Times New Roman" w:hAnsi="Times New Roman"/>
          <w:caps w:val="false"/>
          <w:smallCaps w:val="false"/>
          <w:sz w:val="20"/>
        </w:rPr>
        <w:t xml:space="preserve">The loan payable balance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Term Loan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is as follows:</w:t>
      </w:r>
    </w:p>
    <w:p>
      <w:pPr>
        <w:pStyle w:val="TextBody"/>
        <w:bidi w:val="0"/>
        <w:spacing w:before="0" w:after="0"/>
        <w:ind w:left="160" w:right="0" w:firstLine="540"/>
        <w:jc w:val="both"/>
        <w:rPr>
          <w:caps w:val="false"/>
          <w:smallCaps w:val="false"/>
        </w:rPr>
      </w:pPr>
      <w:r>
        <w:rPr>
          <w:caps w:val="false"/>
          <w:smallCaps w:val="false"/>
        </w:rPr>
        <w:t> </w:t>
      </w:r>
    </w:p>
    <w:tbl>
      <w:tblPr>
        <w:tblW w:w="6134" w:type="dxa"/>
        <w:jc w:val="left"/>
        <w:tblInd w:w="0" w:type="dxa"/>
        <w:tblLayout w:type="fixed"/>
        <w:tblCellMar>
          <w:top w:w="0" w:type="dxa"/>
          <w:left w:w="0" w:type="dxa"/>
          <w:bottom w:w="0" w:type="dxa"/>
          <w:right w:w="0" w:type="dxa"/>
        </w:tblCellMar>
      </w:tblPr>
      <w:tblGrid>
        <w:gridCol w:w="4595"/>
        <w:gridCol w:w="60"/>
        <w:gridCol w:w="213"/>
        <w:gridCol w:w="1186"/>
        <w:gridCol w:w="80"/>
      </w:tblGrid>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 Term Loan</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Accreted Liability of final payment fee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750,000</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and debt discount costs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745,387</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principal payments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 payable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745,387</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745,387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the Company entered into an agreement (the Office Agreement) with Fortress Biotech, Inc. (FBIO) to occupy a portion of the approximately 24,000 square feet of office space in New York City leased by FBIO. The Office Agreement requires the Company to pay its proportionate share of rent and other costs associated with the underlying lease. In connection with the Office Agreement, the Company pledged $1.3 million to secure a line of credit as a security deposit, which is recorded as restricted cash in the accompanying condensed consolidated balance sheets. The Office Agreement is being treated as a related party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FBIO entered into a sublease agreement with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for substantially all of the office space subject to the Office Agreement. Concurrently, the Company and FBIO amended the Office Agreement to reduce the Company’s share of rent and other costs for the remaining lease term. The Company evaluated the amendment and determined that it represents a lease modification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As a result of the modification, the Company remeasured its operating lease liability with a corresponding adjustment to the related right-of-use asset. The remeasurement resulted in a reduction of both the operating lease liability and right-of-use asset of approximately $1.1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remains obligated under the Office Agreement for its proportionate share of rent and related costs through the expiration of the lease term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to fund its share of any shortfall between the head lease obligations and sublease income. The modification is expected to reduce the Company’s lease expense prospectively.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the Company finalized an approximately five-year lease for office space in New York City (the Gansevoort Lease). The Company estimates an average annual rental obligation of approximately $0.4 million under the Gansevoort Lease. The Company took possession of this space 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with rental payments beginning in </w:t>
      </w:r>
      <w:r>
        <w:rPr>
          <w:rStyle w:val="Emphasis"/>
          <w:rFonts w:ascii="Times New Roman" w:hAnsi="Times New Roman"/>
          <w:caps w:val="false"/>
          <w:smallCaps w:val="false"/>
          <w:sz w:val="20"/>
        </w:rPr>
        <w:t>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the Company finalized a five-year lease for office space in North Carolina (the NC Lease). The Company estimates an average annual rental obligation of $0.2 million under the NC Lease. The Company took possession of this space in </w:t>
      </w:r>
      <w:r>
        <w:rPr>
          <w:rStyle w:val="Emphasis"/>
          <w:rFonts w:ascii="Times New Roman" w:hAnsi="Times New Roman"/>
          <w:caps w:val="false"/>
          <w:smallCaps w:val="false"/>
          <w:sz w:val="20"/>
        </w:rPr>
        <w:t xml:space="preserve"> February 2022, </w:t>
      </w:r>
      <w:r>
        <w:rPr>
          <w:rFonts w:ascii="Times New Roman" w:hAnsi="Times New Roman"/>
          <w:caps w:val="false"/>
          <w:smallCaps w:val="false"/>
          <w:sz w:val="20"/>
        </w:rPr>
        <w:t>with rental payments beginning in </w:t>
      </w:r>
      <w:r>
        <w:rPr>
          <w:rStyle w:val="Emphasis"/>
          <w:rFonts w:ascii="Times New Roman" w:hAnsi="Times New Roman"/>
          <w:caps w:val="false"/>
          <w:smallCaps w:val="false"/>
          <w:sz w:val="20"/>
        </w:rPr>
        <w:t xml:space="preserve"> April 2022. </w:t>
      </w:r>
      <w:r>
        <w:rPr>
          <w:rFonts w:ascii="Times New Roman" w:hAnsi="Times New Roman"/>
          <w:caps w:val="false"/>
          <w:smallCaps w:val="false"/>
          <w:sz w:val="20"/>
        </w:rPr>
        <w:t xml:space="preserve">The Company incurred rental expense of $0.1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May 2026, </w:t>
      </w:r>
      <w:r>
        <w:rPr>
          <w:rFonts w:ascii="Times New Roman" w:hAnsi="Times New Roman"/>
          <w:caps w:val="false"/>
          <w:smallCaps w:val="false"/>
          <w:sz w:val="20"/>
        </w:rPr>
        <w:t xml:space="preserve">the Company amended the NC Lease to extend the lease term from the original expiration date of </w:t>
      </w:r>
      <w:r>
        <w:rPr>
          <w:rStyle w:val="Emphasis"/>
          <w:rFonts w:ascii="Times New Roman" w:hAnsi="Times New Roman"/>
          <w:caps w:val="false"/>
          <w:smallCaps w:val="false"/>
          <w:sz w:val="20"/>
        </w:rPr>
        <w:t xml:space="preserve">April 30, 2027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30, 2032. </w:t>
      </w:r>
      <w:r>
        <w:rPr>
          <w:rFonts w:ascii="Times New Roman" w:hAnsi="Times New Roman"/>
          <w:caps w:val="false"/>
          <w:smallCaps w:val="false"/>
          <w:sz w:val="20"/>
        </w:rPr>
        <w:t xml:space="preserve">The Company evaluated the amendment and determined that it represents a lease modification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As a result of the modification, the Company remeasured its operating lease liability with a corresponding adjustment to the related right-of-use asset. The remeasurement resulted in a reduction of both the operating lease liability and right-of-use asset of approximately $0.9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present values of the Company’s lease liability and corresponding Right-of-Use (ROU) asset are $9.1 million and $7.1 million,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Company’s leases have remaining lease terms of one to six years. One lease has a renewal option to extend the lease for an additional term of five years. The following components of lease expense are included in the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49" w:type="dxa"/>
        <w:jc w:val="left"/>
        <w:tblInd w:w="0" w:type="dxa"/>
        <w:tblLayout w:type="fixed"/>
        <w:tblCellMar>
          <w:top w:w="0" w:type="dxa"/>
          <w:left w:w="0" w:type="dxa"/>
          <w:bottom w:w="0" w:type="dxa"/>
          <w:right w:w="0" w:type="dxa"/>
        </w:tblCellMar>
      </w:tblPr>
      <w:tblGrid>
        <w:gridCol w:w="1655"/>
        <w:gridCol w:w="60"/>
        <w:gridCol w:w="202"/>
        <w:gridCol w:w="542"/>
        <w:gridCol w:w="97"/>
        <w:gridCol w:w="97"/>
        <w:gridCol w:w="202"/>
        <w:gridCol w:w="542"/>
        <w:gridCol w:w="60"/>
        <w:gridCol w:w="60"/>
        <w:gridCol w:w="154"/>
        <w:gridCol w:w="601"/>
        <w:gridCol w:w="74"/>
        <w:gridCol w:w="74"/>
        <w:gridCol w:w="154"/>
        <w:gridCol w:w="415"/>
        <w:gridCol w:w="60"/>
      </w:tblGrid>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weighted-average remaining operating lease term was 5.4 years and the weighted-average discount rate for operating leases was 8.44%. Cash paid for amounts included in the measurement of operating lease liabilities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$0.8 million. The balance sheet classification of lease liabilities was as follows:</w:t>
      </w:r>
    </w:p>
    <w:p>
      <w:pPr>
        <w:pStyle w:val="TextBody"/>
        <w:bidi w:val="0"/>
        <w:spacing w:before="0" w:after="0"/>
        <w:ind w:left="0" w:right="0" w:hanging="0"/>
        <w:jc w:val="left"/>
        <w:rPr>
          <w:caps w:val="false"/>
          <w:smallCaps w:val="false"/>
        </w:rPr>
      </w:pPr>
      <w:r>
        <w:rPr>
          <w:caps w:val="false"/>
          <w:smallCaps w:val="false"/>
        </w:rPr>
        <w:t> </w:t>
      </w:r>
    </w:p>
    <w:tbl>
      <w:tblPr>
        <w:tblW w:w="4558" w:type="dxa"/>
        <w:jc w:val="left"/>
        <w:tblInd w:w="0" w:type="dxa"/>
        <w:tblLayout w:type="fixed"/>
        <w:tblCellMar>
          <w:top w:w="0" w:type="dxa"/>
          <w:left w:w="0" w:type="dxa"/>
          <w:bottom w:w="0" w:type="dxa"/>
          <w:right w:w="0" w:type="dxa"/>
        </w:tblCellMar>
      </w:tblPr>
      <w:tblGrid>
        <w:gridCol w:w="2450"/>
        <w:gridCol w:w="60"/>
        <w:gridCol w:w="148"/>
        <w:gridCol w:w="576"/>
        <w:gridCol w:w="60"/>
        <w:gridCol w:w="60"/>
        <w:gridCol w:w="234"/>
        <w:gridCol w:w="910"/>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72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non-current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7,021</w:t>
            </w:r>
          </w:p>
        </w:tc>
        <w:tc>
          <w:tcPr>
            <w:tcW w:w="60" w:type="dxa"/>
            <w:tcBorders/>
            <w:shd w:fill="CCEEFF" w:val="clear"/>
            <w:vAlign w:val="center"/>
          </w:tcPr>
          <w:p>
            <w:pPr>
              <w:pStyle w:val="TableContents"/>
              <w:bidi w:val="0"/>
              <w:spacing w:before="0" w:after="0"/>
              <w:jc w:val="left"/>
              <w:rPr/>
            </w:pPr>
            <w:r>
              <w:rPr/>
              <w:t> </w:t>
            </w:r>
          </w:p>
        </w:tc>
      </w:tr>
      <w:tr>
        <w:trPr/>
        <w:tc>
          <w:tcPr>
            <w:tcW w:w="24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maturities of lease liabilities were as follows:</w:t>
      </w:r>
    </w:p>
    <w:p>
      <w:pPr>
        <w:pStyle w:val="TextBody"/>
        <w:bidi w:val="0"/>
        <w:spacing w:before="0" w:after="0"/>
        <w:ind w:left="0" w:right="0" w:firstLine="56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2810"/>
        <w:gridCol w:w="60"/>
        <w:gridCol w:w="150"/>
        <w:gridCol w:w="710"/>
        <w:gridCol w:w="8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Remainder of 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1,034</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1,965</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2,162</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2,200</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After 2031</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1,705</w:t>
            </w:r>
          </w:p>
        </w:tc>
        <w:tc>
          <w:tcPr>
            <w:tcW w:w="80" w:type="dxa"/>
            <w:tcBorders/>
            <w:shd w:fill="FFFFFF" w:val="clear"/>
            <w:vAlign w:val="center"/>
          </w:tcPr>
          <w:p>
            <w:pPr>
              <w:pStyle w:val="TableContents"/>
              <w:bidi w:val="0"/>
              <w:spacing w:before="0" w:after="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(2,251</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59"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As the Company’s leases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provide an implicit rate, the Company uses its incremental borrowing rate based on the information available at commencement date and considering the term of the lease to determine the present value of lease payments. The Company used the incremental borrowing rate of 10.25% on </w:t>
            </w:r>
            <w:r>
              <w:rPr>
                <w:rStyle w:val="Emphasis"/>
                <w:rFonts w:ascii="Times New Roman;Times;serif" w:hAnsi="Times New Roman;Times;serif"/>
                <w:caps w:val="false"/>
                <w:smallCaps w:val="false"/>
                <w:sz w:val="20"/>
              </w:rPr>
              <w:t>February 28,</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for operating leases that commenced prior to that date through </w:t>
            </w:r>
            <w:r>
              <w:rPr>
                <w:rStyle w:val="Emphasis"/>
                <w:rFonts w:ascii="Times New Roman;Times;serif" w:hAnsi="Times New Roman;Times;serif"/>
                <w:caps w:val="false"/>
                <w:smallCaps w:val="false"/>
                <w:sz w:val="20"/>
              </w:rPr>
              <w:t xml:space="preserve">December 31, 2021. </w:t>
            </w:r>
            <w:r>
              <w:rPr>
                <w:rFonts w:ascii="Times New Roman;Times;serif" w:hAnsi="Times New Roman;Times;serif"/>
                <w:caps w:val="false"/>
                <w:smallCaps w:val="false"/>
                <w:sz w:val="20"/>
              </w:rPr>
              <w:t>The Company used an incremental borrowing rate of 5.65% for the NC lease. The Company used an incremental borrowing rate of 8.4% for the modified Office Agreement operating lease.</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xml:space="preserve"> -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BRIUMVI (Ublituximab)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2012, </w:t>
      </w:r>
      <w:r>
        <w:rPr>
          <w:rFonts w:ascii="Times New Roman" w:hAnsi="Times New Roman"/>
          <w:caps w:val="false"/>
          <w:smallCaps w:val="false"/>
          <w:sz w:val="20"/>
        </w:rPr>
        <w:t>the Company entered into an exclusive license agreement with LFB Biotechnologies, GTC Biotherapeutics and LFB/GTC LLC, all wholly-owned subsidiaries of LFB Group, relating to the development of ublituximab (the LFB License Agreement). Under the terms of the LFB License Agreement, the Company acquired the exclusive worldwide rights (exclusive of France/Belgium) for the development and commercialization of ublituximab. From the inception of the LFB License Agreement, the Company incurred expenses of approximately $31.0 million related to the achievement of certain milestones under the LFB License Agreement. These expenses are included in other research and development expenses in the accompanying condensed consolidated statements of operations. No further milestone payments remain payable under the LFB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recorded $24.4 million and $45.0 million, respectively, related to the worldwide royalty due under the LFB License Agreement in cost of revenue.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$24.3 million in royalties payable under the LFB License Agreement remains outstanding in accounts payable and accrued expenses.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Neuraxpharm Commercialization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2023, </w:t>
      </w:r>
      <w:r>
        <w:rPr>
          <w:rFonts w:ascii="Times New Roman" w:hAnsi="Times New Roman"/>
          <w:caps w:val="false"/>
          <w:smallCaps w:val="false"/>
          <w:sz w:val="20"/>
        </w:rPr>
        <w:t xml:space="preserve">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w:t>
      </w:r>
      <w:r>
        <w:rPr>
          <w:rStyle w:val="Emphasis"/>
          <w:rFonts w:ascii="Times New Roman" w:hAnsi="Times New Roman"/>
          <w:caps w:val="false"/>
          <w:smallCaps w:val="false"/>
          <w:sz w:val="20"/>
        </w:rPr>
        <w:t>one</w:t>
      </w:r>
      <w:r>
        <w:rPr>
          <w:rFonts w:ascii="Times New Roman" w:hAnsi="Times New Roman"/>
          <w:caps w:val="false"/>
          <w:smallCaps w:val="false"/>
          <w:sz w:val="20"/>
        </w:rPr>
        <w:t>-time, non-refundable payment of $140.0 million upon contract execution and a $12.5 million milestone payment upon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key market commercial launch in the EU. The Company is eligible to receive up to an additional $492.5 million in milestone-based payments upon achievement of certain launch and commercial milestones. In addition, the Company will receive tiered double-digit royalties on net product sales up to 30%.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royalty revenue of $3.6 million and $6.3 million, respectively, was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evaluated the Commercialization Agreement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(the Development and Regulatory Activities).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approximates a market-based price for BRIUMVI by Neuraxpharm in the Territory. The consideration received for optional purchases is generally received in advance of shipment and is recognized by the Company as deferred revenue until the related performance obligation is met. The performance obligation is met when control of the product passes to Neuraxpharm, at which time the optional purchases are recognized as a component of product revenue, net.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had $31.4 million of deferred revenue related to optional purchases for which the performance obligation had </w:t>
      </w:r>
      <w:r>
        <w:rPr>
          <w:rStyle w:val="Emphasis"/>
          <w:rFonts w:ascii="Times New Roman" w:hAnsi="Times New Roman"/>
          <w:caps w:val="false"/>
          <w:smallCaps w:val="false"/>
          <w:sz w:val="20"/>
        </w:rPr>
        <w:t>not</w:t>
      </w:r>
      <w:r>
        <w:rPr>
          <w:rFonts w:ascii="Times New Roman" w:hAnsi="Times New Roman"/>
          <w:caps w:val="false"/>
          <w:smallCaps w:val="false"/>
          <w:sz w:val="20"/>
        </w:rPr>
        <w:t> been met. This includes $3.6 million recorded in accounts receivable, net for consideration the Company has an unconditional right to receive from Neuraxpharm under the Commercialization Agreement. The Company reevaluates the consideration received, and performance obligations satisfied, at the end of each reporting period. Such reevaluations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result in a change to the amount of product revenue, net, recognized and deferred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Azer-cel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2024,</w:t>
      </w:r>
      <w:r>
        <w:rPr>
          <w:rFonts w:ascii="Times New Roman" w:hAnsi="Times New Roman"/>
          <w:caps w:val="false"/>
          <w:smallCaps w:val="false"/>
          <w:sz w:val="20"/>
        </w:rPr>
        <w:t xml:space="preserve">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Precision License Agreement, the Company made an upfront payment to Precision of $7.5 million, consisting of (i) $5.25 million in cash and (ii) $2.25 million, as an equity investment, for the purchase of 2,920,816 shares of Precision’s common stock.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Company made a deferred payment of $2.5 million to Precision consisting of an equity investment in Precision’s common stock at a 100% premium to the 30-day volume-weighted average price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VWAP) prior to purchase. In </w:t>
      </w:r>
      <w:r>
        <w:rPr>
          <w:rStyle w:val="Emphasis"/>
          <w:rFonts w:ascii="Times New Roman" w:hAnsi="Times New Roman"/>
          <w:caps w:val="false"/>
          <w:smallCaps w:val="false"/>
          <w:sz w:val="20"/>
        </w:rPr>
        <w:t>February 2026,  </w:t>
      </w:r>
      <w:r>
        <w:rPr>
          <w:rFonts w:ascii="Times New Roman" w:hAnsi="Times New Roman"/>
          <w:caps w:val="false"/>
          <w:smallCaps w:val="false"/>
          <w:sz w:val="20"/>
        </w:rPr>
        <w:t xml:space="preserve">the Company achieved the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 defined in the Precision License Agreement) and made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payment to Precision equal to $7.5 million comprised of (i) $5.25 million in cash and (ii) $2.25 million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Stock Payment), as an equity investment, for the purchase of 201,504 shares of Precision’s common stock calculated by dividing the Deferred Precision Stock Payment by 200% of the weighted average share price of the Precision common stock for the </w:t>
      </w:r>
      <w:r>
        <w:rPr>
          <w:rStyle w:val="Emphasis"/>
          <w:rFonts w:ascii="Times New Roman" w:hAnsi="Times New Roman"/>
          <w:caps w:val="false"/>
          <w:smallCaps w:val="false"/>
          <w:sz w:val="20"/>
        </w:rPr>
        <w:t>thirty</w:t>
      </w:r>
      <w:r>
        <w:rPr>
          <w:rFonts w:ascii="Times New Roman" w:hAnsi="Times New Roman"/>
          <w:caps w:val="false"/>
          <w:smallCaps w:val="false"/>
          <w:sz w:val="20"/>
        </w:rPr>
        <w:t> (30) trading days preceding the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Precision will be eligible to receive up to $286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the licensed product in such country.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remaining near-term clinical milestones have been achieved.</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MaxCyte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10, 2025, </w:t>
      </w:r>
      <w:r>
        <w:rPr>
          <w:rFonts w:ascii="Times New Roman" w:hAnsi="Times New Roman"/>
          <w:caps w:val="false"/>
          <w:smallCaps w:val="false"/>
          <w:sz w:val="20"/>
        </w:rPr>
        <w:t xml:space="preserve">the Company entered into the Strategic Platform License Agreement with MaxCyte, Inc (MaxCyte), which granted a non-exclusive, non-transferable license for the Company to use MaxCyte’s cell loading technology (licensed technology) to develop and commercialize products for the treatment of autoimmune and other non-oncology diseases and conditions, including azer-cel, licensed by the Company from Precision in </w:t>
      </w:r>
      <w:r>
        <w:rPr>
          <w:rStyle w:val="Emphasis"/>
          <w:rFonts w:ascii="Times New Roman" w:hAnsi="Times New Roman"/>
          <w:caps w:val="false"/>
          <w:smallCaps w:val="false"/>
          <w:sz w:val="20"/>
        </w:rPr>
        <w:t>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MaxCyte is eligible to receive royalty payments on net sales of approved products developed with the licensed technology at a royalty rate in the low-single digits. Upon the achievement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dosing of a human subject in a pivotal trial for a product developed with the licensed technology the Company will make a $1.0 million payment to MaxCyte. MaxCyte is also eligible to receive up to $13.0 million in additional milestone payments based on the achievement of certain regulatory and marketing approvals. The Company is required to pay an annual licensing fee of approximately $0.2 million for access to the licensed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Strategic Platform License Agreement expires on the ten-year anniversary unless the Company achieves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milestone events prior to that date. The Company has the option, at its sole discretion, to extend the term of the Strategic Platform License Agreement beyond the initial ten years for successive renewal terms of five years each, as long as all applicable licensing fees and milestone payments are paid timely and the Company provides MaxCyte at least ninety days written notice prior to the expiration of the then-current term.</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b/>
          <w:caps w:val="false"/>
          <w:smallCaps w:val="false"/>
          <w:sz w:val="20"/>
        </w:rPr>
        <w:t> -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recorded income tax expense of $3.0 million and income tax expense of $3.1 million, respectively. The effective tax rates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9.9% and 8.6%,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effective tax rate differs from the federal statutory rate primarily due to state income taxes, research and development tax credit, and stock based compensation.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effective tax rate differs from the federal statutory rate primarily due to state income taxes, research and development tax credit, and change in valuation allowance.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recorded income tax expense of $2.5 million and income tax expense of $2.7 million, respectively. The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24.0% and 8.8%,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effective tax rate differs from the federal statutory rate primarily due to state income taxes, research and development tax credit, and stock based compensation.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effective tax rate differs from the federal statutory rate primarily due to state income taxes, research and development tax credit, and change in valuation allowance.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subject to income taxes in the U.S. and various state jurisdictions. Significant judgment is required in determining the Company's provision for income taxes, deferred tax assets and liabilities and any valuation allowance recorded against its net deferred tax assets. The Company monitors the realizability of its deferred tax assets at each reporting period. In completing the Company's assessment of realizability of its deferred tax assets, the Company considers, among other things: its history of income (loss) measured at pre-tax income (loss) adjusted for permanent book-tax differences on a jurisdictional basis; volatility in actual earnings; and the impacts of the timing of reversals of existing temporary differences. The Company also relies on its assessment of the Company’s projected future results of business operations, including uncertainty in future operating results, variable macroeconomic conditions, and changes in business that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affect the existence and magnitude of future taxable income. The Company's valuation allowance assessment is based on its best estimate of future results considering all available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based on the relevant weight of positive and negative evidence, including improved and sustained profitability trends as well as consideration of the Company's expected future taxable earnings,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that its U.S. federal and certain state deferred tax assets are realizable. As such, the Company released </w:t>
      </w:r>
      <w:r>
        <w:rPr>
          <w:rStyle w:val="Emphasis"/>
          <w:rFonts w:ascii="Times New Roman" w:hAnsi="Times New Roman"/>
          <w:caps w:val="false"/>
          <w:smallCaps w:val="false"/>
          <w:sz w:val="20"/>
        </w:rPr>
        <w:t>$371.7</w:t>
      </w:r>
      <w:r>
        <w:rPr>
          <w:rFonts w:ascii="Times New Roman" w:hAnsi="Times New Roman"/>
          <w:caps w:val="false"/>
          <w:smallCaps w:val="false"/>
          <w:sz w:val="20"/>
        </w:rPr>
        <w:t> million of its valuation allowance associated with the U.S. federal and state deferred tax assets, except for those related to certain state net operating loss carryforwards. The Company continues to maintain a full or partial valuation allowance against certain state attributes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because the Company concluded it is </w:t>
      </w:r>
      <w:r>
        <w:rPr>
          <w:rStyle w:val="Emphasis"/>
          <w:rFonts w:ascii="Times New Roman" w:hAnsi="Times New Roman"/>
          <w:caps w:val="false"/>
          <w:smallCaps w:val="false"/>
          <w:sz w:val="20"/>
        </w:rPr>
        <w:t>not</w:t>
      </w:r>
      <w:r>
        <w:rPr>
          <w:rFonts w:ascii="Times New Roman" w:hAnsi="Times New Roman"/>
          <w:caps w:val="false"/>
          <w:smallCaps w:val="false"/>
          <w:sz w:val="20"/>
        </w:rPr>
        <w:t>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to be realized, as the Company expects certain state attribute generation in future years to exceed its ability to use these deferred tax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provision for income taxes for interim periods is determined using an estimate of its annual effective tax rate, adjusted for discrete items, if any, that are taken into account in the relevant period. Each quarter, the Company updates its estimate of the annual effective tax rate, and if the Company's estimated tax rate changes, it makes a cumulative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Under 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if a corporation undergoes an “ownership change,” the corporation’s ability to use its pre-change NOL carryforwards and other pre-change tax attributes to offset its post-change income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limited. The Company has completed a study to assess whether an “ownership change” has occurred through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as defined in Section </w:t>
      </w:r>
      <w:r>
        <w:rPr>
          <w:rStyle w:val="Emphasis"/>
          <w:rFonts w:ascii="Times New Roman" w:hAnsi="Times New Roman"/>
          <w:caps w:val="false"/>
          <w:smallCaps w:val="false"/>
          <w:sz w:val="20"/>
        </w:rPr>
        <w:t>382.</w:t>
      </w:r>
      <w:r>
        <w:rPr>
          <w:rFonts w:ascii="Times New Roman" w:hAnsi="Times New Roman"/>
          <w:caps w:val="false"/>
          <w:smallCaps w:val="false"/>
          <w:sz w:val="20"/>
        </w:rPr>
        <w:t> Based on the analysis, the Company experienced an ownership change in </w:t>
      </w:r>
      <w:r>
        <w:rPr>
          <w:rStyle w:val="Emphasis"/>
          <w:rFonts w:ascii="Times New Roman" w:hAnsi="Times New Roman"/>
          <w:caps w:val="false"/>
          <w:smallCaps w:val="false"/>
          <w:sz w:val="20"/>
        </w:rPr>
        <w:t xml:space="preserve"> November 2012.  </w:t>
      </w:r>
      <w:r>
        <w:rPr>
          <w:rFonts w:ascii="Times New Roman" w:hAnsi="Times New Roman"/>
          <w:caps w:val="false"/>
          <w:smallCaps w:val="false"/>
          <w:sz w:val="20"/>
        </w:rPr>
        <w:t>The Company estimates the base Section </w:t>
      </w:r>
      <w:r>
        <w:rPr>
          <w:rStyle w:val="Emphasis"/>
          <w:rFonts w:ascii="Times New Roman" w:hAnsi="Times New Roman"/>
          <w:caps w:val="false"/>
          <w:smallCaps w:val="false"/>
          <w:sz w:val="20"/>
        </w:rPr>
        <w:t>382</w:t>
      </w:r>
      <w:r>
        <w:rPr>
          <w:rFonts w:ascii="Times New Roman" w:hAnsi="Times New Roman"/>
          <w:caps w:val="false"/>
          <w:smallCaps w:val="false"/>
          <w:sz w:val="20"/>
        </w:rPr>
        <w:t> annual limitation regarding the Company’s </w:t>
      </w:r>
      <w:r>
        <w:rPr>
          <w:rStyle w:val="Emphasis"/>
          <w:rFonts w:ascii="Times New Roman" w:hAnsi="Times New Roman"/>
          <w:caps w:val="false"/>
          <w:smallCaps w:val="false"/>
          <w:sz w:val="20"/>
        </w:rPr>
        <w:t xml:space="preserve"> November 2012 </w:t>
      </w:r>
      <w:r>
        <w:rPr>
          <w:rFonts w:ascii="Times New Roman" w:hAnsi="Times New Roman"/>
          <w:caps w:val="false"/>
          <w:smallCaps w:val="false"/>
          <w:sz w:val="20"/>
        </w:rPr>
        <w:t>ownership change to be immaterial. Future changes in the Company's stock ownership, which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outside of its control,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trigger an additional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limited, which could potentially result in increased future tax liability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contracts with various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conduct certain activities including clinical operations and contract manufacturing, and for the clinical and commercial supply of BRIUMVI. Certain contracts contain non-cancellable features or require the Company to make binding forecasts for future purchases.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 had aggregate non-cancelable purchase commitments of $219.8 million, of which $105.7 million, and $114.1 million are expected to be incurred in the years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respectively. These amounts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the Company’s entire anticipated purchase requirements, as the amounts of such obligations will ultimately be dependent on the timing of future orders and the terms of the existing and future agreements, which cannot be reasonably estimated at this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7</w:t>
      </w:r>
      <w:r>
        <w:rPr>
          <w:rFonts w:ascii="Times New Roman" w:hAnsi="Times New Roman"/>
          <w:caps w:val="false"/>
          <w:smallCaps w:val="false"/>
          <w:sz w:val="20"/>
        </w:rPr>
        <w:t>  – Loan Payable for a detailed description of the Company’s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 Leases for a detailed description of the Company’s lease arrangements in New York and North Carolina.</w:t>
      </w:r>
    </w:p>
    <w:p>
      <w:pPr>
        <w:pStyle w:val="TextBody"/>
        <w:bidi w:val="0"/>
        <w:spacing w:before="0" w:after="0"/>
        <w:ind w:left="70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the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OVERVIEW</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We also actively evaluate complementary products, technologies and companies for in-licensing, partnership, acquisition and/or investment opportunities.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ENHANCE Phase 3 Trial in 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In May 2026, we announced positive topline results from the Phase 3 ENHANCE trial, a randomized, double-blind study evaluating a consolidated single infusion regimen for initiation of BRIUMVI® (ublituximab-xiiy) in adults with relapsing forms of multiple sclerosis (RMS). The trial met its primary endpoint, demonstrating bioequivalent drug exposure between the currently approved BRIUMVI initiation infusion dosing regimen of 150 mg on Day 1 and 450 mg on Day 15 and a consolidated single 600 mg infusion on Day 1, eliminating the need for a Day 15 infusion.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Subcutaneous BRIUMVI in 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we announced positive pharmacokinetic (PK), pharmacodynamic (PD), safety, and tolerability data from the Phase 1 clinical trial evaluating subcutaneous formulation of ublituximab (the active agent in BRIUMVI®). The PK and PD data from the Phase 1 clinical trial support quarterly subcutaneous BRIUMVI dosing regimen which is currently under evaluation in the fully enrolled Phase 3 trial. Topline data from the Phase 3 trial is expected around year-end 2026 or first quarter 2027.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BRIUMVI in Myasthenia Gravis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we announced positive topline data from our Phase 1 clinical trial for BRIUMVI in patients with myasthenia gravis (MG) and the initiation of a Phase 2 clinical trial evaluating BRIUMVI as a maintenance therapy following induction with efgartigimod in adult patients with MG.</w:t>
        <w:b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BRIUMVI in Schizophrenia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2026, we announced the initiation of a Phase 2 clinical trial evaluating BRIUMVI in adults with treatment-resistant schizophrenia.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license worldwide development and commercial rights, subject to certain limited geographical restrictions, for all of our products under development. The following table summarizes select ongoing and planned clinical development programs for our lead drug candidates as of July 2026.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2738"/>
        <w:gridCol w:w="3381"/>
        <w:gridCol w:w="4086"/>
      </w:tblGrid>
      <w:tr>
        <w:trPr/>
        <w:tc>
          <w:tcPr>
            <w:tcW w:w="2738"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Clinical Drug Candidate:</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(molecular target)</w:t>
            </w:r>
          </w:p>
        </w:tc>
        <w:tc>
          <w:tcPr>
            <w:tcW w:w="338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Disease</w:t>
            </w:r>
          </w:p>
        </w:tc>
        <w:tc>
          <w:tcPr>
            <w:tcW w:w="4086"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Stage/Status of Development</w:t>
            </w:r>
          </w:p>
        </w:tc>
      </w:tr>
      <w:tr>
        <w:trPr/>
        <w:tc>
          <w:tcPr>
            <w:tcW w:w="273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BRIUMVI (anti-CD20 mAb)</w:t>
            </w:r>
          </w:p>
        </w:tc>
        <w:tc>
          <w:tcPr>
            <w:tcW w:w="3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RMS</w:t>
            </w:r>
          </w:p>
        </w:tc>
        <w:tc>
          <w:tcPr>
            <w:tcW w:w="40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APPROVED</w:t>
            </w:r>
          </w:p>
        </w:tc>
      </w:tr>
      <w:tr>
        <w:trPr/>
        <w:tc>
          <w:tcPr>
            <w:tcW w:w="2738"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BRIUMVI (simplified dosing) ENHANCE Trial</w:t>
            </w:r>
          </w:p>
        </w:tc>
        <w:tc>
          <w:tcPr>
            <w:tcW w:w="3381"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RMS</w:t>
            </w:r>
          </w:p>
        </w:tc>
        <w:tc>
          <w:tcPr>
            <w:tcW w:w="40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Phase 3 completed enrollment and positive topline Phase 3 data announced</w:t>
            </w:r>
          </w:p>
        </w:tc>
      </w:tr>
      <w:tr>
        <w:trPr/>
        <w:tc>
          <w:tcPr>
            <w:tcW w:w="2738"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BRIUMVI</w:t>
            </w:r>
          </w:p>
        </w:tc>
        <w:tc>
          <w:tcPr>
            <w:tcW w:w="3381"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Myasthenia Gravis</w:t>
            </w:r>
          </w:p>
        </w:tc>
        <w:tc>
          <w:tcPr>
            <w:tcW w:w="40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Phase 2 enrolling</w:t>
            </w:r>
          </w:p>
        </w:tc>
      </w:tr>
      <w:tr>
        <w:trPr/>
        <w:tc>
          <w:tcPr>
            <w:tcW w:w="2738"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BRIUMVI</w:t>
            </w:r>
          </w:p>
        </w:tc>
        <w:tc>
          <w:tcPr>
            <w:tcW w:w="3381"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Schizophrenia</w:t>
            </w:r>
          </w:p>
        </w:tc>
        <w:tc>
          <w:tcPr>
            <w:tcW w:w="40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Phase 2  enrolling</w:t>
            </w:r>
          </w:p>
        </w:tc>
      </w:tr>
      <w:tr>
        <w:trPr/>
        <w:tc>
          <w:tcPr>
            <w:tcW w:w="273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Ublituximab subcutaneous (anti-CD20 mAb)</w:t>
            </w:r>
          </w:p>
        </w:tc>
        <w:tc>
          <w:tcPr>
            <w:tcW w:w="3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RMS</w:t>
            </w:r>
          </w:p>
        </w:tc>
        <w:tc>
          <w:tcPr>
            <w:tcW w:w="40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Phase 3 completed enrollment</w:t>
            </w:r>
          </w:p>
        </w:tc>
      </w:tr>
      <w:tr>
        <w:trPr/>
        <w:tc>
          <w:tcPr>
            <w:tcW w:w="273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Azer-cel (anti-CD19)</w:t>
            </w:r>
          </w:p>
        </w:tc>
        <w:tc>
          <w:tcPr>
            <w:tcW w:w="3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Progressive Forms of Multiple Sclerosis and B-cell Disorders</w:t>
            </w:r>
          </w:p>
        </w:tc>
        <w:tc>
          <w:tcPr>
            <w:tcW w:w="40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Phase 1 enrolling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BRIUMVI (ublituximab-xiiy)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Development of BRIUMVI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is an anti-CD20 monoclonal antibody that can be administered to adults with RMS in a one-hour infusion every 24 weeks, following the starting dose. BRIUMVI received approval from the FDA primarily based on results from the ULTIMATE I and ULTIMATE II Phase 3 trials. Each trial was an independent global, randomized, multi-center, double-blinded, double-dummy, active-controlled study comparing the efficacy and safety/tolerability of BRIUMVI (450mg dose administered by one-hour intravenous infusion every 6 months, following a day 1 infusion of 150mg over four hours and a day 15 infusion of 450mg over one hour) versus teriflunomide (14mg oral tablets taken once daily) in adult subjects with RMS.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22, 2022, the full results from the ULTIMATE I &amp; II trials were published in the New England Journal of Medicine.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On December 28, 2022, we announced the U.S. Food and Drug Administration (FDA) approved BRIUMVI for the treatment of relapsing forms of multiple sclerosis (RMS), to include clinically isolated syndrome, relapsing-remitting disease, and active secondary progressive disease, in adults.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27, 2024, we announced the issuance of three additional patents by the United States Patent and Trademark Office (USPTO) for BRIUMVI, which extended patent protection through 2042.</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 February 2026, five-year data from the ongoing open label extension (OLE) of the Phase 3 ULTIMATE I and II studies were published in JAMA Neurology.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 May 2026, we announced positive topline results from the Phase 3 ENHANCE trial, a randomized, double-blind study evaluating a consolidated single infusion regimen for initiation of BRIUMVI in adults with relapsing forms of multiple sclerosis (RMS). The trial met its primary endpoint, demonstrating bioequivalent drug exposure between the currently approved initiation infusion dosing regimen of 150 mg on Day 1 and 450 mg on Day 15 and a consolidated single 600 mg infusion on Day 1, eliminating the need for a Day 15 infusion.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 June 2026, data from a post-hoc pooled analysis of the Phase 3 ULTIMATE I and II studies evaluating BRIUMVI in treatment-naïve adult patients with RMS was published in Frontiers in Immunology.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 July 2026, we announced the initiation of a Phase 2 clinical trial evaluating BRIUMVI in adults with treatment-resistant schizophrenia.</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Commercialization of BRIUMVI and Market Dynamics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(ublituximab-xiiy), an anti-CD20 monoclonal antibody indicated for the treatment of adults with relapsing forms of multiple sclerosis (RMS), to include clinically isolated syndrome, relapsing-remitting disease, and active secondary progressive disease, was approved by the U.S. Food and Drug Administration (FDA) in December 2022 and commercially launched in the United States in January 2023. BRIUMVI is administered as a one-hour, twice per year infusion following the starting dose. Since launch, our commercialization efforts have focused on expanding prescriber awareness, increasing penetration across infusion centers and neurology practices, securing payer coverage, and supporting patient access within a competitive RMS treatment landscape.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BRIUMVI’s clinical profile, including its one-hour infusion time and twice-annual dosing schedule, together with demonstrated efficacy and safety in pivotal trials and accumulating real-world experience, supports its positioning within the anti-CD20 therapeutic class. The anti-CD20 class represents a significant segment of the RMS market, reflecting physician familiarity with the mechanism of action and long-term treatment considerations. Our ability to expand adoption is dependent on continued execution across access and site-of-care pathways; however, uptake may be influenced by factors including established prescribing practices, patient switching dynamics, payer coverage and utilization management requirements, competitive contracting, site-of-care logistics, and evolving treatment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RMS market is highly competitive and includes numerous approved disease-modifying therapies with varying mechanisms of action, routes of administration, safety profiles, and dosing schedules. Competitive dynamics may be influenced by pricing and contracting strategies, payer utilization management practices, the introduction of new branded products or biosimilars, and broader healthcare system and macroeconomic conditions. Our ability to continue to grow BRIUMVI revenues will depend on sustained physician adoption, patient persistence and adherence, competitive differentiation within the anti-CD20 class, and continued access across commercial and government payers.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net product revenue is subject to gross-to-net adjustments, including mandatory government discounts and rebates, contractual rebates and chargebacks, trade discounts and allowances (including cash discounts), product returns, distribution fees, and patient support programs. These adjustments are influenced by payer and site of care mix, coverage determinations, contracting dynamics, and patient assistance utilization, and may fluctuate from period to period. As our commercial footprint expands and payer contracting strategies evolve, the magnitude and variability of these adjustments may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Ex-U.S. Commercialization of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2023, we announced that the EC granted approval of BRIUMVI to treat adult patients with RMS who have active disease defined by clinical or imaging features. With this approval, the centralized marketing authorization is valid in all EU member states, Iceland, Norway and Liechtenstein.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$12.5 million upon launch in the first EU country in February 2024,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we previously partnered.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we announced the commercial launch of BRIUMVI in the EU by Neuraxpharm, with BRIUMVI made available for commercial sale in Germany.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is now approved in the European Union, the United Kingdom, Switzerland, Australia, Kuwait, the United Arab Emirates, Israel, Saudi Arabia and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Subcutaneous Ublituximab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2024, we announced the initiation of a Phase 1 clinical trial evaluating subcutaneous ublituximab (the active ingredient in BRIUMVI), and sometimes otherwise referred to as “subcutaneous BRIUMVI" in patients with 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2025, we announced the first patients with myasthenia gravis (MG) had been enrolled in a clinical trial evaluating subcutaneous ublituximab.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enrollment commenced in the Phase 3 pivotal program evaluating subcutaneous ublituximab. The Phase 3 pivotal program is a randomized, open label, parallel-group, multicenter study designed to evaluate the pharmacokinetics, pharmacodynamics, safety, radiological and clinical effects of subcutaneous ublituximab compared to IV BRIUMVI in adult participants with RMS. Participants were randomized into one of three arms: 8-week regimen of subcutaneous ublituximab, 12-week regimen of subcutaneous ublituximab or the currently approved IV BRIUMVI dosing schedule. The primary endpoint of the trial is to demonstrate non-inferior exposure of subcutaneous ublituximab compared to IV BRIUMVI as measured by area under the curve (AUC) at week 24. In April 2026, we announced the trial completed enrollment and topline data is expected around year-end 2026 or first quarter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we announced positive PK, PD, safety, and tolerability data from a Phase 1 clinical trial evaluating a high-concentration (400 mg/2 mL) subcutaneous ublituximab as compared to IV BRIUMVI. Over 100 patients had been treated in the trial, including more than 80 patients who received subcutaneous BRIUMVI across multiple dose levels (50 mg – 400 mg) in single and multiple dose cohorts. More than 225 subcutaneous injections of BRIUMVI were administered, of which over 75% were 400 mg (2 mL) injections. Key data highlights included: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Bioavailability/Pharmacokinetics (Drug Exposure):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overall concentration-time profile of subcutaneous BRIUMVI was consistent with expectations for a subcutaneous formulation, with a gradual absorption phase and lower peak concentrations relative to IV, and linear pharmacokinetics were observed over the entire dose range evaluated.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Subcutaneous BRIUMVI demonstrated mean bioavailability of greater than 60% relative to IV administration, with the lower bound of the 95% confidence interval exceeding 55%.</w:t>
            </w:r>
          </w:p>
        </w:tc>
      </w:tr>
    </w:tbl>
    <w:tbl>
      <w:tblPr>
        <w:tblW w:w="8485" w:type="dxa"/>
        <w:jc w:val="left"/>
        <w:tblInd w:w="0" w:type="dxa"/>
        <w:tblLayout w:type="fixed"/>
        <w:tblCellMar>
          <w:top w:w="0" w:type="dxa"/>
          <w:left w:w="0" w:type="dxa"/>
          <w:bottom w:w="0" w:type="dxa"/>
          <w:right w:w="0" w:type="dxa"/>
        </w:tblCellMar>
      </w:tblPr>
      <w:tblGrid>
        <w:gridCol w:w="170"/>
        <w:gridCol w:w="8315"/>
      </w:tblGrid>
      <w:tr>
        <w:trPr/>
        <w:tc>
          <w:tcPr>
            <w:tcW w:w="170"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PK modeling and simulation informed by the Phase 1 bioavailability data support the conclusion that: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quarterly subcutaneous dosing regimen that is being evaluated in the Phase 3 trial would achieve non-inferior total drug exposure over 24 weeks (AUC 0-Wk24) with an estimated geometric mean ratio (GMR) of 1.21 (with a lower bound of the 90% confidence interval at 1.15), as compared to IV BRIUMVI</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every other month subcutaneous dosing regimen that is also being evaluated in the Phase 3 trial, would achieve non-inferior total drug exposure over 24 weeks (AUC 0-Wk24) with an estimated GMR of 1.58 (with a lower bound of the 90% confidence interval at 1.50), as compared to IV BRIUMVI</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lower bound of the 90% confidence intervals for both dosing regimens being evaluated in Phase 3 would exceed the threshold required to establish non-inferiority (&gt;0.80), which is the primary endpoint of the ongoing Phase 3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Pharmacodynamics (Biologic Activity):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Treatment with subcutaneous BRIUMVI resulted in B-cell depletion consistent with IV BRIUMVI, supporting the biological activity of the subcutaneous formulation.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Safety &amp; Tolerability: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Subcutaneous administration was generally well tolerated, with treatment-emergent adverse events (TEAEs) consistent with the known safety profile of IV BRIUMVI.</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injection-site reactions were infrequent, occurring in less than 5% of patients, and systemic injection-related reactions occurred in approximately 21% of patients. Local and systemic injection reactions were not dose dependent and predominantly occurred at the first injection and resolved in 100% of patients.</w:t>
            </w:r>
          </w:p>
        </w:tc>
      </w:tr>
    </w:tbl>
    <w:tbl>
      <w:tblPr>
        <w:tblW w:w="6310" w:type="dxa"/>
        <w:jc w:val="left"/>
        <w:tblInd w:w="0" w:type="dxa"/>
        <w:tblLayout w:type="fixed"/>
        <w:tblCellMar>
          <w:top w:w="0" w:type="dxa"/>
          <w:left w:w="0" w:type="dxa"/>
          <w:bottom w:w="0" w:type="dxa"/>
          <w:right w:w="0" w:type="dxa"/>
        </w:tblCellMar>
      </w:tblPr>
      <w:tblGrid>
        <w:gridCol w:w="170"/>
        <w:gridCol w:w="6140"/>
      </w:tblGrid>
      <w:tr>
        <w:trPr/>
        <w:tc>
          <w:tcPr>
            <w:tcW w:w="170" w:type="dxa"/>
            <w:tcBorders/>
            <w:vAlign w:val="center"/>
          </w:tcPr>
          <w:p>
            <w:pPr>
              <w:pStyle w:val="TableContents"/>
              <w:bidi w:val="0"/>
              <w:spacing w:before="0" w:after="0"/>
              <w:ind w:left="0" w:right="0" w:hanging="0"/>
              <w:jc w:val="left"/>
              <w:rPr/>
            </w:pPr>
            <w:r>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serious injection-site reactions and no new safety signals were observed.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 June 2026, we announced positive topline data from an ongoing Phase 1 clinical trial evaluating subcutaneous BRIUMVI in patients with AChR-antibody-positive MG. 11 patients were treated across cohorts that demonstrated subcutaneous BRIUMVI exposure at least equivalent to the approved IV BRIUMVI regimen. Key data highlights included:</w:t>
      </w:r>
    </w:p>
    <w:p>
      <w:pPr>
        <w:pStyle w:val="TextBody"/>
        <w:bidi w:val="0"/>
        <w:spacing w:before="0" w:after="0"/>
        <w:ind w:left="0" w:right="0" w:firstLine="9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Consistent reductions from baseline were observed across all myasthenia gravis outcome measures over time following treatment with subcutaneous BRIUMVI</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Week 24, 82% of patients achieved the Minimal Clinically Important Difference (MCID) in MG-ADL, defined as a decrease of ≥ 2, with a median time to MCID of 30 days</w:t>
            </w:r>
          </w:p>
        </w:tc>
      </w:tr>
    </w:tbl>
    <w:tbl>
      <w:tblPr>
        <w:tblW w:w="6460" w:type="dxa"/>
        <w:jc w:val="left"/>
        <w:tblInd w:w="0" w:type="dxa"/>
        <w:tblLayout w:type="fixed"/>
        <w:tblCellMar>
          <w:top w:w="0" w:type="dxa"/>
          <w:left w:w="0" w:type="dxa"/>
          <w:bottom w:w="0" w:type="dxa"/>
          <w:right w:w="0" w:type="dxa"/>
        </w:tblCellMar>
      </w:tblPr>
      <w:tblGrid>
        <w:gridCol w:w="170"/>
        <w:gridCol w:w="6290"/>
      </w:tblGrid>
      <w:tr>
        <w:trPr/>
        <w:tc>
          <w:tcPr>
            <w:tcW w:w="170" w:type="dxa"/>
            <w:tcBorders/>
            <w:vAlign w:val="center"/>
          </w:tcPr>
          <w:p>
            <w:pPr>
              <w:pStyle w:val="TableContents"/>
              <w:bidi w:val="0"/>
              <w:spacing w:before="0" w:after="0"/>
              <w:ind w:left="0" w:right="0" w:hanging="0"/>
              <w:jc w:val="left"/>
              <w:rPr/>
            </w:pPr>
            <w:r>
              <w:rPr/>
              <w:t>●</w:t>
            </w:r>
          </w:p>
        </w:tc>
        <w:tc>
          <w:tcPr>
            <w:tcW w:w="6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Overall, a mean 4.6 point improvement in MG-ADL was observed at Week 24</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Subcutaneous BRIUMVI was generally well tolerated, with a safety profile appearing consistent with the established safety profile of IV BRIUMVI in patients with multiple sclerosis</w:t>
            </w:r>
          </w:p>
        </w:tc>
      </w:tr>
    </w:tbl>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Azercabtagene Zapreleucel (azer-cel)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Azer-cel is an allogeneic (off-the-shelf) CD19-directed CAR T cell therapy under development by us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minimize graft-versus-host disease (GvHD), a significant complication associated with other donor-derived, cell-based therapies.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2024, we announced FDA clearance of the IND for azer-cel for the treatment of progressive forms of 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2025, we announced the first patient with progressive multiple sclerosis had been dosed with azer-cel in a Phase 1 trial. The Phase 1 trial has now been expanded to include patients with other B-cell disorders.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more information, please refer to our Annual Report on Form 10-K for the quarter and year ended December 31, 2025.</w:t>
      </w:r>
    </w:p>
    <w:p>
      <w:pPr>
        <w:pStyle w:val="TextBody"/>
        <w:bidi w:val="0"/>
        <w:spacing w:before="0" w:after="0"/>
        <w:ind w:left="18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80" w:right="0" w:hanging="180"/>
        <w:jc w:val="both"/>
        <w:rPr>
          <w:rFonts w:ascii="Times New Roman" w:hAnsi="Times New Roman"/>
          <w:b/>
          <w:caps w:val="false"/>
          <w:smallCaps w:val="false"/>
          <w:sz w:val="20"/>
        </w:rPr>
      </w:pPr>
      <w:r>
        <w:rPr>
          <w:rFonts w:ascii="Times New Roman" w:hAnsi="Times New Roman"/>
          <w:b/>
          <w:caps w:val="false"/>
          <w:smallCaps w:val="false"/>
          <w:sz w:val="20"/>
        </w:rPr>
        <w:t>PIPELINE AND LIFECYCLE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ongoing commercialization of BRIUMVI, we continue to invest in our commercial organization, infrastructure, and internal capabilities to support lifecycle management and potential expansion of the product’s clinical and commercial profile. A key area of focus is the development of a subcutaneous formulation of ublituximab, which is being evaluated as a potential alternative route of administration that may offer increased convenience and flexibility for patients and healthcare providers. We are also exploring the use of BRIUMVI in autoimmune indications outside of MS and are advancing early-stage development activities for azer-cel in autoimmune diseases. These programs reflect our broader strategy to enhance the durability of our portfolio and expand future therapeutic opportunities.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Beyond BRIUMVI, we continue to evaluate potential in-licensing and acquisition opportunities. These opportunities may include earlier-stage programs, complementary products, proprietary technologies, or other therapeutic approaches that could enhance our pipeline and support long-term growth. The scope, timing, and level of any such investments will depend on a range of factors, including scientific and clinical data, manufacturing feasibility, regulatory considerations, commercial readiness, available resources, and overall strategic and financial priorities. </w:t>
      </w:r>
    </w:p>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180" w:right="0" w:hanging="180"/>
        <w:jc w:val="both"/>
        <w:rPr>
          <w:rFonts w:ascii="Times New Roman" w:hAnsi="Times New Roman"/>
          <w:b/>
          <w:caps w:val="false"/>
          <w:smallCaps w:val="false"/>
          <w:sz w:val="20"/>
        </w:rPr>
      </w:pPr>
      <w:r>
        <w:rPr>
          <w:rFonts w:ascii="Times New Roman" w:hAnsi="Times New Roman"/>
          <w:b/>
          <w:caps w:val="false"/>
          <w:smallCaps w:val="false"/>
          <w:sz w:val="20"/>
        </w:rPr>
        <w:t>Financial Overview and Key Components of our Operating Results</w:t>
      </w:r>
    </w:p>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recently achieved profitability, we have historically incurred substantial operating losses since our inception and may continue to experience fluctuations in operating results. Despite the commercialization of BRIUMVI and the potential future commercialization of other product candidates, there can be no assurance that we will maintain profitability on an ongoing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generated revenue of $445.3 million and generated operating income and positive cash flows from operations. We will continue to invest in our research and development programs and in selling, general and administrative activities to support our commercialization efforts, while maintaining discipline around overall expense growth relative to revenue. Our operating results and cash flows have fluctuated in the past and may continue to vary significantly from period to period. We will need to generate substantial revenues to sustain profitability and positive cash flow over the long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our accumulated deficit was approximately $1.1 billion, and we had $612.3 million in cash and cash equivalents, and investment securities, excluding equity investments. Based on our current operating plan and results, we anticipate that our existing cash, cash equivalents, and investment securities, together with projected future revenues, will be sufficient to fund operations and meet our liquidity needs for more than twelve months after the date of filing of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actual level of cash required for operations will depend on numerous factors, including, among others, the scope of commercialization activities for BRIUMVI, the timing of collection of receivables from our customers on extended payment terms, the timing and design of clinical trials for our product candidates, and the costs associated with licensing or acquiring new product candidates. We do not currently expect to need to raise additional capital to fund our ongoing operations, but may from time to time seek additional financing to support strategic initiatives, including potential business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our expenses to increase as we continue to grow and expand our clinical programs and pursue the potential commercialization of additional product candidates. We anticipate incurring significant research and development expenses related to these activities for the foreseeable future. The actual amount of cash needed to support these strategic initiatives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and success of the ongoing commercialization of BRIUMVI and any other products for which we receive regulatory approval;</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and timing of clinical and commercial manufacturing supply arrangements for each product and product candidate;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of expanding our sales, distribution, and other commercialization capabilities;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and timing of regulatory approvals;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progress of our clinical trials, including expenses to support the trials and milestone payments that may become payable under our license agreements;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and maintain strategic collaborations, including licensing and other arrangements;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enforcing or defending patent claims or other intellectual property rights; and</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in-license or invest in other indications or product candidates.</w:t>
            </w:r>
          </w:p>
        </w:tc>
      </w:tr>
    </w:tbl>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revenue consists primarily of royalties owed to our licensing partner for BRIUMVI sales, materials and third-party manufacturing costs, freight, distribution and logistics expenses, and overhead costs associated with our supply chain. Cost of revenue may also include excess or obsolete inventory adjustments, abnormal manufacturing costs, unabsorbed overhead, and manufacturing variances.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our policy to expense costs associated with the manufacture of our products prior to regulatory approval, a portion of the manufacturing costs incurred to produce BRIUMVI before its FDA approval in December 2022 were expensed to research and development. As a result, a portion of the BRIUMVI units recognized as revenue three months ended March 31, 2025 are not included in the cost of product revenue during those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commercialization continues and pre-approval inventory has been fully depleted, we expect cost of revenue and gross margin to normalize to levels that reflect current commercial manufacturing costs, royalty payments, and supply chain expenses. Period-over-period fluctuations in cost of revenue may continue to occur based on the nature of our ordinary course of business operations, including production scheduling, manufacturing, inventory management, and the timing of overhead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Research and Development (R&amp;D) Expenses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other research and development expenses consist primarily of external clinical and manufacturing costs, personnel-related expenses, milestone and licensing payments, and overhead costs supporting development activities. We recognize R&amp;D costs as incurred. These expenses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External development costs</w:t>
            </w:r>
            <w:r>
              <w:rPr>
                <w:rFonts w:ascii="Times New Roman;Times;serif" w:hAnsi="Times New Roman;Times;serif"/>
                <w:caps w:val="false"/>
                <w:smallCaps w:val="false"/>
                <w:sz w:val="20"/>
              </w:rPr>
              <w:t>, including amounts paid to contract research organizations (CROs), contract manufacturing organizations (CMOs), central laboratories, clinical trial sites, and other third-party service providers supporting our preclinical studies, clinical trials, process development and analytical testing;</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Manufacturing and scale-up costs</w:t>
            </w:r>
            <w:r>
              <w:rPr>
                <w:rFonts w:ascii="Times New Roman;Times;serif" w:hAnsi="Times New Roman;Times;serif"/>
                <w:sz w:val="20"/>
              </w:rPr>
              <w:t>, including costs associated with producing preclinical and clinical supply and performing process development and optimization activities. Prior to FDA approval of BRIUMVI, all manufacturing costs for ublituximab were expensed to R&amp;D as incurred. Following approval, manufacturing costs related to commercial supply are capitalized as inventory;</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Personnel and employee-related expenses</w:t>
            </w:r>
            <w:r>
              <w:rPr>
                <w:rFonts w:ascii="Times New Roman;Times;serif" w:hAnsi="Times New Roman;Times;serif"/>
                <w:sz w:val="20"/>
              </w:rPr>
              <w:t>, including salaries, benefits, travel and share-based compensation for employees engaged in research, clinical development, medical, regulatory and manufacturing-support functions;</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Milestone,</w:t>
            </w:r>
            <w:r>
              <w:rPr>
                <w:rFonts w:ascii="Times New Roman;Times;serif" w:hAnsi="Times New Roman;Times;serif"/>
                <w:sz w:val="20"/>
              </w:rPr>
              <w:t> </w:t>
            </w:r>
            <w:r>
              <w:rPr>
                <w:rFonts w:ascii="Times New Roman;Times;serif" w:hAnsi="Times New Roman;Times;serif"/>
                <w:i/>
                <w:sz w:val="20"/>
              </w:rPr>
              <w:t>licensing and collaboration expenses</w:t>
            </w:r>
            <w:r>
              <w:rPr>
                <w:rFonts w:ascii="Times New Roman;Times;serif" w:hAnsi="Times New Roman;Times;serif"/>
                <w:sz w:val="20"/>
              </w:rPr>
              <w:t>, including upfront payments and milestone obligations incurred under in-license and collaboration agreements; and</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Facility and other overhead costs that support research and development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t>
      </w:r>
      <w:r>
        <w:rPr>
          <w:rFonts w:ascii="Times New Roman" w:hAnsi="Times New Roman"/>
          <w:i/>
          <w:caps w:val="false"/>
          <w:smallCaps w:val="false"/>
          <w:sz w:val="20"/>
        </w:rPr>
        <w:t>elling, General, and Administrative (SG&amp;A) Expenses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other selling, general and administrative expenses consist primarily of expenses related to the commercialization of our approved products and the expenses required to maintain and support a growing commercial organization. These expenses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Commercial operations costs</w:t>
            </w:r>
            <w:r>
              <w:rPr>
                <w:rFonts w:ascii="Times New Roman;Times;serif" w:hAnsi="Times New Roman;Times;serif"/>
                <w:caps w:val="false"/>
                <w:smallCaps w:val="false"/>
                <w:sz w:val="20"/>
              </w:rPr>
              <w:t>, including salaries and related expenses, benefits, incentives, share-based compensation and travel for sales, marketing, and commercial development team, as well as promotional programs, marketing initiatives, medical affairs, and reimbursement support services related to BRIUMVI;</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Corporate and administrative personnel costs</w:t>
            </w:r>
            <w:r>
              <w:rPr>
                <w:rFonts w:ascii="Times New Roman;Times;serif" w:hAnsi="Times New Roman;Times;serif"/>
                <w:sz w:val="20"/>
              </w:rPr>
              <w:t>, including salaries, benefits, travel and share-based compensation for executive, finance, accounting, business development, legal, human resources, and other administrative functions;</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Professional fees</w:t>
            </w:r>
            <w:r>
              <w:rPr>
                <w:rFonts w:ascii="Times New Roman;Times;serif" w:hAnsi="Times New Roman;Times;serif"/>
                <w:sz w:val="20"/>
              </w:rPr>
              <w:t>, including legal services, patent-related costs associated with the protection and maintenance of our intellectual property and propriety technologies, accounting and audit services, consulting services, external legal advisors, and other external advisors supporting our operations;</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Corporate infrastructure and facilities costs</w:t>
            </w:r>
            <w:r>
              <w:rPr>
                <w:rFonts w:ascii="Times New Roman;Times;serif" w:hAnsi="Times New Roman;Times;serif"/>
                <w:sz w:val="20"/>
              </w:rPr>
              <w:t>, including rent, utilities, insurance, information technology systems, and other overhead necessary for our day to day operations and to support our commercial and administrative activities;</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Additional SG&amp;A support functions</w:t>
            </w:r>
            <w:r>
              <w:rPr>
                <w:rFonts w:ascii="Times New Roman;Times;serif" w:hAnsi="Times New Roman;Times;serif"/>
                <w:sz w:val="20"/>
              </w:rPr>
              <w:t>, such as medical affairs, legal activities, market access, reimbursement operations, and compliance.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three months ended June 30, 2026 and 2025:</w:t>
      </w:r>
    </w:p>
    <w:p>
      <w:pPr>
        <w:pStyle w:val="TextBody"/>
        <w:bidi w:val="0"/>
        <w:spacing w:before="0" w:after="0"/>
        <w:ind w:left="0" w:right="0" w:firstLine="56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3710"/>
        <w:gridCol w:w="60"/>
        <w:gridCol w:w="125"/>
        <w:gridCol w:w="695"/>
        <w:gridCol w:w="80"/>
        <w:gridCol w:w="60"/>
        <w:gridCol w:w="125"/>
        <w:gridCol w:w="695"/>
        <w:gridCol w:w="80"/>
        <w:gridCol w:w="60"/>
        <w:gridCol w:w="125"/>
        <w:gridCol w:w="695"/>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96,951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99,187</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22,256</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59,803</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18,784</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26,545</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112,356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7,517</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i/>
          <w:caps w:val="false"/>
          <w:smallCaps w:val="false"/>
          <w:sz w:val="20"/>
        </w:rPr>
        <w:t xml:space="preserve">. </w:t>
      </w:r>
      <w:r>
        <w:rPr>
          <w:rFonts w:ascii="Times New Roman" w:hAnsi="Times New Roman"/>
          <w:caps w:val="false"/>
          <w:smallCaps w:val="false"/>
          <w:sz w:val="20"/>
        </w:rPr>
        <w:t>Product revenue, net was approximately $235.8 million for the three months ended June 30, 2026, compared to $138.8 million for the three months ended June 30, 2025. Product revenue, net for both the three months ended June 30, 2026 and June 30, 2025 consisted of net product sales of BRIUMVI in the United States of $227.7 million and $138.8 million, respectively. Also included in product revenue, net for the three months ended June 30, 2026 is sales of BRIUMVI to our ex-U.S. licensing partner, Neuraxpharm, of $8.1 million. The increase in product revenue, net is a result of greater market penetration of BRIUMVI in the United States and from commercial product sales supplied to Neuraxpharm under the Commercialization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Milestone, Royalty and Other Revenue</w:t>
      </w:r>
      <w:r>
        <w:rPr>
          <w:rFonts w:ascii="Times New Roman" w:hAnsi="Times New Roman"/>
          <w:caps w:val="false"/>
          <w:smallCaps w:val="false"/>
          <w:sz w:val="20"/>
        </w:rPr>
        <w:t>. License, milestone, royalty and other revenue was $4.5 million for the three months ended June 30, 2026 and $2.3 million for the three months ended June 30, 2025. License, milestone, royalty and other revenue for the three months ended June 30, 2026 is comprised of $3.6 million of royalty revenue recognized under the Commercialization Agreement with Neuraxpharm and $0.9 million of consideration received for development and regulatory activities performed on behalf of Neuraxpharm in accordance with the Commercialization Agreement (see Note 2 – Revenue for more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Cost of revenue for the three months ended June 30, 2026 was $41.2 million compared to approximately $18.9 million for the three months ended June 30, 2025. Cost of revenue for both periods consisted primarily of royalties owed to our licensing partner for BRIUMVI sales, as well as third-party manufacturing, distribution and overhead costs. The increase was primarily driven by growth in BRIUMVI U.S. sales volume and sales to our ex-U.S. licensing partner, Neuraxpharm, during the three months ended June 30, 2026. There were no sales to Neuraxpharm during the three months ended June 30, 2025. Gross margin on BRIUMVI U.S. net product revenue remained approximately 87% during the three months ended June 30, 2026. Total gross margin was approximately 83%, reflecting the impact of sales to Neuraxpharm and other revenue sources, which carry different margins than BRIUMVI U.S. net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Stock-Based Compensation Expense (Research and Development)</w:t>
      </w:r>
      <w:r>
        <w:rPr>
          <w:rFonts w:ascii="Times New Roman" w:hAnsi="Times New Roman"/>
          <w:caps w:val="false"/>
          <w:smallCaps w:val="false"/>
          <w:sz w:val="20"/>
        </w:rPr>
        <w:t>. Stock-based compensation expense (research and development) related to equity incentive grants and liability-classified awards totaled $8.1 million for the three months ended June 30, 2026, as compared to $4.3 million during the comparable period ended June 30, 2025. The increase in stock-based compensation expense for the three months ended June 30, 2026, as compared to the three months ended June 30, 2025, was primarily due to the mark-to-market impact on stock tracking units, an increase in headcount, and greater recognition of stock-based compensation expense for performance and market-based awards.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 </w:t>
      </w:r>
      <w:r>
        <w:rPr>
          <w:rFonts w:ascii="Times New Roman" w:hAnsi="Times New Roman"/>
          <w:caps w:val="false"/>
          <w:smallCaps w:val="false"/>
          <w:sz w:val="20"/>
        </w:rPr>
        <w:t>Other research and development expense was $87.3 million for the three months ended June 30, 2026, as compared to $27.5 million during the three months ended June 30, 2025. The increase in research and development expense during the three months ended June 30, 2026 was primarily attributable to an increase in manufacturing expense in connection with our subcutaneous development work, as well as other R&amp;D manufacturing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Stock-Based Compensation Expense (Selling, General and Administrative)</w:t>
      </w:r>
      <w:r>
        <w:rPr>
          <w:rFonts w:ascii="Times New Roman" w:hAnsi="Times New Roman"/>
          <w:caps w:val="false"/>
          <w:smallCaps w:val="false"/>
          <w:sz w:val="20"/>
        </w:rPr>
        <w:t>. Stock-based compensation expense (selling, general and administrative) related to equity incentive grants and liability-classified awards totaled $19.8 million for the three months ended June 30, 2026, as compared to $12.0 million during the comparable period ended June 30, 2025. The increase in stock-based compensation expense was primarily due to the mark-to-market impact on stock trading units, greater recognition of stock-based compensation expense for performance and market-based awards, and an increase in headcount during the three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Selling, General and Administrative Expenses</w:t>
      </w:r>
      <w:r>
        <w:rPr>
          <w:rFonts w:ascii="Times New Roman" w:hAnsi="Times New Roman"/>
          <w:caps w:val="false"/>
          <w:smallCaps w:val="false"/>
          <w:sz w:val="20"/>
        </w:rPr>
        <w:t>. Other selling, general and administrative expenses totaled $62.3 million for the three months ended June 30, 2026, as compared to $43.5 million during the comparable period ended June 30, 2025. The increase was primarily due to marketing and media spend, and personnel-related costs associated with the commercialization of BRIUMVI during the three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totaled $16.6 million for the three months ended June 30, 2026, as compared to $6.7 million for the three months ended June 30, 2025. The increase is mainly due to increased interest expense pertaining to the First Amendment to the Financing Agreement with Blue Owl Capital during the three months ended June 30, 2026 (see Note 7 – Loan Payable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Other income totaled $5.1 million for the three months ended June 30, 2026, as compared to $2.8 million during the comparable period ended June 30, 2025. The increase is mainly due to more income earned from investments during the three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Income Tax Expense. </w:t>
      </w:r>
      <w:r>
        <w:rPr>
          <w:rFonts w:ascii="Times New Roman" w:hAnsi="Times New Roman"/>
          <w:caps w:val="false"/>
          <w:smallCaps w:val="false"/>
          <w:sz w:val="20"/>
        </w:rPr>
        <w:t>Income tax expense totaled $2.5 million for the three months ended June 30, 2026, as compared to income tax expense of $2.7 million during the comparable period ended June 30, 2025. The decrease was primarily due to lower pre-tax income for the three months ended June 30, 2026, partially offset by a higher effective tax rate following the release of our deferred tax asset valuation allowance during the quarter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six months ended June 30, 2026 and 2025:</w:t>
      </w:r>
    </w:p>
    <w:p>
      <w:pPr>
        <w:pStyle w:val="TextBody"/>
        <w:bidi w:val="0"/>
        <w:spacing w:before="0" w:after="0"/>
        <w:ind w:left="0" w:right="0" w:firstLine="56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3710"/>
        <w:gridCol w:w="60"/>
        <w:gridCol w:w="125"/>
        <w:gridCol w:w="695"/>
        <w:gridCol w:w="80"/>
        <w:gridCol w:w="60"/>
        <w:gridCol w:w="125"/>
        <w:gridCol w:w="695"/>
        <w:gridCol w:w="80"/>
        <w:gridCol w:w="60"/>
        <w:gridCol w:w="125"/>
        <w:gridCol w:w="695"/>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178,604</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183,249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60,293</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65,589</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170,245</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10,765</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9,153</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i/>
          <w:caps w:val="false"/>
          <w:smallCaps w:val="false"/>
          <w:sz w:val="20"/>
        </w:rPr>
        <w:t xml:space="preserve">. </w:t>
      </w:r>
      <w:r>
        <w:rPr>
          <w:rFonts w:ascii="Times New Roman" w:hAnsi="Times New Roman"/>
          <w:caps w:val="false"/>
          <w:smallCaps w:val="false"/>
          <w:sz w:val="20"/>
        </w:rPr>
        <w:t>Product revenue, net was approximately $437.1 million for the six months ended June 30, 2026, compared to $258.5 million for the six months ended June 30, 2025. Product revenue, net for both the six months ended June 30, 2026 and June 30, 2025 consisted of net product sales of BRIUMVI in the United States of $422.5 million and $258.5 million, respectively. Also included in product revenue, net for the six months ended June 30, 2026 is sales of BRIUMVI to our ex-U.S. licensing partner, Neuraxpharm, of $14.6 million. The increase in product revenue, net is a result of greater market penetration of BRIUMVI in the United States and from commercial product sales supplied to Neuraxpharm under the Commercialization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Milestone, Royalty and Other Revenue</w:t>
      </w:r>
      <w:r>
        <w:rPr>
          <w:rFonts w:ascii="Times New Roman" w:hAnsi="Times New Roman"/>
          <w:caps w:val="false"/>
          <w:smallCaps w:val="false"/>
          <w:sz w:val="20"/>
        </w:rPr>
        <w:t>. License, milestone, royalty and other revenue was $8.1 million for the six months ended June 30, 2026 and $3.5 million for the six months ended June 30, 2025. License, milestone, royalty and other revenue for the six months ended June 30, 2026 is comprised of $6.3 million of royalty revenue recognized under the Commercialization Agreement with Neuraxpharm and $1.8 million of consideration received for development and regulatory activities performed on behalf of Neuraxpharm in accordance with the Commercialization Agreement (see Note 2 – Revenue for more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Cost of revenue for the six months ended June 30, 2026 was $74.7 million compared to approximately $34.5 million for the six months ended June 30, 2025. Cost of revenue for both periods consisted primarily of royalties owed to our licensing partner for BRIUMVI sales, as well as third-party manufacturing, distribution and overhead costs. The increase was primarily driven by growth in BRIUMVI U.S. sales volume and sales to our ex-U.S. licensing partner, Neuraxpharm, during the six months ended June 30, 2026. There were no sales to Neuraxpharm during the six months ended June 30, 2025. Gross margin on BRIUMVI U.S. net product revenue remained approximately 87% during the six months ended June 30, 2026. Total gross margin was approximately 83%, reflecting the impact of sales to Neuraxpharm and other revenue sources, which carry different margins than BRIUMVI U.S. net product revenue.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Stock-Based Compensation Expense (Research and Development)</w:t>
      </w:r>
      <w:r>
        <w:rPr>
          <w:rFonts w:ascii="Times New Roman" w:hAnsi="Times New Roman"/>
          <w:caps w:val="false"/>
          <w:smallCaps w:val="false"/>
          <w:sz w:val="20"/>
        </w:rPr>
        <w:t>. Stock-based compensation expense (research and development) related to equity incentive grants and liability-classified awards totaled $12.9 million for the six months ended June 30, 2026, as compared to $7.6 million during the comparable period ended June 30, 2025. The increase in stock-based compensation expense was primarily due to the mark to market impact on stock tracking units, greater recognition of stock-based compensation expense for performance and market-based awards, and an increase in headcount during the six months ended June 30, 2026, as compared to the six months ended June 30, 2025.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 </w:t>
      </w:r>
      <w:r>
        <w:rPr>
          <w:rFonts w:ascii="Times New Roman" w:hAnsi="Times New Roman"/>
          <w:caps w:val="false"/>
          <w:smallCaps w:val="false"/>
          <w:sz w:val="20"/>
        </w:rPr>
        <w:t>Other research and development expense was $130.8 million for the six months ended June 30, 2026, as compared to $70.5 million during the six months ended June 30, 2025. The increase in research and development expense during the six months ended June 30, 2026 was primarily attributable to an increase in manufacturing expense in connection with our subcutaneous development work, as well as other R&amp;D manufacturing activities, and increased clinical trial related expenses pertaining to our clinical pipeline during the period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Stock-Based Compensation Expense (Selling, General and Administrative)</w:t>
      </w:r>
      <w:r>
        <w:rPr>
          <w:rFonts w:ascii="Times New Roman" w:hAnsi="Times New Roman"/>
          <w:caps w:val="false"/>
          <w:smallCaps w:val="false"/>
          <w:sz w:val="20"/>
        </w:rPr>
        <w:t>. Stock-based compensation expense (selling, general and administrative) related to equity incentive grants and liability-classified awards totaled $34.9 million for the six months ended June 30, 2026, as compared to $23.7 million during the comparable period ended June 30, 2025. The increase in stock-based compensation expense was primarily due to the mark-to-market impact on stock trading units, greater recognition of stock-based compensation expense for performance and market-based awards, and an increase in headcount during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Selling, General and Administrative Expenses</w:t>
      </w:r>
      <w:r>
        <w:rPr>
          <w:rFonts w:ascii="Times New Roman" w:hAnsi="Times New Roman"/>
          <w:caps w:val="false"/>
          <w:smallCaps w:val="false"/>
          <w:sz w:val="20"/>
        </w:rPr>
        <w:t>. Other selling, general and administrative expenses totaled $135.5 million for the six months ended June 30, 2026, as compared to $82.2 million during the comparable period ended June 30, 2025. The increase was primarily due to marketing and media spend, and personnel-related costs associated with the commercialization of BRIUMVI during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totaled $24.2 million for the six months ended June 30, 2026, as compared to $13.5 million for the six months ended June 30, 2025. The increase is mainly due to increased interest expense pertaining to the First Amendment to the Financing Agreement with Blue Owl Capital during the six months ended June 30, 2026 (see Note 7 – Loan Payable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Loss on extinguishment of debt</w:t>
      </w:r>
      <w:r>
        <w:rPr>
          <w:rFonts w:ascii="Times New Roman" w:hAnsi="Times New Roman"/>
          <w:caps w:val="false"/>
          <w:smallCaps w:val="false"/>
          <w:sz w:val="20"/>
        </w:rPr>
        <w:t>. Loss on extinguishment of debt totaled $9.2 million for the six months ended June 30, 2026 related to the write-off of unamortized deferred financing and debt discount costs, as well as prepayment fees associated with the Initial Term Loan with Blue Owl Capital, as compared to zero for the six months ended June 30, 2025 (see Note 7 – Loan Payable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Other income totaled $7.5 million for the six months ended June 30, 2026, as compared to $6.4 million during the comparable period ended June 30, 2025. The increase is mainly due to more income earned from investments during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Income Tax Expense. </w:t>
      </w:r>
      <w:r>
        <w:rPr>
          <w:rFonts w:ascii="Times New Roman" w:hAnsi="Times New Roman"/>
          <w:caps w:val="false"/>
          <w:smallCaps w:val="false"/>
          <w:sz w:val="20"/>
        </w:rPr>
        <w:t>Income tax expense totaled $3.0 million for the six months ended June 30, 2026, as compared to income tax expense of $3.1 million during the comparable period ended June 30, 2025. The decrease was primarily due to lower pre-tax income for the six months ended June 30, 2026, partially offset by a higher effective tax rate following the release of our deferred tax asset valuation allowance during the quarter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Material Cash Requirements and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material cash requirements primarily relate to the continued commercialization of BRIUMVI, including commercial operations, manufacturing and supply commitments, medical affairs activities, post-marketing requirements, and ongoing clinical development programs, as well as general and administrative expenses supporting our commercial-stage operations. Certain of these requirements arise from contractual commitments, while others are driven by our operating plan and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fund these expenditures through existing cash, cash equivalents and investment securities, cash flows from BRIUMVI product sales, and, if needed, access to additional capital under the uncommitted portion of our term loan facility with Blue Owl Capital or other financing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our contractual obligations consist primarily of purchase and supply commitments supporting the commercial and clinical manufacture of BRIUMVI. Certain of these agreements include non-cancelable provisions, minimum purchase requirements, or binding forecast commitments. We also maintain lease obligations for our office facilities in New York and North Carolina, which are expected to be funded through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our Financing Agreement with Blue Owl Capital, we are obligated to make interest and future principal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enter into collaboration and license agreements that may require future milestone and royalty payments. Because these payments are contingent upon the achievement of specified events, they are not included in our contractual commitments but could become material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our current operating plan, financial resources, and projected results, we believe we have sufficient liquidity to fund operations and meet our material cash requirements for at least the next twelve months from the date of filing of this Quarterly Report on Form 10-Q. However, future capital requirements will depend on a number of factors, and additional financing may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Discussion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4115"/>
        <w:gridCol w:w="60"/>
        <w:gridCol w:w="125"/>
        <w:gridCol w:w="695"/>
        <w:gridCol w:w="80"/>
        <w:gridCol w:w="60"/>
        <w:gridCol w:w="125"/>
        <w:gridCol w:w="650"/>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for the six months ended June 30, 2026 was $21.4 million as compared to net cash used in operating activities of $21.3 million for the six months ended June 30, 2025, representing a $42.6 million improvement year over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improvement was driven by higher non-cash adjustments to reconcile net income to net cash provided by operating activities and favorable working capital changes. Operating cash flow benefited from favorable working capital changes, including a decrease in other current assets as compared to an increase in the six months ended June 30, 2025, a $34.1 million improvement, a smaller increase in accounts receivable, a $6.4 million improvement, and a larger increase in accounts payable and accrued expenses, a $26.0 million improvement. These favorable impacts were partially offset by a larger increase in inventory purchases, a $37.4 million unfavorable year-over-year impact, and a decrease in income taxes payable, a $10.6 million unfavorable year-over-year impact.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for the six months ended June 30, 2026 was $8.8 million as compared to $16.9 million used in investing activities for the six months ended June 30, 2025. The improvement in net cash used in investing activities was primarily due to decreased investments in held-to-maturity securities during the six months ended June 30, 2026, as compared to the six months ended June 30, 2025, partially offset by decreased proceeds from maturity of held-to-maturity securities during the six months ended June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for the six months ended June 30, 2026 was approximately $390.9 million as compared to net cash used in financing activities of $12.5 million for the six months ended June 30, 2025. Net cash provided by financing activities during the six months ended June 30, 2026 was mainly due to the proceeds from the 2026 Term Loan, net of financing costs paid, partially offset by the repurchase of stock under our share repurchase program. Net cash used in financing activities during the six months ended June 30, 2025 was mainly due to the repurchase of stock under our share repurchase program.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Annual Report on Form 10-K for the year ended December 31, 2025, and refer to Note 1 - Organization and Summary of Significant Accounting Policies in this Quarterly Report on Form 10-Q for significant accounting policies due to commercialization for revenue recognition, gross-to-net sales adjustments, accounts receivable, inventory, deferred tax asset valuation allowance, and cost of revenue. Of these policies, the following are considered critical to an understanding of our condensed consolidated financial statements as they require the application of the most difficult, subjective and complex judgments: revenue recognition and stock-based compensation expenses. Refer to Note 2 – Revenue and Note 6 – Stockholders’ Equity respectively, in this Quarterly Report on Form 10-Q for more information.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quant"/>
      <w:bookmarkEnd w:id="13"/>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exposure to market risk has not changed materially since our disclosure in Item 7A, “Quantitative and Qualitative Disclosures About Market Risk” in our Annual Report on Form 10-K for the year ended December 31,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4" w:name="controls"/>
      <w:bookmarkEnd w:id="14"/>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2026, our disclosure controls and procedures were effective.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during the quarter ended June 30, 2026 that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5" w:name="parttwootherinfo"/>
      <w:bookmarkEnd w:id="15"/>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legal"/>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and our subsidiaries, are not a party to, and our property is not the subject of, any material pending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risk"/>
      <w:bookmarkEnd w:id="17"/>
      <w:r>
        <w:rPr>
          <w:rFonts w:ascii="Times New Roman" w:hAnsi="Times New Roman"/>
          <w:b/>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You should carefully consider the following risk factors and the other information contained elsewhere in this Quarterly Report on Form 10-Q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r>
        <w:rPr>
          <w:rFonts w:ascii="Times New Roman" w:hAnsi="Times New Roman"/>
          <w:caps w:val="false"/>
          <w:smallCaps w:val="false"/>
          <w:sz w:val="20"/>
        </w:rPr>
        <w:t> </w:t>
      </w:r>
      <w:r>
        <w:rPr>
          <w:rFonts w:ascii="Times New Roman" w:hAnsi="Times New Roman"/>
          <w:i/>
          <w:caps w:val="false"/>
          <w:smallCaps w:val="false"/>
          <w:sz w:val="20"/>
        </w:rPr>
        <w:t>Investors should also refer to the other information contained or incorporated by reference in this Quarterly Report on Form 10-Q, including our financial statements and related notes, and our other filings from time to time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obtain marketing approval from the U.S. Food and Drug Administration (FDA) or any comparable regulatory authority outside of the U.S. for a product candidate and do not achieve broad market acceptance among physicians, patients, healthcare payors, and the medical community, the revenues that we generate from product sales will be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have one marketed product, BRIUMVI, which received approval from the FDA in December 2022, for the treatment of relapsing forms of multiple sclerosis (RMS), to include clinically isolated syndrome, relapsing-remitting disease, and active secondary progressive disease, in adults, as well as approval by several regulatory authorities outside of the U.S. for BRIUMVI to treat adult patients with RMS who have active disease defined by clinical or imaging features.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limited experience as a commercial company, and our ability to successfully overcome the risks associated with commercializing drugs in the biopharmaceutical industry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our receipt of marketing approvals, the terms of such approvals, and the countries in which such approvals are obtained;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efficacy, safety and tolerability as demonstrated in clinical trials and as compared to alternative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market introduction of BRIUMVI and any of our product candidates, as well as competitive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indications for which our products are approved, and other aspects of the approved labeling for such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by physicians, advanced practitioners, major operators of neurology clinics, and patients of our products as safe, tolerable and effective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and perceived advantages or disadvantages of our products compared to alternative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offer our products for sale at competitive prices;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adequate reimbursement by third-party payors and government authorities;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of patient cost-sharing obligations, including copays and deductibles;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regulatory requirements by government authorities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relative convenience and ease of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prevalence and severity of side effects and adverse events;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the target patient population to try new therapies and of physicians to prescribe these therapies;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effectiveness of our sales and marketing efforts, as well as those of any current or future partners;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protecting our rights in our intellectual property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a reliable supply of our products that meets market demand;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favorable or unfavorable publicity relating to our products or relating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limitations on the indicated uses or requirements to fulfill certain post-marketing requirements or commitments to the satisfaction of regulatory authorities or may be unable to maintain marketing approval for BRIUMVI or future products that we may bring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There are currently ongoing clinical studies evaluating BRIUMVI in patients with RMS, but the ultimate outcome of these and other studies remains uncertain.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with respect to BRIUMVI and any product candidate that the FDA or a comparable regulatory authority outside the U.S.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and any of our product candidates for which we in the future obtain marketing approval, may, after approval, be found to cause undesirable side effects that could result in significant negative consequences following commercialization.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or adverse events caused by BRIUMVI or other products or product candidates within the RMS space following introduction into the market, a number of potentially significant negative consequences could result,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approval or limit the approved indications for use of such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such drug candidates are distributed or administered, or to conduct additional clinical trials;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and government enforcement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decide to remove such drug candidates from the marketplace;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enter into collaboration agreements on acceptable terms and execute on our business model;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injury caused to individuals exposed to or taking our products;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may suffer.</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substantial competition, which may result in others commercializing drugs before or more successfully than we do, resulting in the reduction or elimination of our commercial opportunity.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 areas that we are, including within the neurological and immunological fields, some in direct competition with us. We may also compete with these organizations to recruit commercial and other key personnel, as well as study subjects for clinical trials. Smaller or early-stage companies may also prove to be significant competitors, particularly through collaborative arrangements with large and established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direct-to-consumer advertising and non-promotional communications (certain educational and scientific exchange), and with regard to potential competitor actions under federal law (such as the Lanham Act) and congruous state law, which protect businesses against the unfair competition of misleading advertising or labeling.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resources, including personnel and technology;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pharmaceutical development, clinical trial and pharmaceutical commercialization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and expertise in exploitation of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capital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also face competition from these third parties in recruiting and retaining qualified personnel, establishing clinical trial sites, patient registration for clinical trials, and in identifying and in-licensing new products and product candidates.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as well as any products that we are able to commercialize in the future, may become subject to unfavorable pricing regulations or third-party payor coverage and reimbursement policies, which would harm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 See “Risk Factors – Risks Related to Governmental Regulation of the Pharmaceutical Industry and Legal Compliance Matters – We are subject to new legislation, regulatory proposals and third-party payor initiatives that may increase our costs of compliance and adversely affect our ability to market our products, obtain collaborators and raise capital.”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legislative and regulatory proposals in the United States have included “most favored nation” (MFN) or international reference pricing models that would tie reimbursement or net prices for certain drugs to the lowest price available in other countries. Adoption or expansion of MFN or similar reference pricing policies could result in downward pressure on U.S. pricing if BRIUMVI or any of our future products are sold at lower net prices in ex-U.S. markets. Because we have partnered the rights to commercialize BRIUMVI in territories outside of the U.S. and do not control pricing, reimbursement negotiations or commercial strategy in those territories, we may have limited ability to influence ex-U.S. pricing decisions that could be used as reference points under MFN or similar frameworks. As a result, pricing determinations made by our collaboration partner in Europe, including in response to local market access dynamics or governmental requirements, could adversely affect the reimbursement or net price realized for BRIUMVI in the U.S. or other markets, which could have a material adverse effect on our revenues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expand our commercialization operations, we may not be successful in commercializing BRIUMVI or any product candidate, if and when such product candidates are approved, and we may not be able to generate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Commercialization of pharmaceutical products is an extremely complex and highly capital and resource-intensive process. Even for established companies with existing infrastructure and significantly greater resources than we have, challenges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made and continue to make significant investments in our commercial organization and infrastructure. We have developed and expanded our processes and systems to support the ongoing commercialization of BRIUMVI following its commercial launch in the U.S. in January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factors that may inhibit our efforts to support the ongoing commercialization of BRIUMVI and our other product candidates on our own, or through partnership, and generate product revenues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time associated with the initial and ongoing training of commercialization personnel on the applicable disease states, products, competitors, and legal and regulatory compliance matters;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of commercialization personnel to obtain access to physicians or to effectively promote or provide education about BRIUMVI and any future approved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lack of complementary drugs to be offered by the Company, which may put us at a competitive disadvantage relative to companies with more extensive product lines;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third-party payors to deny reimbursement of, require rebates or discounts, or delay coverage decisions regarding BRIUMVI or following approval of any product candidates;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maintain a healthcare compliance program including effective mechanisms for compliance monitoring;</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establish and maintain commercial partnerships outside the U.S.;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or the inability of a third party with whom we have partnered, to maintain the necessary regulatory approvals required to operate in markets outside of the U.S.;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product availability for commercial sale following approval and continued product supply;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costs and expenses associated with creating a commercialization 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a Commercialization Agreement for the sale of BRIUMVI in certain territories outside the U.S., Canada and Mexico, the commercialization rights for which had been previously retained by the Company, which excludes certain countries in Asia subject to previously existing partnerships. We may enter into additional agreements in the future to facilitate commercialization of BRIUMVI and/or future products that receive approval in markets outside the U.S. through partnerships. In February 2024, BRIUMVI was first made available in the European market by Neuraxpharm in Germany and is now commercially available in several other jurisdictions outside of the U.S.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decide to build and maintain a commercial infrastructure on our own in markets outside of the U.S., we expect to incur significant expenses, which could have a negative impact on our cash resources. If we do not establish sales and marketing capabilities successfully, either on our own or in collaboration with third parties, we will not be successful in commercializing our drug candidates. Further, our business, results of operations, financial condition and prospects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could limit commercialization of any drug candidates that we may develop.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a risk of product liability exposure related to the testing of our product candidates in human clinical trials and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any products that we may commercialize;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 and significant negative media attention;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clinical trial participants;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costs to defend the related litigation, including the risk that any individuals who may face such related litigation may in turn seek to recover from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trial participants or patients;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loss of revenue;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commercialize any products or product candidates that we may develop.</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contracts that we enter into with government entities may involve future funding and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the current U.S. political environment, there is significant uncertainty with respect to legislation, regulation and policy throughout the government with particular implications for companies that rely on government contracts. For a discussion on tariffs and changes to government regulations, including the BIOSECURE Act and related risks, see “Risk Factors – Risks Related to Our Business Organization and Governance, Strategy, Employees and Growth Management – Unfavorable global economic conditions and changes in government regulations could adversely affect our business, financial condition or results of operations.” Policy changes, shifts in international and trade relations, tariffs, budget uncertainty, shifting funding priorities, U.S. government shutdowns or the need to operate under continuing resolutions, the failure of the U.S. government to manage debt, the failure of the U.S. government to approve budgets, and/or other disruptions to federal government operations could result in contract terminations, delays in contract awards, reduction in contract scope, the failure to exercise contract options, the cancellation of planned procurements and fewer new business opportunities, all of which could have a material and adverse effect on our business, financial condition, and results of operations.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Financial Position and Need for Additional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a history of losses and our ability to maintain profitability in the future remains uncertain. We expect to incur significant expenses for the foreseeable future as we commercialize BRIUMVI and advance our other product candidates through clinical trials, seek regulatory approvals and pursue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Biopharmaceutical drug development is a highly speculative undertaking and involves a substantial degree of risk. We commenced operations in January 2012 and currently have one marketed product, BRIUMVI, which received approval from the FDA in December 2022.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and product revenues generated from BRIUMVI. We expect to continue to incur significant research and development expenses, as well as significant commercialization and outsourced manufacturing expenses as we continue to commercialize BRIUMVI and advance our other product candidates through clinical trials, seek regulatory approval and pursue commercialization of any approved product candidates. Because of the numerous risks and uncertainties associated with developing and commercializing pharmaceutical products, we are unable to predict the extent of any future losses, or for how long we may continue to experience profitability. We may not be able to sustain or increase our profitability on a quarterly or annual basis. Our ability to maintain profitability depends upon our ability to generate substantial revenue. Our prior losses have had and will continue to have an adverse effect on our stockholders’ deficit and working capital should we be unable to maintain profitability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obtaining and maintaining regulatory approval for our products and product candidates and manufacturing, marketing and selling our product and product candidates. Our ability to generate sustained revenue depends on a number of factors, including, but not limited to, our ability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complete clinical trials that meet their clinical endpoints;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all safety, pharmacokinetic, biodistribution, and non-clinical studies required to obtain U.S. and non-U.S. marketing approval for our product and product candidates;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from the FDA and comparable regulatory authorities outside of the U.S. to market and sell our product and product candidates, and maintain FDA and other global approvals of BRIUMVI for RMS;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and maintain commercial manufacturing capabilities with third parties that are satisfactory to the regulatory authorities, cost effective, and that are capable of providing commercial supply of our product and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expand on our commercialization infrastructure to commercialize BRIUMVI, and/or entering into collaborations with third parties;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develop, maintain, protect, and defend our intellectual property portfolio;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 market acceptance of BRIUMVI and any other products for which we may receive regulatory approval in the medical community and with third-party payors.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are unable to generate significant and sustained revenues, we will not become or remain profitable and we will be unable to continue our operations without continued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 may seek additional capital to support our business, strategic initiatives or other corporate purposes, and if adequate financing is not available when needed, our business and growth prospects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development and commercialization of innovative therapies is capital intensive. We expect to continue to invest substantially in the commercialization and lifecycle management of BRIUMVI, including the generation of additional clinical data to support its long-term commercial adoption and potential expansion into additional indications and formulations. We also expect to continue investing in the advancement of our clinical pipeline, including programs evaluating subcutaneous (SubQ) ublituximab, optimization of intravenous BRIUMVI for patients with RMS, the evaluation of BRIUMVI in additional autoimmune diseases, azer-cel for the treatment of primary progressive multiple sclerosis, and other current or future development programs. In addition, we expect to continue to incur significant research and development, manufacturing, commercialization and general and administrative expenses as we execute our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believe that our existing cash, cash equivalents, investments, anticipated revenues from BRIUMVI and other available sources of capital will be sufficient to fund our currently planned operations for the foreseeable future, our future capital requirements will depend on many factors, including:</w:t>
        <w:b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 performance of BRIUMVI and any future approved products;</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scope, costs and results of our research and development programs and clinical trials;</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manufacturing clinical and commercial product supply;</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timing and costs associated with obtaining and maintaining regulatory approvals and satisfying post-marketing requirements; </w:t>
            </w:r>
            <w:r>
              <w:rPr>
                <w:rFonts w:ascii="Times New Roman;Times;serif" w:hAnsi="Times New Roman;Times;serif"/>
                <w:caps w:val="false"/>
                <w:smallCaps w:val="false"/>
                <w:strike/>
                <w:sz w:val="20"/>
              </w:rPr>
              <w:t xml:space="preserve">; </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expanding our commercial infrastructure and supporting future product launches;</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enter into and timing of strategic collaborations, licensing arrangements and/or other business development transactions;</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protecting, maintaining and enforcing our intellectual property rights and defending against third-party claims; and</w:t>
            </w:r>
          </w:p>
        </w:tc>
      </w:tr>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caps w:val="false"/>
                <w:smallCaps w:val="false"/>
                <w:strike/>
              </w:rPr>
            </w:pPr>
            <w:r>
              <w:rPr>
                <w:caps w:val="false"/>
                <w:smallCaps w:val="false"/>
                <w:strike/>
              </w:rPr>
              <w:t xml:space="preserve">● </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opportunities to acquire, license or invest in additional technologies, product candidates or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from time to time opportunistically seek additional capital through equity offerings, debt financings, strategic collaborations, licensing arrangements or other financing transactions to support our business, pursue strategic opportunities, strengthen our balance sheet or for other corporate purposes. There can be no assurance that such financing will be 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adequate capital is not available when needed, we may be required to delay, scale back or discontinue research and development programs, reduce commercialization activities, postpone or forgo strategic acquisitions, licensing transactions or other growth opportunities, or otherwise modify our business strategy. In addition, any future equity financing could be dilutive to our stockholders, while debt financing could increase our leverage and impose additional financial and operating restrictions.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Raising additional capital may cause dilution to our stockholders, restrict our operations or require us to relinquish rights to our technologies or drug candidates and occupy valuable management time and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experience the need to or choose to opportunistically raise additional capital through a combination of public and private equity offerings, debt financings, collaborations, strategic alliances, licensing agreements or other arrangements. We do not have any committed external source of funds, other than funds already borrowed under our term loan facility of $750 million (the 2026 Term Loan) and an uncommitted additional facility in an aggregate principal amount up to $250 million pursuant to the financing agreement, dated August 2, 2024, as amended on March 18, 2026, that we entered into with Blue Owl Capital Corporation, as administrative agent, and Blue Owl Capital (the Financing Agreement) (see Note 7 – Loan Payable to our consolidated financial statements for more information). The private credit industry and related investments in credit funds have been subject to increased risks, regulatory scrutiny and negative publicity as well as certain high-profile defaults and bankruptcies. Such investments are subject to potential deterioration as adverse changes in macroeconomic conditions and changes in investment strategies may adversely impact the investment. If a significant global market correction or downturn results in a material adverse effect on our lenders or if our lenders are involved in defaults or bankruptcies, it may impair our ability to refinance our 2026 Term Loan or raise additional capital from them, if we found it necessary or desirable to do so.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Due to limited resources, we may fail to capitalize on programs or product candidates that may present a greater commercial opportunity or for which there is a greater likelihood of success.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focusing the majority of our resources and efforts on maintaining approval, improving and commercializing BRIUMVI and developing subcutaneous ublituximab and azer-cel for particular indications.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or target markets for BRIUMVI and our other product candidates,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 Further, we may focus our efforts and resources on potential product candidates or other potential programs that ultimately prove to be unsuccessful for which it would have been more advantageous to enter into a partnering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level of indebtedness and debt service obligations could adversely affect our financial condition and may make it more difficult for us to fund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 2024, we entered into a term loan facility of $250 million with Blue Owl Capital Corporation, as administrative agent, HealthCare Royalty and Blue Owl Capital (the Initial Term Loan). The Initial Term Loan is governed by the Financing Agreement, which provides for (i) a single draw of the Initial Term Loan on the Closing Date and (ii) an uncommitted additional facility in an aggregate principal amount of $100 million. On March 18, 2026, we entered into a first amendment to the Financing Agreement to repay in full the Initial Term Loan and enter into the 2026 Term Loan with Blue Owl Capital. The 2026 Term Loan will mature on March 18, 2031 (see Note 7 – Loan Payable to our consolidated financial statements for more information).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obligations under the Financing Agreement are secured by a lien on substantially all of our assets and the assets of certain of our subsidiaries as guarantors. This indebtedness may create additional financing risk for us, particularly if our business or prevailing financial market conditions are not conducive to paying off or refinancing our outstanding debt obligations at maturity. This indebtedness could also have important negative consequences, including,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increasing our vulnerability to adverse economic and industry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limiting our ability to obtain additional financing on acceptable terms;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requiring the dedication of a substantial portion of our cash flow from operations to service debt, reducing cash available for other purposes;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limiting our flexibility to plan for, or react to, changes in our business;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placing us at a possible competitive disadvantage relative to competitors that are less leveraged or have better access to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 including in the ways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need to repay the indebtedness by making payments of interest and principal, which will reduce the amount of money available to finance our operations, our research and development efforts and other general corporate activities;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have cash available in an amount sufficient to enable us to make interest or principal payments on our indebtedness when due.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Financing Agreement imposes operating and other restrictions on us. Such restrictions will affect, and in many respects limit or prohibit, our ability and the ability of any future subsidiary to, among other things (subject to the exceptions provided for in the Financing Agreement):</w:t>
      </w:r>
    </w:p>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dispose of certain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 its lines of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mergers, acquisitions, joint ventures or consolidations;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incur additional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create liens on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dividends and make contributions or repurchase our capital stock;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certain transactions with affiliates.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breach of any of these restrictive covenants could have a material adverse effect on our business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cash and cash equivalents could be adversely affected if the financial institutions in which we hold our cash and cash equivalents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Drug Development and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maintain or obtain regulatory approval for our product or product candidates and ultimately cannot successfully commercialize our product or product candidates, or experience significant delays in doing so, our business will be materially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completion of our clinical programs with positive results that support a finding of effectiveness and an acceptable safety profile of our product candidates in the intended populations within the timeframes we have projected;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Investigational New Drug Applications (INDs) and clinical trial applications (CTAs), being cleared/issued/approved such that our product candidates can commence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initiation and completion of preclinical studies and successful initiation of, enrollment in, and completion of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sufficiency of our financial and other resources to complete the necessary preclinical studies and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regulatory approvals from applicable regulatory authorities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commercially viable arrangements with third-party manufacturers for clinical supply and commercial manufacturing;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patent and trade secret protection or regulatory exclusivity for our product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data from our clinical trials that we announce or publish may change, or the perceived product profile may be negatively impacted, as more patient data or additional endpoints (including efficacy and safety) are analyzed.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may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 is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earlier stages of clinical testing. Companies frequently experience significant setbacks in advanced clinical trials, even after earlier clinical trials have shown promising results. There is a high rate of failure of pharmaceutical candidates proceeding through clinical trials.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assessment of the validity of the study results by applicable regulatory agencies.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may not translate to all, or any, secondary endpoints being met. As a result, top-line and preliminary data should be viewed with caution until the final data are available, including data from the full safety analysis and the final analysis of all endpoints.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scope of disclosure we have made or the conclusions we have reached, our ability to obtain approval for, or successfully commercialize, our product or product candidates may be harmed, which could harm our business, operating results, prospects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the results reported in our early-stage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Clinical drug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Successful completion of our clinical trials is a prerequisite to submitting a New Drug Application (NDA) or a Biologics License Application (BLA) to the FDA or similar applications for marketing approval to comparable regulatory authorities outside of the U.S. for each product candidate and, consequently, the ultimate approval and commercial marketing of our product candidates. We do not know whether any of our ongoing or future clinical trials for our product candidates will be completed on schedule,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may require us to submit additional data or impose other requirements before permitting us to initiate a clinical trial;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of our drug candidates may produce negative or inconclusive results, and we may decide, or regulatory authorities may require us, to conduct additional preclinical studies or clinical trials or we may decide to abandon drug development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clinical trials of our product candidates may be greater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shifts in the regulatory focus of government agencies;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Iran, the Middle East, and South America, economic instability, or natural disasters;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revise the requirements applicable to our product candidates, or such requirements may not be as we anticipate;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refusal for or limitation on additional subjects to participate,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delayed in obtaining marketing approval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obtain marketing approval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marketing approval in some countries and not others;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marketing approval for indications or patient populations that are not as broad as intended or desired;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post-marketing requirements or post-marketing commitments;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increased pricing pressure;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the drug removed from the market after obtaining marketing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Biologics carry unique risks and uncertainties, which could have a negative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product or product candidates may cause undesirable side effects or adverse events that could delay or prevent their regulatory approval or impact their availability and commercial potential after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Unexpected or undesirable side effects or adverse events caused by BRIUMVI or any of our product candidates that we take into clinical trials could cause DSMBs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regulatory authorities outside of the U.S.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products or product candidates we may advance through clinical development are subject to extensive regulation, which can be costly and time consuming, cause unanticipated delays or prevent the receipt of the required approvals.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research, nonclinical and clinical development, manufacturing, labeling, packaging, storage, record-keeping, advertising, promotion, import, export, marketing and distribution, compliant handling,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regulatory authorities outside of the U.S. in the timelines we project or at all, we may be unable to generate the revenues that we may project or generate revenues at levels sufficient to sustain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and regulatory authorities outside of the U.S.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some of our clinical trials may be conducted as open-label studies, meaning that trial participants, investigators, site staff, some employees of our CROs, and our field-level employees (including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at any time prior to making its final decision, even after previous contrary determinations by the FDA.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us to withdraw a regulatory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reasons that the FDA or regulatory authorities around the world may delay, limit or deny approval of a product candidate,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demonstrate to the satisfaction of the FDA or comparable regulatory authorities outside of the U.S. that a product candidate is tolerable and effective for an indication;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may not accept clinical data from trials conducted by individual investigators or in countries where the standard of care or the patient population, is potentially different from that of the United States;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clinical trials may not meet the level of statistical significance required by the FDA or comparable regulatory authorities outside of the U.S. for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demonstrate that a product candidate’s clinical and other benefits outweigh its safety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submit additional information to the FDA which the FDA determines constitutes a major amendment to the application and thereby extends the goal date for determination of approvability of the application;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regulatory authorities outside of the U.S. may disagree with our interpretation of data from preclinical studies and/or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data collected from clinical trials of our product candidates may not be sufficient to support the submission of a BLA, NDA or other marketing authorization submission to obtain regulatory approval in the United States or elsewhere;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regulatory authorities outside of the U.S. may identify issues related to the manufacturing processes or facilities of third-party manufacturers with which we or our collaborators currently contract for clinical supplies and plan to contract for commercial supplies; during the course of review, the FDA or regulatory authorities outside of the U.S.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regulatory authorities outside of the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processes of the FDA or comparable regulatory authorities outside of the U.S. may significantly change in a manner rendering our clinical data insufficient for approval;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interruptions or delays in the operations of the FDA and regulatory authorities outside of the U.S. as a result of global health crises, inadequate government funding, political conditions or economic crises, international conflict, or natural disasters may negatively impact review, inspection, and approval timelines.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 Breakthrough Therapy or Fast Track designation by the FDA may not actually lead to a faster development or regulatory review or approval process.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seek orphan drug designation for some of our drug candidates. However, we may be unsuccessful in obtaining or may be unable to maintain the benefits associated with orphan drug designation, including the potential for market exclusivity.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authorities in some jurisdictions, including the United States,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if a product with an orphan drug designation subsequently receives the first marketing approval for the indication for which it has such designation, the product is entitled to a period of marketing exclusivity, which precludes FDA or other comparable regulatory authorities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may evaluate and pursue orphan drug designation for indications that could be eligible, we may never receive such designation.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our clinical studies with sites outside the United States may be adversely impacted by international conflict, including in Russia and Ukraine, in Iran and the Middle East, and in South America. The conflict in Russia and Ukraine and its impact on neighboring countries may adversely affect clinical trial sites for our programs. While no clinical trials are currently enrolling patients in Russia, we do have actively enrolling clinical trials in Ukraine, and there are a number of trial subjects in long-term treatment and follow-up in both countries.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other countries have imposed sanctions against Russia and other restrictions from doing business with certain Russian companies and financial institutions. Our ability to conduct clinical trials in Russia, Ukraine and elsewhere in the region may also become restricted under applicable sanctions laws. Geopolitical conflicts and related government responses have resulted in global economic instability, which could affect our supply chain and commercialization efforts. While we currently do not believe such conflicts will have a material impact on product development or our overall business, given the evolving situation and the related geopolitical and economic uncertainties, the full impact of the conflict remains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FDA and other comparable regulatory authorities outside of the U.S. may not accept data from trials conducted in locations outside of their respective jurisdictions.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been conducting, and may continue to conduct, clinical trials globally. The acceptance of study data by the FDA or other comparable regulatory authorities outside of the U.S.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U.S. or regulatory authority outside of the U.S. would accept data from trials conducted outside of its applicable jurisdiction. If the FDA or any applicable regulatory authority outside of the U.S.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Approval of one of our product candidates in the United States would not assure approval of that candidate in jurisdictions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jurisdictions outside of the U.S.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jurisdiction outside of the U.S. on a timely basis, if at all. Failure to receive approval in certain markets outside of the U.S. could significantly impact the full market potential of our product and product candidates and may negatively impact the regulatory process in other countries. Furthermore, if we obtain regulatory approval for a product or product candidate in a jurisdiction outside of the U.S., we will be subject to the burden of complying with complex regulatory, legal, and other requirements that could be costly and could subject us to additional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do not have any manufacturing capabilities of our own and we rely on third-party contract manufacturers for the clinical and commercial supply of our products. We have established a contract manufacturing relationship with Samsung Biologics for our primary clinical and commercial supply of BRIUMVI, and a secondary contract manufacturing relationship with FUJIFILM Diosynth Biotechnologies. As with any supply program, obtaining materials of sufficient quality and quantity to meet the requirements of the market demand for BRIUMVI and our development programs cannot be guaranteed and we cannot ensure that we will be successful in these endeavors.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possible and commercially practicable, we plan to develop back-up strategies for raw materials, manufacturing and testing services for our commercial products. However, due to the long lead times and costs associated with establishing and qualifying additional commercial manufacturing sites, we expect to rely on a limited number of contract manufacturers to produce our commercial products under current Good Manufacturing Practice, or cGMP, regulations for the foreseeable future. Our third-party manufacturing partners operate a limited number of facilities in which our product can be produced and will have limited experience in manufacturing our product candidates in quantities sufficient for commercialization. Additionally, our third-party manufacturers will have other clients and may have other priorities that could affect their ability to perform the work satisfactorily and/or on a timely basis. All of these occurrences would be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need to change or add manufacturers either before or after commercialization, the FDA and comparable regulatory authorities outside of the U.S.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w:t>
      </w:r>
      <w:r>
        <w:rPr>
          <w:rFonts w:ascii="Times New Roman" w:hAnsi="Times New Roman"/>
          <w:caps w:val="false"/>
          <w:smallCaps w:val="false"/>
          <w:sz w:val="20"/>
        </w:rPr>
        <w:t> </w:t>
      </w:r>
      <w:r>
        <w:rPr>
          <w:rFonts w:ascii="Times New Roman" w:hAnsi="Times New Roman"/>
          <w:b/>
          <w:i/>
          <w:caps w:val="false"/>
          <w:smallCaps w:val="false"/>
          <w:sz w:val="20"/>
        </w:rPr>
        <w:t>may be unable to successfully develop, obtain regulatory approval for, or commercialize a subcutaneous formulation of our approved intravenous product, which could limit our ability to expand our market opportunity and patient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conducting a Phase 3 trial evaluating subcutaneous ublituximab, which is approved in its intravenous (IV) form for the treatment of RMS. While IV BRIUMVI has demonstrated clinical benefit and gained commercial traction, development and commercialization of a subcutaneous version of ublituximab presents unique scientific, formulation, clinical, pharmacologic, manufacturing, regulatory, and operational challenges.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rely on the benefit and risk profile established for IV BRIUMVI in previously conducted pivotal clinical trials, the subcutaneous form of ublituximab requires optimization of pharmacokinetics to attain equivalent exposure to ensure that efficacy and safety are maintained at levels comparable to the approved IV formulation. Pharmacokinetic (PK) and pharmacodynamic (PD) effects may be reduced or altered when administered subcutaneous, which could create significant challenges in the development of a subcutaneous formulation of ublituximab. There is also a risk that systemic exposure, tissue distribution or tissue reactions differ in ways that lead to unforeseen efficacy issues, such as reduced clinical benefit or safety or tolerability issues, including injection site reactions or immunogenicity. These issues may not be apparent in early cuts of clinical data and have the potential to become present or increase with longer-term follow-up. Clinical development of a new formulation often takes place alongside process and formulation development, such that the form of the product evaluated in early-stage testing may not be the final form of the product evaluated in late-stage testing or intended to be commercialized, as is the case for subcutaneous ublituximab development. Furthermore, while early phase clinical trials can provide a general understanding of the bioavailability and tolerability of a subcutaneous product, they are limited in patient number and duration of follow-up, with the pivotal regimen determined through PK/PD modeling and projections. Such differences in safety, efficacy or PK/PD may not be observed until later stage clinical studies with the final formulation of subcutaneous ublituximab.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the development of a subcutaneous formulation, including subcutaneous ublituximab, typically requires additional clinical studies, including bridging studies and the use of delivery devices (e.g., auto-injectors or prefilled syringes), which may introduce new technical, supply chain, or regulatory challenges. While we intend to administer subcutaneous ublituximab using an auto-injector device, to date, all administration has been conducted via syringe, and there can be no guarantee that we will be successful in introducing an auto-injector device into the clinic, or that the clinical properties of ublituximab will not be altered when administered via an auto-injector device. Regulatory agencies may not consider bioequivalence sufficient for approval or may require additional data to demonstrate comparable effectiveness or safety, especially if the subcutaneous formulations have analytical differences. While the primary outcome of the pivotal clinical trial is to establish equivalent exposure, differences in other clinical properties including but not limited to PD effect, safety, tolerability, and immunogenicity may occur. In such cases, while the primary outcome of the clinical study may be met, regulatory agencies may still consider such a product not pharmaceutically equivalent.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Subcutaneous formulation may involve higher concentration of the existing IV product, as in the case of subcutaneous ublituximab, which presents technical and analytical challenges. Concentrated products will have increased viscosity, which will result in decreased yield in the manufacturing process and may increase the cost of goods compared to that of IV BRIUMVI. The high concentration formulations currently under evaluation may not prove to be as stable as the IV BRIUMVI product. If the subcutaneous formulation is determined to have a shorter shelf life, we may require more inventory or reassess the commercial feasibility for distribution. If a shorter shelf life is determined, we may require more inventory or may determine that current products are not commercially feasible for distribution. Additionally, new supply chains have been and will continue to need to be developed, which adds complexity and magnifies the concerns around reliance on third parties, including establishing new vendors, their timeliness and quality of performance and potential for future supply constraints, and other limitations. Furthermore, the altered physical properties of the subcutaneous material have resulted in certain analytical differences from IV BRIUMVI that may require the development of new analytical methods for product characterization and release, if the current analytical methods used for IV BRIUMVI prove to be inadequate to characterize subcutaneous ublituximab. Analytical method development is a complex task that has both technical and regulatory implications, and there can be no assurances given that such development will be successful or be completed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approved, we cannot guarantee that the subcutaneous formulation of ublituximab will be successfully commercialized or achieve the same level of adoption as the IV formulation. Development, approval, and commercialization of the subcutaneous formulation of ublituximab will take considerable time and will be subject to completion with existing therapies and new therapies that may become available in the future. Failure to develop or obtain regulatory approval for a subcutaneous formulation, or to successfully commercialize it if approved, could materially limit our growth in markets that favor self-administration and reduce our competitive positioning relative to other self-administered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Governmental Regulation of Pharmaceutical Industry and Legal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subject to new legislation, regulatory proposals and third-party payor initiatives that may increase our costs of compliance and adversely affect our ability to market our products, obtain collaborators and raise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federal and state legislatures, health agencies and third-party payors continue to focus on containing the cost of healthcare and addressing public concern over access to and affordability of prescription drugs. The Affordable Care Act (ACA)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Since its enactment, there have been judicial, executive and Congressional challenges to certain aspects of the ACA. The One Big Beautiful Bill Act (OBBBA) has enacted, among others, changes to eligibility requirements for premium tax credits, which is expected to result in less coverage in the ACA’s health insurance marketplace (Marketplace) over the next few years. The ACA premium tax credits expired at the end of 2025, which resulted in an additional loss of coverage for an estimated 24 million people that were previously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 Further, the Centers for Medicare &amp; Medicaid Services (CMS) has proposed two mandatory payment model pilots, the Guarding U.S. Medicare Against Rising Drug Costs (GUARD) Model, focused on Part D drugs, and Global Benchmark for Efficient Drug Pricing (GLOBE), focused on Part B drugs, which will require pharmaceutical companies to pay additional rebates on certain medicines, including central nervous system agents for the treatment of multiple sclerosis, whose U.S. net-of-discount prices exceed those in certain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uncertain of the impact or outcome of potential executive orders, rescission of rules and policy statements, or new legislation to be enacted, especially with regards to the healthcare regulatory and policy landscape, or the impact they may have on our business. In addition, any significant spending reductions affecting Medicare, Medicaid or other publicly funded or subsidized health programs, or any significant taxes or fees imposed as part of any broader deficit reduction effort could have an adverse impact on our anticipated product revenues. There have been several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the Inflation Reduction Act (IRA) included, among other provisions, several measures intended to lower the cost of prescription drugs and related healthcare reforms. Among other things, the IRA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executive orders were signed to implement MFN drug pricing policies designed to align certain prescription drug prices in the U.S. to lower prices available in other countries. If such MFN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financial liability for manufacturers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 states are experiencing significant economic pressure within their respective Medicaid programs and responding to public concern over the cost of healthcare. Several states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also a great degree of uncertainty regarding how U.S. Supreme Court decisions, including Loper Bright Enterprises v. Raimondo and Corner Post, Inc. v. Board of Governors of the Federal Reserve System, will impact FDA’s enforcement and decision-making authority of regulatory agencies, including those of the FDA. Loper Bright explicitly overturned Chevron deference, which previously gave judicial deference to administrative action by agencies in the executive branch. Further, the Supreme Court’s decision in Corner Post may result in challenges to FDA 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continued delays, if not cancellations, of pending and proposed regulations at federal agencies and introduces uncertainty as it subjects all significant regulatory actions by the agencies to the President’s supervision and control. We cannot predict the impact that such executive order, any future executive orders or legislation implementing executive orders may have on our business or our results of operations. Furthermore, legislative and regulatory proposals have been made to expand post-approval requirements, make changes to the Orphan Drug Act and related guidance, reform the 340B Drug Pricing Program, and restrict sales and promotional activities for drugs, which have presented both opportunities and challenges for drug manufacturers participating in the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be sure whether additional legislative changes will be enacted, or whether the FDA regulations, guidance or interpretations will be changed, or what the impact of such changes on the marketing approvals of our product candidates, if any, may be. The FDA has made significant policy changes affecting research, testing, regulatory approval or clearance, manufacturing and marketing of FDA-regulated products. The FDA has also adopted certain programs, including the PreCheck Program and Commissioner’s National Priority Review Voucher Program, designed to increase domestic production of FDA-regulated products, and increased enforcement activities by issuing larger numbers of warning letters to pharmaceutical companies related to violation of regulatory standards governing direct-to-consumer advertising. In addition, increased scrutiny by Congress of the FDA’s approval process may significantly delay or prevent marketing approval, as well as subject us to more stringent product labeling and post-marketing testing and other requirements. Changes to healthcare regulation and policies, agency priorities, enforcement initiatives and focus, and coverage and reimbursement for healthcare products and services may be sudden and unexpected, and we may experience increased costs to monitor for such changes and respond to any new requirements affecting our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many international markets, including the EU, the government regulates prescription drug prices, patient access, and/or reimbursement levels to control the biopharmaceutical budget of their government-sponsored healthcare system. The EU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generate revenues and achieve or maintain profitability;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demand for any products for which we may obtain regulatory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set a price that we believe is fair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taxes that we are required to pay;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which affects average review times at the FDA. Significant workforce reductions and reorganizations at several U.S. health agencies, including the FDA, the HHS, the Centers for Disease Control and Prevention and the National Institutes of Health, have impacted, and may continue to impact, the FDA’s ability to review and approve new medicines and conduct necessary inspections.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government funding of the FDA, SEC and other government agencies on which our operations may rely, including those that fund research and development activities, is subject to the political process, which is inherently fluid and unpredictable, and spending allocation priorities may undergo significant changes through congressional budgeting and appropriations processes. Disruptions at the FDA and other agencies may also extend the time necessary for new drugs to be reviewed and/or approved, including delays in PDUFA reviews and related activities, which would adversely affect our business. For example, over the last several years, the U.S. government shut down several times and certain regulatory agencies, such as the FDA and the SEC, had to furlough employees, experience substantial funding cuts and pause or delay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the approval of BRIUMVI in the U.S. and outside the U.S.,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wide range of federal and state consumer protection and unfair competition laws, which broadly regulate marketplace activities and activities that potentially harm consumers including those related to privacy;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FDCA and its implementing regulations, which among other things, strictly regulate drug product marketing and prohibit manufacturers from promotion and marketing of products prior to approval or for uses inconsistent with the FDA-required labeling;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Drug Supply Chain Security Act (DSCSA), which imposes obligations on entities in the commercial product supply chain, including manufacturers, to identify and track prescription drugs as they are distributed in the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law equivalents of some of the above federal laws, such as anti-kickback and false claims laws that may apply to items or services reimbursed by any third-party payor, including commercial insurers, state transparency laws that require drug manufacturers to report information related to payments and other transfers of value to physicians and other healthcare providers or marketing expenditures and pricing information, state laws limiting interactions between pharmaceutical manufacturers and members of the healthcare industry, state laws that require pharmaceutical companies to comply with the industry’s voluntary compliance guidelines and the applicable guidance promulgated by the federal government or otherwise restrict payments that may be made to healthcare providers and other potential referral sources; marketing restrictions and state laws governing the privacy and security of health information in certain circumstances, many of which differ from each other in significant ways and often are not preempted by federal laws, thus complicating compliance efforts.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exposed to the risk that our employees, independent contractors, principal investigators, consultants, vendors, distributors and agents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 violates FDA or foreign regulatory authority requirements, including those laws that require the reporting of true, complete and accurate information to the FDA or foreign regulatory authorities,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violate applicable data privacy and security laws, we may be subject to penalties, including civil and criminal penalties, damages, fines, reputation harm and the curtailment or restructuring of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subject to privacy and security laws in the various jurisdictions in which we operate our business and obtain or store personal information. The legislative and regulatory landscape for privacy and data protection continues to evolve, and there has been an increasing focus on privacy and data protection issues with the potential to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as amended (CCPA) imposes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protection agency is authorized to issue substantive regulations that could result in increased privacy and information security enforcement. Data privacy and cybersecurity are also areas of increasing state legislative focus. Among other things, new state-specific laws create additional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on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Numerous other jurisdictions regulate the privacy and security of personal data, such as the General Data Protection Regulation and the United Kingdom equivalent thereof (collectively, GDPR). The GDPR increases obligations with respect to clinical trials conducted in the European Economic Area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experience a reportable cybersecurity incident or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In the U.S., most state data breach notification laws consider violations to be unfair or deceptive trade practices and give the relevant state attorneys general (AGs) the authority to levy fines or bring enforcement actions. Such AG investigations—which are often time consuming, expensive, and burdensome—may lead to a resolution agreement, whereby certain obligations are performed, and reports are made to the AG for a period of time, and/or civil penalties. Class action lawsuits against companies which experience a data breach involving personal information are also common. Additionally, the SEC and many jurisdictions have enacted or may enact laws and regulations requiring companies to disclose or otherwise provide notifications regarding data security breaches.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or perceived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directly or through our third-party service providers, may adopt, use or incorporate artificial intelligence (AI) technology and capabilities</w:t>
      </w:r>
      <w:r>
        <w:rPr>
          <w:rFonts w:ascii="Times New Roman" w:hAnsi="Times New Roman"/>
          <w:caps w:val="false"/>
          <w:smallCaps w:val="false"/>
          <w:sz w:val="20"/>
        </w:rPr>
        <w:t> </w:t>
      </w:r>
      <w:r>
        <w:rPr>
          <w:rFonts w:ascii="Times New Roman" w:hAnsi="Times New Roman"/>
          <w:b/>
          <w:i/>
          <w:caps w:val="false"/>
          <w:smallCaps w:val="false"/>
          <w:sz w:val="20"/>
        </w:rPr>
        <w:t>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w:t>
      </w:r>
      <w:r>
        <w:rPr>
          <w:rFonts w:ascii="Times New Roman" w:hAnsi="Times New Roman"/>
          <w:caps w:val="false"/>
          <w:smallCaps w:val="false"/>
          <w:sz w:val="20"/>
        </w:rPr>
        <w:t> </w:t>
      </w:r>
      <w:r>
        <w:rPr>
          <w:rFonts w:ascii="Times New Roman" w:hAnsi="Times New Roman"/>
          <w:b/>
          <w:i/>
          <w:caps w:val="false"/>
          <w:smallCaps w:val="false"/>
          <w:sz w:val="20"/>
        </w:rPr>
        <w:t>technology may adversely affect our business and operations and potentially expose us to increasing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directly or through our third-party service providers, may adopt, use or incorporate AI technology and capabilities into information technology systems, software or other tools to help us operate our business more efficiently than existing industry tools. Use of AI technology may introduce operational, cybersecurity, privacy, intellectual property, data-integrity, bias and quality-control risks, including risks arising from inaccurate outputs, inappropriate reliance on AI-generated content, unauthorized use or disclosure of confidential or personal information, and failures by vendors to develop, deploy or monitor AI tools in accordance with applicable requirements. The regulatory framework for AI technologies is rapidly evolving as many federal, state and foreign government bodies and agencies have introduced, enacted or are considering additional laws, regulations, executive orders, guidance and other enforcement initiatives that may affect the development, procurement, deployment and use of AI technology. In addition, existing laws and regulations may be interpreted in ways that would affect the use of AI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EU, the Artificial Intelligence Act (EU AI Act) establishes a comprehensive, risk-based governance framework for AI in the EU market. The EU AI Act and developing interpretation and application of the GDPR in respect of automated decision making, together with developing guidance and/or decisions concerning the impact of AI technology on data privacy may affect our use of AI technologies. 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use in our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evolving regulatory framework for AI technologies and related implementation standards and enforcement practices remain uncertain, and we cannot yet determine the impact that current or future laws, regulations, standards, agency guidance, enforcement priorities or market perception of such requirements may have on our business and may not always be able to anticipate how to respond to these laws or regulations. We may need to expend resources to adjust our systems in certain jurisdictions if the laws, regulations, decisions or guidance are not consistent across jurisdictions. Further, the cost to comply with such laws, regulations,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adequately understand and comply with the local laws and customs as we expand into new international markets, these operations may incur losses or otherwise adversely affect our business and results of operations.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regulatory authorities outside of the U.S.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(focusing on national security-related technologies, including biotechnology),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 for which we obtain marketing approval, including BRIUMVI, could be subject to restrictions or withdrawal from the market and we may be subject to penalties if we fail to comply with regulatory requirements or if we experience unanticipated problems with our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outside of the U.S.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comply with these regulatory requirements or later discovery of previously unknown problems with products, manufacturers, or manufacturing processes, may result in actions such as:</w:t>
      </w:r>
    </w:p>
    <w:p>
      <w:pPr>
        <w:pStyle w:val="TextBody"/>
        <w:bidi w:val="0"/>
        <w:spacing w:before="0" w:after="0"/>
        <w:ind w:left="0" w:right="0" w:hanging="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product manufacturing, distribution or use;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the labeling or marketing of a product;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requirements to conduct post-marketing studies or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warning letters or other advisory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request for withdrawal of the products from the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refusal to approve pending applications or supplements to approved applications that we or our subsidiaries submit;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recalls;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suspension or termination of ongoing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fines, restitutions, or disgorgement of profits or revenues;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refusal to permit the import or export of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seizure or detentions;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injunctions or the imposition of civil or criminal penalties;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or any of our contract manufacturers and suppliers fail to comply with environmental, health and safety laws and regulations, we could become subject to fines or penalties or incur costs that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Dependence on Third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regulatory authorities outside of the U.S.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regulatory authorities outside of the U.S.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within certain timeframes. Failure to do so can result in fines, adverse publicity and civil and criminal sanctions.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staffing difficulties;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 to comply with contractual obligations;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regulatory compliance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undergo changes in priorities or become financially distressed;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relationships with other entities, some of which may be our competitors.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contract with third parties for the manufacture and testing of BRIUMVI for clinical and commercial supply, as well as for all development activities and clinical product supply for high concentration ublituximab and azer-cel,</w:t>
      </w:r>
      <w:r>
        <w:rPr>
          <w:rFonts w:ascii="Times New Roman" w:hAnsi="Times New Roman"/>
          <w:caps w:val="false"/>
          <w:smallCaps w:val="false"/>
          <w:sz w:val="20"/>
        </w:rPr>
        <w:t> </w:t>
      </w:r>
      <w:r>
        <w:rPr>
          <w:rFonts w:ascii="Times New Roman" w:hAnsi="Times New Roman"/>
          <w:b/>
          <w:i/>
          <w:caps w:val="false"/>
          <w:smallCaps w:val="false"/>
          <w:sz w:val="20"/>
        </w:rPr>
        <w:t xml:space="preserve">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facilities used by contract manufacturers to manufacture, test, package, and label our product and product candidates typically undergo periodic inspections by the FDA or a comparable regulatory authority outside of the U.S. to verify compliance with applicable cGMP regulations. Additional inspections may be conducted after we submit our marketing applications to or receive marketing approval from the FDA or a comparable regulatory authority outside of the U.S.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do 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reliance on third-party manufacturers entails additional risks, including:</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60"/>
        <w:gridCol w:w="170"/>
        <w:gridCol w:w="9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reliance on the third party for regulatory compliance and quality assurance;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breach of the manufacturing, supply or quality agreement by the third party;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misappropriation of our proprietary information, including our trade secrets and know-how;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termination or nonrenewal of the agreement by the third party at a time that is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us.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labor disputes,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Because we have in-licensed BRIUMVI and our product candidates from third parties, any dispute with or non-performance by our licensors will adversely affect our ability to develop and commercialize the applicable product or product candidate.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of rights granted under the license agreement and other interpretation-related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our technology and processes infringe on intellectual property of the licensor that is not subject to the license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sublicensing of patent and other rights under our collaborative development relationships and obligations associated with sublicensing;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diligence obligations under the license agreement and what activities satisfy those diligence obligations;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ownership of inventions and know-how resulting from the joint creation or use of intellectual property by our licensors and us and our partners;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priority of invention of patented technology.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conflicts arise between us and our future collaborators or strategic partners, these parties may act in a manner adverse to us and could limit our ability to implement our strategies.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we entered into a Commercialization Agreement (the Commercialization Agreement) with Neuraxpharm, pursuant to which Neuraxpharm has the right to commercialize BRIUMVI in certain markets outside of the U.S. In February 2024, BRIUMVI was first made available in the European market by Neuraxpharm in Germany and is now commercially available in several other countries in the EU, outside the EU and in the United Kingdom. In addition to the Commercialization Agreement, we may enter into collaboration arrangements with other collaboration and commercialization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a number of risks associated with our dependence on our relationships with our collaboration and commercialization partners,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our collaboration and commercialization partners to terminate their collaboration or commercialization agreements with us for reasons specified in the collaboration or commercialization agreements, including our breach;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decisions by a collaboration or commercialization partner regarding the amount and timing of resource expenditures for the commercialization, distribution, and sale of our drug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perform its duties under its agreement with us, including failure to comply with regulatory requirements which may disrupt its performance of its obligations under the agreement with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collaboration or commercialization partners’ and their affiliates’ development and commercialization of products that compete directly or indirectly with our products or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a collaboration or commercialization partner to prioritize others of its current or future products more highly than our drug products or our product candidates when it performs its duties;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disagreements with a collaboration or commercialization partner as to the timing, nature and extent of our development plans or distribution and sales and marketing plans;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Commercialization Agreement contains provisions that allow for dispute resolution, arbitration, and/or termination of the agreement by us in the event of a breach by Neuraxpharm, there can be no assurance that we and Neuraxpharm will agree on a cure for such a breach, and in the event of termination, there can be no assurance that we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seek to establish additional collaborations, and if we are not able to establish them on commercially reasonable terms, we may have to alter our development and commercialization plans.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or comparable regulatory authority outside of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restricted under our collaboration agreements from entering into future agreements on certain terms with potential collaborators. Collaborations are complex and time-consuming to negotiate and document. In addition, there have been a significant number of business combinations among large pharmaceutical companies that have resulted in a reduced number of potential future collaborators.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Risks Related</w:t>
      </w:r>
      <w:r>
        <w:rPr>
          <w:rFonts w:ascii="Times New Roman" w:hAnsi="Times New Roman"/>
          <w:caps w:val="false"/>
          <w:smallCaps w:val="false"/>
          <w:sz w:val="20"/>
          <w:u w:val="single"/>
        </w:rPr>
        <w:t> </w:t>
      </w:r>
      <w:r>
        <w:rPr>
          <w:rFonts w:ascii="Times New Roman" w:hAnsi="Times New Roman"/>
          <w:b/>
          <w:caps w:val="false"/>
          <w:smallCaps w:val="false"/>
          <w:sz w:val="20"/>
          <w:u w:val="single"/>
        </w:rPr>
        <w:t xml:space="preserve">to Our 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r>
        <w:rPr>
          <w:rFonts w:ascii="Times New Roman" w:hAnsi="Times New Roman"/>
          <w:caps w:val="false"/>
          <w:smallCaps w:val="false"/>
          <w:sz w:val="20"/>
        </w:rPr>
        <w:t xml:space="preserve"> </w:t>
      </w:r>
      <w:r>
        <w:rPr>
          <w:rFonts w:ascii="Times New Roman" w:hAnsi="Times New Roman"/>
          <w:b/>
          <w:i/>
          <w:caps w:val="false"/>
          <w:smallCaps w:val="false"/>
          <w:sz w:val="20"/>
        </w:rPr>
        <w:t>At the same time, if the scope of our patent protection is too broad, our competitors may challenge the validity and enforceability of our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risks and uncertainties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 applications that we or our licensors file may not issue as patent;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that may be issued or in-licensed may be challenged, invalidated, modified, revoked or circumvented, or otherwise may not provide any competitive advantage;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of March 16, 2013, the United States converted from a first-to-invent to a first-to-file system. If we do not win the filing race, we will not be entitled to inventive priority;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countries other than the United States may have less restrictive patent laws than those of the United States, allowing foreign competitors to exploit such less restrictive patent laws to make, use, and/or sell competing products in their respective jurisdictions.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are not able to obtain patents that protect our product and product candidates, it could have a material adverse effect on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hAnsi="Times New Roman"/>
          <w:caps w:val="false"/>
          <w:smallCaps w:val="false"/>
          <w:sz w:val="20"/>
          <w:u w:val="single"/>
        </w:rPr>
        <w:t>,</w:t>
      </w:r>
      <w:r>
        <w:rPr>
          <w:rFonts w:ascii="Times New Roman" w:hAnsi="Times New Roman"/>
          <w:caps w:val="false"/>
          <w:smallCaps w:val="false"/>
          <w:sz w:val="20"/>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 position of biotechnology and pharmaceutical companies generally is highly uncertain, involves complex legal and factual questions and has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patents or patent applications owned or filed by us, or by our licensors or other collaborators, may be affected by third-party pre-issuance submissions of prior art to the USPTO, or by opposition, derivation, reexamination, inter partes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Patent protection and other intellectual property protection are crucial to the success of our business and prospects, and there is a substantial risk that such protections may prove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do not obtain patent term extensions under the Hatch-Waxman Act and similar foreign legislation extending the terms of our licensed patents and any future patents we may own, our business may be materially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enforce our intellectual property rights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involved in lawsuits to protect or enforce our patents or the patents of our licensors, which could be expensive, time consuming and unsuccessful.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or our partners are sued for infringing intellectual property rights of third parties, it will be costly and time consuming, and an unfavorable outcome in that litigation would have a material adverse effect on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products or product candidates that we may in-license or acquire could be subject to similar risks and uncertainties.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need to license certain intellectual property from third parties, and such licenses may not be available or may not be available on commercially reasonable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 may or may not be interested in granting such a license, on commercially reasonable terms. If we cannot obtain such a license on commercially reasonable terms, or at all,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our business and competitive position may be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damages resulting from claims that we or our employees have wrongfully used or disclosed alleged trade secrets of our competitors or are in breach of non-competition or non-solicitation agreements with our competitors.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Business Organization and Governance, Strategy, Employees and Growth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keep key management, commercial, and clinical development personnel, we may be unable to successfully develop or commercialize our product and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will need to develop and expand our business, and we may encounter difficulties in managing this development and expansion, which could disrupt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anti-takeover provisions in our governing documents and Delaware law could make a third-party acquisition of us difficult. This could limit the price investors might be willing to pay in the future for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(NOL) carryforwards and certain other tax attributes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Although we have recently completed a 382 study, we may have experienced additional ownership changes after the completion of this study,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of our executive officers, directors, principal stockholders and their affiliates maintain the ability to exercise significant influence over our company and all matters submitted to stockholders for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delaying, deferring or preventing a change of control of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impeding a merger, consolidation, takeover or other business combination involving us;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discouraging a potential acquirer from making a tender offer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internal information technology systems, or those of our third-party CROs, CMOs, or other contractors, vendors, or consultants, are vulnerable to failures or security breaches, which could result in a material disruption of our drug candidates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development programs and our commercialization of any products for which we receive regulatory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Despite the implementation of security measures, our internal information technology systems and those of our third-party CROs, CMOs, and other contractors, vendors, and consultants are vulnerable to damage from viruses, unauthorized access, security breach or incidents, natural disasters, terrorism, war and telecommunication and electrical failures. Security breaches include, but are not limited to, deployment of harmful malware, ransomware, denial-of-service attacks, vendor breaches, supply chain attacks, data breaches by employees, insiders or others with authorized access, social engineering and other means to affect service reliability and threaten the confidentiality, integrity and availability of our and our third-party service providers’ systems and the information stored on such systems. Security breaches can also include phishing attempts or e-mail fraud to cause unauthorized payments or information to be transmitted to an unintended recipient, or to permit unauthorized access to systems. Although we have experienced security events in the past, the impact on our operations and financial condition has not been material. High-profile security breaches at other companies and in government agencies have increased in frequency and scope, and we expect such cybersecurity threats to continue and become more sophisticated. Threat actors, including nation state attackers, could also use AI for malicious purposes, increasing the frequency and complexity of their attacks. A significant security breach or incident could cause our systems to fail, compromise the information stored on such systems, or cause significant business interruptions, which could result in a material disruption of our operations, financial loss, or reputational harm. For example, the unauthorized access to, disclosure of, or loss of clinical trial data for our drug candidates could result in delays in our regulatory approval efforts, violate healthcare privacy laws and regulations, result in legal claims or proceedings, and significantly increase the cost of remediation.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Unfavorable global economic conditions and changes in government regulations could adversely affect our business, financial condition or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Likewise, the capital and credit markets may be adversely affected by geopolitical conflicts and global sanctions imposed in response thereto. Other international events such as trade disputes, increased tariffs and countermeasures by affected countries, leadership changes and political and military conflicts could also adversely affect global financial activity and markets and could negatively affect the U.S. economy. The U.S. has imposed increased tariffs on certain countries, focusing on those with which it has the largest trade deficits. Other countries have responded, and may continue to respond, by announcing retaliatory tariffs on U.S. imports. In addition, the U.S. Department of Commerce initiated national security investigations into the importation of pharmaceuticals and pharmaceutical ingredients pursuant to Section 232 of the Trade Expansion Act of 1962, as amended (Section 232). Following the Section 232 investigations and other policy changes related to MFN drug pricing, in April 2026, an executive order was issued seeking to impose up to a 100% tariff on imported patented pharmaceuticals, subject to certain exceptions for certain products and for companies that have an agreement regarding MFN drug pricing or onshore manufacturing. The terms and effects of such tariffs, if and as they are implemented, and other policy changes are uncertain and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 The tariffs have disrupted, and may continue to disrupt, the global markets and escalate tensions between the U.S. and other countries. The extent of the impact of geopolitical conflicts, sanctions and increased tariffs on our business specifically, or on the U.S. market and global economy generally, are uncertain and unpredictable, and could adversely affect our business, financial condition and results of operations as well as impact our ability to raise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United States may also enact other regulations or policies that affect trade or otherwise impact the pharmaceutical industry by restricting U.S. pharmaceutical companies from contracting with certain countries for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entering, extending or renewing a contract with any entity using biotechnology equipment or services provided by a BCC to perform a government contract; or granting government funds or loans for such biotechnology equipment or services provided by a BCC. While we do not currently anticipate any material impact from the BIOSECURE Act, it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For example, we have made a significant investment in direct-to-consumer (DTC) advertising for BRIUMVI, a highly regulated form of marketing subject to significant scrutiny from FDA and other regulatory bodies. Television advertising in particular has undergone increased scrutiny, and we, along with all sponsors of marketed drugs, have received notification from the FDA mandating compliance with applicable regulations. To date, while we believe that all of our marketing efforts, including our direct-to-consumer advertising, comply with FDA regulations, regulators may adopt a more conservative viewpoint on advertising or future regulations may be adopted which restrict or prohibit our ability to directly advertise to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acquire businesses or drugs, or form strategic alliances, in the future, and we may not realize the benefits of such 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adverse legislative or regulatory tax changes that could negatively impact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changes in regulations or policies related to taxation and importation, including as a result of increased tariffs,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Common Stock and Being a Publicly Traded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stock price is, and we expect it to remain, volatile, which could limit investors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ability to sell our stock at a profit.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has been and is likely to continue to be highly volatile and subject to wide fluctuations in price in response to various factors, many of which are beyond our control. These factors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reception and success of BRIUMVI in the U.S.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reception and success of BRIUMVI in any jurisdiction outside of the U.S. in which it is currently approved, or in any other jurisdiction in which it might be approved or launched;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 regarding actual or potential clinical results relating to our product or products under development by our competitors 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 or failure in initiating, completing or analyzing nonclinical or clinical trials or the unsatisfactory design or results of these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achievement or rejection of regulatory approvals by us or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or new commercial products by our competitors 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concerning proprietary rights, including patents;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concerning our collaborations;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variations in our operating results due to the level of development expenses and other factors;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and trends in the pharmaceutical, biotechnology and other industries;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developments in the United States and foreign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or arbitration;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political and market conditions or other crises and other external factors such as the disruptions in the global economy caused by global health crises and geopolitical conflicts in Russia and Ukraine, Iran and the Middle East, and South America;</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period-to-period fluctuations in our revenues and other results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our revenue projections or guidance;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financial estimates by securities analysts;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repurchase of shares of our common stock pursuant to our share repurchase program;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occurrences of any of the other risks described in this Quarterly Report on Form 10-Q.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not be able to control many of these factors, and we believe that period-to-period comparisons of our financial results will not necessarily be indicative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related to corporate social responsibility and reputational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reputation and the reputation of our brands, including the perception held by our customers, end-users, business partners, investors, other key stakeholders and the communities in which we do business are influenced by various factors. The impact of environmental, social and governance (ESG) regulations and policies may change customer preferences, demands and requirements, and if we are not able to meet changing expectations, our ability to compete may be adversely affected and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us or our brands, including as a result of collaborations with third parties, could generate adverse publicity that could damage our reputation or the reputation of our brands or harm our relationships with customers, end-users, business partners, investors, or other key stakeholders. If we are unable to effectively manage real or perceived issues, including concerns about product quality, safety, corporate social responsibility or other ESG matters, sentiments toward us or our products could be negatively impacted, and our financial results could suffer.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Climate change or legal, regulatory or market measures to address climate change may negatively affect our business, supply chain, results of operations, financial condition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natural events beyond our control or climate change related regulations or market measures to address climate change have the potential to negatively affect our business, results of operations, financial condition and growth prospects. 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long-term effects of climate changes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or any of our third-party vendors may directly or indirectly incur. Further, new legal or regulatory requirements to address climate change may adversely affect our supply chain, increase operating costs, including costs of electricity and energy, as well as compliance and monitoring costs and reporting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pay dividends, if any, is limited, and our stockholders may not receive any return on investment unless they sell their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 active trading market for our common stock may not be sustained, and investors may not be able to resell their shares at or above the price they paid.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equity research analysts do not publish research or reports about our business or if they publish negative evaluations of or downgrade our common stock, the price of our 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relies in part on the research and reports that equity research analysts publish about us or our business. We do not control these analysts. If one or more of the analysts covering our business downgrade their 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incur significant increased costs as a result of operating as a public company, and our management is required to devote substantial time to compliance initiatives.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i/>
          <w:caps w:val="false"/>
          <w:smallCaps w:val="false"/>
          <w:sz w:val="20"/>
        </w:rPr>
        <w:t>Volatility in the price of our common stock may subject us to securities and shareholder derivative litigation, which could cause us to incur substantial costs and divert management</w:t>
      </w:r>
      <w:r>
        <w:rPr>
          <w:rFonts w:ascii="Times New Roman" w:hAnsi="Times New Roman"/>
          <w:caps w:val="false"/>
          <w:smallCaps w:val="false"/>
          <w:sz w:val="20"/>
        </w:rPr>
        <w:t>’</w:t>
      </w:r>
      <w:r>
        <w:rPr>
          <w:rFonts w:ascii="Times New Roman" w:hAnsi="Times New Roman"/>
          <w:b/>
          <w:i/>
          <w:caps w:val="false"/>
          <w:smallCaps w:val="false"/>
          <w:sz w:val="20"/>
        </w:rPr>
        <w:t>s attention, financial resources and other company assets.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past, securities class action and shareholder derivative litigation has often been brought against a company following periods of volatility in the market price of its securities. Pharmaceutical companies in particular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Future sales of our common stock, including by us or our directors and executive officers or shares issued upon the exercise of currently outstanding options, could cause our stock price to decline.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that we completed our previously authorized $100 million share repurchase program and our Board of Directors authorized a new share repurchase program of up to an additional $100 million of our outstanding shares of common stock. In March 2026, the Company’s Board of Directors authorized an increase to its share repurchase program from $100 million to $300 million.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2025, see the sections entitled “Purchases of Equity Securities by the Issuer and Affiliated Purchasers” in Part II, Item 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of any future share repurchases or share repurchase program authorizations by our Board of Directors.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8" w:name="unregistered"/>
      <w:bookmarkEnd w:id="18"/>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04"/>
        <w:gridCol w:w="1369"/>
        <w:gridCol w:w="1538"/>
        <w:gridCol w:w="3028"/>
        <w:gridCol w:w="3266"/>
      </w:tblGrid>
      <w:tr>
        <w:trPr/>
        <w:tc>
          <w:tcPr>
            <w:tcW w:w="10205" w:type="dxa"/>
            <w:gridSpan w:val="5"/>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tc>
      </w:tr>
      <w:tr>
        <w:trPr/>
        <w:tc>
          <w:tcPr>
            <w:tcW w:w="100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136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53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302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326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r>
      <w:tr>
        <w:trPr/>
        <w:tc>
          <w:tcPr>
            <w:tcW w:w="100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36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Number of Shares (or Units) Purchased</w:t>
            </w:r>
          </w:p>
        </w:tc>
        <w:tc>
          <w:tcPr>
            <w:tcW w:w="153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b/>
              </w:rPr>
            </w:pPr>
            <w:r>
              <w:rPr>
                <w:b/>
              </w:rPr>
              <w:t>Average Price Paid per Share (or Unit)</w:t>
            </w:r>
          </w:p>
        </w:tc>
        <w:tc>
          <w:tcPr>
            <w:tcW w:w="302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b/>
              </w:rPr>
            </w:pPr>
            <w:r>
              <w:rPr>
                <w:b/>
              </w:rPr>
              <w:t>Total Number of Shares (or Units) Purchased as Part of Publicly Announced Plans or Programs</w:t>
            </w:r>
          </w:p>
        </w:tc>
        <w:tc>
          <w:tcPr>
            <w:tcW w:w="326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Maximum Number (or Approximate Dollar Value) of Shares (or Units) that May Yet Be Purchased Under the Plans or Programs(1)</w:t>
            </w:r>
          </w:p>
        </w:tc>
      </w:tr>
      <w:tr>
        <w:trPr/>
        <w:tc>
          <w:tcPr>
            <w:tcW w:w="100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2026</w:t>
            </w:r>
          </w:p>
        </w:tc>
        <w:tc>
          <w:tcPr>
            <w:tcW w:w="136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53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02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26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$200,008,004</w:t>
            </w:r>
          </w:p>
        </w:tc>
      </w:tr>
      <w:tr>
        <w:trPr/>
        <w:tc>
          <w:tcPr>
            <w:tcW w:w="100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(April 1 to April 30, 2026)</w:t>
            </w:r>
          </w:p>
        </w:tc>
        <w:tc>
          <w:tcPr>
            <w:tcW w:w="136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 </w:t>
            </w:r>
          </w:p>
        </w:tc>
        <w:tc>
          <w:tcPr>
            <w:tcW w:w="153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 </w:t>
            </w:r>
          </w:p>
        </w:tc>
        <w:tc>
          <w:tcPr>
            <w:tcW w:w="3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 </w:t>
            </w:r>
          </w:p>
        </w:tc>
        <w:tc>
          <w:tcPr>
            <w:tcW w:w="3266" w:type="dxa"/>
            <w:tcBorders>
              <w:bottom w:val="single" w:sz="2" w:space="0" w:color="000000"/>
              <w:right w:val="single" w:sz="2" w:space="0" w:color="000000"/>
            </w:tcBorders>
            <w:tcMar>
              <w:top w:w="0" w:type="dxa"/>
              <w:left w:w="0" w:type="dxa"/>
            </w:tcMar>
            <w:vAlign w:val="center"/>
          </w:tcPr>
          <w:p>
            <w:pPr>
              <w:pStyle w:val="TableContents"/>
              <w:bidi w:val="0"/>
              <w:spacing w:before="0" w:after="0"/>
              <w:jc w:val="left"/>
              <w:rPr/>
            </w:pPr>
            <w:r>
              <w:rPr/>
              <w:t> </w:t>
            </w:r>
          </w:p>
        </w:tc>
      </w:tr>
      <w:tr>
        <w:trPr/>
        <w:tc>
          <w:tcPr>
            <w:tcW w:w="100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2026</w:t>
            </w:r>
          </w:p>
        </w:tc>
        <w:tc>
          <w:tcPr>
            <w:tcW w:w="136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53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02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26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$200,008,004</w:t>
            </w:r>
          </w:p>
        </w:tc>
      </w:tr>
      <w:tr>
        <w:trPr/>
        <w:tc>
          <w:tcPr>
            <w:tcW w:w="100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 to May 31, 2026)</w:t>
            </w:r>
          </w:p>
        </w:tc>
        <w:tc>
          <w:tcPr>
            <w:tcW w:w="136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53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02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26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2026</w:t>
            </w:r>
          </w:p>
        </w:tc>
        <w:tc>
          <w:tcPr>
            <w:tcW w:w="136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53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02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26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$200,008,004</w:t>
            </w:r>
          </w:p>
        </w:tc>
      </w:tr>
      <w:tr>
        <w:trPr/>
        <w:tc>
          <w:tcPr>
            <w:tcW w:w="100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 to June 30, 2026)</w:t>
            </w:r>
          </w:p>
        </w:tc>
        <w:tc>
          <w:tcPr>
            <w:tcW w:w="136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53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02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26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136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153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w:t>
            </w:r>
          </w:p>
        </w:tc>
        <w:tc>
          <w:tcPr>
            <w:tcW w:w="3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326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$200,008,004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Transaction fees are excluded.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 2025, the Company announced that its Board of Directors had authorized and approved the 2025 Share Repurchase Program for up to $100 million of the currently outstanding shares of the Company’s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18, 2026, the Company announced that its Board of Directors had authorized and approved an increase to the 2025 Share Repurchase Program from $100 million to $300 million of the currently outstanding shares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Repurchases under the 2025 Share Repurchase Program may be made using open market purchases, privately negotiated transactions, block purchases or other methods in accordance with applicable federal securities laws, including Rule 10b-18 of the Exchange Act. The 2025 Share Repurchase Program does not have a fixed expiration date, may be suspended or discontinued at any time, and does not obligate us to acquire any particular amount of our common stock.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defaults"/>
      <w:bookmarkEnd w:id="19"/>
      <w:r>
        <w:rPr>
          <w:rFonts w:ascii="Times New Roman" w:hAnsi="Times New Roman"/>
          <w:b/>
          <w:caps w:val="false"/>
          <w:smallCaps w:val="false"/>
          <w:sz w:val="20"/>
        </w:rPr>
        <w:t>ITEM 3. DEFAULTS OF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mine"/>
      <w:bookmarkEnd w:id="2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otherinfo"/>
      <w:bookmarkEnd w:id="2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Trading Plans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our directors or executive officers adopted or terminated any contract, instruction or written plan for the purchase or sale of the Company’s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2" w:name="exhibits"/>
      <w:bookmarkEnd w:id="22"/>
      <w:r>
        <w:rPr>
          <w:rFonts w:ascii="Times New Roman;Times;serif" w:hAnsi="Times New Roman;Times;serif"/>
          <w:b/>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exhibits listed on the Exhibit Index are included with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770" w:type="dxa"/>
            <w:tcBorders/>
            <w:vAlign w:val="center"/>
          </w:tcPr>
          <w:p>
            <w:pPr>
              <w:pStyle w:val="TableContents"/>
              <w:bidi w:val="0"/>
              <w:spacing w:before="0" w:after="283"/>
              <w:jc w:val="both"/>
              <w:rPr/>
            </w:pPr>
            <w:hyperlink w:anchor="ex_959226.htm">
              <w:r>
                <w:rPr>
                  <w:rStyle w:val="InternetLink"/>
                  <w:rFonts w:ascii="Times New Roman;Times;serif" w:hAnsi="Times New Roman;Times;serif"/>
                  <w:sz w:val="20"/>
                </w:rPr>
                <w:t xml:space="preserve">Certification of Chief Executive Officer pursuant to Rule 13a-14(a)/15d-14(a), as adopted pursuant to Section 302 of the Sarbanes-Oxley Act of 2002, dated </w:t>
              </w:r>
            </w:hyperlink>
            <w:hyperlink w:anchor="ex_959226.htm">
              <w:r>
                <w:rPr>
                  <w:rStyle w:val="InternetLink"/>
                  <w:rFonts w:ascii="Times New Roman;Times;serif" w:hAnsi="Times New Roman;Times;serif"/>
                  <w:sz w:val="20"/>
                </w:rPr>
                <w:t>August 5, 2026</w:t>
              </w:r>
            </w:hyperlink>
            <w:r>
              <w:rPr>
                <w:rFonts w:ascii="Times New Roman;Times;serif" w:hAnsi="Times New Roman;Times;serif"/>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770" w:type="dxa"/>
            <w:tcBorders/>
            <w:vAlign w:val="center"/>
          </w:tcPr>
          <w:p>
            <w:pPr>
              <w:pStyle w:val="TableContents"/>
              <w:bidi w:val="0"/>
              <w:spacing w:before="0" w:after="0"/>
              <w:ind w:left="0" w:right="0" w:hanging="0"/>
              <w:jc w:val="both"/>
              <w:rPr/>
            </w:pPr>
            <w:hyperlink w:anchor="ex_959227.htm">
              <w:r>
                <w:rPr>
                  <w:rStyle w:val="InternetLink"/>
                  <w:rFonts w:ascii="Times New Roman;Times;serif" w:hAnsi="Times New Roman;Times;serif"/>
                  <w:caps w:val="false"/>
                  <w:smallCaps w:val="false"/>
                  <w:sz w:val="20"/>
                </w:rPr>
                <w:t xml:space="preserve">Certification of Chief Financial Officer pursuant to Rule 13a-14(a)/15d-14(a), as adopted pursuant to Section 302 of the Sarbanes-Oxley Act of 2002, dated </w:t>
              </w:r>
            </w:hyperlink>
            <w:hyperlink w:anchor="ex_959227.htm">
              <w:r>
                <w:rPr>
                  <w:rStyle w:val="InternetLink"/>
                  <w:rFonts w:ascii="Times New Roman;Times;serif" w:hAnsi="Times New Roman;Times;serif"/>
                  <w:caps w:val="false"/>
                  <w:smallCaps w:val="false"/>
                  <w:sz w:val="20"/>
                </w:rPr>
                <w:t>August 5, 2026</w:t>
              </w:r>
            </w:hyperlink>
            <w:r>
              <w:rPr>
                <w:rFonts w:ascii="Times New Roman;Times;serif" w:hAnsi="Times New Roman;Times;serif"/>
                <w:caps w:val="false"/>
                <w:smallCaps w:val="false"/>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770" w:type="dxa"/>
            <w:tcBorders/>
            <w:vAlign w:val="center"/>
          </w:tcPr>
          <w:p>
            <w:pPr>
              <w:pStyle w:val="TableContents"/>
              <w:bidi w:val="0"/>
              <w:spacing w:before="0" w:after="0"/>
              <w:ind w:left="0" w:right="0" w:hanging="0"/>
              <w:jc w:val="both"/>
              <w:rPr/>
            </w:pPr>
            <w:hyperlink w:anchor="ex_959228.htm">
              <w:r>
                <w:rPr>
                  <w:rStyle w:val="InternetLink"/>
                  <w:rFonts w:ascii="Times New Roman;Times;serif" w:hAnsi="Times New Roman;Times;serif"/>
                  <w:caps w:val="false"/>
                  <w:smallCaps w:val="false"/>
                  <w:sz w:val="20"/>
                </w:rPr>
                <w:t xml:space="preserve">Certification of Chief Executive Officer pursuant to 18 U.S.C. 1350, as adopted pursuant to Section 906 of the Sarbanes-Oxley Act of 2002, dated </w:t>
              </w:r>
            </w:hyperlink>
            <w:hyperlink w:anchor="ex_959228.htm">
              <w:r>
                <w:rPr>
                  <w:rStyle w:val="InternetLink"/>
                  <w:rFonts w:ascii="Times New Roman;Times;serif" w:hAnsi="Times New Roman;Times;serif"/>
                  <w:caps w:val="false"/>
                  <w:smallCaps w:val="false"/>
                  <w:sz w:val="20"/>
                </w:rPr>
                <w:t>August 5, 2026</w:t>
              </w:r>
            </w:hyperlink>
            <w:r>
              <w:rPr>
                <w:rFonts w:ascii="Times New Roman;Times;serif" w:hAnsi="Times New Roman;Times;serif"/>
                <w:caps w:val="false"/>
                <w:smallCaps w:val="false"/>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770" w:type="dxa"/>
            <w:tcBorders/>
            <w:vAlign w:val="center"/>
          </w:tcPr>
          <w:p>
            <w:pPr>
              <w:pStyle w:val="TableContents"/>
              <w:bidi w:val="0"/>
              <w:spacing w:before="0" w:after="283"/>
              <w:jc w:val="both"/>
              <w:rPr/>
            </w:pPr>
            <w:hyperlink w:anchor="ex_959229.htm">
              <w:r>
                <w:rPr>
                  <w:rStyle w:val="InternetLink"/>
                  <w:rFonts w:ascii="Times New Roman;Times;serif" w:hAnsi="Times New Roman;Times;serif"/>
                  <w:sz w:val="20"/>
                </w:rPr>
                <w:t xml:space="preserve">Certification of Chief Financial Officer pursuant to 18 U.S.C. 1350, as adopted pursuant to Section 906 of the Sarbanes-Oxley Act of 2002, dated </w:t>
              </w:r>
            </w:hyperlink>
            <w:hyperlink w:anchor="ex_959229.htm">
              <w:r>
                <w:rPr>
                  <w:rStyle w:val="InternetLink"/>
                  <w:rFonts w:ascii="Times New Roman;Times;serif" w:hAnsi="Times New Roman;Times;serif"/>
                  <w:sz w:val="20"/>
                </w:rPr>
                <w:t>August 5, 2026</w:t>
              </w:r>
            </w:hyperlink>
            <w:r>
              <w:rPr>
                <w:rFonts w:ascii="Times New Roman;Times;serif" w:hAnsi="Times New Roman;Times;serif"/>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information from the Company’s Quarterly Report on Form 10-Q for the period ended June 30, 2026, formatted in Inline Extensible Business Reporting Language (iXBRL): (i) 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Certain portions of this exhibit have been omitted pursuant to Item 601(b)(10)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1745"/>
        <w:gridCol w:w="320"/>
        <w:gridCol w:w="3515"/>
      </w:tblGrid>
      <w:tr>
        <w:trPr/>
        <w:tc>
          <w:tcPr>
            <w:tcW w:w="174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THERAPEUTICS, INC.</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96 </w:t>
      </w:r>
    </w:p>
    <w:p>
      <w:pPr>
        <w:pStyle w:val="TextBody"/>
        <w:bidi w:val="0"/>
        <w:spacing w:before="0" w:after="0"/>
        <w:ind w:left="0" w:right="0" w:hanging="0"/>
        <w:jc w:val="right"/>
        <w:rPr>
          <w:rFonts w:ascii="Times New Roman" w:hAnsi="Times New Roman"/>
          <w:b/>
          <w:caps w:val="false"/>
          <w:smallCaps w:val="false"/>
          <w:sz w:val="20"/>
        </w:rPr>
      </w:pPr>
      <w:bookmarkStart w:id="23" w:name="ex_959226.htm"/>
      <w:bookmarkStart w:id="24" w:name="ksex_959226"/>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S. Weiss, certify that: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TG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745"/>
        <w:gridCol w:w="396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67692F20239121697128574157"/>
            <w:bookmarkEnd w:id="25"/>
            <w:r>
              <w:rPr>
                <w:rFonts w:ascii="Times New Roman" w:hAnsi="Times New Roman"/>
                <w:caps w:val="false"/>
                <w:smallCaps w:val="false"/>
                <w:sz w:val="20"/>
              </w:rPr>
              <w:t>August 5, 2026</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59227.htm"/>
      <w:bookmarkStart w:id="27" w:name="ksex_959227"/>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Sean A. Power, certify that: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TG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745"/>
        <w:gridCol w:w="351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67692F20239121697128593353"/>
            <w:bookmarkEnd w:id="28"/>
            <w:r>
              <w:rPr>
                <w:rFonts w:ascii="Times New Roman" w:hAnsi="Times New Roman"/>
                <w:caps w:val="false"/>
                <w:smallCaps w:val="false"/>
                <w:sz w:val="20"/>
              </w:rPr>
              <w:t>August 5, 2026</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959228.htm"/>
      <w:bookmarkStart w:id="30" w:name="ksex_959228"/>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EXECUTIVE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TG Therapeutics, Inc. (the Company) on Form 10-Q for the period ended </w:t>
      </w:r>
      <w:bookmarkStart w:id="31" w:name="led467692F20239121697128614882"/>
      <w:bookmarkEnd w:id="31"/>
      <w:r>
        <w:rPr>
          <w:rFonts w:ascii="Times New Roman" w:hAnsi="Times New Roman"/>
          <w:caps w:val="false"/>
          <w:smallCaps w:val="false"/>
          <w:sz w:val="20"/>
        </w:rPr>
        <w:t>June 30, 2026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745"/>
        <w:gridCol w:w="396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2" w:name="led467692F20239121697128620838"/>
            <w:bookmarkEnd w:id="32"/>
            <w:r>
              <w:rPr>
                <w:rFonts w:ascii="Times New Roman" w:hAnsi="Times New Roman"/>
                <w:caps w:val="false"/>
                <w:smallCaps w:val="false"/>
                <w:sz w:val="20"/>
              </w:rPr>
              <w:t>August 5, 2026</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959229.htm"/>
      <w:bookmarkStart w:id="34" w:name="ksex_959229"/>
      <w:bookmarkEnd w:id="33"/>
      <w:bookmarkEnd w:id="34"/>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FINANCIAL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TG Therapeutics, Inc. (the Company) on Form 10-Q for the period ended </w:t>
      </w:r>
      <w:bookmarkStart w:id="35" w:name="led467692F20239121697128640384"/>
      <w:bookmarkEnd w:id="35"/>
      <w:r>
        <w:rPr>
          <w:rFonts w:ascii="Times New Roman" w:hAnsi="Times New Roman"/>
          <w:caps w:val="false"/>
          <w:smallCaps w:val="false"/>
          <w:sz w:val="20"/>
        </w:rPr>
        <w:t>June 30, 2026 as filed with the Securities and Exchange Commission (the Report), I, Sean A. Power, Chief Financial Officer of the Company, certify, pursuant to 18 U.S.C. §1350, as adopted pursuant to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745"/>
        <w:gridCol w:w="351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6" w:name="led467692F20239121697128646131"/>
            <w:bookmarkEnd w:id="36"/>
            <w:r>
              <w:rPr>
                <w:rFonts w:ascii="Times New Roman" w:hAnsi="Times New Roman"/>
                <w:caps w:val="false"/>
                <w:smallCaps w:val="false"/>
                <w:sz w:val="20"/>
              </w:rPr>
              <w:t>August 5, 2026</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66556</Words>
  <Characters>375646</Characters>
  <CharactersWithSpaces>444033</CharactersWithSpaces>
  <Paragraphs>7615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