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ind w:left="4060" w:right="2700" w:hanging="1351"/>
        <w:spacing w:after="0" w:line="282" w:lineRule="auto"/>
        <w:tabs>
          <w:tab w:leader="none" w:pos="291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700" w:hanging="1358"/>
        <w:spacing w:after="0" w:line="282" w:lineRule="auto"/>
        <w:tabs>
          <w:tab w:leader="none" w:pos="290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49" w:right="2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787 Seventh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type w:val="continuous"/>
        </w:sectPr>
      </w:pPr>
    </w:p>
    <w:p>
      <w:pPr>
        <w:spacing w:after="0" w:line="14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0" w:lineRule="exact"/>
        <w:rPr>
          <w:sz w:val="24"/>
          <w:szCs w:val="24"/>
          <w:color w:val="auto"/>
        </w:rPr>
      </w:pPr>
    </w:p>
    <w:p>
      <w:pPr>
        <w:sectPr>
          <w:pgSz w:w="11900" w:h="16838" w:orient="portrait"/>
          <w:cols w:equalWidth="0" w:num="2">
            <w:col w:w="8500" w:space="720"/>
            <w:col w:w="2200"/>
          </w:cols>
          <w:pgMar w:left="240" w:top="449" w:right="239" w:bottom="1440" w:gutter="0" w:footer="0" w:header="0"/>
          <w:type w:val="continuous"/>
        </w:sectPr>
      </w:pPr>
    </w:p>
    <w:p>
      <w:pPr>
        <w:spacing w:after="0" w:line="48" w:lineRule="exact"/>
        <w:rPr>
          <w:sz w:val="24"/>
          <w:szCs w:val="24"/>
          <w:color w:val="auto"/>
        </w:rPr>
      </w:pPr>
    </w:p>
    <w:p>
      <w:pPr>
        <w:ind w:left="8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smaller reporting company)</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2380" w:space="180"/>
            <w:col w:w="5100" w:space="720"/>
            <w:col w:w="3040"/>
          </w:cols>
          <w:pgMar w:left="240" w:top="44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Yes £ No x</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There were 33,276,940 shares of the registrant’s common stock, $0.001 par value, outstanding as of July 29,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80" w:type="dxa"/>
            <w:vAlign w:val="bottom"/>
          </w:tcPr>
          <w:p>
            <w:pPr>
              <w:spacing w:after="0"/>
              <w:rPr>
                <w:sz w:val="17"/>
                <w:szCs w:val="17"/>
                <w:color w:val="auto"/>
              </w:rPr>
            </w:pPr>
          </w:p>
        </w:tc>
        <w:tc>
          <w:tcPr>
            <w:tcW w:w="96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Financial Statements: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Balance Sheets as of June 30, 2013 (unaudited) and December 31, 2012</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9380" w:type="dxa"/>
            <w:vAlign w:val="bottom"/>
            <w:shd w:val="clear" w:color="auto" w:fill="CCFFCC"/>
          </w:tcPr>
          <w:p>
            <w:pPr>
              <w:ind w:left="420"/>
              <w:spacing w:after="0" w:line="201" w:lineRule="exact"/>
              <w:rPr>
                <w:sz w:val="20"/>
                <w:szCs w:val="20"/>
                <w:color w:val="auto"/>
              </w:rPr>
            </w:pPr>
            <w:r>
              <w:rPr>
                <w:rFonts w:ascii="Arial" w:cs="Arial" w:eastAsia="Arial" w:hAnsi="Arial"/>
                <w:sz w:val="18"/>
                <w:szCs w:val="18"/>
                <w:color w:val="auto"/>
                <w:w w:val="93"/>
              </w:rPr>
              <w:t>Condensed Consolidated Statements of Operations for the three and six months ended June 30, 2013 and 2012 and the</w:t>
            </w:r>
          </w:p>
        </w:tc>
        <w:tc>
          <w:tcPr>
            <w:tcW w:w="580" w:type="dxa"/>
            <w:vAlign w:val="bottom"/>
            <w:gridSpan w:val="2"/>
            <w:shd w:val="clear" w:color="auto" w:fill="CCFFCC"/>
          </w:tcPr>
          <w:p>
            <w:pPr>
              <w:jc w:val="center"/>
              <w:ind w:left="110"/>
              <w:spacing w:after="0" w:line="201" w:lineRule="exact"/>
              <w:rPr>
                <w:sz w:val="20"/>
                <w:szCs w:val="20"/>
                <w:color w:val="auto"/>
              </w:rPr>
            </w:pPr>
            <w:r>
              <w:rPr>
                <w:rFonts w:ascii="Arial" w:cs="Arial" w:eastAsia="Arial" w:hAnsi="Arial"/>
                <w:sz w:val="18"/>
                <w:szCs w:val="18"/>
                <w:color w:val="auto"/>
                <w:w w:val="99"/>
              </w:rPr>
              <w:t>5</w:t>
            </w:r>
          </w:p>
        </w:tc>
        <w:tc>
          <w:tcPr>
            <w:tcW w:w="3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9380" w:type="dxa"/>
            <w:vAlign w:val="bottom"/>
            <w:shd w:val="clear" w:color="auto" w:fill="CCFFCC"/>
          </w:tcPr>
          <w:p>
            <w:pPr>
              <w:ind w:left="740"/>
              <w:spacing w:after="0"/>
              <w:rPr>
                <w:sz w:val="20"/>
                <w:szCs w:val="20"/>
                <w:color w:val="auto"/>
              </w:rPr>
            </w:pPr>
            <w:r>
              <w:rPr>
                <w:rFonts w:ascii="Arial" w:cs="Arial" w:eastAsia="Arial" w:hAnsi="Arial"/>
                <w:sz w:val="18"/>
                <w:szCs w:val="18"/>
                <w:color w:val="auto"/>
              </w:rPr>
              <w:t>Cumulative Period ended June 30, 2013 (unaudited)</w:t>
            </w:r>
          </w:p>
        </w:tc>
        <w:tc>
          <w:tcPr>
            <w:tcW w:w="20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Statement of Equity for the six months ended June 30, 2013 (unaudited)</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6</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9380" w:type="dxa"/>
            <w:vAlign w:val="bottom"/>
            <w:shd w:val="clear" w:color="auto" w:fill="CCFFCC"/>
          </w:tcPr>
          <w:p>
            <w:pPr>
              <w:ind w:left="420"/>
              <w:spacing w:after="0" w:line="201" w:lineRule="exact"/>
              <w:rPr>
                <w:sz w:val="20"/>
                <w:szCs w:val="20"/>
                <w:color w:val="auto"/>
              </w:rPr>
            </w:pPr>
            <w:r>
              <w:rPr>
                <w:rFonts w:ascii="Arial" w:cs="Arial" w:eastAsia="Arial" w:hAnsi="Arial"/>
                <w:sz w:val="18"/>
                <w:szCs w:val="18"/>
                <w:color w:val="auto"/>
                <w:w w:val="91"/>
              </w:rPr>
              <w:t>Condensed Consolidated Statements of Cash Flows for the six months ended June 30, 2013 and 2012 and the Cumulative</w:t>
            </w:r>
          </w:p>
        </w:tc>
        <w:tc>
          <w:tcPr>
            <w:tcW w:w="580" w:type="dxa"/>
            <w:vAlign w:val="bottom"/>
            <w:gridSpan w:val="2"/>
            <w:shd w:val="clear" w:color="auto" w:fill="CCFFCC"/>
          </w:tcPr>
          <w:p>
            <w:pPr>
              <w:jc w:val="center"/>
              <w:ind w:left="110"/>
              <w:spacing w:after="0" w:line="201" w:lineRule="exact"/>
              <w:rPr>
                <w:sz w:val="20"/>
                <w:szCs w:val="20"/>
                <w:color w:val="auto"/>
              </w:rPr>
            </w:pPr>
            <w:r>
              <w:rPr>
                <w:rFonts w:ascii="Arial" w:cs="Arial" w:eastAsia="Arial" w:hAnsi="Arial"/>
                <w:sz w:val="18"/>
                <w:szCs w:val="18"/>
                <w:color w:val="auto"/>
                <w:w w:val="99"/>
              </w:rPr>
              <w:t>7</w:t>
            </w:r>
          </w:p>
        </w:tc>
        <w:tc>
          <w:tcPr>
            <w:tcW w:w="3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9380" w:type="dxa"/>
            <w:vAlign w:val="bottom"/>
            <w:shd w:val="clear" w:color="auto" w:fill="CCFFCC"/>
          </w:tcPr>
          <w:p>
            <w:pPr>
              <w:ind w:left="740"/>
              <w:spacing w:after="0"/>
              <w:rPr>
                <w:sz w:val="20"/>
                <w:szCs w:val="20"/>
                <w:color w:val="auto"/>
              </w:rPr>
            </w:pPr>
            <w:r>
              <w:rPr>
                <w:rFonts w:ascii="Arial" w:cs="Arial" w:eastAsia="Arial" w:hAnsi="Arial"/>
                <w:sz w:val="18"/>
                <w:szCs w:val="18"/>
                <w:color w:val="auto"/>
              </w:rPr>
              <w:t>Period ended June 30, 2013 (unaudited)</w:t>
            </w:r>
          </w:p>
        </w:tc>
        <w:tc>
          <w:tcPr>
            <w:tcW w:w="20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Notes to Condensed Consolidated Financial Statements (unaudited)</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8</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16</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Quantitative and Qualitative Disclosures About Market Risk</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25</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Controls and Procedures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25</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II</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b w:val="1"/>
                <w:bCs w:val="1"/>
                <w:color w:val="auto"/>
              </w:rPr>
              <w:t>OTHER INFORMATION</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26</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Legal Proceedings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26</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Risk Factors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26</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Exhibits</w:t>
            </w:r>
          </w:p>
        </w:tc>
        <w:tc>
          <w:tcPr>
            <w:tcW w:w="58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43</w:t>
            </w: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right="16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9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June 30, 2013</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2012</w:t>
            </w:r>
          </w:p>
        </w:tc>
        <w:tc>
          <w:tcPr>
            <w:tcW w:w="0" w:type="dxa"/>
            <w:vAlign w:val="bottom"/>
          </w:tcPr>
          <w:p>
            <w:pPr>
              <w:spacing w:after="0"/>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13,416,952</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16,455,995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615,331</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1,990,759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136,712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14,168,995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18,475,882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2,797,600</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799,391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90,058</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Borders>
              <w:bottom w:val="single" w:sz="8" w:color="CCFFCC"/>
            </w:tcBorders>
          </w:tcPr>
          <w:p>
            <w:pPr>
              <w:ind w:left="6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17,858,571</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22,074,037</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Notes payable, current portion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677,778</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2,247,518</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232,750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152,381</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155,829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3,466,256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2,216,067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1,752,381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1,828,571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Notes payable, less current portion, at fair value</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2,364,816</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2,479,098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FFCC"/>
            </w:tcBorders>
          </w:tcPr>
          <w:p>
            <w:pPr>
              <w:ind w:left="6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7,583,453</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6,523,736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320"/>
              <w:spacing w:after="0" w:line="201" w:lineRule="exact"/>
              <w:rPr>
                <w:sz w:val="20"/>
                <w:szCs w:val="20"/>
                <w:color w:val="auto"/>
              </w:rPr>
            </w:pPr>
            <w:r>
              <w:rPr>
                <w:rFonts w:ascii="Arial" w:cs="Arial" w:eastAsia="Arial" w:hAnsi="Arial"/>
                <w:sz w:val="18"/>
                <w:szCs w:val="18"/>
                <w:color w:val="auto"/>
                <w:w w:val="98"/>
              </w:rPr>
              <w:t>Preferred stock, $0.001 par value per share (10,000,000 shares authorized, no shares issued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outstanding as of June 30, 2013 and December 31, 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1"/>
              </w:rPr>
              <w:t>Common stock, $0.001 par value per share (500,000,000 shares authorized, 26,735,466 and 25,820,738</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480"/>
              <w:spacing w:after="0"/>
              <w:rPr>
                <w:sz w:val="20"/>
                <w:szCs w:val="20"/>
                <w:color w:val="auto"/>
              </w:rPr>
            </w:pPr>
            <w:r>
              <w:rPr>
                <w:rFonts w:ascii="Arial" w:cs="Arial" w:eastAsia="Arial" w:hAnsi="Arial"/>
                <w:sz w:val="18"/>
                <w:szCs w:val="18"/>
                <w:color w:val="auto"/>
                <w:w w:val="89"/>
              </w:rPr>
              <w:t>shares issued, 26,721,940 and 25,807,212 shares outstanding at June 30, 2013 and December 31, 2012,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26,735</w:t>
            </w: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Contingently issuable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39,516,871</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34,534,805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Treasury stock, at cost, 13,526 shares at June 30, 2013 and  December 31, 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(84,538)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Deficit accumulated in development stage</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(29,183,956)</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(18,925,793)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10,275,118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15,550,301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17,858,571</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22,074,037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1"/>
              </w:rPr>
              <w:t>Three months ended June 30,</w:t>
            </w:r>
          </w:p>
        </w:tc>
        <w:tc>
          <w:tcPr>
            <w:tcW w:w="200" w:type="dxa"/>
            <w:vAlign w:val="bottom"/>
          </w:tcPr>
          <w:p>
            <w:pPr>
              <w:spacing w:after="0"/>
              <w:rPr>
                <w:sz w:val="20"/>
                <w:szCs w:val="20"/>
                <w:color w:val="auto"/>
              </w:rPr>
            </w:pPr>
          </w:p>
        </w:tc>
        <w:tc>
          <w:tcPr>
            <w:tcW w:w="26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2"/>
              </w:rPr>
              <w:t>Six months ended June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 ending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38,095</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76,190</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4"/>
              </w:rPr>
              <w:t>Noncash stock expense associated with in-licensing</w:t>
            </w: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agreement</w:t>
            </w: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16,578,000</w:t>
            </w: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366,168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720,871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109,198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research and development</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4,661,455</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1,536,896</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5,876,657</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1,700,249</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9,901,122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5,027,623</w:t>
            </w:r>
          </w:p>
        </w:tc>
        <w:tc>
          <w:tcPr>
            <w:tcW w:w="2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1,646,094</w:t>
            </w:r>
          </w:p>
        </w:tc>
        <w:tc>
          <w:tcPr>
            <w:tcW w:w="2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6,597,528</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18,387,447</w:t>
            </w: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27,952,802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1,007,600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1,062,793</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2,538,374</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1,251,302</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5,591,241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631,637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396,043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1,283,094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851,535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3,566,374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1,639,237</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1,458,836</w:t>
            </w: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3,821,468</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2,102,837</w:t>
            </w: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9,157,615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w w:val="98"/>
              </w:rPr>
              <w:t>Impairment of in-process research and development</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6,666,860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3,104,930</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10,418,996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20,490,284</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38,215,117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(6,628,765)</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(3,104,930)</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(10,342,806)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(20,490,284)</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(38,119,879)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(4,092)</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(7,760)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(272,232)</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(272,232)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228,109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471,486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448,258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 in fair value of notes payable</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(283,050)</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(482,556)</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(553,450)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(687,853)</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(2,213,322)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(44,213</w:t>
            </w:r>
          </w:p>
        </w:tc>
        <w:tc>
          <w:tcPr>
            <w:tcW w:w="240" w:type="dxa"/>
            <w:vAlign w:val="bottom"/>
            <w:tcBorders>
              <w:bottom w:val="single" w:sz="8" w:color="CCFF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(530,771)</w:t>
            </w:r>
          </w:p>
        </w:tc>
        <w:tc>
          <w:tcPr>
            <w:tcW w:w="2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(84,643)</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(519,587)</w:t>
            </w:r>
          </w:p>
        </w:tc>
        <w:tc>
          <w:tcPr>
            <w:tcW w:w="140" w:type="dxa"/>
            <w:vAlign w:val="bottom"/>
            <w:tcBorders>
              <w:bottom w:val="single" w:sz="8" w:color="CCFFCC"/>
            </w:tcBorders>
            <w:gridSpan w:val="2"/>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(1,119,693)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(6,584,552)</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(2,574,159)</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(10,258,163)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(19,970,697)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(37,000,186)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1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(6,584,552)</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(2,574,159)</w:t>
            </w: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(10,258,163)</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(19,970,697)</w:t>
            </w:r>
          </w:p>
        </w:tc>
        <w:tc>
          <w:tcPr>
            <w:tcW w:w="140" w:type="dxa"/>
            <w:vAlign w:val="bottom"/>
            <w:tcBorders>
              <w:top w:val="single" w:sz="8" w:color="CCFFCC"/>
            </w:tcBorders>
            <w:gridSpan w:val="2"/>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(37,330,186)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(679,506)</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(7,819,954)</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(8,146,230)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spacing w:after="0" w:line="201" w:lineRule="exact"/>
              <w:rPr>
                <w:sz w:val="20"/>
                <w:szCs w:val="20"/>
                <w:color w:val="auto"/>
              </w:rPr>
            </w:pPr>
            <w:r>
              <w:rPr>
                <w:rFonts w:ascii="Arial" w:cs="Arial" w:eastAsia="Arial" w:hAnsi="Arial"/>
                <w:sz w:val="18"/>
                <w:szCs w:val="18"/>
                <w:color w:val="auto"/>
              </w:rPr>
              <w:t>Net loss attributable to TG Therapeutics, Inc. and</w:t>
            </w: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(6,584,552)</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(1,894,653)</w:t>
            </w: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(10,258,163)</w:t>
            </w: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(12,150,743)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(29,183,956)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18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160" w:type="dxa"/>
            <w:vAlign w:val="bottom"/>
            <w:gridSpan w:val="3"/>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24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2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00" w:type="dxa"/>
            <w:vAlign w:val="bottom"/>
            <w:tcBorders>
              <w:top w:val="single" w:sz="8" w:color="CCFFCC"/>
            </w:tcBorders>
            <w:shd w:val="clear" w:color="auto" w:fill="CCFFCC"/>
          </w:tcPr>
          <w:p>
            <w:pPr>
              <w:spacing w:after="0"/>
              <w:rPr>
                <w:sz w:val="20"/>
                <w:szCs w:val="20"/>
                <w:color w:val="auto"/>
              </w:rPr>
            </w:pPr>
          </w:p>
        </w:tc>
        <w:tc>
          <w:tcPr>
            <w:tcW w:w="1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260" w:type="dxa"/>
            <w:vAlign w:val="bottom"/>
            <w:tcBorders>
              <w:top w:val="single" w:sz="8" w:color="CCFFCC"/>
            </w:tcBorders>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040" w:type="dxa"/>
            <w:vAlign w:val="bottom"/>
            <w:tcBorders>
              <w:top w:val="single" w:sz="8" w:color="auto"/>
            </w:tcBorders>
            <w:shd w:val="clear" w:color="auto" w:fill="CCFFCC"/>
          </w:tcPr>
          <w:p>
            <w:pPr>
              <w:spacing w:after="0"/>
              <w:rPr>
                <w:sz w:val="20"/>
                <w:szCs w:val="20"/>
                <w:color w:val="auto"/>
              </w:rPr>
            </w:pPr>
          </w:p>
        </w:tc>
        <w:tc>
          <w:tcPr>
            <w:tcW w:w="140" w:type="dxa"/>
            <w:vAlign w:val="bottom"/>
            <w:tcBorders>
              <w:top w:val="single" w:sz="8" w:color="CCFFCC"/>
            </w:tcBorders>
            <w:shd w:val="clear" w:color="auto" w:fill="CCFFCC"/>
          </w:tcPr>
          <w:p>
            <w:pPr>
              <w:spacing w:after="0"/>
              <w:rPr>
                <w:sz w:val="20"/>
                <w:szCs w:val="20"/>
                <w:color w:val="auto"/>
              </w:rPr>
            </w:pPr>
          </w:p>
        </w:tc>
        <w:tc>
          <w:tcPr>
            <w:tcW w:w="8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0" w:type="dxa"/>
            <w:vAlign w:val="bottom"/>
            <w:tcBorders>
              <w:top w:val="single" w:sz="8" w:color="CCFFCC"/>
            </w:tcBorders>
            <w:shd w:val="clear" w:color="auto" w:fill="CCFFCC"/>
          </w:tcPr>
          <w:p>
            <w:pPr>
              <w:spacing w:after="0"/>
              <w:rPr>
                <w:sz w:val="20"/>
                <w:szCs w:val="20"/>
                <w:color w:val="auto"/>
              </w:rPr>
            </w:pPr>
          </w:p>
        </w:tc>
        <w:tc>
          <w:tcPr>
            <w:tcW w:w="120" w:type="dxa"/>
            <w:vAlign w:val="bottom"/>
            <w:tcBorders>
              <w:top w:val="single" w:sz="8" w:color="CCFFCC"/>
            </w:tcBorders>
            <w:shd w:val="clear" w:color="auto" w:fill="CCFFCC"/>
          </w:tcPr>
          <w:p>
            <w:pPr>
              <w:spacing w:after="0"/>
              <w:rPr>
                <w:sz w:val="20"/>
                <w:szCs w:val="20"/>
                <w:color w:val="auto"/>
              </w:rPr>
            </w:pPr>
          </w:p>
        </w:tc>
        <w:tc>
          <w:tcPr>
            <w:tcW w:w="60" w:type="dxa"/>
            <w:vAlign w:val="bottom"/>
            <w:tcBorders>
              <w:top w:val="single" w:sz="8" w:color="CCFFCC"/>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1160" w:type="dxa"/>
            <w:vAlign w:val="bottom"/>
            <w:tcBorders>
              <w:top w:val="single" w:sz="8" w:color="CCFFCC"/>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computing basic and</w:t>
            </w:r>
          </w:p>
        </w:tc>
        <w:tc>
          <w:tcPr>
            <w:tcW w:w="180" w:type="dxa"/>
            <w:vAlign w:val="bottom"/>
          </w:tcPr>
          <w:p>
            <w:pPr>
              <w:spacing w:after="0"/>
              <w:rPr>
                <w:sz w:val="17"/>
                <w:szCs w:val="17"/>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22,483,394</w:t>
            </w:r>
          </w:p>
        </w:tc>
        <w:tc>
          <w:tcPr>
            <w:tcW w:w="280" w:type="dxa"/>
            <w:vAlign w:val="bottom"/>
          </w:tcPr>
          <w:p>
            <w:pPr>
              <w:spacing w:after="0"/>
              <w:rPr>
                <w:sz w:val="17"/>
                <w:szCs w:val="17"/>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11,777,563</w:t>
            </w:r>
          </w:p>
        </w:tc>
        <w:tc>
          <w:tcPr>
            <w:tcW w:w="2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22,213,335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8,419,481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diluted net loss per common share</w:t>
            </w: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for the six months ended June 30,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Balance at January 1, 2013</w:t>
      </w:r>
    </w:p>
    <w:p>
      <w:pPr>
        <w:ind w:left="180" w:hanging="161"/>
        <w:spacing w:after="0" w:line="256" w:lineRule="auto"/>
        <w:rPr>
          <w:sz w:val="20"/>
          <w:szCs w:val="20"/>
          <w:color w:val="auto"/>
        </w:rPr>
      </w:pPr>
      <w:r>
        <w:rPr>
          <w:rFonts w:ascii="Arial" w:cs="Arial" w:eastAsia="Arial" w:hAnsi="Arial"/>
          <w:sz w:val="11"/>
          <w:szCs w:val="11"/>
          <w:color w:val="auto"/>
        </w:rPr>
        <w:t>Issuance of common stock in connection with exercise of warrants</w:t>
      </w:r>
    </w:p>
    <w:p>
      <w:pPr>
        <w:jc w:val="center"/>
        <w:spacing w:after="0" w:line="256" w:lineRule="auto"/>
        <w:rPr>
          <w:sz w:val="20"/>
          <w:szCs w:val="20"/>
          <w:color w:val="auto"/>
        </w:rPr>
      </w:pPr>
      <w:r>
        <w:rPr>
          <w:rFonts w:ascii="Arial" w:cs="Arial" w:eastAsia="Arial" w:hAnsi="Arial"/>
          <w:sz w:val="11"/>
          <w:szCs w:val="11"/>
          <w:color w:val="auto"/>
        </w:rPr>
        <w:t>Issuance of common stock in connection with cashless exercise of warrants</w:t>
      </w:r>
    </w:p>
    <w:p>
      <w:pPr>
        <w:ind w:right="160"/>
        <w:spacing w:after="0" w:line="256" w:lineRule="auto"/>
        <w:rPr>
          <w:sz w:val="20"/>
          <w:szCs w:val="20"/>
          <w:color w:val="auto"/>
        </w:rPr>
      </w:pPr>
      <w:r>
        <w:rPr>
          <w:rFonts w:ascii="Arial" w:cs="Arial" w:eastAsia="Arial" w:hAnsi="Arial"/>
          <w:sz w:val="11"/>
          <w:szCs w:val="11"/>
          <w:color w:val="auto"/>
        </w:rPr>
        <w:t>Issuance of restricted stock Compensation in respect of restricted</w:t>
      </w:r>
    </w:p>
    <w:p>
      <w:pPr>
        <w:ind w:left="180" w:right="40"/>
        <w:spacing w:after="0" w:line="269" w:lineRule="auto"/>
        <w:rPr>
          <w:sz w:val="20"/>
          <w:szCs w:val="20"/>
          <w:color w:val="auto"/>
        </w:rPr>
      </w:pPr>
      <w:r>
        <w:rPr>
          <w:rFonts w:ascii="Arial" w:cs="Arial" w:eastAsia="Arial" w:hAnsi="Arial"/>
          <w:sz w:val="11"/>
          <w:szCs w:val="11"/>
          <w:color w:val="auto"/>
        </w:rPr>
        <w:t>stock and stock options granted to employees, directors and consultants</w:t>
      </w:r>
    </w:p>
    <w:p>
      <w:pPr>
        <w:spacing w:after="0"/>
        <w:rPr>
          <w:sz w:val="20"/>
          <w:szCs w:val="20"/>
          <w:color w:val="auto"/>
        </w:rPr>
      </w:pPr>
      <w:r>
        <w:rPr>
          <w:rFonts w:ascii="Arial" w:cs="Arial" w:eastAsia="Arial" w:hAnsi="Arial"/>
          <w:sz w:val="13"/>
          <w:szCs w:val="13"/>
          <w:color w:val="auto"/>
        </w:rPr>
        <w:t>Net loss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Balance at June 30,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78"/>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158"/>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Contingently</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700" w:type="dxa"/>
            <w:vAlign w:val="bottom"/>
            <w:gridSpan w:val="5"/>
            <w:vMerge w:val="restart"/>
          </w:tcPr>
          <w:p>
            <w:pPr>
              <w:jc w:val="right"/>
              <w:ind w:right="45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98"/>
              <w:spacing w:after="0" w:line="135" w:lineRule="exact"/>
              <w:rPr>
                <w:sz w:val="20"/>
                <w:szCs w:val="20"/>
                <w:color w:val="auto"/>
              </w:rPr>
            </w:pPr>
            <w:r>
              <w:rPr>
                <w:rFonts w:ascii="Arial" w:cs="Arial" w:eastAsia="Arial" w:hAnsi="Arial"/>
                <w:sz w:val="13"/>
                <w:szCs w:val="13"/>
                <w:b w:val="1"/>
                <w:bCs w:val="1"/>
                <w:color w:val="auto"/>
                <w:w w:val="86"/>
              </w:rPr>
              <w:t>in the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00" w:type="dxa"/>
            <w:vAlign w:val="bottom"/>
            <w:gridSpan w:val="5"/>
          </w:tcPr>
          <w:p>
            <w:pPr>
              <w:ind w:left="420"/>
              <w:spacing w:after="0"/>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issuable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paid-in</w:t>
            </w:r>
          </w:p>
        </w:tc>
        <w:tc>
          <w:tcPr>
            <w:tcW w:w="170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58"/>
              <w:spacing w:after="0"/>
              <w:rPr>
                <w:sz w:val="20"/>
                <w:szCs w:val="20"/>
                <w:color w:val="auto"/>
              </w:rPr>
            </w:pPr>
            <w:r>
              <w:rPr>
                <w:rFonts w:ascii="Arial" w:cs="Arial" w:eastAsia="Arial" w:hAnsi="Arial"/>
                <w:sz w:val="13"/>
                <w:szCs w:val="13"/>
                <w:b w:val="1"/>
                <w:bCs w:val="1"/>
                <w:color w:val="auto"/>
                <w:w w:val="84"/>
              </w:rPr>
              <w:t>development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gridSpan w:val="2"/>
          </w:tcPr>
          <w:p>
            <w:pPr>
              <w:ind w:left="180"/>
              <w:spacing w:after="0" w:line="143"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2"/>
                <w:szCs w:val="12"/>
                <w:color w:val="auto"/>
              </w:rPr>
            </w:pPr>
          </w:p>
        </w:tc>
        <w:tc>
          <w:tcPr>
            <w:tcW w:w="920" w:type="dxa"/>
            <w:vAlign w:val="bottom"/>
            <w:tcBorders>
              <w:top w:val="single" w:sz="8" w:color="auto"/>
            </w:tcBorders>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top w:val="single" w:sz="8" w:color="auto"/>
            </w:tcBorders>
            <w:gridSpan w:val="2"/>
          </w:tcPr>
          <w:p>
            <w:pPr>
              <w:jc w:val="right"/>
              <w:ind w:right="37"/>
              <w:spacing w:after="0" w:line="143"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1"/>
              </w:rPr>
              <w:t>shares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7"/>
              </w:rPr>
              <w:t>capital</w:t>
            </w:r>
          </w:p>
        </w:tc>
        <w:tc>
          <w:tcPr>
            <w:tcW w:w="900" w:type="dxa"/>
            <w:vAlign w:val="bottom"/>
            <w:gridSpan w:val="2"/>
          </w:tcPr>
          <w:p>
            <w:pPr>
              <w:ind w:left="160"/>
              <w:spacing w:after="0" w:line="14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720" w:type="dxa"/>
            <w:vAlign w:val="bottom"/>
            <w:gridSpan w:val="2"/>
          </w:tcPr>
          <w:p>
            <w:pPr>
              <w:jc w:val="right"/>
              <w:ind w:right="198"/>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78"/>
              <w:spacing w:after="0" w:line="143" w:lineRule="exact"/>
              <w:rPr>
                <w:sz w:val="20"/>
                <w:szCs w:val="20"/>
                <w:color w:val="auto"/>
              </w:rPr>
            </w:pPr>
            <w:r>
              <w:rPr>
                <w:rFonts w:ascii="Arial" w:cs="Arial" w:eastAsia="Arial" w:hAnsi="Arial"/>
                <w:sz w:val="13"/>
                <w:szCs w:val="13"/>
                <w:b w:val="1"/>
                <w:bCs w:val="1"/>
                <w:color w:val="auto"/>
                <w:w w:val="82"/>
              </w:rPr>
              <w:t>stage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8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25,820,738</w:t>
            </w:r>
          </w:p>
        </w:tc>
        <w:tc>
          <w:tcPr>
            <w:tcW w:w="220" w:type="dxa"/>
            <w:vAlign w:val="bottom"/>
          </w:tcPr>
          <w:p>
            <w:pPr>
              <w:spacing w:after="0"/>
              <w:rPr>
                <w:sz w:val="13"/>
                <w:szCs w:val="13"/>
                <w:color w:val="auto"/>
              </w:rPr>
            </w:pPr>
          </w:p>
        </w:tc>
        <w:tc>
          <w:tcPr>
            <w:tcW w:w="300" w:type="dxa"/>
            <w:vAlign w:val="bottom"/>
            <w:tcBorders>
              <w:top w:val="single" w:sz="8" w:color="auto"/>
            </w:tcBorders>
          </w:tcPr>
          <w:p>
            <w:pPr>
              <w:jc w:val="right"/>
              <w:ind w:right="187"/>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5"/>
              </w:rPr>
              <w:t>25,821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$ 34,534,805</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13,526</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5"/>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w w:val="78"/>
              </w:rPr>
              <w:t>(18,925,793)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15,550,301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766,105</w:t>
            </w:r>
          </w:p>
        </w:tc>
        <w:tc>
          <w:tcPr>
            <w:tcW w:w="3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766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1,722,970</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1,723,736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1,579</w:t>
            </w:r>
          </w:p>
        </w:tc>
        <w:tc>
          <w:tcPr>
            <w:tcW w:w="3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(2)</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147,044</w:t>
            </w:r>
          </w:p>
        </w:tc>
        <w:tc>
          <w:tcPr>
            <w:tcW w:w="3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color w:val="auto"/>
              </w:rPr>
              <w:t>(147)</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3,259,245</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3,259,245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(10,258,163)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w w:val="89"/>
              </w:rPr>
              <w:t>(10,258,163)</w:t>
            </w:r>
          </w:p>
        </w:tc>
        <w:tc>
          <w:tcPr>
            <w:tcW w:w="0" w:type="dxa"/>
            <w:vAlign w:val="bottom"/>
          </w:tcPr>
          <w:p>
            <w:pPr>
              <w:spacing w:after="0"/>
              <w:rPr>
                <w:sz w:val="1"/>
                <w:szCs w:val="1"/>
                <w:color w:val="auto"/>
              </w:rPr>
            </w:pPr>
          </w:p>
        </w:tc>
      </w:tr>
      <w:tr>
        <w:trPr>
          <w:trHeight w:val="149"/>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26,735,466</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26,735</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$ 39,516,871</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13,526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(84,538</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83"/>
              </w:rPr>
              <w:t>(29,183,956</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5"/>
              </w:rPr>
              <w:t>10,275,118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-1002665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-736600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-479425</wp:posOffset>
            </wp:positionV>
            <wp:extent cx="72466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-128270</wp:posOffset>
            </wp:positionV>
            <wp:extent cx="724662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060" w:space="160"/>
            <w:col w:w="9140"/>
          </w:cols>
          <w:pgMar w:left="240" w:top="904" w:right="2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period ended</w:t>
            </w:r>
          </w:p>
        </w:tc>
        <w:tc>
          <w:tcPr>
            <w:tcW w:w="0" w:type="dxa"/>
            <w:vAlign w:val="bottom"/>
          </w:tcPr>
          <w:p>
            <w:pPr>
              <w:spacing w:after="0"/>
              <w:rPr>
                <w:sz w:val="1"/>
                <w:szCs w:val="1"/>
                <w:color w:val="auto"/>
              </w:rPr>
            </w:pPr>
          </w:p>
        </w:tc>
      </w:tr>
      <w:tr>
        <w:trPr>
          <w:trHeight w:val="234"/>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3"/>
              </w:rPr>
              <w:t>Six months ended June 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(10,258,163)</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(19,970,697)</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(37,330,186)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6"/>
              </w:rPr>
              <w:t>Adjustments to reconcile consolidated net loss to net cash used in operating activities: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3,259,245</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1,360,500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6,767,921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Noncash stock expense associated with in-licensing agreement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16,578,000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notes payable</w:t>
            </w: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(114,282)</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(269,597)</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Decrease (increase) in other current assets</w:t>
            </w: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1,267,843</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(2,313)</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Increase in other assets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1,217,871</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912,685</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Increase in interest payable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32,318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30,003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(Decrease) increase in deferred revenue</w:t>
            </w:r>
          </w:p>
        </w:tc>
        <w:tc>
          <w:tcPr>
            <w:tcW w:w="4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(76,190)</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1,904,762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(4,761,107)</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(1,361,419)</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(10,035,648)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plant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acquired in connection with acquisition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(1,672)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(3,071)</w:t>
            </w:r>
          </w:p>
        </w:tc>
      </w:tr>
      <w:tr>
        <w:trPr>
          <w:trHeight w:val="230"/>
        </w:trPr>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10,386</w:t>
            </w:r>
          </w:p>
        </w:tc>
        <w:tc>
          <w:tcPr>
            <w:tcW w:w="60" w:type="dxa"/>
            <w:vAlign w:val="bottom"/>
          </w:tcPr>
          <w:p>
            <w:pPr>
              <w:spacing w:after="0"/>
              <w:rPr>
                <w:sz w:val="20"/>
                <w:szCs w:val="20"/>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-436880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-153670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1,723,736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Payments of short-term loans</w:t>
            </w:r>
          </w:p>
        </w:tc>
        <w:tc>
          <w:tcPr>
            <w:tcW w:w="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preferred stock, net</w:t>
            </w:r>
          </w:p>
        </w:tc>
        <w:tc>
          <w:tcPr>
            <w:tcW w:w="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12,257,309</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Offering costs paid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(75,903)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Purchase of treasury stock</w:t>
            </w:r>
          </w:p>
        </w:tc>
        <w:tc>
          <w:tcPr>
            <w:tcW w:w="8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1,723,736</w:t>
            </w:r>
          </w:p>
        </w:tc>
        <w:tc>
          <w:tcPr>
            <w:tcW w:w="1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11,981,406</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23,445,285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(3,039,043)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10,618,588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13,416,952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16,455,995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9,748,491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13,416,952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20,367,079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13,416,952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Borders>
              <w:top w:val="single" w:sz="8" w:color="CCFFCC"/>
            </w:tcBorders>
            <w:shd w:val="clear" w:color="auto" w:fill="CCFFCC"/>
          </w:tcPr>
          <w:p>
            <w:pPr>
              <w:spacing w:after="0"/>
              <w:rPr>
                <w:sz w:val="17"/>
                <w:szCs w:val="17"/>
                <w:color w:val="auto"/>
              </w:rPr>
            </w:pPr>
          </w:p>
        </w:tc>
        <w:tc>
          <w:tcPr>
            <w:tcW w:w="86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NONCASH TRANSACTIONS: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notes payable to preferred stock</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61,138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Inc.(formerly known as Manhattan 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therapies for hematologic malignancies: TG-1101 (ublituximab), a novel, third generation monoclonal antibody that targets a specific and unique epitope on the CD20 antigen found on mature B-lymphocytes; and TGR-1202, an orally available PI3K delta inhibitor. We also hold the development rights to AST-726, a nasally delivered product for the treatment of Vitamin B12 deficiency.</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2012. The results of operations for the three and six months ended June 30, 2013 are not necessarily indicative of the results that may be expected for the entire fiscal year or any other interim period.</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December 29, 2011, the Company entered into and consummated an exchange transaction agreement (the “Exchange Transaction”) with Opus Point Partners, LLC (“Opus”) and TG Biologics, Inc. (formerly known as TG Therapeutics, Inc.) (“TG Bio”). The stockholders of TG Bio received the majority of the voting shares of the Company, therefore,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we may never become profitable. As of June 30, 2013, we have an accumulated deficit of $29,183,956.</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major sources of cash have been proceeds from the private placement of equity securities, the upfront payment from our Sublicense Agreement with Ildong Pharmaceutical Co. Ltd. (“Ildong”), and warrant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firstLine="648"/>
        <w:spacing w:after="0" w:line="289" w:lineRule="auto"/>
        <w:rPr>
          <w:sz w:val="20"/>
          <w:szCs w:val="20"/>
          <w:color w:val="auto"/>
        </w:rPr>
      </w:pPr>
      <w:r>
        <w:rPr>
          <w:rFonts w:ascii="Arial" w:cs="Arial" w:eastAsia="Arial" w:hAnsi="Arial"/>
          <w:sz w:val="16"/>
          <w:szCs w:val="16"/>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which was exercised on July 25, 2013. Total net proceeds from this offering, including the overallotment, were approximately $37.4 million, net of underwriting discounts and estimated offering expenses of approximately $2.9 million. The shares were sold under a shelf registration statement on Form S-3 (File No. 333-189015) that was previously filed and declared effective by the SEC on June 17, 2013. We currently have one shelf registration statement on Form S-3, filed and declared effective by the SEC. Subsequent to the July 2013 offering, this shelf registration statement provides for the offering of up to approximately $135 million of common stock. We may offer the securities under our shelf registration statements from time to time in response to market conditions or other circumstances if we believe such a plan of financing is in the best interests of our stockholders. We believe that these shelf registration statements provide us with the flexibility to raise additional capital to finance our operations as needed.</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currently anticipate that our cash and cash equivalents, and the proceeds from the July 2013 public offering are sufficient to fund our anticipated operating cash requirements for approximately 30-36 months.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of acquisition. The fair values are assessed as of the balance sheet date to ascertain if there has been any impairment of the recorded value. If there is an impairment, the asset is written down to its current fair value by the recording of an expense. Impairment is tested on an annual basis, and consists of a comparison of the fair value of the in-process research and development with its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as compensation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Income Per Share of Common Stock</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Basic net income (loss) per share of Common Stock is calculated by dividing net income (loss) applicable to the Common Stock by the weighted-average number of the Common Stock outstanding for the period. Diluted net loss per share of Common Stock is the same as basic net income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10,114,847 and 7,433,525 at June 30, 2013 and 2012, respectively. During the three and six months ended June 30, 2013 and 2012, the Company incurred a net loss; therefore, all of the dilutive securities are excluded from the computation of diluted earnings per share.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FAIR VALUE MEASUREMENTS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2013 and December 31, 2012, the fair values of cash and cash equivalents, and notes and interest payable approximate their carrying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$17,727,000 at December 31, 2012 and $18,167,000 at June 30, 2013. As these notes payable are tied directly to net product cash flows derived from the preexisting products of the Company, this note and accrued interest was recorded at fair value of $3,287,700 as of the date of the Exchange Transaction. No payments have been made on these notes as of June 30, 2013.</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380" w:firstLine="648"/>
        <w:spacing w:after="0" w:line="273" w:lineRule="auto"/>
        <w:rPr>
          <w:sz w:val="20"/>
          <w:szCs w:val="20"/>
          <w:color w:val="auto"/>
        </w:rPr>
      </w:pPr>
      <w:r>
        <w:rPr>
          <w:rFonts w:ascii="Arial" w:cs="Arial" w:eastAsia="Arial" w:hAnsi="Arial"/>
          <w:sz w:val="17"/>
          <w:szCs w:val="17"/>
          <w:color w:val="auto"/>
        </w:rPr>
        <w:t>The valuation method used to estimate the 5% Notes’ fair value is a discounted cash flow model, where the expected cash flows of AST-726 are discounted to the present using a yield that incorporates compensation for the probability of success in clinical development and marketing, among other factors. The discount rate used in this discounted cash flow model approximated 20% at December 31, 2012 and June 30,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following table provides the fair value measurements of applicable financial liabilities as of December 31, 2012 and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2012</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2,479,098</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2,479,098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June 30, 2013</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2,364,816</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2,364,816</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2,364,816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2,364,816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six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14605</wp:posOffset>
            </wp:positionV>
            <wp:extent cx="230695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6955" cy="274320"/>
                    </a:xfrm>
                    <a:prstGeom prst="rect">
                      <a:avLst/>
                    </a:prstGeom>
                    <a:noFill/>
                  </pic:spPr>
                </pic:pic>
              </a:graphicData>
            </a:graphic>
          </wp:anchor>
        </w:drawing>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2012</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3840" w:type="dxa"/>
            <w:vAlign w:val="bottom"/>
            <w:shd w:val="clear" w:color="auto" w:fill="CCFFC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380" w:type="dxa"/>
            <w:vAlign w:val="bottom"/>
          </w:tcPr>
          <w:p>
            <w:pPr>
              <w:spacing w:after="0"/>
              <w:rPr>
                <w:sz w:val="18"/>
                <w:szCs w:val="18"/>
                <w:color w:val="auto"/>
              </w:rPr>
            </w:pPr>
          </w:p>
        </w:tc>
        <w:tc>
          <w:tcPr>
            <w:tcW w:w="4860" w:type="dxa"/>
            <w:vAlign w:val="bottom"/>
            <w:gridSpan w:val="2"/>
          </w:tcPr>
          <w:p>
            <w:pPr>
              <w:jc w:val="right"/>
              <w:ind w:right="3840"/>
              <w:spacing w:after="0"/>
              <w:rPr>
                <w:sz w:val="20"/>
                <w:szCs w:val="20"/>
                <w:color w:val="auto"/>
              </w:rPr>
            </w:pPr>
            <w:r>
              <w:rPr>
                <w:rFonts w:ascii="Arial" w:cs="Arial" w:eastAsia="Arial" w:hAnsi="Arial"/>
                <w:sz w:val="18"/>
                <w:szCs w:val="18"/>
                <w:color w:val="auto"/>
              </w:rPr>
              <w:t>439,168</w:t>
            </w:r>
          </w:p>
        </w:tc>
      </w:tr>
      <w:tr>
        <w:trPr>
          <w:trHeight w:val="230"/>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380" w:type="dxa"/>
            <w:vAlign w:val="bottom"/>
            <w:shd w:val="clear" w:color="auto" w:fill="CCFFCC"/>
          </w:tcPr>
          <w:p>
            <w:pPr>
              <w:spacing w:after="0"/>
              <w:rPr>
                <w:sz w:val="19"/>
                <w:szCs w:val="19"/>
                <w:color w:val="auto"/>
              </w:rPr>
            </w:pPr>
          </w:p>
        </w:tc>
        <w:tc>
          <w:tcPr>
            <w:tcW w:w="4860" w:type="dxa"/>
            <w:vAlign w:val="bottom"/>
            <w:gridSpan w:val="2"/>
            <w:shd w:val="clear" w:color="auto" w:fill="CCFFCC"/>
          </w:tcPr>
          <w:p>
            <w:pPr>
              <w:jc w:val="right"/>
              <w:ind w:right="3780"/>
              <w:spacing w:after="0"/>
              <w:rPr>
                <w:sz w:val="20"/>
                <w:szCs w:val="20"/>
                <w:color w:val="auto"/>
              </w:rPr>
            </w:pPr>
            <w:r>
              <w:rPr>
                <w:rFonts w:ascii="Arial" w:cs="Arial" w:eastAsia="Arial" w:hAnsi="Arial"/>
                <w:sz w:val="18"/>
                <w:szCs w:val="18"/>
                <w:color w:val="auto"/>
              </w:rPr>
              <w:t>(553,450)</w:t>
            </w: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Fair value at June 30, 2013</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2,364,816</w:t>
            </w:r>
          </w:p>
        </w:tc>
        <w:tc>
          <w:tcPr>
            <w:tcW w:w="384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-316865</wp:posOffset>
            </wp:positionV>
            <wp:extent cx="230695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6955" cy="146050"/>
                    </a:xfrm>
                    <a:prstGeom prst="rect">
                      <a:avLst/>
                    </a:prstGeom>
                    <a:noFill/>
                  </pic:spPr>
                </pic:pic>
              </a:graphicData>
            </a:graphic>
          </wp:anchor>
        </w:drawing>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right="40" w:firstLine="648"/>
        <w:spacing w:after="0" w:line="257" w:lineRule="auto"/>
        <w:rPr>
          <w:sz w:val="20"/>
          <w:szCs w:val="20"/>
          <w:color w:val="auto"/>
        </w:rPr>
      </w:pPr>
      <w:r>
        <w:rPr>
          <w:rFonts w:ascii="Arial" w:cs="Arial" w:eastAsia="Arial" w:hAnsi="Arial"/>
          <w:sz w:val="18"/>
          <w:szCs w:val="18"/>
          <w:color w:val="auto"/>
        </w:rPr>
        <w:t>We currently have one shelf registration statement on Form S-3, filed and declared effective by the SEC (File No. 333-189015). Subsequent to the July 2013 offering, this shelf registration statement provides for the offering of up to approximately $135 million of common stock. See Note 7 – Subsequent Events. We may offer the securities under our shelf registration statements from time to time in response to market conditions or other circumstances if we believe such a plan of financing is in the best interests of our stockholders. We believe that these shelf registration statements provide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Shares available for the issuance of stock options or other stock-based awards under our stock option and incentive plans were 1,905,213 shares at June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six months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46,904</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61.08</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CCFFCC"/>
            </w:tcBorders>
          </w:tcPr>
          <w:p>
            <w:pPr>
              <w:ind w:left="160"/>
              <w:spacing w:after="0" w:line="203" w:lineRule="exact"/>
              <w:rPr>
                <w:sz w:val="20"/>
                <w:szCs w:val="20"/>
                <w:color w:val="auto"/>
              </w:rPr>
            </w:pPr>
            <w:r>
              <w:rPr>
                <w:rFonts w:ascii="Arial" w:cs="Arial" w:eastAsia="Arial" w:hAnsi="Arial"/>
                <w:sz w:val="18"/>
                <w:szCs w:val="18"/>
                <w:color w:val="auto"/>
              </w:rPr>
              <w:t>Granted</w:t>
            </w:r>
          </w:p>
        </w:tc>
        <w:tc>
          <w:tcPr>
            <w:tcW w:w="1260" w:type="dxa"/>
            <w:vAlign w:val="bottom"/>
            <w:tcBorders>
              <w:top w:val="single" w:sz="8" w:color="CCFFCC"/>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400" w:type="dxa"/>
            <w:vAlign w:val="bottom"/>
            <w:tcBorders>
              <w:top w:val="single" w:sz="8" w:color="CCFFCC"/>
            </w:tcBorders>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2,249.85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Outstanding at June 30, 2013</w:t>
            </w:r>
          </w:p>
        </w:tc>
        <w:tc>
          <w:tcPr>
            <w:tcW w:w="1260" w:type="dxa"/>
            <w:vAlign w:val="bottom"/>
          </w:tcPr>
          <w:p>
            <w:pPr>
              <w:jc w:val="right"/>
              <w:spacing w:after="0"/>
              <w:rPr>
                <w:sz w:val="20"/>
                <w:szCs w:val="20"/>
                <w:color w:val="auto"/>
              </w:rPr>
            </w:pPr>
            <w:r>
              <w:rPr>
                <w:rFonts w:ascii="Arial" w:cs="Arial" w:eastAsia="Arial" w:hAnsi="Arial"/>
                <w:sz w:val="18"/>
                <w:szCs w:val="18"/>
                <w:color w:val="auto"/>
              </w:rPr>
              <w:t>46,591</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46.37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Vested and expected to vest at June 30, 2013</w:t>
            </w:r>
          </w:p>
        </w:tc>
        <w:tc>
          <w:tcPr>
            <w:tcW w:w="1260" w:type="dxa"/>
            <w:vAlign w:val="bottom"/>
          </w:tcPr>
          <w:p>
            <w:pPr>
              <w:jc w:val="right"/>
              <w:spacing w:after="0"/>
              <w:rPr>
                <w:sz w:val="20"/>
                <w:szCs w:val="20"/>
                <w:color w:val="auto"/>
              </w:rPr>
            </w:pPr>
            <w:r>
              <w:rPr>
                <w:rFonts w:ascii="Arial" w:cs="Arial" w:eastAsia="Arial" w:hAnsi="Arial"/>
                <w:sz w:val="18"/>
                <w:szCs w:val="18"/>
                <w:color w:val="auto"/>
              </w:rPr>
              <w:t>9,591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208.30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Exercisable at June 30, 2013</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9,591</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208.30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34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17,910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As of June 30, 2013, the total compensation cost related to unvested time-based option awards not yet recognized was $0. This amount does not include, as of June 30, 2013, 37,000 non-employee options outstanding which are milestone-based and vest upon certain corporate milestones. Stock-based compensation will be measured and recorded if and when a milestone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Certain employees, directors and consultants have been awarded restricted stock under the 2012 Incentive Plan. The restricted stock vesting consists of milestone and time-based vesting. The following table summarizes restricted share activity for the six months ended June 30, 2013: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59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6,614,243</w:t>
            </w: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4.49</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147,044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r>
      <w:tr>
        <w:trPr>
          <w:trHeight w:val="216"/>
        </w:trPr>
        <w:tc>
          <w:tcPr>
            <w:tcW w:w="59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(298,125)</w:t>
            </w:r>
          </w:p>
        </w:tc>
        <w:tc>
          <w:tcPr>
            <w:tcW w:w="1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w:t>
            </w:r>
          </w:p>
        </w:tc>
      </w:tr>
      <w:tr>
        <w:trPr>
          <w:trHeight w:val="230"/>
        </w:trPr>
        <w:tc>
          <w:tcPr>
            <w:tcW w:w="59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440" w:type="dxa"/>
            <w:vAlign w:val="bottom"/>
            <w:tcBorders>
              <w:bottom w:val="single" w:sz="8" w:color="CCFFCC"/>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June 30, 2013</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6,463,162</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4.63</w:t>
            </w:r>
          </w:p>
        </w:tc>
      </w:tr>
      <w:tr>
        <w:trPr>
          <w:trHeight w:val="20"/>
        </w:trPr>
        <w:tc>
          <w:tcPr>
            <w:tcW w:w="596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Total expense associated with restricted stock grants was $3,202,840 during the six months ended June 30, 2013. As of June 30, 2013, there was approximately $8,125,000 of total unrecognized compensation cost related to unvested time based restricted stock, which is expected to be recognized over a weighted-average period of 2.3 years. This amount does not include, as of June 30, 2013, 1,517,500 shares of restricted stock outstanding which are milestone-based and vest upon certain corporate milestones; and 2,580,000 shares of restricted stock outstanding issued to non-employees. Milestone based noncash compensation expense will be measured and recorded if and when a milestone occurs.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Borders>
              <w:top w:val="single" w:sz="8" w:color="auto"/>
            </w:tcBorders>
          </w:tcPr>
          <w:p>
            <w:pPr>
              <w:spacing w:after="0"/>
              <w:rPr>
                <w:sz w:val="24"/>
                <w:szCs w:val="24"/>
                <w:color w:val="auto"/>
              </w:rPr>
            </w:pPr>
          </w:p>
        </w:tc>
        <w:tc>
          <w:tcPr>
            <w:tcW w:w="7600" w:type="dxa"/>
            <w:vAlign w:val="bottom"/>
            <w:gridSpan w:val="6"/>
          </w:tcPr>
          <w:p>
            <w:pPr>
              <w:spacing w:after="0"/>
              <w:rPr>
                <w:sz w:val="20"/>
                <w:szCs w:val="20"/>
                <w:color w:val="auto"/>
              </w:rPr>
            </w:pPr>
            <w:r>
              <w:rPr>
                <w:rFonts w:ascii="Arial" w:cs="Arial" w:eastAsia="Arial" w:hAnsi="Arial"/>
                <w:sz w:val="18"/>
                <w:szCs w:val="18"/>
                <w:color w:val="auto"/>
              </w:rPr>
              <w:t>The following table summarizes warrant activity for the six months ended June 30, 2013:</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660" w:type="dxa"/>
            <w:vAlign w:val="bottom"/>
            <w:tcBorders>
              <w:bottom w:val="single" w:sz="8" w:color="CCFFCC"/>
            </w:tcBorders>
          </w:tcPr>
          <w:p>
            <w:pPr>
              <w:spacing w:after="0"/>
              <w:rPr>
                <w:sz w:val="20"/>
                <w:szCs w:val="20"/>
                <w:color w:val="auto"/>
              </w:rPr>
            </w:pPr>
          </w:p>
        </w:tc>
        <w:tc>
          <w:tcPr>
            <w:tcW w:w="450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Warrants</w:t>
            </w:r>
          </w:p>
        </w:tc>
        <w:tc>
          <w:tcPr>
            <w:tcW w:w="1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exercise price</w:t>
            </w:r>
          </w:p>
        </w:tc>
        <w:tc>
          <w:tcPr>
            <w:tcW w:w="18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Intrinsic Value</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Outstanding at December 31, 2012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6,781,007</w:t>
            </w:r>
          </w:p>
        </w:tc>
        <w:tc>
          <w:tcPr>
            <w:tcW w:w="18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14,563,539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FFCC"/>
              <w:bottom w:val="single" w:sz="8" w:color="CCFFCC"/>
            </w:tcBorders>
            <w:gridSpan w:val="2"/>
            <w:vMerge w:val="restart"/>
          </w:tcPr>
          <w:p>
            <w:pPr>
              <w:ind w:left="180"/>
              <w:spacing w:after="0"/>
              <w:rPr>
                <w:sz w:val="20"/>
                <w:szCs w:val="20"/>
                <w:color w:val="auto"/>
              </w:rPr>
            </w:pPr>
            <w:r>
              <w:rPr>
                <w:rFonts w:ascii="Arial" w:cs="Arial" w:eastAsia="Arial" w:hAnsi="Arial"/>
                <w:sz w:val="18"/>
                <w:szCs w:val="18"/>
                <w:color w:val="auto"/>
              </w:rPr>
              <w:t>Issued</w:t>
            </w:r>
          </w:p>
        </w:tc>
        <w:tc>
          <w:tcPr>
            <w:tcW w:w="138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768,543</w:t>
            </w: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FFCC"/>
            </w:tcBorders>
            <w:gridSpan w:val="2"/>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124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6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Outstanding at June 30, 2013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6,012,464</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30,251,181</w:t>
            </w:r>
          </w:p>
        </w:tc>
        <w:tc>
          <w:tcPr>
            <w:tcW w:w="0" w:type="dxa"/>
            <w:vAlign w:val="bottom"/>
          </w:tcPr>
          <w:p>
            <w:pPr>
              <w:spacing w:after="0"/>
              <w:rPr>
                <w:sz w:val="1"/>
                <w:szCs w:val="1"/>
                <w:color w:val="auto"/>
              </w:rPr>
            </w:pPr>
          </w:p>
        </w:tc>
      </w:tr>
      <w:tr>
        <w:trPr>
          <w:trHeight w:val="20"/>
        </w:trPr>
        <w:tc>
          <w:tcPr>
            <w:tcW w:w="660" w:type="dxa"/>
            <w:vAlign w:val="bottom"/>
            <w:tcBorders>
              <w:top w:val="single" w:sz="8" w:color="CCFFCC"/>
            </w:tcBorders>
          </w:tcPr>
          <w:p>
            <w:pPr>
              <w:spacing w:after="0" w:line="20" w:lineRule="exact"/>
              <w:rPr>
                <w:sz w:val="1"/>
                <w:szCs w:val="1"/>
                <w:color w:val="auto"/>
              </w:rPr>
            </w:pPr>
          </w:p>
        </w:tc>
        <w:tc>
          <w:tcPr>
            <w:tcW w:w="45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six months ended June 30, 2013.</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stock options and restricted stock for the three and six months ended June 30,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8"/>
                <w:szCs w:val="18"/>
                <w:color w:val="auto"/>
              </w:rPr>
            </w:pPr>
          </w:p>
        </w:tc>
        <w:tc>
          <w:tcPr>
            <w:tcW w:w="16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June 30, 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June 30, 2013</w:t>
            </w:r>
          </w:p>
        </w:tc>
        <w:tc>
          <w:tcPr>
            <w:tcW w:w="0" w:type="dxa"/>
            <w:vAlign w:val="bottom"/>
          </w:tcPr>
          <w:p>
            <w:pPr>
              <w:spacing w:after="0"/>
              <w:rPr>
                <w:sz w:val="1"/>
                <w:szCs w:val="1"/>
                <w:color w:val="auto"/>
              </w:rPr>
            </w:pPr>
          </w:p>
        </w:tc>
      </w:tr>
      <w:tr>
        <w:trPr>
          <w:trHeight w:val="210"/>
        </w:trPr>
        <w:tc>
          <w:tcPr>
            <w:tcW w:w="6120" w:type="dxa"/>
            <w:vAlign w:val="bottom"/>
            <w:tcBorders>
              <w:top w:val="single" w:sz="8" w:color="CCFFCC"/>
            </w:tcBorders>
            <w:gridSpan w:val="7"/>
            <w:shd w:val="clear" w:color="auto" w:fill="CCFFCC"/>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24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jc w:val="right"/>
              <w:ind w:right="55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1,317,363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3,202,840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color w:val="auto"/>
                <w:w w:val="89"/>
              </w:rPr>
              <w:t>Stock-based compensation expense associated with option grants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56,405</w:t>
            </w:r>
          </w:p>
        </w:tc>
        <w:tc>
          <w:tcPr>
            <w:tcW w:w="0" w:type="dxa"/>
            <w:vAlign w:val="bottom"/>
          </w:tcPr>
          <w:p>
            <w:pPr>
              <w:spacing w:after="0"/>
              <w:rPr>
                <w:sz w:val="1"/>
                <w:szCs w:val="1"/>
                <w:color w:val="auto"/>
              </w:rPr>
            </w:pPr>
          </w:p>
        </w:tc>
      </w:tr>
      <w:tr>
        <w:trPr>
          <w:trHeight w:val="223"/>
        </w:trPr>
        <w:tc>
          <w:tcPr>
            <w:tcW w:w="33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6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9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720" w:type="dxa"/>
            <w:vAlign w:val="bottom"/>
            <w:tcBorders>
              <w:top w:val="single" w:sz="8" w:color="auto"/>
              <w:bottom w:val="single" w:sz="8" w:color="auto"/>
            </w:tcBorders>
            <w:shd w:val="clear" w:color="auto" w:fill="CCFFCC"/>
          </w:tcPr>
          <w:p>
            <w:pPr>
              <w:jc w:val="right"/>
              <w:ind w:right="55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FFC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1,373,768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3,259,245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NOTE 4 – NOTES PAYABLE</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gridSpan w:val="4"/>
          </w:tcPr>
          <w:p>
            <w:pPr>
              <w:ind w:left="660"/>
              <w:spacing w:after="0"/>
              <w:rPr>
                <w:sz w:val="20"/>
                <w:szCs w:val="20"/>
                <w:color w:val="auto"/>
              </w:rPr>
            </w:pPr>
            <w:r>
              <w:rPr>
                <w:rFonts w:ascii="Arial" w:cs="Arial" w:eastAsia="Arial" w:hAnsi="Arial"/>
                <w:sz w:val="18"/>
                <w:szCs w:val="18"/>
                <w:color w:val="auto"/>
              </w:rPr>
              <w:t>The following is a summary of notes payable: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9"/>
          </w:tcPr>
          <w:p>
            <w:pPr>
              <w:jc w:val="center"/>
              <w:ind w:right="185"/>
              <w:spacing w:after="0"/>
              <w:rPr>
                <w:sz w:val="20"/>
                <w:szCs w:val="20"/>
                <w:color w:val="auto"/>
              </w:rPr>
            </w:pPr>
            <w:r>
              <w:rPr>
                <w:rFonts w:ascii="Arial" w:cs="Arial" w:eastAsia="Arial" w:hAnsi="Arial"/>
                <w:sz w:val="18"/>
                <w:szCs w:val="18"/>
                <w:b w:val="1"/>
                <w:bCs w:val="1"/>
                <w:color w:val="auto"/>
                <w:w w:val="90"/>
              </w:rPr>
              <w:t>December 31, 2012</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Current</w:t>
            </w: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Non-current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5"/>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Non-current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portion, net</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portion, net</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portion, net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portion, net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2,364,816</w:t>
            </w: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2,364,816</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4"/>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ICON Convertible Note</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677,778</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677,778</w:t>
            </w: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677,778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0"/>
        </w:trPr>
        <w:tc>
          <w:tcPr>
            <w:tcW w:w="334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24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2,364,816</w:t>
            </w:r>
          </w:p>
        </w:tc>
        <w:tc>
          <w:tcPr>
            <w:tcW w:w="22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3,042,594</w:t>
            </w:r>
          </w:p>
        </w:tc>
        <w:tc>
          <w:tcPr>
            <w:tcW w:w="22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4"/>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3,156,876</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 Bio. Accordingly, a valuation using the guidance in the accounting literature for business combinations (ASC 805) was performed and these notes have been presented at their fair value on the date of the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March 8, 2010, Manhattan entered into an Agreement and Plan of Merger (the "Merger Agreement") by and among Manhattan, Ariston Pharmaceuticals, Inc., a Delaware corporation ("Ariston") and Ariston Merger Corp., a Delaware corporation and wholly-owned subsidiary of Manhattan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Manhattan.</w:t>
      </w:r>
    </w:p>
    <w:p>
      <w:pPr>
        <w:spacing w:after="0" w:line="154"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$17,727,000 at December 31, 2012 and $18,167,000 at June 30, 2013. As these notes payable are tied directly to net product cash flows derived from the preexisting products of the Company, this note and accrued interest was recorded at fair value as of the date of the Exchange Transaction. No payments have been made on these notes as of June 30, 2013. See Note 2 for further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six months ended June 30, 2013, the Company recorded $32,318 of interest expense on the Amended ICON Note. At June 30, 2013, the principal amount of the Amended ICON Note was $677,778, of which the entire balance has been classified as current, and interest payable on the Amended ICON Note was $155,829. This note is currently in default as the Company did not make the balloon payment due on January 31, 2012, or any subsequent payments. The Company is currently attempting to negotiate a settlement or alternative arrangement in satisfaction of this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LICENSE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upfront payment of $2,000,000, which was received in December 2012 net of $330,000 of foreign income tax withheld, is being recognized as license revenue on a straight-line basis over the life of the agreement, which is through the expiration of the last licensed patent right or 15 years after the first commercial sale of a product in such country, unless the agreement is earlier terminated. The upfront payment will be recognized as license revenue on a straight-line basis through December 2025, which represents the estimated period over which the Company will have certain ongoing responsibilities under the sublicense agreement. The Company recorded license revenue of approximately $76,000 for the six months ended June 30, 2013, and has deferred revenue of approximately $1,905,000 associated with this $2,000,000 payment (approximately $152,000 of which has been classified as a current liability) at June 30, 2013.</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may receive up to an additional $5.0 million in payments upon the achievement of pre-specified milestones. In addition, upon commercialization, Ildong will make royalty payments to the Company on net sales of TG-1101 in the sublicense territory.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January 30, 2012, the Company entered into an exclusive license agreement with LFB Biotechnologies, GTC Biotherapeutics and LFB/GTC LLC, all wholly-owned subsidiaries of LFB Group, relating to the development of TG-1101 (the “License Agreement”). In connection with the License Agreement, LFB Group was issued 5,000,000 shares of Company Common Stock and a warrant to purchase 2,500,000 shares of Company Common stock at a purchase price of $0.001 per share. In addition, on November 9, 2012, the Company nominated Dr. Yann Echelard to the Company’s Board of Directors as LFB Group’s nominee. LFB Group maintains the right to nominate a board member until such time as LFB Group owns less than 10% of the outstanding Company Common Stock.</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terms of the Company’s License Agreement with LFB Group, the Company utilizes LFB Group for certain development and manufacturing services. The Company incurred approximately $4,035,000 in such expenses during the six months ended June 30, 2013, which have been included in other research and development expenses in the accompanying condensed consolidated statements of operations. As of June 30, 2013, the Company has approximately $1,476,000 recorded in accounts payable related to the aforementioned agreements with LFB Group. In conjunction with the development and manufacturing services discussed above, certain agreements between the Company and LFB Group require payments in advance of services performed or goods delivered. Accordingly, as of June 30, 2013, the Company recorded approximately $429,957 in prepaid research and development for such advance payments.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Total net proceeds from this offering, including the overallotment, were approximately $37.4 million, net of underwriting discounts and estimated offering expenses of approximately $2.9 million. The shares were sold under a shelf registration statement on Form S-3 (File No. 333-189015) that was previously filed and declared effective by the SEC on June 17,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therapies for hematologic malignancies: TG-1101 (ublituximab), a novel, third generation monoclonal antibody that targets a specific and unique epitope on the CD20 antigen found on mature B-lymphocytes; and TGR-1202, an orally available PI3K delta inhibitor.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right="10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TG-1101 (formerly “LFB-R603”) is a chimeric, glycoengineered, monoclonal antibody with the generic name “ublituximab” that targets a unique epitope on the CD20 antigen found on the surface of B-lymphocytes developed to aid in the depletion of circulating B-cells. We hold exclusive worldwide rights (except France/Belgium) to develop and commercialize TG-1101 for all indications.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Multiple preclinical studies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produced data that support the activity and potency of TG-1101 as an efficient and selective B-cell targeting anti-CD20 antibody with the ability to effectively deplete B lymphocytes in both malignant laboratory cell models as well as non-Hodgkin’s Lymphoma (NHL) and Chronic Lymphocytic Leukemia (CLL) patient donor cell lines.</w:t>
      </w:r>
    </w:p>
    <w:p>
      <w:pPr>
        <w:spacing w:after="0" w:line="181" w:lineRule="exact"/>
        <w:rPr>
          <w:sz w:val="20"/>
          <w:szCs w:val="20"/>
          <w:color w:val="auto"/>
        </w:rPr>
      </w:pPr>
    </w:p>
    <w:p>
      <w:pPr>
        <w:ind w:right="6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increase its ability to deplete B-cells and may improve its anti-cancer effects as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2012 of approximately $7 billion.</w:t>
      </w:r>
    </w:p>
    <w:p>
      <w:pPr>
        <w:spacing w:after="0" w:line="4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two part dose escalating Phase I clinical trial was completed in France in which TG-1101 was introduced in relapsed or refractory CLL patients. Though the primary endpoint of this Phase I clinical study was to assess the safety and tolerability of TG-1101 in CLL patients, robust B-cell depletion and an</w:t>
      </w:r>
    </w:p>
    <w:p>
      <w:pPr>
        <w:ind w:right="20"/>
        <w:spacing w:after="0" w:line="229" w:lineRule="auto"/>
        <w:rPr>
          <w:sz w:val="20"/>
          <w:szCs w:val="20"/>
          <w:color w:val="auto"/>
        </w:rPr>
      </w:pPr>
      <w:r>
        <w:rPr>
          <w:rFonts w:ascii="Arial" w:cs="Arial" w:eastAsia="Arial" w:hAnsi="Arial"/>
          <w:sz w:val="18"/>
          <w:szCs w:val="18"/>
          <w:color w:val="auto"/>
        </w:rPr>
        <w:t>encouraging rate of partial responses may suggest preliminary evidence of efficacy. Preliminary results from Part 2 of this study was 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December 2011 and recently presented again at the 2013 European Hematology Annual Meeting. Currently, the Company has two ongoing clinical studies for TG-1101: TG-1101-101, a study of single-agent ublituximab in patients with NHL and CLL, and TG-1101-102 which is a study of ublituximab in combination with lenalidomide (trade name Revlimid®), an immunomodulatory agent, also for patients with NHL and CLL.</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TG-1101 is currently performed by our partner, LFB Biotechnologies.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Phase I/II trials with TG-1101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TG-1101-101</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Our first US based trial was launched in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2012. The trial is entitled "An Open Label Phase I/II Trial of the Efficacy and Safety of Ublituximab in Patients with B-cell Non-Hodgkin Lymphoma who have Relapsed or are Refractory After CD20 Directed Antibody Therapy." Following completion of the dose-escalation component, cohort expansions to confirm safety and efficacy have been included at higher doses prior to entering patients into the Phase 2 portion. Patients will be stratified by subtype of B-cell Lymphoma, including Follicular Lymphoma, Diffuse Large B-cell Lymphoma, Marginal Zone Lymphoma and other NHL subtypes, with a recent amendment to include CLL and primary Central Nervous System (CNS) lymphoma. All enrolled patients are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160" w:firstLine="648"/>
        <w:spacing w:after="0" w:line="302" w:lineRule="auto"/>
        <w:rPr>
          <w:sz w:val="20"/>
          <w:szCs w:val="20"/>
          <w:color w:val="auto"/>
        </w:rPr>
      </w:pPr>
      <w:r>
        <w:rPr>
          <w:rFonts w:ascii="Arial" w:cs="Arial" w:eastAsia="Arial" w:hAnsi="Arial"/>
          <w:sz w:val="16"/>
          <w:szCs w:val="16"/>
          <w:color w:val="auto"/>
        </w:rPr>
        <w:t>We have currently completed enrollment in the dose escalation portion of this study, with 3 patients enrolled into 4 dose cohorts each (450mg, 600mg, 900mg, and 1200mg), with preliminary safety and efficacy data for these patients presented at the American Society of Clinical Oncology Annual Meeting in June 2013. Earlier in 2013, we decided to expand the 900mg cohort to include up to an additional 20 patients, and we have opened an expansion cohort for enrollment of patients with CLL at a dose of 600mg. Additional cohort expansions at the 1200mg dose are planned.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TG-1101-102</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December of 2012, the Company initiated its second US based clinical trial entitled "TG-1101-102: A Phase I/II Study of Ublituximab in Combination with Lenalidomide (Revlimid®) in Patients with B-Cell Lymphoid Malignancies who have Relapsed or are Refractory After CD20 Directed Antibody Therapy". Lenalidomide is an immunomodulatory drug that has displayed activity as a single agent in patients with non-Hodgkin’s lymphoma. In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studies, through its activating effects on natural killer cells, lenalidomide has also been shown to enhance the ADCC properties of anti-CD20 antibodies.</w:t>
      </w:r>
      <w:r>
        <w:rPr>
          <w:rFonts w:ascii="Arial" w:cs="Arial" w:eastAsia="Arial" w:hAnsi="Arial"/>
          <w:sz w:val="17"/>
          <w:szCs w:val="17"/>
          <w:i w:val="1"/>
          <w:iCs w:val="1"/>
          <w:color w:val="auto"/>
        </w:rPr>
        <w:t xml:space="preserve"> </w:t>
      </w:r>
      <w:r>
        <w:rPr>
          <w:rFonts w:ascii="Arial" w:cs="Arial" w:eastAsia="Arial" w:hAnsi="Arial"/>
          <w:sz w:val="17"/>
          <w:szCs w:val="17"/>
          <w:color w:val="auto"/>
        </w:rPr>
        <w:t>TG-1101 has demonstrated enhanced ADCC over rituximab, and displayed significant single agent activity in a relapsed CLL setting, providing a strong rationale for the exploration of a combination between lenalidomide and TG-1101 in NHL and CLL patients.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trial is enrolling up to 30 patients in the Phase I dose escalation component/cohort expansion part of the study. Once the optimal dose is determined, the Phase II component may enroll up to an additional 30 patients, with all patients stratified by B-cell malignancy subtype, including CLL and various NHL subtypes. All enrolled patients will be relapsed or refractory to a prior anti-CD20 antibody containing regimen. This multicenter trial is being led by Dr. Marshall Schreeder of the Clearview Cancer Institute in Huntsville, AL.</w:t>
      </w:r>
    </w:p>
    <w:p>
      <w:pPr>
        <w:spacing w:after="0" w:line="18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Currently we are dosing patients at 900mg of TG-1101 in combination with Revlimid® starting at 10mg. If tolerated, patients may have their Revlimid® dose increased in 5mg increments per cycle to a maximum dose of 20mg for patients with NHL and 15mg for patients with CLL. Following completion of the dose-escalation component of this trial, enrollment may be restricted to specific subtypes of B-cell lymphoma such as mantle cell lymphoma (MCL).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TGR-1202 is being developed jointly with Rhizen Pharmaceuticals, S A, a Switzerland based drug discovery and biotechnology company. The Company and Rhizen will jointly develop the product on a worldwide basis, excluding India, initially focusing on indications in the area of hematologic malignancies and autoimmune disease. Rhizen shall maintain rights to manufacture and supply the product, while we will be responsible for all clinical and regulatory development for TGR-1202 globally.</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and will enroll approximately 30 patients during the initial dose escalation phase, followed by up to an additional 30 patients in an expansion phase once the optimal dose has been determined. Enrollment is open to patients with relapsed or refractory NHL, CLL, and Peripheral T-Cell Lymphoma ("PTCL"). Michael R. Savona, MD, the Director of Leukemic Research, Sarah Cannon Research Institute, is acting as Study Chair for the Phase I study.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18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 final decision is expected in the next 3 months, but may occur earlier or later.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June of 2013, the Company presented preliminary data from TG-1101-101, the Phase I single agent study of TG-1101 in patients with rituximab relapsed and refractory B-cell lymphoma, at the 2013 American Society of Clinical Oncology (ASCO) annual meeting in Chicago, IL. As of the presentation date, 3 patients had been treated at each dose level (12 patients total), and no dose-limiting-toxicities had been observed. TG-1101 was well tolerated with the majority of adverse events being Grade 1 or 2 in severity, with only one Grade 3 event observed: Grade 3 anemia in a Cohort 1 patient deemed possibly related to study drug. All patients received all planned infusions.</w:t>
      </w:r>
    </w:p>
    <w:p>
      <w:pPr>
        <w:spacing w:after="0" w:line="188"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As of the date of data cutoff for this presentation, 10 of 12 patients were evaluable for efficacy (2 patients too early for response assessment), of which 5 patients had achieved an objective response, including 3 CRs and 2 PRs per Cheson NHL criteria. Response assessment was first evaluated at 8 weeks and then every 12 weeks thereafter. Ninety percent (90%) of evaluable patients were observed to have had a reduction in target lesion.</w:t>
      </w:r>
    </w:p>
    <w:p>
      <w:pPr>
        <w:spacing w:after="0" w:line="14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Responses were observed in both rituximab relapsed and rituximab refractory patients, including patients who had been exposed to several lines of rituximab therapy. Two of the five evaluable rituximab refractory patients achieved a CR after 8 weeks on TG-1101. Preliminary response rate data indicated similar activity in rituximab relapsed and rituximab refractory patients.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Enrollment continues in expansion cohorts at the 900 mg dose level for patients with NHL which may be followed by a 1200 mg cohort expansion. A recent amendment allows for the enrollment of patients with CLL at a dose level of 600 mg, with a modified induction regimen of 6 infusions in the first two cycles.</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In June 2013, preliminary data was also presented from TG-1101-102, the Phase I study of TG-1101 in combination with lenalidomide for patients with rituximab relapsed and refractory B-cell lymphoma at the 18th annual congress of the European Hematology Association (EHA) in Stockholm, Sweden. As of the date of presentation, 6 patients had been enrolled in the study, and it was reported that the combination regimen has been well tolerated to date. No DLTs have been observed, and Grade </w:t>
      </w:r>
      <w:r>
        <w:rPr>
          <w:rFonts w:ascii="Arial" w:cs="Arial" w:eastAsia="Arial" w:hAnsi="Arial"/>
          <w:sz w:val="16"/>
          <w:szCs w:val="16"/>
          <w:u w:val="single" w:color="auto"/>
          <w:color w:val="auto"/>
        </w:rPr>
        <w:t>&gt;</w:t>
      </w:r>
      <w:r>
        <w:rPr>
          <w:rFonts w:ascii="Arial" w:cs="Arial" w:eastAsia="Arial" w:hAnsi="Arial"/>
          <w:sz w:val="16"/>
          <w:szCs w:val="16"/>
          <w:color w:val="auto"/>
        </w:rPr>
        <w:t>3 adverse events deemed to be at least possibly related to either study drug have been limited.</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the date of presentation, lymphocyte depletion has been rapid and profound for the majority of patients on study. Notably, the patient population in this study is more advanced than has enrolled into the single agent study of TG-1101 (TG-1101-101), with 100% of patients having been exposed to ≥2 prior rituximab containing regimens, 100% of patients having been exposed to bendamustine in combination with rituximab, 4/6 (67%) patients considered refractory to rituximab, and 100% of patients considered refractory to their last treatment regimen. Enrollment continues in this study at higher dose levels, with expansions in specific lymphoma subtypes, such as Mantle Cell lymphoma planned.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9"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color w:val="auto"/>
        </w:rPr>
        <w:t>In June 2013, the Company presented pre-clinical data at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International Conference on Malignant Lymphomas in Lugano, Switzerland, on the combination of TGR-1202 and TG-1101 in models of B-cell lymphoma demonstrating synergy against select lymphoma cell lines tested. The oral presentation was delivered by Changchun Deng, MD, PhD, of Columbia University Medical Center in New York, 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220" w:firstLine="648"/>
        <w:spacing w:after="0" w:line="253" w:lineRule="auto"/>
        <w:rPr>
          <w:sz w:val="20"/>
          <w:szCs w:val="20"/>
          <w:color w:val="auto"/>
        </w:rPr>
      </w:pPr>
      <w:r>
        <w:rPr>
          <w:rFonts w:ascii="Arial" w:cs="Arial" w:eastAsia="Arial" w:hAnsi="Arial"/>
          <w:sz w:val="18"/>
          <w:szCs w:val="18"/>
          <w:color w:val="auto"/>
        </w:rPr>
        <w:t>As of July 2013, TGR-1202-101, the first-in-human Phase I clinical trial of TGR-1202 is ongoing and enrolling patients in the dose escalation component of the study. To date, no dose-limiting toxicities have been observed and a maximum tolerated dose has not been reached. Provided no patients experience dose limiting toxicities, additional cohorts evaluating sequentially higher doses of TGR-1202 are planned. The Company plans to present preliminary pharmacokinetic (PK) data from initial cohorts in the third quarter of 2013, which the Company believes may provide preliminary information about the drug properties of TGR-1202 and whether further human study of TGR-1202 is warranted. There can be no assurances given that TGR-1202 will exhibit sufficient pharmaceutical properties following review of the preliminary PK data to support further development of TGR-1202 or that such PK data will be conclusive in any manner to provide assurances that the pharmaceutical properties are adequate. While we do have potential back-up compounds, if we decide to terminate the development of TGR-1202 following review of the PK data, then our PI3K Delta program would be significantly delayed or terminated.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and June 30, 2012</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$38,095 for the three months ended June 30, 2013, as compared to $0 in the comparable period in 2012.</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revenue for the three months ended June 30, 2013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4"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i w:val="1"/>
          <w:iCs w:val="1"/>
          <w:color w:val="auto"/>
        </w:rPr>
        <w:t xml:space="preserve">Noncash Compensation Expense (Research and Development). </w:t>
      </w:r>
      <w:r>
        <w:rPr>
          <w:rFonts w:ascii="Arial" w:cs="Arial" w:eastAsia="Arial" w:hAnsi="Arial"/>
          <w:sz w:val="17"/>
          <w:szCs w:val="17"/>
          <w:color w:val="auto"/>
        </w:rPr>
        <w:t>Noncash compensation expense (research and development) related to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grants equaled $366,168 for the three months ended June 30, 2013, as compared to $109,198 during the comparable period in 2012. The noncash compensation expense was related to the period’s expense for restricted stock grants to research and development personnel.</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$3,124,559 to $4,661,455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as compared to $1,536,896 for the three months ended June 30, 2012. The increase in other research and development expenses was due primarily to approximately $3,017,000 of manufacturing expenses related to TG-1101. We expect our other research and development costs to remain at comparable levels for the remainder of 2013.</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decreased by $55,193 to $1,007,600 for the three months ended June 30, 2013, as compared to $1,062,793 for the three months ended June 30, 2012. The noncash compensation expense in both periods was related to restricted stock grants to general and administrative personnel.</w:t>
      </w:r>
    </w:p>
    <w:p>
      <w:pPr>
        <w:spacing w:after="0" w:line="14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$235,594 to $631,637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as compared to $396,043 for the three months ended June 30, 2012. The increase was due primarily to increased general and administrative expenses, in particular, the NASDAQ entry fee and related costs. We expect our other general and administrative expenses to remain at a comparable level for the remainder of 2013.</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decreased by $486,558 to $(44,213) for the three months ended June 30, 2013, as compared to $(530,771)</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2012. The other income for the period in 2012 was primarily due to a refund of New York State Franchise tax of approximately $272,000 and the change in the fair value of our notes payable, partially offset by interest expense on our short-term note payable.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and June 30, 2012</w:t>
      </w:r>
    </w:p>
    <w:p>
      <w:pPr>
        <w:spacing w:after="0" w:line="229"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$76,190 for the six months ended June 30, 2013, as compared to $0 in the comparable period in 2012.</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revenue for the six months ended June 30, 2013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Noncash Stock Expense Associated with In-licensing Agreement. </w:t>
      </w:r>
      <w:r>
        <w:rPr>
          <w:rFonts w:ascii="Arial" w:cs="Arial" w:eastAsia="Arial" w:hAnsi="Arial"/>
          <w:sz w:val="16"/>
          <w:szCs w:val="16"/>
          <w:color w:val="auto"/>
        </w:rPr>
        <w:t>Noncash stock expense associated with in-licensing agreement decreased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$16,578,000 to $0 for the six months ended June 30, 2013, as compared to $16,578,000 for the six months ended June 30, 2012. The expense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2012 related to a noncash expense of $16,578,000 recorded in conjunction with the stock issued to LFB Group for the license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TGTX-1101.</w:t>
      </w:r>
    </w:p>
    <w:p>
      <w:pPr>
        <w:spacing w:after="0" w:line="211"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i w:val="1"/>
          <w:iCs w:val="1"/>
          <w:color w:val="auto"/>
        </w:rPr>
        <w:t xml:space="preserve">Noncash Compensation Expense (Research and Development). </w:t>
      </w:r>
      <w:r>
        <w:rPr>
          <w:rFonts w:ascii="Arial" w:cs="Arial" w:eastAsia="Arial" w:hAnsi="Arial"/>
          <w:sz w:val="17"/>
          <w:szCs w:val="17"/>
          <w:color w:val="auto"/>
        </w:rPr>
        <w:t>Noncash compensation expense (research and development) related to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grants equaled $720,871 for the six months ended June 30, 2013, as compared to $109,198 during the comparable period in 2012. The noncash compensation expense was related to the period’s expense for restricted stock grants to research and development personnel.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ind w:right="160" w:firstLine="648"/>
        <w:spacing w:after="0" w:line="302"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$4,176,408 to $5,876,657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2013, as compared to $1,700,249 for the six months ended June 30, 2012. The increase in other research and development expenses was due primarily to the commencement of the Company’s clinical development programs for TG-1101 and TGR-1202. We expect our other research and development costs to increase modestly for the remainder of 2013 due primarily to the enrollment of additional patients on our clinical trials.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$1,287,072 to $2,538,374 for the six months ended June 30, 2013, as compared to $1,251,302 for the six months ended June 30, 2012. The increase in noncash compensation expense (general and administrative) was primarily due to the vesting of certain milestone based restricted stock awards during the six months ended June 30, 2013.</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$431,559 to $1,283,094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as compared to $851,535 for the six months ended June 30, 2012. The increase was due primarily to increased general and administrative expenses, including business insurance, and the NASDAQ entry fee. We expect our other general and administrative expenses to remain at a comparable level for the remainder of 2013.</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Other income decreased by $434,944 to $(84,643) for the six months ended June 30, 2013, as compared to $(519,587)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2012. The other income for the period in 2012 was primarily due to a refund of New York State Franchise tax of approximately $272,000 and the change in the fair value of our notes payable, partially offset by interest expense on our short-term note payable.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primary source of cash has been proceeds from the private placement of equity securities and from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July 18, 2013, we announced the pricing of an underwritten public offering of 5,700,000 shares of our common stock at a price of $6.15 per share for gross proceeds of approximately $35 million. We also granted to the underwriters a 30-day option to acquire an additional 855,000 shares to cover overallotments in connection with the offering, which was exercised on July 25, 2013. Total net proceeds from this offering, including the overallotment, were approximately $37.4 million, net of underwriting discounts and estimated offering expenses of approximately $2.9 million. The shares were sold under a shelf registration statement on Form S-3 (File No. 333-189015) that was previously filed and declared effective by the SEC on June 17, 2013.</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June 30, 2013, we had $13,416,952 in cash and cash equivalents. We currently anticipate that our cash and cash equivalents as of June 30, 2013, and the proceeds from the July 2013 offering to be sufficient to fund our anticipated operating cash requirements for approximately 30-36 months from June 30, 2013.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Cash used in operating activities for the six months ended June 30, 2013 was $4,761,107, as compared to $1,361,419 for the six months ended June 30, 2012. The increase in cash used in operating activities was due primarily to increased expenditures associated with our clinical development programs for TG-1101 and TGR-1202.</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right="240" w:firstLine="648"/>
        <w:spacing w:after="0" w:line="264" w:lineRule="auto"/>
        <w:rPr>
          <w:sz w:val="20"/>
          <w:szCs w:val="20"/>
          <w:color w:val="auto"/>
        </w:rPr>
      </w:pPr>
      <w:r>
        <w:rPr>
          <w:rFonts w:ascii="Arial" w:cs="Arial" w:eastAsia="Arial" w:hAnsi="Arial"/>
          <w:sz w:val="18"/>
          <w:szCs w:val="18"/>
          <w:color w:val="auto"/>
        </w:rPr>
        <w:t>For the six months ended June 30, 2013, net cash provided by financing activities of $1,723,736 related to proceeds from the exercise of warrants. For the six months ended June 30, 2012, net cash provided by financing activities of $11,981,406 related primarily to net proceeds from the issuance of the Company Preferred Stock, partially offset by the repayment of a short-term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right="12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Accounting Related to Goodwill. </w:t>
      </w:r>
      <w:r>
        <w:rPr>
          <w:rFonts w:ascii="Arial" w:cs="Arial" w:eastAsia="Arial" w:hAnsi="Arial"/>
          <w:sz w:val="18"/>
          <w:szCs w:val="18"/>
          <w:color w:val="auto"/>
        </w:rPr>
        <w:t>As of June 30, 2013 and December 31, 2012, there was approximately $799,391 of goodwill on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condensed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elected the fair value option for valuing our Convertible 5% Notes Payable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valuation methods used to estimate the 5% Notes’ fair value is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2012 and June 30,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2013, our portfolio of financial instruments consists of cash equivalents, including bank deposits. Due to the short-term nature of our investments, we believe there is no material exposure to interest rate risk, and/or credit risk, arising from our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2013,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2013, our disclosure controls and procedures were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quarter ended June 30, 2013, management hired a corporate controller to remediate the material weakness in internal control over financial reporting that existed as of December 31, 2012. This material weakness was primarily related to an inadequate segregation of duties, as all financial and accounting duties were performed by our Chief Financial Officer. There were no further changes in our internal control over financial reporting during the quarter ended June 30, 2013, that have materially affected, or are reasonably likely to materially affect, our internal control over financial reporting.</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submit an Investigational New Drug application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TG-1101 and TGR-1202 enabling the conduct of studies in the FDA’s Division of Hematology and Oncology; there can be no assurance given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plan on conducting additional Phase I, II and III clinical trials for TG-1101. Early clinical results seen with TG-1101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later trials are different from those found in the earlier studies of TG-1101, we may need to terminate or revise our clinical development plan, which could extend the time for conducting our development program and could have a material adverse effect on our business.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TGR-1202 has only recently entered into a first-in-human Phase I clinical trial. At this time it is difficult to predict TGR-1202’s pharmacologic properties in humans and whether it will be able to inhibit PI3k delta in humans. We will assess such pharmacologic properties in our first-in-human Phase 1 study. There can be no assurances given that TGR-1202 will exhibit sufficient pharmacologic properties following review of the initial data from this first Phase 1 study to support further development of TGR-1202. Furthermore, such pharmacologic data arising from this first Phase 1 study may be inconclusive or not reproducible in later clinical trials. In such situation, we may conduct additional clinical trials only to learn later that TGR-1202 lacks adequate pharmacologic properties. Additionally, even if we believed that TGR-1202 possessed adequate pharmacologic properties, that still does not ensure that TGR-1202 will be a safe, active, or effective pharmaceutical agent. If TGR-1202 were ultimately determined to lack adequate pharmacologic properties or fail to be a safe, active, or effective pharmaceutical agent, we would have to cease development, which could have a material adverse effect on our business. In such event, despite the rights we retain to back-up compounds, our PI3k Delta program would be significantly delayed or terminated.</w:t>
      </w:r>
    </w:p>
    <w:p>
      <w:pPr>
        <w:spacing w:after="0" w:line="16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TG-1101 and our other product candidates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With respect to TGR-1202, we are unfamiliar with the adverse event profile as it has only recently been dosed in humans.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83"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980" w:right="62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9" w:name="page30"/>
    <w:bookmarkEnd w:id="29"/>
    <w:p>
      <w:pPr>
        <w:ind w:left="980" w:right="240" w:hanging="324"/>
        <w:spacing w:after="0" w:line="25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18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product candidates are in the initial stages of development and are currently manufactured in small batches for use in pre-clinical and clinical studies. Process improvements implemented to date have,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620" w:firstLine="648"/>
        <w:spacing w:after="0" w:line="210"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GlaxoSmithKline’s Bexxar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w:t>
      </w:r>
      <w:r>
        <w:rPr>
          <w:rFonts w:ascii="Arial" w:cs="Arial" w:eastAsia="Arial" w:hAnsi="Arial"/>
          <w:sz w:val="26"/>
          <w:szCs w:val="26"/>
          <w:color w:val="auto"/>
          <w:vertAlign w:val="superscript"/>
        </w:rPr>
        <w:t>131</w:t>
      </w:r>
      <w:r>
        <w:rPr>
          <w:rFonts w:ascii="Arial" w:cs="Arial" w:eastAsia="Arial" w:hAnsi="Arial"/>
          <w:sz w:val="16"/>
          <w:szCs w:val="16"/>
          <w:color w:val="auto"/>
        </w:rPr>
        <w:t>-Tositumomab),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(Ofatumomab) among others, each of which is currently approved for the treatment of various diseases including NHL and CLL. In addition, a number of pharmaceutical companies are developing anti-CD20 antibodies which, if approved, would potentially compete with TG-1101, including, but not limited to, GA-101 (obinutuzumab), under clinical development by the Roche Group. New developments, including the development of other pharmaceutical technologies and methods of treating disease, occur in the pharmaceutical and life sciences industries at a rapid pace.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100" w:firstLine="648"/>
        <w:spacing w:after="0" w:line="276" w:lineRule="auto"/>
        <w:rPr>
          <w:sz w:val="20"/>
          <w:szCs w:val="20"/>
          <w:color w:val="auto"/>
        </w:rPr>
      </w:pPr>
      <w:r>
        <w:rPr>
          <w:rFonts w:ascii="Arial" w:cs="Arial" w:eastAsia="Arial" w:hAnsi="Arial"/>
          <w:sz w:val="17"/>
          <w:szCs w:val="17"/>
          <w:color w:val="auto"/>
        </w:rPr>
        <w:t>With respect to TGR-1202, although no PI3K delta inhibitors have been approved by the FDA, there are several PI3K delta targeted compounds in development, including, but not limited to, Gilead’s GS-1101 (formerly known as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(under clinical development by Pharmacyclics), or the blc-2 inhibitor ABT-199 (under clinical development by Abbott Laboratories).</w:t>
      </w:r>
    </w:p>
    <w:p>
      <w:pPr>
        <w:spacing w:after="0" w:line="173"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specifications and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4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June 30, 2013, we had 6 full and part time employees. Over time, we will need to expand our managerial, operational, financial and other resources in order to manage and obtain funds for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5" w:name="page36"/>
    <w:bookmarkEnd w:id="35"/>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We may seek to expand our business through the acquisition of, investments in and strategic alliances with companies, technologies, products, and services, such as the Exchange Transaction between us and TG Bio and the Collaboration Agreement between us and Rhizen. Acquisitions, investments and strategic alliances involve a number of special problems and risks, including, but not limited to:</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7" w:name="page38"/>
    <w:bookmarkEnd w:id="37"/>
    <w:p>
      <w:pPr>
        <w:ind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1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Going forward, if we do not win the filing race, we will not be entitled to inventive priority;</w:t>
      </w:r>
    </w:p>
    <w:p>
      <w:pPr>
        <w:ind w:left="980" w:right="6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right="16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June 30, 2013, we had net cash on hand of approximately $13,416,952. We believe that our cash on hand, and the proceeds from the July 2013 offering will sustain our operations for the next 30-36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on your holdings of our capital stock.</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have never been profitable, and, as of June 30, 2013, we had an accumulated deficit of $29,183,956. We have generated operating losses in all periods since we were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980" w:right="4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41" w:name="page42"/>
    <w:bookmarkEnd w:id="41"/>
    <w:p>
      <w:pPr>
        <w:ind w:right="20"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Following our July 2013 offering, our directors, executive officers, their affiliates, and our principal stockholders beneficially own approximately 45%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920"/>
              <w:spacing w:after="0"/>
              <w:rPr>
                <w:sz w:val="20"/>
                <w:szCs w:val="20"/>
                <w:color w:val="auto"/>
              </w:rPr>
            </w:pPr>
            <w:r>
              <w:rPr>
                <w:rFonts w:ascii="Arial" w:cs="Arial" w:eastAsia="Arial" w:hAnsi="Arial"/>
                <w:sz w:val="18"/>
                <w:szCs w:val="18"/>
                <w:color w:val="auto"/>
              </w:rPr>
              <w:t>3.1</w:t>
            </w:r>
          </w:p>
        </w:tc>
        <w:tc>
          <w:tcPr>
            <w:tcW w:w="9880" w:type="dxa"/>
            <w:vAlign w:val="bottom"/>
          </w:tcPr>
          <w:p>
            <w:pPr>
              <w:ind w:left="300"/>
              <w:spacing w:after="0"/>
              <w:rPr>
                <w:sz w:val="20"/>
                <w:szCs w:val="20"/>
                <w:color w:val="auto"/>
              </w:rPr>
            </w:pPr>
            <w:r>
              <w:rPr>
                <w:rFonts w:ascii="Arial" w:cs="Arial" w:eastAsia="Arial" w:hAnsi="Arial"/>
                <w:sz w:val="18"/>
                <w:szCs w:val="18"/>
                <w:color w:val="auto"/>
                <w:w w:val="94"/>
              </w:rPr>
              <w:t>Amended and Restated Certificate of Incorporation, of TG Therapeutics, Inc. dated April 26, 2012 (incorporated by reference to</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Exhibit 3.2 to the Registrant’s Quarterly Report on Form 10-Q for the quarter ended June 30,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w:t>
            </w:r>
          </w:p>
        </w:tc>
        <w:tc>
          <w:tcPr>
            <w:tcW w:w="9880" w:type="dxa"/>
            <w:vAlign w:val="bottom"/>
          </w:tcPr>
          <w:p>
            <w:pPr>
              <w:ind w:left="300"/>
              <w:spacing w:after="0"/>
              <w:rPr>
                <w:sz w:val="20"/>
                <w:szCs w:val="20"/>
                <w:color w:val="auto"/>
              </w:rPr>
            </w:pPr>
            <w:r>
              <w:rPr>
                <w:rFonts w:ascii="Arial" w:cs="Arial" w:eastAsia="Arial" w:hAnsi="Arial"/>
                <w:sz w:val="18"/>
                <w:szCs w:val="18"/>
                <w:color w:val="auto"/>
                <w:w w:val="98"/>
              </w:rPr>
              <w:t>Restated Bylaws of TG Therapeutics, Inc. dated May 14, 2012 (incorporated by reference to Exhibit 3.2 to the Registrant’s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Quarterly Report on Form 10-Q for the quarter ended March 31, 2012).</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August 9, 2013.</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August 9, 2013.</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August 9, 2013.</w:t>
            </w:r>
          </w:p>
        </w:tc>
      </w:tr>
      <w:tr>
        <w:trPr>
          <w:trHeight w:val="418"/>
        </w:trPr>
        <w:tc>
          <w:tcPr>
            <w:tcW w:w="1540" w:type="dxa"/>
            <w:vAlign w:val="bottom"/>
          </w:tcPr>
          <w:p>
            <w:pPr>
              <w:ind w:left="92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August 9, 2013.</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040"/>
              <w:spacing w:after="0"/>
              <w:rPr>
                <w:sz w:val="20"/>
                <w:szCs w:val="20"/>
                <w:color w:val="auto"/>
              </w:rPr>
            </w:pPr>
            <w:r>
              <w:rPr>
                <w:rFonts w:ascii="Arial" w:cs="Arial" w:eastAsia="Arial" w:hAnsi="Arial"/>
                <w:sz w:val="18"/>
                <w:szCs w:val="18"/>
                <w:color w:val="auto"/>
              </w:rPr>
              <w:t>TG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9, 2013</w:t>
            </w:r>
          </w:p>
        </w:tc>
        <w:tc>
          <w:tcPr>
            <w:tcW w:w="7840" w:type="dxa"/>
            <w:vAlign w:val="bottom"/>
            <w:gridSpan w:val="2"/>
          </w:tcPr>
          <w:p>
            <w:pPr>
              <w:ind w:left="2040"/>
              <w:spacing w:after="0"/>
              <w:rPr>
                <w:sz w:val="20"/>
                <w:szCs w:val="20"/>
                <w:color w:val="auto"/>
              </w:rPr>
            </w:pPr>
            <w:r>
              <w:rPr>
                <w:rFonts w:ascii="Arial" w:cs="Arial" w:eastAsia="Arial" w:hAnsi="Arial"/>
                <w:sz w:val="18"/>
                <w:szCs w:val="18"/>
                <w:color w:val="auto"/>
              </w:rPr>
              <w:t>By:  /s/ Sean A. Power</w:t>
            </w:r>
          </w:p>
        </w:tc>
      </w:tr>
      <w:tr>
        <w:trPr>
          <w:trHeight w:val="195"/>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44</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88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August 9, 2013.</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988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Oxley Act of 2002, dated August 9, 2013.</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August 9, 2013.</w:t>
            </w:r>
          </w:p>
        </w:tc>
      </w:tr>
      <w:tr>
        <w:trPr>
          <w:trHeight w:val="418"/>
        </w:trPr>
        <w:tc>
          <w:tcPr>
            <w:tcW w:w="154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988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0"/>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Arial" w:cs="Arial" w:eastAsia="Arial" w:hAnsi="Arial"/>
                <w:sz w:val="18"/>
                <w:szCs w:val="18"/>
                <w:color w:val="auto"/>
              </w:rPr>
              <w:t>of 2002, dated August 9, 2013.</w:t>
            </w:r>
          </w:p>
        </w:tc>
      </w:tr>
      <w:tr>
        <w:trPr>
          <w:trHeight w:val="648"/>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90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August 9, 2013</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606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60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August 9, 2013</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606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60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1008"/>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2013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August 9, 2013</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606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60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20" w:firstLine="1008"/>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2013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520" w:hanging="188"/>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August 9, 2013</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606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60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2019-12-06T14:29:01Z</dcterms:created>
  <dcterms:modified xsi:type="dcterms:W3CDTF">2019-12-06T14:29:01Z</dcterms:modified>
</cp:coreProperties>
</file>