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80" w:right="2700" w:hanging="1318"/>
        <w:spacing w:after="0" w:line="275" w:lineRule="auto"/>
        <w:tabs>
          <w:tab w:leader="none" w:pos="30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80" w:right="2680" w:hanging="1324"/>
        <w:spacing w:after="0" w:line="275" w:lineRule="auto"/>
        <w:tabs>
          <w:tab w:leader="none" w:pos="305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679" w:right="2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79" w:right="239" w:bottom="1440" w:gutter="0" w:footer="0" w:header="0"/>
          <w:type w:val="continuous"/>
        </w:sectPr>
      </w:pPr>
    </w:p>
    <w:p>
      <w:pPr>
        <w:spacing w:after="0" w:line="36"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2 Gansevoort Street, 9th Floor</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New York, New York 10014</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(Address including zip code of principal executive offices)</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(212) 554-4484</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(Registrant's telephone number, including area code)</w:t>
      </w:r>
    </w:p>
    <w:p>
      <w:pPr>
        <w:spacing w:after="0" w:line="217" w:lineRule="exact"/>
        <w:rPr>
          <w:sz w:val="24"/>
          <w:szCs w:val="24"/>
          <w:color w:val="auto"/>
        </w:rPr>
      </w:pPr>
    </w:p>
    <w:p>
      <w:pPr>
        <w:ind w:right="14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jc w:val="both"/>
        <w:ind w:right="40"/>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1" w:lineRule="exact"/>
        <w:rPr>
          <w:sz w:val="24"/>
          <w:szCs w:val="24"/>
          <w:color w:val="auto"/>
        </w:rPr>
      </w:pPr>
    </w:p>
    <w:p>
      <w:pPr>
        <w:ind w:right="28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679" w:right="239" w:bottom="1440" w:gutter="0" w:footer="0" w:header="0"/>
          <w:type w:val="continuous"/>
        </w:sectPr>
      </w:pPr>
    </w:p>
    <w:p>
      <w:pPr>
        <w:spacing w:after="0" w:line="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9420" w:space="720"/>
            <w:col w:w="1280"/>
          </w:cols>
          <w:pgMar w:left="240" w:top="679" w:right="239" w:bottom="1440" w:gutter="0" w:footer="0" w:header="0"/>
          <w:type w:val="continuous"/>
        </w:sectPr>
      </w:pP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4"/>
          <w:szCs w:val="24"/>
          <w:color w:val="auto"/>
        </w:rPr>
      </w:pPr>
    </w:p>
    <w:p>
      <w:pPr>
        <w:sectPr>
          <w:pgSz w:w="11900" w:h="16838" w:orient="portrait"/>
          <w:cols w:equalWidth="0" w:num="3">
            <w:col w:w="1560" w:space="40"/>
            <w:col w:w="7140" w:space="720"/>
            <w:col w:w="1960"/>
          </w:cols>
          <w:pgMar w:left="240" w:top="679" w:right="239" w:bottom="1440" w:gutter="0" w:footer="0" w:header="0"/>
          <w:type w:val="continuous"/>
        </w:sectPr>
      </w:pPr>
    </w:p>
    <w:p>
      <w:pPr>
        <w:spacing w:after="0" w:line="14" w:lineRule="exact"/>
        <w:rPr>
          <w:sz w:val="24"/>
          <w:szCs w:val="24"/>
          <w:color w:val="auto"/>
        </w:rPr>
      </w:pPr>
    </w:p>
    <w:p>
      <w:pPr>
        <w:ind w:left="94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679" w:right="239" w:bottom="1440" w:gutter="0" w:footer="0" w:header="0"/>
          <w:type w:val="continuous"/>
        </w:sectPr>
      </w:pPr>
    </w:p>
    <w:p>
      <w:pPr>
        <w:spacing w:after="0" w:line="274"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19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There were 78,010,112 shares of the registrant’s common stock, $0.001 par value, outstanding as of May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FORM 10-Q</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FOR THE QUARTER ENDED MARCH 31, 2018</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SPECIAL CAUTIONARY NOTICE REGARDING FORWARD-LOOKING STATEMENTS</w:t>
            </w:r>
          </w:p>
        </w:tc>
        <w:tc>
          <w:tcPr>
            <w:tcW w:w="1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PART I</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FINANCIAL INFORMATION</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4</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1</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Financial Statements: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4</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Condensed Consolidated Balance Sheets as of March 31, 2018 (unaudited) and December 31, 2017</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4</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Condensed Consolidated Statements of Operations for the three months ended March 31, 2018 and 2017 (unaudited)</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5</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Condensed Consolidated Statement of Stockholders’ Equity for the three months ended March 31, 2018 (unaudited)</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6</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Condensed Consolidated Statements of Cash Flows for the three months ended March 31, 2018 and 2017 (unaudited)</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spacing w:after="0"/>
              <w:rPr>
                <w:sz w:val="17"/>
                <w:szCs w:val="17"/>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to Condensed Consolidated Financial Statements (unaudited)</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8</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2</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18</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3</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Quantitative and Qualitative Disclosures About Market Risk</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27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4</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Controls and Procedures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27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PART II</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 INFORMATION</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27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1</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Legal Proceedings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27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1A</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Factors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27</w:t>
            </w:r>
          </w:p>
        </w:tc>
      </w:tr>
      <w:tr>
        <w:trPr>
          <w:trHeight w:val="203"/>
        </w:trPr>
        <w:tc>
          <w:tcPr>
            <w:tcW w:w="90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Item 6</w:t>
            </w: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Exhibits</w:t>
            </w:r>
          </w:p>
        </w:tc>
        <w:tc>
          <w:tcPr>
            <w:tcW w:w="172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89"/>
              </w:rPr>
              <w:t>49</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SPECIAL CAUTIONARY NOTICE REGARDING FORWARD-LOOKING STATEMENTS</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2" w:lineRule="exact"/>
        <w:rPr>
          <w:sz w:val="20"/>
          <w:szCs w:val="20"/>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for increases or decreases in expenses;</w:t>
      </w:r>
    </w:p>
    <w:p>
      <w:pPr>
        <w:spacing w:after="0" w:line="22" w:lineRule="exact"/>
        <w:rPr>
          <w:rFonts w:ascii="Arial" w:cs="Arial" w:eastAsia="Arial" w:hAnsi="Arial"/>
          <w:sz w:val="16"/>
          <w:szCs w:val="16"/>
          <w:color w:val="auto"/>
        </w:rPr>
      </w:pPr>
    </w:p>
    <w:p>
      <w:pPr>
        <w:ind w:left="720" w:hanging="215"/>
        <w:spacing w:after="0" w:line="26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for the clinical and pre-clinical development, manufacturing, regulatory approval, and commercialization of our pharmaceutical product candidates or any other products we may acquire or in-license;</w:t>
      </w: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use of clinical research centers and other contractors;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as to the timing of commencing or completing pre-clinical and clinical trials and the expected outcomes of those trials;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for incurring capital expenditures to expand our research and development and manufacturing capabilities;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for generating revenue or becoming profitable on a sustained basis;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or ability to enter into marketing and other partnership agreements;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or ability to enter into product acquisition and in-licensing transactions;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or ability to build our own commercial infrastructure to manufacture, market and sell our drug candidates;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products being accepted by doctors, patients or payors;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ability to compete against other companies and research institutions;</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ability to secure adequate protection for our intellectual property;</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ability to attract and retain key personnel;</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availability of reimbursement for our products;</w:t>
      </w:r>
    </w:p>
    <w:p>
      <w:pPr>
        <w:spacing w:after="0" w:line="18" w:lineRule="exact"/>
        <w:rPr>
          <w:rFonts w:ascii="Arial" w:cs="Arial" w:eastAsia="Arial" w:hAnsi="Arial"/>
          <w:sz w:val="16"/>
          <w:szCs w:val="16"/>
          <w:color w:val="auto"/>
        </w:rPr>
      </w:pPr>
    </w:p>
    <w:p>
      <w:pPr>
        <w:ind w:left="720" w:right="20" w:hanging="215"/>
        <w:spacing w:after="0" w:line="264"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of the sufficiency of our existing cash and cash equivalents and investments to finance our operating requirements, including expectations regarding the value and liquidity of our investments;</w:t>
      </w: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stock price and its volatility; and</w:t>
      </w:r>
    </w:p>
    <w:p>
      <w:pPr>
        <w:spacing w:after="0" w:line="18" w:lineRule="exact"/>
        <w:rPr>
          <w:rFonts w:ascii="Arial" w:cs="Arial" w:eastAsia="Arial" w:hAnsi="Arial"/>
          <w:sz w:val="16"/>
          <w:szCs w:val="16"/>
          <w:color w:val="auto"/>
        </w:rPr>
      </w:pPr>
    </w:p>
    <w:p>
      <w:pPr>
        <w:ind w:left="720" w:hanging="215"/>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for future capital requirements.</w:t>
      </w:r>
    </w:p>
    <w:p>
      <w:pPr>
        <w:spacing w:after="0" w:line="217"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59"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0" w:type="dxa"/>
            <w:vAlign w:val="bottom"/>
          </w:tcPr>
          <w:p>
            <w:pPr>
              <w:jc w:val="center"/>
              <w:ind w:left="2679"/>
              <w:spacing w:after="0"/>
              <w:rPr>
                <w:sz w:val="20"/>
                <w:szCs w:val="20"/>
                <w:color w:val="auto"/>
              </w:rPr>
            </w:pPr>
            <w:r>
              <w:rPr>
                <w:rFonts w:ascii="Arial" w:cs="Arial" w:eastAsia="Arial" w:hAnsi="Arial"/>
                <w:sz w:val="16"/>
                <w:szCs w:val="16"/>
                <w:b w:val="1"/>
                <w:bCs w:val="1"/>
                <w:color w:val="auto"/>
              </w:rPr>
              <w:t>PART I. FINANCIAL INFORMATION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6"/>
                <w:szCs w:val="16"/>
                <w:b w:val="1"/>
                <w:bCs w:val="1"/>
                <w:color w:val="auto"/>
              </w:rPr>
              <w:t>ITEM 1. FINANCIAL STATEMENTS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0" w:type="dxa"/>
            <w:vAlign w:val="bottom"/>
          </w:tcPr>
          <w:p>
            <w:pPr>
              <w:jc w:val="center"/>
              <w:ind w:left="2659"/>
              <w:spacing w:after="0"/>
              <w:rPr>
                <w:sz w:val="20"/>
                <w:szCs w:val="20"/>
                <w:color w:val="auto"/>
              </w:rPr>
            </w:pPr>
            <w:r>
              <w:rPr>
                <w:rFonts w:ascii="Arial" w:cs="Arial" w:eastAsia="Arial" w:hAnsi="Arial"/>
                <w:sz w:val="16"/>
                <w:szCs w:val="16"/>
                <w:b w:val="1"/>
                <w:bCs w:val="1"/>
                <w:color w:val="auto"/>
                <w:w w:val="94"/>
              </w:rPr>
              <w:t>TG Therapeutics, Inc.</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jc w:val="center"/>
              <w:ind w:left="2679"/>
              <w:spacing w:after="0"/>
              <w:rPr>
                <w:sz w:val="20"/>
                <w:szCs w:val="20"/>
                <w:color w:val="auto"/>
              </w:rPr>
            </w:pPr>
            <w:r>
              <w:rPr>
                <w:rFonts w:ascii="Arial" w:cs="Arial" w:eastAsia="Arial" w:hAnsi="Arial"/>
                <w:sz w:val="16"/>
                <w:szCs w:val="16"/>
                <w:color w:val="auto"/>
                <w:w w:val="89"/>
              </w:rPr>
              <w:t>Condensed Consolidated Balance Sheets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jc w:val="center"/>
              <w:ind w:left="2659"/>
              <w:spacing w:after="0"/>
              <w:rPr>
                <w:sz w:val="20"/>
                <w:szCs w:val="20"/>
                <w:color w:val="auto"/>
              </w:rPr>
            </w:pPr>
            <w:r>
              <w:rPr>
                <w:rFonts w:ascii="Arial" w:cs="Arial" w:eastAsia="Arial" w:hAnsi="Arial"/>
                <w:sz w:val="16"/>
                <w:szCs w:val="16"/>
                <w:color w:val="auto"/>
                <w:w w:val="88"/>
              </w:rPr>
              <w:t>(in thousands, except share and per share amounts)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March 31,</w:t>
            </w: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(Note 1)</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8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56,718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60"/>
              <w:spacing w:after="0"/>
              <w:rPr>
                <w:sz w:val="20"/>
                <w:szCs w:val="20"/>
                <w:color w:val="auto"/>
              </w:rPr>
            </w:pPr>
            <w:r>
              <w:rPr>
                <w:rFonts w:ascii="Arial" w:cs="Arial" w:eastAsia="Arial" w:hAnsi="Arial"/>
                <w:sz w:val="16"/>
                <w:szCs w:val="16"/>
                <w:color w:val="auto"/>
              </w:rPr>
              <w:t>Short-term investment securities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26,181</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27,999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receivable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60"/>
              <w:spacing w:after="0"/>
              <w:rPr>
                <w:sz w:val="20"/>
                <w:szCs w:val="20"/>
                <w:color w:val="auto"/>
              </w:rPr>
            </w:pPr>
            <w:r>
              <w:rPr>
                <w:rFonts w:ascii="Arial" w:cs="Arial" w:eastAsia="Arial" w:hAnsi="Arial"/>
                <w:sz w:val="16"/>
                <w:szCs w:val="16"/>
                <w:color w:val="auto"/>
              </w:rPr>
              <w:t>Prepaid research and development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6,824</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116,958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93,318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Leasehold interest, net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2,397</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Equipment, net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120,994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97,381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320"/>
              <w:spacing w:after="0"/>
              <w:rPr>
                <w:sz w:val="20"/>
                <w:szCs w:val="20"/>
                <w:color w:val="auto"/>
              </w:rPr>
            </w:pPr>
            <w:r>
              <w:rPr>
                <w:rFonts w:ascii="Arial" w:cs="Arial" w:eastAsia="Arial" w:hAnsi="Arial"/>
                <w:sz w:val="16"/>
                <w:szCs w:val="16"/>
                <w:color w:val="auto"/>
              </w:rPr>
              <w:t>Accrued compensation</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deferred revenue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6"/>
                <w:szCs w:val="16"/>
                <w:color w:val="auto"/>
              </w:rPr>
              <w:t>Notes payable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33,345</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Deferred rent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1,388</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35,762</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w w:val="94"/>
              </w:rPr>
              <w:t>Preferred stock, $0.001 par value per share (10,000,000 shares authorized, none issued and outstanding as of March 31, 2018 and</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w w:val="94"/>
              </w:rPr>
              <w:t>Common stock, $0.001 par value per share (150,000,000 shares authorized, 77,134,683 and 73,181,750 shares issued, 77,093,374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820" w:type="dxa"/>
            <w:vAlign w:val="bottom"/>
            <w:gridSpan w:val="2"/>
          </w:tcPr>
          <w:p>
            <w:pPr>
              <w:spacing w:after="0"/>
              <w:rPr>
                <w:sz w:val="20"/>
                <w:szCs w:val="20"/>
                <w:color w:val="auto"/>
              </w:rPr>
            </w:pPr>
            <w:r>
              <w:rPr>
                <w:rFonts w:ascii="Arial" w:cs="Arial" w:eastAsia="Arial" w:hAnsi="Arial"/>
                <w:sz w:val="16"/>
                <w:szCs w:val="16"/>
                <w:color w:val="auto"/>
              </w:rPr>
              <w:t>and 73,140,441 shares outstanding at March 31, 2018 and December 31, 2017, respectively)</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481,781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Treasury stock, at cost, 41,309 shares at March 31, 2018 and December 31, 2017</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(234)</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(396,392)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(354,863)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85,232</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66,993</w:t>
            </w: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120,994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97,381</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Condensed Consolidated Statements of Operations</w:t>
      </w:r>
    </w:p>
    <w:p>
      <w:pPr>
        <w:spacing w:after="0" w:line="1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License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Costs and expenses: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Noncash compensation</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2,859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32,159</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research and development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35,018</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Noncash compensation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4,478</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Other general and administrative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40,615</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27,704</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(41,577)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(27,666)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 other (income) expense, net</w:t>
            </w: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(41,529)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(27,727)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(0.59)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Weighted average shares used in computing basic and diluted net loss per common share</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70,636,970</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53,157,851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Condensed Consolidated Statement of Stockholders’ Equity</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 except share amounts)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00" w:type="dxa"/>
            <w:vAlign w:val="bottom"/>
            <w:gridSpan w:val="5"/>
          </w:tcPr>
          <w:p>
            <w:pPr>
              <w:ind w:left="420"/>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Additional</w:t>
            </w: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paid-in</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capital</w:t>
            </w:r>
          </w:p>
        </w:tc>
        <w:tc>
          <w:tcPr>
            <w:tcW w:w="300" w:type="dxa"/>
            <w:vAlign w:val="bottom"/>
          </w:tcPr>
          <w:p>
            <w:pPr>
              <w:spacing w:after="0"/>
              <w:rPr>
                <w:sz w:val="19"/>
                <w:szCs w:val="19"/>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Amount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Deficit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73,181,750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422,017</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41,309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(354,863)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66,993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87,500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(123,911)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6"/>
              </w:rPr>
              <w:t>Issuance of common stock in At-the-Market offering</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6"/>
                <w:szCs w:val="16"/>
                <w:color w:val="auto"/>
              </w:rPr>
              <w:t>(net of offering costs of $0.9 million)</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3,989,344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52,426</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52,430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6"/>
              </w:rPr>
              <w:t>Compensation in respect of restricted stock granted</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to employees, directors and consultants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7,337</w:t>
            </w:r>
          </w:p>
        </w:tc>
        <w:tc>
          <w:tcPr>
            <w:tcW w:w="8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(41,529)</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(41,529)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77,134,683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481,781</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41,309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(396,392)</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85,232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 Amount less than one thousand dollars.</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Condensed Consolidated Statements of Cash Flows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(41,529)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(27,727)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Noncash stock compensation expense</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7,337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Amortization of premium on investment securities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notes payable and accrued interest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(increase) in prepaid research and development and other current assets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Decrease in leasehold interest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accrued interest receivable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Decrease in other assets</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accounts payable and accrued expenses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5,292</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Increase in deferred rent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deferred revenue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(28,043)</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(22,301)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equipment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Investment in held-to-maturity securities</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(4,184)</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maturity of short-term securities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exercise of warrants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Proceeds from sale of common stock, net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52,430</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52,430</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86,909</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26,179</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70,608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57,305</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83,484</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96,222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Reconciliation to amounts on consolidated balance sheets: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82,896</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95,638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6"/>
                <w:szCs w:val="16"/>
                <w:color w:val="auto"/>
              </w:rPr>
              <w:t>Total cash, cash equivalents and restricted cash</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83,484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96,222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NONCASH TRANSACTIONS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deferred financing costs to additional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Accrued offering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Notes to Condensed Consolidated Financial Statements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the context requires otherwise, references in this report to “TG,” the “Company,” “we,” “us” and “our” refer to TG Therapeutics, Inc. and our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221"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the Company has recently brought its anti-PD-L1 monoclonal antibody into Phase 1 development and aims to bring additional pipeline assets into the clinic in the future.</w:t>
      </w:r>
    </w:p>
    <w:p>
      <w:pPr>
        <w:spacing w:after="0" w:line="177" w:lineRule="exact"/>
        <w:rPr>
          <w:sz w:val="20"/>
          <w:szCs w:val="20"/>
          <w:color w:val="auto"/>
        </w:rPr>
      </w:pPr>
    </w:p>
    <w:p>
      <w:pPr>
        <w:ind w:right="220" w:firstLine="648"/>
        <w:spacing w:after="0" w:line="369" w:lineRule="auto"/>
        <w:rPr>
          <w:sz w:val="20"/>
          <w:szCs w:val="20"/>
          <w:color w:val="auto"/>
        </w:rPr>
      </w:pPr>
      <w:r>
        <w:rPr>
          <w:rFonts w:ascii="Arial" w:cs="Arial" w:eastAsia="Arial" w:hAnsi="Arial"/>
          <w:sz w:val="14"/>
          <w:szCs w:val="14"/>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13" w:lineRule="exact"/>
        <w:rPr>
          <w:sz w:val="20"/>
          <w:szCs w:val="20"/>
          <w:color w:val="auto"/>
        </w:rPr>
      </w:pPr>
    </w:p>
    <w:p>
      <w:pPr>
        <w:ind w:right="80" w:firstLine="648"/>
        <w:spacing w:after="0" w:line="289" w:lineRule="auto"/>
        <w:rPr>
          <w:sz w:val="20"/>
          <w:szCs w:val="20"/>
          <w:color w:val="auto"/>
        </w:rPr>
      </w:pPr>
      <w:r>
        <w:rPr>
          <w:rFonts w:ascii="Arial" w:cs="Arial" w:eastAsia="Arial" w:hAnsi="Arial"/>
          <w:sz w:val="15"/>
          <w:szCs w:val="15"/>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2017. The accompanying condensed December 31, 2017 balance sheet has been derived from these statements. The results of operations for the three months ended March 31, 2018 are not necessarily indicative of the results that may be expected for the entire fiscal year or any other interim period.</w:t>
      </w:r>
    </w:p>
    <w:p>
      <w:pPr>
        <w:spacing w:after="0" w:line="1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Certain reclassifications have been made to the prior period unaudited condensed consolidated financial statements to conform to the current period presentation, including:</w:t>
      </w:r>
    </w:p>
    <w:p>
      <w:pPr>
        <w:spacing w:after="0" w:line="159" w:lineRule="exact"/>
        <w:rPr>
          <w:sz w:val="20"/>
          <w:szCs w:val="20"/>
          <w:color w:val="auto"/>
        </w:rPr>
      </w:pPr>
    </w:p>
    <w:p>
      <w:pPr>
        <w:ind w:left="920" w:hanging="253"/>
        <w:spacing w:after="0" w:line="293" w:lineRule="auto"/>
        <w:tabs>
          <w:tab w:leader="none" w:pos="1101"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Presentation of restricted cash on the condensed consolidated statements of cash flows for the three months ended March 31, 2017, as a result of the adoption of Accounting Standards Update No. 2016-18 in the first quarter of 2018.</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2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have incurred operating losses since our inception, expect to continue to incur operating losses for the foreseeable future, and may never become profitable. As of March 31, 2018, we have an accumulated deficit of approximately $396.4 million.</w:t>
      </w:r>
    </w:p>
    <w:p>
      <w:pPr>
        <w:spacing w:after="0" w:line="15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As of March 31, 2018, we had $109.2 million in cash and cash equivalents, investment securities, and interest receivable. The Company believes its cash, cash equivalents, investment securities, and interest receivable on hand as of March 31, 2018 combined with the additional capital raised in the second quarter of 2018 (see Note 5) will be sufficient to fund the Company’s planned operations through mid-2019.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Standards</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71" w:lineRule="exact"/>
        <w:rPr>
          <w:sz w:val="20"/>
          <w:szCs w:val="20"/>
          <w:color w:val="auto"/>
        </w:rPr>
      </w:pPr>
    </w:p>
    <w:p>
      <w:pPr>
        <w:jc w:val="both"/>
        <w:ind w:left="720" w:hanging="377"/>
        <w:spacing w:after="0" w:line="265"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 w:lineRule="exact"/>
        <w:rPr>
          <w:rFonts w:ascii="Arial" w:cs="Arial" w:eastAsia="Arial" w:hAnsi="Arial"/>
          <w:sz w:val="16"/>
          <w:szCs w:val="16"/>
          <w:color w:val="auto"/>
        </w:rPr>
      </w:pPr>
    </w:p>
    <w:p>
      <w:pPr>
        <w:ind w:left="720" w:hanging="377"/>
        <w:spacing w:after="0"/>
        <w:tabs>
          <w:tab w:leader="none" w:pos="72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vesting conditions of the modified award are the same as the vesting conditions of the original award immediately before the original award is modified.</w:t>
      </w:r>
    </w:p>
    <w:p>
      <w:pPr>
        <w:spacing w:after="0" w:line="30" w:lineRule="exact"/>
        <w:rPr>
          <w:rFonts w:ascii="Arial" w:cs="Arial" w:eastAsia="Arial" w:hAnsi="Arial"/>
          <w:sz w:val="15"/>
          <w:szCs w:val="15"/>
          <w:color w:val="auto"/>
        </w:rPr>
      </w:pPr>
    </w:p>
    <w:p>
      <w:pPr>
        <w:ind w:left="720" w:right="20" w:hanging="377"/>
        <w:spacing w:after="0" w:line="288"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classification of the modified award as an equity instrument or a liability instrument is the same as the classification of the original award immediately before the original award is modified.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6"/>
          <w:szCs w:val="16"/>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March 31, 2018.</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177" w:lineRule="exact"/>
        <w:rPr>
          <w:sz w:val="20"/>
          <w:szCs w:val="20"/>
          <w:color w:val="auto"/>
        </w:rPr>
      </w:pPr>
    </w:p>
    <w:p>
      <w:pPr>
        <w:ind w:left="1040" w:hanging="373"/>
        <w:spacing w:after="0" w:line="266"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Clarifies the requirements for excluding and allocating foreign currency translation adjustments to reporting units in connection with an entity’s testing of reporting units for goodwill impairment.</w:t>
      </w:r>
    </w:p>
    <w:p>
      <w:pPr>
        <w:spacing w:after="0" w:line="1" w:lineRule="exact"/>
        <w:rPr>
          <w:rFonts w:ascii="Arial" w:cs="Arial" w:eastAsia="Arial" w:hAnsi="Arial"/>
          <w:sz w:val="16"/>
          <w:szCs w:val="16"/>
          <w:color w:val="auto"/>
        </w:rPr>
      </w:pPr>
    </w:p>
    <w:p>
      <w:pPr>
        <w:ind w:left="1040" w:hanging="373"/>
        <w:spacing w:after="0" w:line="264"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Clarifies that an entity should consider income tax effects from any tax deductible goodwill on the carrying amount of the reporting unit when measuring the goodwill impairment loss, if applicable.</w:t>
      </w:r>
    </w:p>
    <w:p>
      <w:pPr>
        <w:ind w:left="1040" w:hanging="373"/>
        <w:spacing w:after="0" w:line="288"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62"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3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71" w:lineRule="exact"/>
        <w:rPr>
          <w:sz w:val="20"/>
          <w:szCs w:val="20"/>
          <w:color w:val="auto"/>
        </w:rPr>
      </w:pPr>
    </w:p>
    <w:p>
      <w:pPr>
        <w:jc w:val="both"/>
        <w:ind w:left="980" w:right="20" w:hanging="324"/>
        <w:spacing w:after="0" w:line="265"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2"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Narrow the definition of the term output so that the term is consistent with how outputs are described in Topic 606.</w:t>
      </w:r>
    </w:p>
    <w:p>
      <w:pPr>
        <w:spacing w:after="0" w:line="217"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4"/>
          <w:szCs w:val="14"/>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March 31, 2018.</w:t>
      </w:r>
    </w:p>
    <w:p>
      <w:pPr>
        <w:spacing w:after="0" w:line="136" w:lineRule="exact"/>
        <w:rPr>
          <w:sz w:val="20"/>
          <w:szCs w:val="20"/>
          <w:color w:val="auto"/>
        </w:rPr>
      </w:pPr>
    </w:p>
    <w:p>
      <w:pPr>
        <w:ind w:right="160" w:firstLine="648"/>
        <w:spacing w:after="0" w:line="324" w:lineRule="auto"/>
        <w:rPr>
          <w:sz w:val="20"/>
          <w:szCs w:val="20"/>
          <w:color w:val="auto"/>
        </w:rPr>
      </w:pPr>
      <w:r>
        <w:rPr>
          <w:rFonts w:ascii="Arial" w:cs="Arial" w:eastAsia="Arial" w:hAnsi="Arial"/>
          <w:sz w:val="14"/>
          <w:szCs w:val="14"/>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March 31, 2018.</w:t>
      </w:r>
    </w:p>
    <w:p>
      <w:pPr>
        <w:spacing w:after="0" w:line="144" w:lineRule="exact"/>
        <w:rPr>
          <w:sz w:val="20"/>
          <w:szCs w:val="20"/>
          <w:color w:val="auto"/>
        </w:rPr>
      </w:pPr>
    </w:p>
    <w:p>
      <w:pPr>
        <w:ind w:right="300" w:firstLine="648"/>
        <w:spacing w:after="0" w:line="273"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76"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 as of March 31, 2018.</w:t>
      </w:r>
    </w:p>
    <w:p>
      <w:pPr>
        <w:spacing w:after="0" w:line="17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Other pronouncements issued by the FASB or other authoritative accounting standards with future effective dates are either not applicable or not significant to our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21" w:lineRule="exact"/>
        <w:rPr>
          <w:sz w:val="20"/>
          <w:szCs w:val="20"/>
          <w:color w:val="auto"/>
        </w:rPr>
      </w:pPr>
    </w:p>
    <w:p>
      <w:pPr>
        <w:ind w:right="140" w:firstLine="648"/>
        <w:spacing w:after="0" w:line="324"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treat liquid investments with original maturities of less than three months when purchased as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221"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We record cash pledged or held in trust as restricted cash. As of March 31, 2018 and December 31, 2017, we have approximately $0.6 million of restricted cash pledged to secure a line of credit as a security deposit for an Office Agreement (see Note 8).</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221"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6"/>
          <w:szCs w:val="16"/>
          <w:color w:val="auto"/>
        </w:rPr>
        <w:t>Investment securities at March 31, 2018 and December 31, 2017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76"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221"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21" w:lineRule="exact"/>
        <w:rPr>
          <w:sz w:val="20"/>
          <w:szCs w:val="20"/>
          <w:color w:val="auto"/>
        </w:rPr>
      </w:pPr>
    </w:p>
    <w:p>
      <w:pPr>
        <w:ind w:right="40" w:firstLine="648"/>
        <w:spacing w:after="0" w:line="302" w:lineRule="auto"/>
        <w:rPr>
          <w:sz w:val="20"/>
          <w:szCs w:val="20"/>
          <w:color w:val="auto"/>
        </w:rPr>
      </w:pPr>
      <w:r>
        <w:rPr>
          <w:rFonts w:ascii="Arial" w:cs="Arial" w:eastAsia="Arial" w:hAnsi="Arial"/>
          <w:sz w:val="14"/>
          <w:szCs w:val="14"/>
          <w:color w:val="auto"/>
        </w:rPr>
        <w:t>We recognize license revenue in accordance with the revenue recognition guidance of ASC 606.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the Company would account for each promised good or service as a performance obligation only if it is (1) distinct or (2) a series of distinct goods or services that are substantially the same and have the same pattern of transfer. For each performance obligation, the Company would determine whether we satisfy the performance obligation over time by transferring control of a good or service over time. To determine whether the Company’s promise is to provide a right to access its intellectual property or a right to use its intellectual property, the Company would consider the nature of the intellectual property to which the customer will have rights. The Company has symbolic intellectual property, derived from its association with the Company’s ongoing activities, including its ordinary business activities. We recognize milestone payments as revenue upon the achievement of specified milestones only if</w:t>
      </w:r>
    </w:p>
    <w:p>
      <w:pPr>
        <w:spacing w:after="0" w:line="4" w:lineRule="exact"/>
        <w:rPr>
          <w:sz w:val="20"/>
          <w:szCs w:val="20"/>
          <w:color w:val="auto"/>
        </w:rPr>
      </w:pPr>
    </w:p>
    <w:p>
      <w:pPr>
        <w:ind w:right="60" w:firstLine="8"/>
        <w:spacing w:after="0" w:line="276" w:lineRule="auto"/>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221"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7" w:lineRule="exact"/>
        <w:rPr>
          <w:sz w:val="20"/>
          <w:szCs w:val="20"/>
          <w:color w:val="auto"/>
        </w:rPr>
      </w:pPr>
    </w:p>
    <w:p>
      <w:pPr>
        <w:ind w:right="420" w:firstLine="648"/>
        <w:spacing w:after="0" w:line="273" w:lineRule="auto"/>
        <w:rPr>
          <w:sz w:val="20"/>
          <w:szCs w:val="20"/>
          <w:color w:val="auto"/>
        </w:rPr>
      </w:pPr>
      <w:r>
        <w:rPr>
          <w:rFonts w:ascii="Arial" w:cs="Arial" w:eastAsia="Arial" w:hAnsi="Arial"/>
          <w:sz w:val="16"/>
          <w:szCs w:val="16"/>
          <w:color w:val="auto"/>
        </w:rPr>
        <w:t>Prepaid research and development in our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March 31, 2018 and December 31, 2017, we recorded approximately $6.8 million and $8.1 million, respectively, in prepaid research and development related to such advance agreements.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21" w:lineRule="exact"/>
        <w:rPr>
          <w:sz w:val="20"/>
          <w:szCs w:val="20"/>
          <w:color w:val="auto"/>
        </w:rPr>
      </w:pPr>
    </w:p>
    <w:p>
      <w:pPr>
        <w:jc w:val="both"/>
        <w:ind w:firstLine="693"/>
        <w:spacing w:after="0" w:line="293"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1" w:lineRule="exact"/>
        <w:rPr>
          <w:sz w:val="20"/>
          <w:szCs w:val="20"/>
          <w:color w:val="auto"/>
        </w:rPr>
      </w:pPr>
    </w:p>
    <w:p>
      <w:pPr>
        <w:jc w:val="both"/>
        <w:ind w:right="100" w:firstLine="648"/>
        <w:spacing w:after="0" w:line="273"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7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5"/>
          <w:szCs w:val="15"/>
          <w:color w:val="auto"/>
        </w:rPr>
        <w:t>For stock-based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59" w:lineRule="exact"/>
        <w:rPr>
          <w:sz w:val="20"/>
          <w:szCs w:val="20"/>
          <w:color w:val="auto"/>
        </w:rPr>
      </w:pPr>
    </w:p>
    <w:p>
      <w:pPr>
        <w:ind w:right="240" w:firstLine="648"/>
        <w:spacing w:after="0" w:line="278" w:lineRule="auto"/>
        <w:rPr>
          <w:sz w:val="20"/>
          <w:szCs w:val="20"/>
          <w:color w:val="auto"/>
        </w:rPr>
      </w:pPr>
      <w:r>
        <w:rPr>
          <w:rFonts w:ascii="Arial" w:cs="Arial" w:eastAsia="Arial" w:hAnsi="Arial"/>
          <w:sz w:val="16"/>
          <w:szCs w:val="16"/>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Basic and Diluted Net Loss Per Common Share</w:t>
      </w:r>
    </w:p>
    <w:p>
      <w:pPr>
        <w:spacing w:after="0" w:line="221" w:lineRule="exact"/>
        <w:rPr>
          <w:sz w:val="20"/>
          <w:szCs w:val="20"/>
          <w:color w:val="auto"/>
        </w:rPr>
      </w:pPr>
    </w:p>
    <w:p>
      <w:pPr>
        <w:ind w:right="140" w:firstLine="648"/>
        <w:spacing w:after="0" w:line="269"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periods presented or because such potentially dilutive securities were out of the money and the Company realized net income during the periods presented. The amounts of potentially dilutive securities excluded from the calculation were 4,660,180 and 3,634,008 for the three months ended March 31, 2018 and 2017, respectively. The following outstanding shares of potentially dilutive securities were excluded from the computation of net loss per share attributable to common stockholders for the periods presented because including them would have been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6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Unvested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4,159,428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3,619,016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485,000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Shares issuable upon note conversion</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15,752</w:t>
            </w: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spacing w:after="0"/>
              <w:rPr>
                <w:sz w:val="20"/>
                <w:szCs w:val="20"/>
                <w:color w:val="auto"/>
              </w:rPr>
            </w:pPr>
            <w:r>
              <w:rPr>
                <w:rFonts w:ascii="Arial" w:cs="Arial" w:eastAsia="Arial" w:hAnsi="Arial"/>
                <w:sz w:val="16"/>
                <w:szCs w:val="16"/>
                <w:color w:val="auto"/>
              </w:rPr>
              <w:t>4,660,180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3,634,008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Long-Lived Assets and Goodwill</w:t>
      </w:r>
    </w:p>
    <w:p>
      <w:pPr>
        <w:spacing w:after="0" w:line="22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9" w:lineRule="exact"/>
        <w:rPr>
          <w:sz w:val="20"/>
          <w:szCs w:val="20"/>
          <w:color w:val="auto"/>
        </w:rPr>
      </w:pPr>
    </w:p>
    <w:p>
      <w:pPr>
        <w:ind w:right="80" w:firstLine="648"/>
        <w:spacing w:after="0" w:line="291" w:lineRule="auto"/>
        <w:rPr>
          <w:sz w:val="20"/>
          <w:szCs w:val="20"/>
          <w:color w:val="auto"/>
        </w:rPr>
      </w:pPr>
      <w:r>
        <w:rPr>
          <w:rFonts w:ascii="Arial" w:cs="Arial" w:eastAsia="Arial" w:hAnsi="Arial"/>
          <w:sz w:val="15"/>
          <w:szCs w:val="15"/>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Rent Expense and Deferred Rent</w:t>
      </w:r>
    </w:p>
    <w:p>
      <w:pPr>
        <w:spacing w:after="0" w:line="221" w:lineRule="exact"/>
        <w:rPr>
          <w:sz w:val="20"/>
          <w:szCs w:val="20"/>
          <w:color w:val="auto"/>
        </w:rPr>
      </w:pPr>
    </w:p>
    <w:p>
      <w:pPr>
        <w:jc w:val="both"/>
        <w:ind w:right="40" w:firstLine="648"/>
        <w:spacing w:after="0" w:line="30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NOTE 2 – CASH AND CASH EQUIVALENTS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6"/>
                <w:szCs w:val="16"/>
                <w:color w:val="auto"/>
              </w:rPr>
              <w:t>The following tables summarize our cash and cash equivalents at March 31, 2018 and December 31, 2017: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31,</w:t>
            </w:r>
          </w:p>
        </w:tc>
        <w:tc>
          <w:tcPr>
            <w:tcW w:w="34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Checking and bank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79,923</w:t>
            </w:r>
          </w:p>
        </w:tc>
        <w:tc>
          <w:tcPr>
            <w:tcW w:w="5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$55,682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82,896</w:t>
            </w:r>
          </w:p>
        </w:tc>
        <w:tc>
          <w:tcPr>
            <w:tcW w:w="5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$56,718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INVESTMENT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Our investments as of March 31, 2018 and December 31, 2017 are classified as held-to-maturity. Held-to-maturity investments are recorded at amortized cost.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summarize our investment securities at March 31, 2018 and December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March 31, 2018</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Amortized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83"/>
              </w:rPr>
              <w:t>cost, as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unrealized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unrealized</w:t>
            </w:r>
          </w:p>
        </w:tc>
        <w:tc>
          <w:tcPr>
            <w:tcW w:w="34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adjusted</w:t>
            </w:r>
          </w:p>
        </w:tc>
        <w:tc>
          <w:tcPr>
            <w:tcW w:w="34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holding gains</w:t>
            </w:r>
          </w:p>
        </w:tc>
        <w:tc>
          <w:tcPr>
            <w:tcW w:w="34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holding losses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w w:val="93"/>
              </w:rPr>
              <w:t>Obligations of domestic governmental agencies (maturing between April 2018 and January</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6"/>
                <w:szCs w:val="16"/>
                <w:color w:val="auto"/>
              </w:rPr>
              <w:t>2019) (held-to-maturity)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26,181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26,142</w:t>
            </w:r>
          </w:p>
        </w:tc>
        <w:tc>
          <w:tcPr>
            <w:tcW w:w="2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Amortized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83"/>
              </w:rPr>
              <w:t>cost, as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unrealized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unrealized</w:t>
            </w:r>
          </w:p>
        </w:tc>
        <w:tc>
          <w:tcPr>
            <w:tcW w:w="34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adjusted</w:t>
            </w:r>
          </w:p>
        </w:tc>
        <w:tc>
          <w:tcPr>
            <w:tcW w:w="34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holding gains</w:t>
            </w:r>
          </w:p>
        </w:tc>
        <w:tc>
          <w:tcPr>
            <w:tcW w:w="34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holding losses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w w:val="99"/>
              </w:rPr>
              <w:t>Obligations of domestic governmental agencies (maturing between January 2018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6"/>
                <w:szCs w:val="16"/>
                <w:color w:val="auto"/>
              </w:rPr>
              <w:t>November 2018) (held-to-maturity)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27,999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5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27,964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27,999</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2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MEASUREMENTS</w:t>
      </w:r>
    </w:p>
    <w:p>
      <w:pPr>
        <w:spacing w:after="0" w:line="225"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1"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and liabilities;</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 – inputs other than Level 1 quoted prices that are directly or indirectly observable; and</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3 – unobservable inputs that are not corroborated by market data.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color w:val="auto"/>
        </w:rPr>
        <w:t>As of March 31, 2018 and December 31, 2017, the fair values of cash and cash equivalents, restricted cash, and notes and interest payable, approximate their carrying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value.</w:t>
      </w:r>
    </w:p>
    <w:p>
      <w:pPr>
        <w:spacing w:after="0" w:line="217" w:lineRule="exact"/>
        <w:rPr>
          <w:sz w:val="20"/>
          <w:szCs w:val="20"/>
          <w:color w:val="auto"/>
        </w:rPr>
      </w:pPr>
    </w:p>
    <w:p>
      <w:pPr>
        <w:ind w:right="180" w:firstLine="648"/>
        <w:spacing w:after="0" w:line="270" w:lineRule="auto"/>
        <w:rPr>
          <w:sz w:val="20"/>
          <w:szCs w:val="20"/>
          <w:color w:val="auto"/>
        </w:rPr>
      </w:pPr>
      <w:r>
        <w:rPr>
          <w:rFonts w:ascii="Arial" w:cs="Arial" w:eastAsia="Arial" w:hAnsi="Arial"/>
          <w:sz w:val="16"/>
          <w:szCs w:val="16"/>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6"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The cumulative liability to the Ariston subsidiary including accrued and unpaid interest of the 5% Notes was approximately $17.7 million at March 31, 2018 and $17.5 million at December 31, 2017. No payments have been made on the 5% Notes as of March 31, 2018.</w:t>
      </w:r>
    </w:p>
    <w:p>
      <w:pPr>
        <w:spacing w:after="0" w:line="159"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59" w:lineRule="exact"/>
        <w:rPr>
          <w:sz w:val="20"/>
          <w:szCs w:val="20"/>
          <w:color w:val="auto"/>
        </w:rPr>
      </w:pPr>
    </w:p>
    <w:p>
      <w:pPr>
        <w:ind w:right="40" w:firstLine="648"/>
        <w:spacing w:after="0" w:line="318" w:lineRule="auto"/>
        <w:rPr>
          <w:sz w:val="20"/>
          <w:szCs w:val="20"/>
          <w:color w:val="auto"/>
        </w:rPr>
      </w:pPr>
      <w:r>
        <w:rPr>
          <w:rFonts w:ascii="Arial" w:cs="Arial" w:eastAsia="Arial" w:hAnsi="Arial"/>
          <w:sz w:val="14"/>
          <w:szCs w:val="14"/>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2018 and December 31, 2017.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March 31, 2018 and December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4420" w:type="dxa"/>
            <w:vAlign w:val="bottom"/>
            <w:tcBorders>
              <w:bottom w:val="single" w:sz="8" w:color="auto"/>
            </w:tcBorders>
            <w:gridSpan w:val="10"/>
          </w:tcPr>
          <w:p>
            <w:pPr>
              <w:jc w:val="right"/>
              <w:spacing w:after="0"/>
              <w:rPr>
                <w:sz w:val="20"/>
                <w:szCs w:val="20"/>
                <w:color w:val="auto"/>
              </w:rPr>
            </w:pPr>
            <w:r>
              <w:rPr>
                <w:rFonts w:ascii="Arial" w:cs="Arial" w:eastAsia="Arial" w:hAnsi="Arial"/>
                <w:sz w:val="16"/>
                <w:szCs w:val="16"/>
                <w:b w:val="1"/>
                <w:bCs w:val="1"/>
                <w:color w:val="auto"/>
              </w:rPr>
              <w:t>Financial liabilities at fair value as of March 31, 2018</w:t>
            </w:r>
          </w:p>
        </w:tc>
        <w:tc>
          <w:tcPr>
            <w:tcW w:w="7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5% Notes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519"/>
              <w:spacing w:after="0"/>
              <w:rPr>
                <w:sz w:val="20"/>
                <w:szCs w:val="20"/>
                <w:color w:val="auto"/>
              </w:rPr>
            </w:pPr>
            <w:r>
              <w:rPr>
                <w:rFonts w:ascii="Arial" w:cs="Arial" w:eastAsia="Arial" w:hAnsi="Arial"/>
                <w:sz w:val="16"/>
                <w:szCs w:val="16"/>
                <w:b w:val="1"/>
                <w:bCs w:val="1"/>
                <w:color w:val="auto"/>
              </w:rPr>
              <w:t>Financial liabilities at fair value as of December 31, 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5% Notes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Level 3 amounts above represent the fair value of the 5% Notes and related accrued interest.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The following table summarizes the changes in Level 3 instruments during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0" w:type="dxa"/>
            <w:vAlign w:val="bottom"/>
            <w:gridSpan w:val="2"/>
          </w:tcPr>
          <w:p>
            <w:pPr>
              <w:spacing w:after="0"/>
              <w:rPr>
                <w:sz w:val="20"/>
                <w:szCs w:val="20"/>
                <w:color w:val="auto"/>
              </w:rPr>
            </w:pPr>
            <w:r>
              <w:rPr>
                <w:rFonts w:ascii="Arial" w:cs="Arial" w:eastAsia="Arial" w:hAnsi="Arial"/>
                <w:sz w:val="16"/>
                <w:szCs w:val="16"/>
                <w:color w:val="auto"/>
              </w:rPr>
              <w:t>Fair value at December 31, 2017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6"/>
                <w:szCs w:val="16"/>
                <w:color w:val="auto"/>
              </w:rPr>
              <w:t>Interest accrued on face value of 5% Notes</w:t>
            </w: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6"/>
                <w:szCs w:val="16"/>
                <w:color w:val="auto"/>
              </w:rPr>
              <w:t>Change in fair value of Level 3 liabilities</w:t>
            </w:r>
          </w:p>
        </w:tc>
        <w:tc>
          <w:tcPr>
            <w:tcW w:w="4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(117)</w:t>
            </w:r>
          </w:p>
        </w:tc>
      </w:tr>
      <w:tr>
        <w:trPr>
          <w:trHeight w:val="243"/>
        </w:trPr>
        <w:tc>
          <w:tcPr>
            <w:tcW w:w="20" w:type="dxa"/>
            <w:vAlign w:val="bottom"/>
          </w:tcPr>
          <w:p>
            <w:pPr>
              <w:spacing w:after="0"/>
              <w:rPr>
                <w:sz w:val="21"/>
                <w:szCs w:val="21"/>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 at March 31, 2018</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change in the fair value of the Level 3 liabilities is reported in other (income) expense in the accompanying condensed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22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21" w:lineRule="exact"/>
        <w:rPr>
          <w:sz w:val="20"/>
          <w:szCs w:val="20"/>
          <w:color w:val="auto"/>
        </w:rPr>
      </w:pPr>
    </w:p>
    <w:p>
      <w:pPr>
        <w:ind w:right="260" w:firstLine="689"/>
        <w:spacing w:after="0" w:line="318" w:lineRule="auto"/>
        <w:rPr>
          <w:sz w:val="20"/>
          <w:szCs w:val="20"/>
          <w:color w:val="auto"/>
        </w:rPr>
      </w:pPr>
      <w:r>
        <w:rPr>
          <w:rFonts w:ascii="Arial" w:cs="Arial" w:eastAsia="Arial" w:hAnsi="Arial"/>
          <w:sz w:val="14"/>
          <w:szCs w:val="14"/>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49" w:lineRule="exact"/>
        <w:rPr>
          <w:sz w:val="20"/>
          <w:szCs w:val="20"/>
          <w:color w:val="auto"/>
        </w:rPr>
      </w:pPr>
    </w:p>
    <w:p>
      <w:pPr>
        <w:jc w:val="both"/>
        <w:ind w:right="80" w:firstLine="648"/>
        <w:spacing w:after="0" w:line="369" w:lineRule="auto"/>
        <w:rPr>
          <w:sz w:val="20"/>
          <w:szCs w:val="20"/>
          <w:color w:val="auto"/>
        </w:rPr>
      </w:pPr>
      <w:r>
        <w:rPr>
          <w:rFonts w:ascii="Arial" w:cs="Arial" w:eastAsia="Arial" w:hAnsi="Arial"/>
          <w:sz w:val="14"/>
          <w:szCs w:val="14"/>
          <w:color w:val="auto"/>
        </w:rPr>
        <w:t>During the three months ended March 31, 2018, we sold a total of 3,989,344 shares of common stock under the 2017 ATM for total gross proceeds of approximately $53.4 million at an average selling price of $13.38 per share, resulting in net proceeds of approximately $52.4 million after deducting commissions and other transaction costs.</w:t>
      </w:r>
    </w:p>
    <w:p>
      <w:pPr>
        <w:spacing w:after="0" w:line="113" w:lineRule="exact"/>
        <w:rPr>
          <w:sz w:val="20"/>
          <w:szCs w:val="20"/>
          <w:color w:val="auto"/>
        </w:rPr>
      </w:pPr>
    </w:p>
    <w:p>
      <w:pPr>
        <w:jc w:val="both"/>
        <w:ind w:right="200" w:firstLine="648"/>
        <w:spacing w:after="0" w:line="278" w:lineRule="auto"/>
        <w:rPr>
          <w:sz w:val="20"/>
          <w:szCs w:val="20"/>
          <w:color w:val="auto"/>
        </w:rPr>
      </w:pPr>
      <w:r>
        <w:rPr>
          <w:rFonts w:ascii="Arial" w:cs="Arial" w:eastAsia="Arial" w:hAnsi="Arial"/>
          <w:sz w:val="16"/>
          <w:szCs w:val="16"/>
          <w:color w:val="auto"/>
        </w:rPr>
        <w:t>Subsequent to the first quarter, from April 1, 2018 through May 4, 2018, we sold an aggregate of 1,014,605 shares of common stock pursuant to the 2017 ATM for total gross proceeds of approximately $14.3 million at an average selling price of $14.12 per share, resulting in net proceeds of approximately $14.1 million after deducting commissions and other transactions costs.</w:t>
      </w:r>
    </w:p>
    <w:p>
      <w:pPr>
        <w:spacing w:after="0" w:line="171"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The 2017 S-3 is currently our only active shelf registration statement. After deducting shares already sold there is approximately $198.9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 Plans</w:t>
      </w:r>
    </w:p>
    <w:p>
      <w:pPr>
        <w:spacing w:after="0" w:line="2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March 31, 2018, 485,000 options were outstanding and up to an additional 55,539 shares may be issued under the 2012 Incentive Plan.</w:t>
      </w:r>
    </w:p>
    <w:p>
      <w:pPr>
        <w:spacing w:after="0" w:line="15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4"/>
          <w:szCs w:val="14"/>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6080" w:type="dxa"/>
            <w:vAlign w:val="bottom"/>
            <w:gridSpan w:val="3"/>
          </w:tcPr>
          <w:p>
            <w:pPr>
              <w:spacing w:after="0"/>
              <w:rPr>
                <w:sz w:val="20"/>
                <w:szCs w:val="20"/>
                <w:color w:val="auto"/>
              </w:rPr>
            </w:pPr>
            <w:r>
              <w:rPr>
                <w:rFonts w:ascii="Arial" w:cs="Arial" w:eastAsia="Arial" w:hAnsi="Arial"/>
                <w:sz w:val="16"/>
                <w:szCs w:val="16"/>
                <w:color w:val="auto"/>
              </w:rPr>
              <w:t>Stock Options</w:t>
            </w: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7100" w:type="dxa"/>
            <w:vAlign w:val="bottom"/>
            <w:gridSpan w:val="3"/>
          </w:tcPr>
          <w:p>
            <w:pPr>
              <w:jc w:val="right"/>
              <w:ind w:right="39"/>
              <w:spacing w:after="0"/>
              <w:rPr>
                <w:sz w:val="20"/>
                <w:szCs w:val="20"/>
                <w:color w:val="auto"/>
              </w:rPr>
            </w:pPr>
            <w:r>
              <w:rPr>
                <w:rFonts w:ascii="Arial" w:cs="Arial" w:eastAsia="Arial" w:hAnsi="Arial"/>
                <w:sz w:val="16"/>
                <w:szCs w:val="16"/>
                <w:color w:val="auto"/>
              </w:rPr>
              <w:t>The following table summarizes stock option activity for the three months ended March 31, 2018: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average</w:t>
            </w:r>
          </w:p>
        </w:tc>
        <w:tc>
          <w:tcPr>
            <w:tcW w:w="3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of shares</w:t>
            </w:r>
          </w:p>
        </w:tc>
        <w:tc>
          <w:tcPr>
            <w:tcW w:w="34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14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Outstanding at December 31, 2017</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485,000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tcPr>
          <w:p>
            <w:pPr>
              <w:ind w:left="32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Forfeited</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tcPr>
          <w:p>
            <w:pPr>
              <w:ind w:left="320"/>
              <w:spacing w:after="0"/>
              <w:rPr>
                <w:sz w:val="20"/>
                <w:szCs w:val="20"/>
                <w:color w:val="auto"/>
              </w:rPr>
            </w:pPr>
            <w:r>
              <w:rPr>
                <w:rFonts w:ascii="Arial" w:cs="Arial" w:eastAsia="Arial" w:hAnsi="Arial"/>
                <w:sz w:val="16"/>
                <w:szCs w:val="16"/>
                <w:color w:val="auto"/>
              </w:rPr>
              <w:t>Expired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March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1,406,500</w:t>
            </w: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Exercisable at March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March 31, 2018, the stock options outstanding include options granted to both employees and non-employees which are milestone-based and vest upon certain corporate milestones. Stock-based compensation will be recorded if and when a milestone occurs.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Restricted Stock</w:t>
      </w:r>
    </w:p>
    <w:p>
      <w:pPr>
        <w:spacing w:after="0" w:line="221" w:lineRule="exact"/>
        <w:rPr>
          <w:sz w:val="20"/>
          <w:szCs w:val="20"/>
          <w:color w:val="auto"/>
        </w:rPr>
      </w:pPr>
    </w:p>
    <w:p>
      <w:pPr>
        <w:ind w:right="420" w:firstLine="648"/>
        <w:spacing w:after="0" w:line="293"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three months ended March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Grant Date</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6,321,643</w:t>
            </w:r>
          </w:p>
        </w:tc>
        <w:tc>
          <w:tcPr>
            <w:tcW w:w="3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87,500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14.40</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(625,802)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300"/>
              <w:spacing w:after="0"/>
              <w:rPr>
                <w:sz w:val="20"/>
                <w:szCs w:val="20"/>
                <w:color w:val="auto"/>
              </w:rPr>
            </w:pPr>
            <w:r>
              <w:rPr>
                <w:rFonts w:ascii="Arial" w:cs="Arial" w:eastAsia="Arial" w:hAnsi="Arial"/>
                <w:sz w:val="16"/>
                <w:szCs w:val="16"/>
                <w:color w:val="auto"/>
              </w:rPr>
              <w:t>(123,911)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8.03</w:t>
            </w:r>
          </w:p>
        </w:tc>
        <w:tc>
          <w:tcPr>
            <w:tcW w:w="20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March 31, 2018</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5,659,430</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20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firstLine="648"/>
        <w:spacing w:after="0" w:line="315" w:lineRule="auto"/>
        <w:rPr>
          <w:sz w:val="20"/>
          <w:szCs w:val="20"/>
          <w:color w:val="auto"/>
        </w:rPr>
      </w:pPr>
      <w:r>
        <w:rPr>
          <w:rFonts w:ascii="Arial" w:cs="Arial" w:eastAsia="Arial" w:hAnsi="Arial"/>
          <w:sz w:val="14"/>
          <w:szCs w:val="14"/>
          <w:color w:val="auto"/>
        </w:rPr>
        <w:t>Total expense associated with restricted stock grants was approximately $7.3 million and $6.0 million during the three months ended March 31, 2018 and 2017, respectively. As of March 31, 2018, there was approximately $11.5 million of total unrecognized compensation cost related to unvested time-based restricted stock, which is expected to be recognized over a weighted average period of 1.0 year. This amount does not include, as of March 31, 2018, 110,000 shares of restricted stock outstanding which are milestone-based and vest upon certain corporate milestones; and 2,224,167 shares of restricted stock outstanding issued to non-employees, the expense for which is determined each reporting period at the measurement date. The expense is recognized over the vesting period of the award. Until the measurement date is reached for milestone awards, the total amount of compensation expense remains uncertain. We record compensation expense based on the fair value of the award at the reporting date.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21"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We granted 500,000 and zero stock options during the three months ended March 31, 2018 and 2017, respectively.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summarizes stock-based compensation expense information about restricted stock and stock options for the three months ended March 31, 2018</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and 2017: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March 31,</w:t>
            </w:r>
          </w:p>
        </w:tc>
      </w:tr>
      <w:tr>
        <w:trPr>
          <w:trHeight w:val="250"/>
        </w:trPr>
        <w:tc>
          <w:tcPr>
            <w:tcW w:w="2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 associated with restricted stock</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Stock-based compensation expense associated with option grants</w:t>
            </w:r>
          </w:p>
        </w:tc>
        <w:tc>
          <w:tcPr>
            <w:tcW w:w="3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598"/>
        </w:trPr>
        <w:tc>
          <w:tcPr>
            <w:tcW w:w="20" w:type="dxa"/>
            <w:vAlign w:val="bottom"/>
          </w:tcPr>
          <w:p>
            <w:pPr>
              <w:spacing w:after="0"/>
              <w:rPr>
                <w:sz w:val="24"/>
                <w:szCs w:val="24"/>
                <w:color w:val="auto"/>
              </w:rPr>
            </w:pPr>
          </w:p>
        </w:tc>
        <w:tc>
          <w:tcPr>
            <w:tcW w:w="4980" w:type="dxa"/>
            <w:vAlign w:val="bottom"/>
            <w:tcBorders>
              <w:top w:val="single" w:sz="8" w:color="CCEEFF"/>
              <w:bottom w:val="single" w:sz="8" w:color="auto"/>
            </w:tcBorders>
          </w:tcPr>
          <w:p>
            <w:pPr>
              <w:spacing w:after="0"/>
              <w:rPr>
                <w:sz w:val="24"/>
                <w:szCs w:val="24"/>
                <w:color w:val="auto"/>
              </w:rPr>
            </w:pPr>
          </w:p>
        </w:tc>
        <w:tc>
          <w:tcPr>
            <w:tcW w:w="3820" w:type="dxa"/>
            <w:vAlign w:val="bottom"/>
            <w:tcBorders>
              <w:top w:val="single" w:sz="8" w:color="CCEEFF"/>
              <w:bottom w:val="single" w:sz="8" w:color="auto"/>
            </w:tcBorders>
          </w:tcPr>
          <w:p>
            <w:pPr>
              <w:jc w:val="right"/>
              <w:ind w:right="2939"/>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523"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NOTE 6 – NOTES PAYABLE</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80" w:type="dxa"/>
            <w:vAlign w:val="bottom"/>
          </w:tcPr>
          <w:p>
            <w:pPr>
              <w:ind w:left="640"/>
              <w:spacing w:after="0"/>
              <w:rPr>
                <w:sz w:val="20"/>
                <w:szCs w:val="20"/>
                <w:color w:val="auto"/>
              </w:rPr>
            </w:pPr>
            <w:r>
              <w:rPr>
                <w:rFonts w:ascii="Arial" w:cs="Arial" w:eastAsia="Arial" w:hAnsi="Arial"/>
                <w:sz w:val="16"/>
                <w:szCs w:val="16"/>
                <w:color w:val="auto"/>
              </w:rPr>
              <w:t>The following is a summary of notes payable:</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Current</w:t>
            </w:r>
          </w:p>
        </w:tc>
        <w:tc>
          <w:tcPr>
            <w:tcW w:w="1440" w:type="dxa"/>
            <w:vAlign w:val="bottom"/>
            <w:gridSpan w:val="4"/>
          </w:tcPr>
          <w:p>
            <w:pPr>
              <w:ind w:left="280"/>
              <w:spacing w:after="0"/>
              <w:rPr>
                <w:sz w:val="20"/>
                <w:szCs w:val="20"/>
                <w:color w:val="auto"/>
              </w:rPr>
            </w:pPr>
            <w:r>
              <w:rPr>
                <w:rFonts w:ascii="Arial" w:cs="Arial" w:eastAsia="Arial" w:hAnsi="Arial"/>
                <w:sz w:val="16"/>
                <w:szCs w:val="16"/>
                <w:b w:val="1"/>
                <w:bCs w:val="1"/>
                <w:color w:val="auto"/>
              </w:rPr>
              <w:t>Non-current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Current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current</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portion, net</w:t>
            </w:r>
          </w:p>
        </w:tc>
        <w:tc>
          <w:tcPr>
            <w:tcW w:w="30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portion, net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9"/>
                <w:szCs w:val="19"/>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0"/>
              </w:rPr>
              <w:t>portion, net</w:t>
            </w:r>
          </w:p>
        </w:tc>
        <w:tc>
          <w:tcPr>
            <w:tcW w:w="260" w:type="dxa"/>
            <w:vAlign w:val="bottom"/>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portion, net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Convertible 5%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w:t>
            </w:r>
          </w:p>
        </w:tc>
        <w:tc>
          <w:tcPr>
            <w:tcW w:w="74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224</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5% Notes Payable</w:t>
      </w:r>
    </w:p>
    <w:p>
      <w:pPr>
        <w:spacing w:after="0" w:line="22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7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cumulative liability including accrued and unpaid interest of these notes was approximately $17.7 million at March 31, 2018 and $17.5 million at December 31, 2017. No payments have been made on the 5% Notes as of March 31, 2018.</w:t>
      </w:r>
    </w:p>
    <w:p>
      <w:pPr>
        <w:spacing w:after="0" w:line="159"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BTK</w:t>
      </w:r>
    </w:p>
    <w:p>
      <w:pPr>
        <w:spacing w:after="0" w:line="221" w:lineRule="exact"/>
        <w:rPr>
          <w:sz w:val="20"/>
          <w:szCs w:val="20"/>
          <w:color w:val="auto"/>
        </w:rPr>
      </w:pPr>
    </w:p>
    <w:p>
      <w:pPr>
        <w:ind w:right="60" w:firstLine="648"/>
        <w:spacing w:after="0" w:line="291" w:lineRule="auto"/>
        <w:rPr>
          <w:sz w:val="20"/>
          <w:szCs w:val="20"/>
          <w:color w:val="auto"/>
        </w:rPr>
      </w:pPr>
      <w:r>
        <w:rPr>
          <w:rFonts w:ascii="Arial" w:cs="Arial" w:eastAsia="Arial" w:hAnsi="Arial"/>
          <w:sz w:val="15"/>
          <w:szCs w:val="15"/>
          <w:color w:val="auto"/>
        </w:rPr>
        <w:t>In January 2018, we entered into a global exclusive license agreement with Jiangsu Hengrui Medicine Co., or Jiangsu, to acquire worldwide intellectual property rights, excluding Asia but including Japan, and for the research, development, manufacturing, and commercialization of products containing or comprising of any of Jiangsu’s Bruton’s Tyrosine Kinase inhibitors containing the compounds of either TG-1701 (SHR-1459 or EBI-1459) or TG-1702 (SHR-1266 or EBI-1266). Pursuant to the agreement, in April 2018, we paid Jiangsu an upfront fee of $1.0 million in our common stock.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TG-1101</w:t>
      </w:r>
    </w:p>
    <w:p>
      <w:pPr>
        <w:spacing w:after="0" w:line="221" w:lineRule="exact"/>
        <w:rPr>
          <w:sz w:val="20"/>
          <w:szCs w:val="20"/>
          <w:color w:val="auto"/>
        </w:rPr>
      </w:pPr>
    </w:p>
    <w:p>
      <w:pPr>
        <w:jc w:val="both"/>
        <w:ind w:right="180" w:firstLine="648"/>
        <w:spacing w:after="0" w:line="305" w:lineRule="auto"/>
        <w:rPr>
          <w:sz w:val="20"/>
          <w:szCs w:val="20"/>
          <w:color w:val="auto"/>
        </w:rPr>
      </w:pPr>
      <w:r>
        <w:rPr>
          <w:rFonts w:ascii="Arial" w:cs="Arial" w:eastAsia="Arial" w:hAnsi="Arial"/>
          <w:sz w:val="15"/>
          <w:szCs w:val="15"/>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53"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2018 and 2017, and, at both March 31, 2018 and December 31, 2017, have deferred revenue of approximately $1.2 million associated with this $2.0 million payment (approximately $152,000 of which has been classified in current liabilities at March 31, 2018 and December 31, 2017).</w:t>
      </w:r>
    </w:p>
    <w:p>
      <w:pPr>
        <w:spacing w:after="0" w:line="17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NOTE 8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LFB Biotechnologies</w:t>
      </w:r>
    </w:p>
    <w:p>
      <w:pPr>
        <w:spacing w:after="0" w:line="22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LFB Group no longer has the right to nominate a board member since the LFB Group owns less than 10% of our outstanding common stock.</w:t>
      </w:r>
    </w:p>
    <w:p>
      <w:pPr>
        <w:spacing w:after="0" w:line="176"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expenses of approximately $130,000 and $27,000 during the three months ended March 31, 2018 and 2017, respectively, which have been included in other research and development expenses in the accompanying condensed consolidated statements of operations. As of March 31, 2018 and December 31, 2017, we had approximately $130,000 and zero,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March 31, 2018 and December 31, 2017, we recorded no prepaid research and development for such advance payments.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Parties</w:t>
      </w:r>
    </w:p>
    <w:p>
      <w:pPr>
        <w:spacing w:after="0" w:line="22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Interim Chief Executive Officer is a Managing Member of Opus. During the three months ended March 31, 2018 and 2017, we incurred no expenses related to this agreement. The Opus Shared Services Agreement is no longer in effect as we began occupying new space in April 2016.</w:t>
      </w:r>
    </w:p>
    <w:p>
      <w:pPr>
        <w:spacing w:after="0" w:line="176"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months ended March 31, 2018 and 2017, we recorded rent expense of approximately $0.3 million and $0.4 million, respectively, and at March 31, 2018, have deferred rent of approximately $1.4 million. Mr. Weiss, our Executive Chairman and CEO, is also Executive Vice Chairman of FBIO.</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Under the Office Agreement, we agreed to pay FBIO our portion of the build out costs, which have been allocated to us at the 45% rate mentioned above. The allocated build-out costs have been recorded in Leasehold Interest and will be amortized over the 15-year term of the Office Agreement. After an initial commitment of the 45% rate for a period of three (3) years, we and FBIO will determine actual office space utilization annually and if our utilization differs from the amount we have been billed, we will either receive credits or be assessed incremental utilization charges. As of March 31, 2018, we had approximately $0.4 million recorded in accounts payable related to FBIO of which approximately $0.1 million related to rent and build-out costs.</w:t>
      </w:r>
    </w:p>
    <w:p>
      <w:pPr>
        <w:spacing w:after="0" w:line="177" w:lineRule="exact"/>
        <w:rPr>
          <w:sz w:val="20"/>
          <w:szCs w:val="20"/>
          <w:color w:val="auto"/>
        </w:rPr>
      </w:pPr>
    </w:p>
    <w:p>
      <w:pPr>
        <w:ind w:right="20" w:firstLine="689"/>
        <w:spacing w:after="0" w:line="273" w:lineRule="auto"/>
        <w:rPr>
          <w:sz w:val="20"/>
          <w:szCs w:val="20"/>
          <w:color w:val="auto"/>
        </w:rPr>
      </w:pPr>
      <w:r>
        <w:rPr>
          <w:rFonts w:ascii="Arial" w:cs="Arial" w:eastAsia="Arial" w:hAnsi="Arial"/>
          <w:sz w:val="16"/>
          <w:szCs w:val="16"/>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$0.4 million and $0.3 million for shared services for the three months ended March 31, 2018 and 2017, respectively, primarily related to shared personnel.</w:t>
      </w:r>
    </w:p>
    <w:p>
      <w:pPr>
        <w:spacing w:after="0" w:line="17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 As of March 31, 2018 and 2017, we had approximately $0.3 million and $0.7 million, respectively, recorded in accounts payable, related mostly to the JBET Agreement. Mr. Weiss is also the Executive Chairman of Checkpoint.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9" w:lineRule="exact"/>
        <w:rPr>
          <w:sz w:val="20"/>
          <w:szCs w:val="20"/>
          <w:color w:val="auto"/>
        </w:rPr>
      </w:pPr>
    </w:p>
    <w:p>
      <w:pPr>
        <w:ind w:right="300" w:firstLine="648"/>
        <w:spacing w:after="0" w:line="278"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which is referred to as "U2," are in Phase 3 clinical development for patients with hematologic malignancies, with TG-1101 also in Phase 3 clinical development for patients with multiple sclerosis. Additionally, we have recently brought its anti-PD-L1 monoclonal antibody into Phase 1 development and aims to bring additional pipeline assets into the clinic in the future.</w:t>
      </w:r>
    </w:p>
    <w:p>
      <w:pPr>
        <w:spacing w:after="0" w:line="177" w:lineRule="exact"/>
        <w:rPr>
          <w:sz w:val="20"/>
          <w:szCs w:val="20"/>
          <w:color w:val="auto"/>
        </w:rPr>
      </w:pPr>
    </w:p>
    <w:p>
      <w:pPr>
        <w:ind w:right="220" w:firstLine="648"/>
        <w:spacing w:after="0" w:line="369" w:lineRule="auto"/>
        <w:rPr>
          <w:sz w:val="20"/>
          <w:szCs w:val="20"/>
          <w:color w:val="auto"/>
        </w:rPr>
      </w:pPr>
      <w:r>
        <w:rPr>
          <w:rFonts w:ascii="Arial" w:cs="Arial" w:eastAsia="Arial" w:hAnsi="Arial"/>
          <w:sz w:val="14"/>
          <w:szCs w:val="14"/>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TG-1101 (ublituximab)</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Trials Overview and Recent Developments</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8" w:name="page19"/>
    <w:bookmarkEnd w:id="18"/>
    <w:p>
      <w:pPr>
        <w:ind w:right="60" w:firstLine="648"/>
        <w:spacing w:after="0" w:line="369" w:lineRule="auto"/>
        <w:rPr>
          <w:sz w:val="20"/>
          <w:szCs w:val="20"/>
          <w:color w:val="auto"/>
        </w:rPr>
      </w:pPr>
      <w:r>
        <w:rPr>
          <w:rFonts w:ascii="Arial" w:cs="Arial" w:eastAsia="Arial" w:hAnsi="Arial"/>
          <w:sz w:val="14"/>
          <w:szCs w:val="14"/>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13" w:lineRule="exact"/>
        <w:rPr>
          <w:sz w:val="20"/>
          <w:szCs w:val="20"/>
          <w:color w:val="auto"/>
        </w:rPr>
      </w:pPr>
    </w:p>
    <w:p>
      <w:pPr>
        <w:ind w:left="880" w:hanging="375"/>
        <w:spacing w:after="0" w:line="266"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GENUINE Trial – a randomized controlled Phase 3 trial evaluating TG-1101 in combination with ibrutinib, for previously treated CLL patients with high risk cytogenetics;</w:t>
      </w:r>
    </w:p>
    <w:p>
      <w:pPr>
        <w:spacing w:after="0" w:line="1" w:lineRule="exact"/>
        <w:rPr>
          <w:rFonts w:ascii="Arial" w:cs="Arial" w:eastAsia="Arial" w:hAnsi="Arial"/>
          <w:sz w:val="16"/>
          <w:szCs w:val="16"/>
          <w:color w:val="auto"/>
        </w:rPr>
      </w:pPr>
    </w:p>
    <w:p>
      <w:pPr>
        <w:ind w:left="880" w:hanging="375"/>
        <w:spacing w:after="0" w:line="26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UNITY-CLL Trial – a randomized controlled Phase 3 trial under Special Protocol Assessment ("SPA") evaluating TG-1101 in combination with TGR-1202, the Company’s development stage PI3K delta inhibitor, for patients with front line and previously treated CLL;</w:t>
      </w:r>
    </w:p>
    <w:p>
      <w:pPr>
        <w:ind w:left="880" w:hanging="375"/>
        <w:spacing w:after="0" w:line="264"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UNITY-NHL Trial – registration-directed Phase 2b clinical study evaluating TGR-1202 alone and in combination with TG-1101 with or without bendamustine, in patients with previously treated Non-Hodgkin’s Lymphoma ("NHL"); and</w:t>
      </w:r>
    </w:p>
    <w:p>
      <w:pPr>
        <w:ind w:left="880" w:hanging="375"/>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TG-1101 + TGR-1202 + Pembrolizumab for patients with CLL.</w:t>
      </w:r>
    </w:p>
    <w:p>
      <w:pPr>
        <w:spacing w:after="0" w:line="2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an SPA on the design of two global Phase 3 clinical trials for TG-1101, referred to as the ULTIMATE I and ULTIMATE II Phase 3 clinical trials.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Manufacturing of TG-1101 is currently performed by a contract manufacturer based in the US and our partner, LFB Biotechnologies.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 details on our priority ongoing trials for TG-1101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TG-1101 + Ibrutinib Phase 3 Study Program – The GENUINE Trial</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5"/>
          <w:szCs w:val="15"/>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an SPA with the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w:t>
      </w:r>
    </w:p>
    <w:p>
      <w:pPr>
        <w:spacing w:after="0" w:line="16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In June 2017, the positive results from our Phase 3 GENUINE trial were presented by Dr. Jeff Sharman, Medical Director, Hematology Research, US Oncology in an oral session during the 53rd American Society of Clinical Oncology ("ASCO") Annual Meeting in Chicago, IL.</w:t>
      </w:r>
    </w:p>
    <w:p>
      <w:pPr>
        <w:spacing w:after="0" w:line="159" w:lineRule="exact"/>
        <w:rPr>
          <w:sz w:val="20"/>
          <w:szCs w:val="20"/>
          <w:color w:val="auto"/>
        </w:rPr>
      </w:pPr>
    </w:p>
    <w:p>
      <w:pPr>
        <w:ind w:right="40" w:firstLine="648"/>
        <w:spacing w:after="0" w:line="297" w:lineRule="auto"/>
        <w:rPr>
          <w:sz w:val="20"/>
          <w:szCs w:val="20"/>
          <w:color w:val="auto"/>
        </w:rPr>
      </w:pPr>
      <w:r>
        <w:rPr>
          <w:rFonts w:ascii="Arial" w:cs="Arial" w:eastAsia="Arial" w:hAnsi="Arial"/>
          <w:sz w:val="15"/>
          <w:szCs w:val="15"/>
          <w:color w:val="auto"/>
        </w:rPr>
        <w:t>This presentation included data from the GENUINE Phase 3 trial, a multicenter, randomized trial, which assessed the efficacy and safety of TG-1101 plus ibrutinib versus ibrutinib alone in patients with high risk CLL. For the trial, high-risk was defined as having any one or more of the following centrally confirmed features: 17p deletion, 11q deletion or p53 mutation. The GENUINE study was designed to demonstrate the value of adding TG-1101 to ibrutinib monotherapy in high-risk CLL, and was powered to show a statistically significant improvement in ORR of 30%, with a minimal absolute detectable difference between the two arms of approximately 20%.</w:t>
      </w:r>
    </w:p>
    <w:p>
      <w:pPr>
        <w:spacing w:after="0" w:line="159"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We continue to follow patients in the GENUINE study for safety and efficacy including Overall Response, MRD and Progression Free Survival ("PFS"). We are currently working on preparing a Biologics License Application for a potential accelerated approval filing for TG-1101 in combination with ibrutinib in previously treated CLL patients with high-risk cytogenetics, which filing could occur in 2018.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TG-1101 in Combination with TGR-1202 Phase 3 Study Program – The UNITY-CLL Trial</w:t>
      </w:r>
    </w:p>
    <w:p>
      <w:pPr>
        <w:spacing w:after="0" w:line="221" w:lineRule="exact"/>
        <w:rPr>
          <w:sz w:val="20"/>
          <w:szCs w:val="20"/>
          <w:color w:val="auto"/>
        </w:rPr>
      </w:pPr>
    </w:p>
    <w:p>
      <w:pPr>
        <w:jc w:val="both"/>
        <w:ind w:right="80" w:firstLine="648"/>
        <w:spacing w:after="0" w:line="278" w:lineRule="auto"/>
        <w:rPr>
          <w:sz w:val="20"/>
          <w:szCs w:val="20"/>
          <w:color w:val="auto"/>
        </w:rPr>
      </w:pPr>
      <w:r>
        <w:rPr>
          <w:rFonts w:ascii="Arial" w:cs="Arial" w:eastAsia="Arial" w:hAnsi="Arial"/>
          <w:sz w:val="16"/>
          <w:szCs w:val="16"/>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7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5"/>
          <w:szCs w:val="15"/>
          <w:color w:val="auto"/>
        </w:rPr>
        <w:t>The Phase 3 trial, called the UNITY-CLL trial, is a randomized controlled clinical trial that includes two key objectives: first, to demonstrate contribution of each agent in the TG-1101 + TGR-1202 regimen (the combination sometimes referred to as "U2"),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w:t>
      </w:r>
    </w:p>
    <w:p>
      <w:pPr>
        <w:spacing w:after="0" w:line="163"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In September 2017, we announced that target enrollment in the UNITY-CLL trial was met and that we were extending enrollment until October 12, 2017 for any additional identified study patients to be allowed in the trial. We expect top-line ORR data from this study to be reported in 2018.</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TG-1101 in Combination with TGR-1202 with or without bendamustine Phase 2b Registration-Directed Program – The UNITY-NHL Trial</w:t>
      </w:r>
    </w:p>
    <w:p>
      <w:pPr>
        <w:spacing w:after="0" w:line="22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6"/>
          <w:szCs w:val="16"/>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mantle cell lymphoma (MCL) and marginal zone lymphoma (MZL), as well as to add a cohort evaluating the triplet regimen of TG-1101 + TGR-1202 + bendamustine which has previously been explored in Phase 1. The cohorts of DLBCL, FL/SLL, MCL, and MZL are each being enrolled to and evaluated independently.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9" w:name="page20"/>
    <w:bookmarkEnd w:id="19"/>
    <w:p>
      <w:pPr>
        <w:ind w:firstLine="648"/>
        <w:spacing w:after="0" w:line="287" w:lineRule="auto"/>
        <w:rPr>
          <w:sz w:val="20"/>
          <w:szCs w:val="20"/>
          <w:color w:val="auto"/>
        </w:rPr>
      </w:pPr>
      <w:r>
        <w:rPr>
          <w:rFonts w:ascii="Arial" w:cs="Arial" w:eastAsia="Arial" w:hAnsi="Arial"/>
          <w:sz w:val="15"/>
          <w:szCs w:val="15"/>
          <w:color w:val="auto"/>
        </w:rPr>
        <w:t>The updated study, called UNITY-NHL,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at the University of Texas MD Anderson Cancer Center, and the MCL component of the study is being led by Michael Wang MD, Director of Mantle Cell Lymphoma (MCL) Program of Excellence and Co-Director of Clinical Tirals at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Single Agent TG-1101 in Relapsing Forms of Multiple Sclerosis</w:t>
      </w:r>
    </w:p>
    <w:p>
      <w:pPr>
        <w:spacing w:after="0" w:line="221" w:lineRule="exact"/>
        <w:rPr>
          <w:sz w:val="20"/>
          <w:szCs w:val="20"/>
          <w:color w:val="auto"/>
        </w:rPr>
      </w:pPr>
    </w:p>
    <w:p>
      <w:pPr>
        <w:ind w:right="420" w:firstLine="648"/>
        <w:spacing w:after="0" w:line="293" w:lineRule="auto"/>
        <w:rPr>
          <w:sz w:val="20"/>
          <w:szCs w:val="20"/>
          <w:color w:val="auto"/>
        </w:rPr>
      </w:pPr>
      <w:r>
        <w:rPr>
          <w:rFonts w:ascii="Arial" w:cs="Arial" w:eastAsia="Arial" w:hAnsi="Arial"/>
          <w:sz w:val="16"/>
          <w:szCs w:val="16"/>
          <w:color w:val="auto"/>
        </w:rPr>
        <w:t>In May 2016, we commenced our first study of TG-1101 in patients with relapsing remitting multiple sclerosis (RRMS), a chronic demyelinating disease of the central nervous system (CNS).</w:t>
      </w:r>
    </w:p>
    <w:p>
      <w:pPr>
        <w:spacing w:after="0" w:line="15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6"/>
          <w:szCs w:val="16"/>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77" w:lineRule="exact"/>
        <w:rPr>
          <w:sz w:val="20"/>
          <w:szCs w:val="20"/>
          <w:color w:val="auto"/>
        </w:rPr>
      </w:pPr>
    </w:p>
    <w:p>
      <w:pPr>
        <w:ind w:right="300" w:firstLine="648"/>
        <w:spacing w:after="0" w:line="329" w:lineRule="auto"/>
        <w:rPr>
          <w:sz w:val="20"/>
          <w:szCs w:val="20"/>
          <w:color w:val="auto"/>
        </w:rPr>
      </w:pPr>
      <w:r>
        <w:rPr>
          <w:rFonts w:ascii="Arial" w:cs="Arial" w:eastAsia="Arial" w:hAnsi="Arial"/>
          <w:sz w:val="15"/>
          <w:szCs w:val="15"/>
          <w:color w:val="auto"/>
        </w:rPr>
        <w:t>Data from this study was most recently presented at the American Academy of Neurology (AAN) 70th Annual Meeting in Los Angeles, California, as well as the Third Annual ACTRIMS Forum 2018 meeting in San Diego, CA. Additional data presentations are to be expected at upcoming medical conferences.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TG-1101 in relapsing forms of Multiple Sclerosis Phase 3 Study Program – The ULITIMATE I and ULTIMATE II Trial</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71" w:lineRule="exact"/>
        <w:rPr>
          <w:sz w:val="20"/>
          <w:szCs w:val="20"/>
          <w:color w:val="auto"/>
        </w:rPr>
      </w:pPr>
    </w:p>
    <w:p>
      <w:pPr>
        <w:jc w:val="both"/>
        <w:ind w:right="100" w:firstLine="648"/>
        <w:spacing w:after="0" w:line="305" w:lineRule="auto"/>
        <w:rPr>
          <w:sz w:val="20"/>
          <w:szCs w:val="20"/>
          <w:color w:val="auto"/>
        </w:rPr>
      </w:pPr>
      <w:r>
        <w:rPr>
          <w:rFonts w:ascii="Arial" w:cs="Arial" w:eastAsia="Arial" w:hAnsi="Arial"/>
          <w:sz w:val="15"/>
          <w:szCs w:val="15"/>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is ongoing and was designed to enroll approximately 440 subjects, randomized in a 1:1 ratio.</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TGR-1202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1" w:lineRule="exact"/>
        <w:rPr>
          <w:sz w:val="20"/>
          <w:szCs w:val="20"/>
          <w:color w:val="auto"/>
        </w:rPr>
      </w:pPr>
    </w:p>
    <w:p>
      <w:pPr>
        <w:ind w:right="320" w:firstLine="648"/>
        <w:spacing w:after="0" w:line="278" w:lineRule="auto"/>
        <w:rPr>
          <w:sz w:val="20"/>
          <w:szCs w:val="20"/>
          <w:color w:val="auto"/>
        </w:rPr>
      </w:pPr>
      <w:r>
        <w:rPr>
          <w:rFonts w:ascii="Arial" w:cs="Arial" w:eastAsia="Arial" w:hAnsi="Arial"/>
          <w:sz w:val="16"/>
          <w:szCs w:val="16"/>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71" w:lineRule="exact"/>
        <w:rPr>
          <w:sz w:val="20"/>
          <w:szCs w:val="20"/>
          <w:color w:val="auto"/>
        </w:rPr>
      </w:pPr>
    </w:p>
    <w:p>
      <w:pPr>
        <w:ind w:right="60" w:firstLine="648"/>
        <w:spacing w:after="0" w:line="329" w:lineRule="auto"/>
        <w:rPr>
          <w:sz w:val="20"/>
          <w:szCs w:val="20"/>
          <w:color w:val="auto"/>
        </w:rPr>
      </w:pPr>
      <w:r>
        <w:rPr>
          <w:rFonts w:ascii="Arial" w:cs="Arial" w:eastAsia="Arial" w:hAnsi="Arial"/>
          <w:sz w:val="15"/>
          <w:szCs w:val="15"/>
          <w:color w:val="auto"/>
        </w:rPr>
        <w:t>TGR-1202 (also referred to as umbralisib)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5"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color w:val="auto"/>
        </w:rPr>
        <w:t>We hold exclusive worldwide rights to develop and commercialize TGR-1202 for all indications worldwide, except for India which has been retained by Rhizen Pharmaceuticals S A.</w:t>
      </w:r>
    </w:p>
    <w:p>
      <w:pPr>
        <w:spacing w:after="0" w:line="15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Company’s Investigational New Drug (“IND”) application for TGR-1202 was accepted by the FDA in December 2012 and a first in-human Phase I clinical trial was initiated in January 2013.</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Trials Overview and Recent Developments</w:t>
      </w:r>
    </w:p>
    <w:p>
      <w:pPr>
        <w:spacing w:after="0" w:line="221" w:lineRule="exact"/>
        <w:rPr>
          <w:sz w:val="20"/>
          <w:szCs w:val="20"/>
          <w:color w:val="auto"/>
        </w:rPr>
      </w:pPr>
    </w:p>
    <w:p>
      <w:pPr>
        <w:ind w:right="20" w:firstLine="648"/>
        <w:spacing w:after="0" w:line="335" w:lineRule="auto"/>
        <w:rPr>
          <w:sz w:val="20"/>
          <w:szCs w:val="20"/>
          <w:color w:val="auto"/>
        </w:rPr>
      </w:pPr>
      <w:r>
        <w:rPr>
          <w:rFonts w:ascii="Arial" w:cs="Arial" w:eastAsia="Arial" w:hAnsi="Arial"/>
          <w:sz w:val="14"/>
          <w:szCs w:val="14"/>
          <w:color w:val="auto"/>
        </w:rPr>
        <w:t>Initial clinical development of TGR-1202 was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study in combination with TG-1101 with or without the BTK inhibitor, ibrutinib, our current combination clinical trials for TGR-1202 include:</w:t>
      </w:r>
    </w:p>
    <w:p>
      <w:pPr>
        <w:spacing w:after="0" w:line="136" w:lineRule="exact"/>
        <w:rPr>
          <w:sz w:val="20"/>
          <w:szCs w:val="20"/>
          <w:color w:val="auto"/>
        </w:rPr>
      </w:pPr>
    </w:p>
    <w:p>
      <w:pPr>
        <w:ind w:left="880" w:hanging="375"/>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TGR-1202 as a single agent in CLL patients who are intolerant to prior BTK inhibitor or PI3K-delta inhibitor therapy;</w:t>
      </w:r>
    </w:p>
    <w:p>
      <w:pPr>
        <w:spacing w:after="0" w:line="22" w:lineRule="exact"/>
        <w:rPr>
          <w:rFonts w:ascii="Arial" w:cs="Arial" w:eastAsia="Arial" w:hAnsi="Arial"/>
          <w:sz w:val="16"/>
          <w:szCs w:val="16"/>
          <w:color w:val="auto"/>
        </w:rPr>
      </w:pPr>
    </w:p>
    <w:p>
      <w:pPr>
        <w:ind w:left="880" w:hanging="375"/>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TGR-1202 in combination with the BTK inhibitor, ibrutinib, in patients with previously treated CLL and MCL; and</w:t>
      </w:r>
    </w:p>
    <w:p>
      <w:pPr>
        <w:spacing w:after="0" w:line="18" w:lineRule="exact"/>
        <w:rPr>
          <w:rFonts w:ascii="Arial" w:cs="Arial" w:eastAsia="Arial" w:hAnsi="Arial"/>
          <w:sz w:val="16"/>
          <w:szCs w:val="16"/>
          <w:color w:val="auto"/>
        </w:rPr>
      </w:pPr>
    </w:p>
    <w:p>
      <w:pPr>
        <w:ind w:left="880" w:hanging="375"/>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in patients with previously treated Myelofibrosis or Polycythemia Vera.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Single Agent TGR-1202 in Patients with Relapsed/Refractory Hematologic Malignancies</w:t>
      </w:r>
    </w:p>
    <w:p>
      <w:pPr>
        <w:spacing w:after="0" w:line="2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0" w:name="page21"/>
    <w:bookmarkEnd w:id="20"/>
    <w:p>
      <w:pPr>
        <w:ind w:firstLine="648"/>
        <w:spacing w:after="0" w:line="293" w:lineRule="auto"/>
        <w:rPr>
          <w:sz w:val="20"/>
          <w:szCs w:val="20"/>
          <w:color w:val="auto"/>
        </w:rPr>
      </w:pPr>
      <w:r>
        <w:rPr>
          <w:rFonts w:ascii="Arial" w:cs="Arial" w:eastAsia="Arial" w:hAnsi="Arial"/>
          <w:sz w:val="16"/>
          <w:szCs w:val="16"/>
          <w:color w:val="auto"/>
        </w:rPr>
        <w:t xml:space="preserve">Data from this ongoing Phase I study was published in full in </w:t>
      </w:r>
      <w:r>
        <w:rPr>
          <w:rFonts w:ascii="Arial" w:cs="Arial" w:eastAsia="Arial" w:hAnsi="Arial"/>
          <w:sz w:val="16"/>
          <w:szCs w:val="16"/>
          <w:i w:val="1"/>
          <w:iCs w:val="1"/>
          <w:color w:val="auto"/>
        </w:rPr>
        <w:t>The Lancet Oncology</w:t>
      </w:r>
      <w:r>
        <w:rPr>
          <w:rFonts w:ascii="Arial" w:cs="Arial" w:eastAsia="Arial" w:hAnsi="Arial"/>
          <w:sz w:val="16"/>
          <w:szCs w:val="16"/>
          <w:color w:val="auto"/>
        </w:rPr>
        <w:t xml:space="preserve"> in February 2018, including safety and efficacy information from 90 patients with relapsed or refractory b-cell malignancies, including patients with CLL and various forms of lymphoma treated with single agent umbralisib.</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TGR-1202 Long-term Follow-up Integrated Analysis in Patients with Relapsed/Refractory Hematologic Malignancies</w:t>
      </w:r>
    </w:p>
    <w:p>
      <w:pPr>
        <w:spacing w:after="0" w:line="215" w:lineRule="exact"/>
        <w:rPr>
          <w:sz w:val="20"/>
          <w:szCs w:val="20"/>
          <w:color w:val="auto"/>
        </w:rPr>
      </w:pPr>
    </w:p>
    <w:p>
      <w:pPr>
        <w:ind w:right="160" w:firstLine="648"/>
        <w:spacing w:after="0" w:line="238" w:lineRule="auto"/>
        <w:rPr>
          <w:sz w:val="20"/>
          <w:szCs w:val="20"/>
          <w:color w:val="auto"/>
        </w:rPr>
      </w:pPr>
      <w:r>
        <w:rPr>
          <w:rFonts w:ascii="Arial" w:cs="Arial" w:eastAsia="Arial" w:hAnsi="Arial"/>
          <w:sz w:val="16"/>
          <w:szCs w:val="16"/>
          <w:color w:val="auto"/>
        </w:rPr>
        <w:t>In December 2017, at the 59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American Society of Hematology ("ASH") Annual Meeting, the Company presented integrated data with long term follow-up from 347 patients exposed to TGR-1202 across 5 studies, which continued to demonstrate high response rates in CLL, and FL coupled with a favorable safety profile distinct from other PI3K delta inhibitors.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TGR-1202 TKI Intolerance Study</w:t>
      </w:r>
    </w:p>
    <w:p>
      <w:pPr>
        <w:spacing w:after="0" w:line="221" w:lineRule="exact"/>
        <w:rPr>
          <w:sz w:val="20"/>
          <w:szCs w:val="20"/>
          <w:color w:val="auto"/>
        </w:rPr>
      </w:pPr>
    </w:p>
    <w:p>
      <w:pPr>
        <w:ind w:right="400" w:firstLine="648"/>
        <w:spacing w:after="0" w:line="273" w:lineRule="auto"/>
        <w:rPr>
          <w:sz w:val="20"/>
          <w:szCs w:val="20"/>
          <w:color w:val="auto"/>
        </w:rPr>
      </w:pPr>
      <w:r>
        <w:rPr>
          <w:rFonts w:ascii="Arial" w:cs="Arial" w:eastAsia="Arial" w:hAnsi="Arial"/>
          <w:sz w:val="16"/>
          <w:szCs w:val="16"/>
          <w:color w:val="auto"/>
        </w:rPr>
        <w:t>In December 2017, at the 59th ASH Annual Meeting, the Company presented data from 33 patients with CLL who were intolerant to prior BTK or PI3K delta inhibitor therapy who were then treated with single agent TGR-1202. TGR-1202 appeared to demonstrate a favorable safety profile in patients intolerant to prior ibrutinib (BTK) or idelalisib (PI3K) with only 2 patients (6%) discontinuing due to an adverse event, neither of which was a recurrent adverse event from their prior BTK or PI3K therapy. Enrollment continues in this Phase 2 study.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TGR-1202 Combination Trials</w:t>
      </w:r>
    </w:p>
    <w:p>
      <w:pPr>
        <w:spacing w:after="0" w:line="22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 is anticipated that updated results from these studies will be presented or updated at future medical conferences.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TGR-1202 in Solid Tumors</w:t>
      </w:r>
    </w:p>
    <w:p>
      <w:pPr>
        <w:spacing w:after="0" w:line="221"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 The study is currently closed to enrollment with patients continuing to be followed for safety and efficacy.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IRAK4</w:t>
      </w:r>
    </w:p>
    <w:p>
      <w:pPr>
        <w:spacing w:after="0" w:line="2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hold global rights to develop and commercialize the IRAK4 program, which was licensed from Ligand Pharmaceuticals. Our IRAK4 program is currently in pre-clinical development.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PD-L1 and GITR</w:t>
      </w:r>
    </w:p>
    <w:p>
      <w:pPr>
        <w:spacing w:after="0" w:line="221"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recently entered the clinic and our anti-GITR program is currently in pre-clinical development, with pre-clinical data most recently presented at the American Association for Cancer Research Annual Meeting in March 2017.</w:t>
      </w:r>
    </w:p>
    <w:p>
      <w:pPr>
        <w:spacing w:after="0" w:line="171"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In October 2017, we announced that the first patient has been dosed in a Phase 1 clinical trial evaluating the safety and tolerability of our anti-PD-L1 monoclonal antibody, enrolling patients across sites in Australia and New Zealand.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BET</w:t>
      </w:r>
    </w:p>
    <w:p>
      <w:pPr>
        <w:spacing w:after="0" w:line="22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5"/>
          <w:szCs w:val="15"/>
          <w:color w:val="auto"/>
        </w:rPr>
        <w:t>In May 2016, as part of a broader agreement with Jubilant Biosys (“Jubilant”), an India-based biotechnology company, we entered into a sub-license agreement (“JBET Agreement”) with Checkpoint Therapeutics, Inc. (“Checkpoint”), a subsidiary of FBIO,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59" w:lineRule="exact"/>
        <w:rPr>
          <w:sz w:val="20"/>
          <w:szCs w:val="20"/>
          <w:color w:val="auto"/>
        </w:rPr>
      </w:pPr>
    </w:p>
    <w:p>
      <w:pPr>
        <w:ind w:right="360" w:firstLine="648"/>
        <w:spacing w:after="0" w:line="293" w:lineRule="auto"/>
        <w:rPr>
          <w:sz w:val="20"/>
          <w:szCs w:val="20"/>
          <w:color w:val="auto"/>
        </w:rPr>
      </w:pPr>
      <w:r>
        <w:rPr>
          <w:rFonts w:ascii="Arial" w:cs="Arial" w:eastAsia="Arial" w:hAnsi="Arial"/>
          <w:sz w:val="16"/>
          <w:szCs w:val="16"/>
          <w:color w:val="auto"/>
        </w:rPr>
        <w:t>In April 2018, pre-clinical data for TG-1601, the BET inhibitor, was announced at the American Association for Cancer Research ("AACR") Annual Meeting in Chicago, IL.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BTK</w:t>
      </w:r>
    </w:p>
    <w:p>
      <w:pPr>
        <w:spacing w:after="0" w:line="22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or Jiangsu (“BTK Agreement”), pursuant to which we obtained worldwide rights, excluding Asia but including Japan, for the development of Hengrui's Bruton's Tyrosine Kinase ("BTK") inhibitor program, including lead candidate TG-1701 (known in China as SHR-1459), as monotherapy and in combination with TG-1101 and TGR-1202. In addition to TG-1701, the global license agreement covers TG-1702 (SHR-1266), another BTK inhibitor in pre-clinical development. BTK is an essential component of the B-cell receptor signaling pathways that regulate the survival, activation, proliferation, and differentiation of B lymphocytes. Targeting BTK with small molecule inhibitors has been demonstrated to be an effective treatment option for B-cell lymphomas and autoimmune diseases.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GENERAL CORPORATE</w:t>
      </w:r>
    </w:p>
    <w:p>
      <w:pPr>
        <w:spacing w:after="0" w:line="225" w:lineRule="exact"/>
        <w:rPr>
          <w:sz w:val="20"/>
          <w:szCs w:val="20"/>
          <w:color w:val="auto"/>
        </w:rPr>
      </w:pPr>
    </w:p>
    <w:p>
      <w:pPr>
        <w:ind w:right="180" w:firstLine="648"/>
        <w:spacing w:after="0" w:line="369" w:lineRule="auto"/>
        <w:rPr>
          <w:sz w:val="20"/>
          <w:szCs w:val="20"/>
          <w:color w:val="auto"/>
        </w:rPr>
      </w:pPr>
      <w:r>
        <w:rPr>
          <w:rFonts w:ascii="Arial" w:cs="Arial" w:eastAsia="Arial" w:hAnsi="Arial"/>
          <w:sz w:val="14"/>
          <w:szCs w:val="14"/>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earned any revenues from the commercial sale of any of our drug candidates.</w:t>
      </w:r>
    </w:p>
    <w:p>
      <w:pPr>
        <w:spacing w:after="0" w:line="221"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71" w:lineRule="exact"/>
        <w:rPr>
          <w:sz w:val="20"/>
          <w:szCs w:val="20"/>
          <w:color w:val="auto"/>
        </w:rPr>
      </w:pPr>
    </w:p>
    <w:p>
      <w:pPr>
        <w:ind w:right="340" w:firstLine="648"/>
        <w:spacing w:after="0" w:line="329" w:lineRule="auto"/>
        <w:rPr>
          <w:sz w:val="20"/>
          <w:szCs w:val="20"/>
          <w:color w:val="auto"/>
        </w:rPr>
      </w:pPr>
      <w:r>
        <w:rPr>
          <w:rFonts w:ascii="Arial" w:cs="Arial" w:eastAsia="Arial" w:hAnsi="Arial"/>
          <w:sz w:val="15"/>
          <w:szCs w:val="15"/>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5"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6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certain restricted stock issued to employees vest upon the achievement of certain milestones; therefore, the total expense is uncertain until the milestone is probable.</w:t>
      </w:r>
    </w:p>
    <w:p>
      <w:pPr>
        <w:spacing w:after="0" w:line="159" w:lineRule="exact"/>
        <w:rPr>
          <w:sz w:val="20"/>
          <w:szCs w:val="20"/>
          <w:color w:val="auto"/>
        </w:rPr>
      </w:pPr>
    </w:p>
    <w:p>
      <w:pPr>
        <w:ind w:right="80" w:firstLine="648"/>
        <w:spacing w:after="0" w:line="291" w:lineRule="auto"/>
        <w:rPr>
          <w:sz w:val="20"/>
          <w:szCs w:val="20"/>
          <w:color w:val="auto"/>
        </w:rPr>
      </w:pPr>
      <w:r>
        <w:rPr>
          <w:rFonts w:ascii="Arial" w:cs="Arial" w:eastAsia="Arial" w:hAnsi="Arial"/>
          <w:sz w:val="15"/>
          <w:szCs w:val="15"/>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drug candidates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 2018 and 2017</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approximately $38,000 for each of the three months ended March 31, 2018 and 2017. License revenue is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76" w:lineRule="exact"/>
        <w:rPr>
          <w:sz w:val="20"/>
          <w:szCs w:val="20"/>
          <w:color w:val="auto"/>
        </w:rPr>
      </w:pPr>
    </w:p>
    <w:p>
      <w:pPr>
        <w:ind w:right="80" w:firstLine="648"/>
        <w:spacing w:after="0" w:line="305" w:lineRule="auto"/>
        <w:rPr>
          <w:sz w:val="20"/>
          <w:szCs w:val="20"/>
          <w:color w:val="auto"/>
        </w:rPr>
      </w:pPr>
      <w:r>
        <w:rPr>
          <w:rFonts w:ascii="Arial" w:cs="Arial" w:eastAsia="Arial" w:hAnsi="Arial"/>
          <w:sz w:val="15"/>
          <w:szCs w:val="15"/>
          <w:i w:val="1"/>
          <w:iCs w:val="1"/>
          <w:color w:val="auto"/>
        </w:rPr>
        <w:t xml:space="preserve">Noncash Compensation Expense (Research and Development). </w:t>
      </w:r>
      <w:r>
        <w:rPr>
          <w:rFonts w:ascii="Arial" w:cs="Arial" w:eastAsia="Arial" w:hAnsi="Arial"/>
          <w:sz w:val="15"/>
          <w:szCs w:val="15"/>
          <w:color w:val="auto"/>
        </w:rPr>
        <w:t>Noncash compensation expense (research and development) related to equity incentive grants totaled</w:t>
      </w:r>
      <w:r>
        <w:rPr>
          <w:rFonts w:ascii="Arial" w:cs="Arial" w:eastAsia="Arial" w:hAnsi="Arial"/>
          <w:sz w:val="15"/>
          <w:szCs w:val="15"/>
          <w:i w:val="1"/>
          <w:iCs w:val="1"/>
          <w:color w:val="auto"/>
        </w:rPr>
        <w:t xml:space="preserve"> </w:t>
      </w:r>
      <w:r>
        <w:rPr>
          <w:rFonts w:ascii="Arial" w:cs="Arial" w:eastAsia="Arial" w:hAnsi="Arial"/>
          <w:sz w:val="15"/>
          <w:szCs w:val="15"/>
          <w:color w:val="auto"/>
        </w:rPr>
        <w:t>$2.9 million for the three months ended March 31, 2018, as compared to $2.3 million during the comparable period in 2017. The increase in noncash compensation expense was primarily related to an increase in the measurement date fair value of certain consultant restricted stock during the period ended March 31, 2018.</w:t>
      </w:r>
    </w:p>
    <w:p>
      <w:pPr>
        <w:spacing w:after="0" w:line="153" w:lineRule="exact"/>
        <w:rPr>
          <w:sz w:val="20"/>
          <w:szCs w:val="20"/>
          <w:color w:val="auto"/>
        </w:rPr>
      </w:pPr>
    </w:p>
    <w:p>
      <w:pPr>
        <w:ind w:right="40" w:firstLine="648"/>
        <w:spacing w:after="0" w:line="297" w:lineRule="auto"/>
        <w:rPr>
          <w:sz w:val="20"/>
          <w:szCs w:val="20"/>
          <w:color w:val="auto"/>
        </w:rPr>
      </w:pPr>
      <w:r>
        <w:rPr>
          <w:rFonts w:ascii="Arial" w:cs="Arial" w:eastAsia="Arial" w:hAnsi="Arial"/>
          <w:sz w:val="15"/>
          <w:szCs w:val="15"/>
          <w:i w:val="1"/>
          <w:iCs w:val="1"/>
          <w:color w:val="auto"/>
        </w:rPr>
        <w:t>Other Research and Development Expenses</w:t>
      </w:r>
      <w:r>
        <w:rPr>
          <w:rFonts w:ascii="Arial" w:cs="Arial" w:eastAsia="Arial" w:hAnsi="Arial"/>
          <w:sz w:val="15"/>
          <w:szCs w:val="15"/>
          <w:color w:val="auto"/>
        </w:rPr>
        <w:t>. Other research and development expenses increased by $11.8 million to $32.2 million for the three months ended March</w:t>
      </w:r>
      <w:r>
        <w:rPr>
          <w:rFonts w:ascii="Arial" w:cs="Arial" w:eastAsia="Arial" w:hAnsi="Arial"/>
          <w:sz w:val="15"/>
          <w:szCs w:val="15"/>
          <w:i w:val="1"/>
          <w:iCs w:val="1"/>
          <w:color w:val="auto"/>
        </w:rPr>
        <w:t xml:space="preserve"> </w:t>
      </w:r>
      <w:r>
        <w:rPr>
          <w:rFonts w:ascii="Arial" w:cs="Arial" w:eastAsia="Arial" w:hAnsi="Arial"/>
          <w:sz w:val="15"/>
          <w:szCs w:val="15"/>
          <w:color w:val="auto"/>
        </w:rPr>
        <w:t>31, 2018, as compared to $20.4 million for the three months ended March 31, 2017. The increase was mainly due to the ongoing clinical development programs and related manufacturing costs for TG-1101 and TGR-1202 during the three months ended March 31, 2018. We expect our other research and development costs to increase modestly for the remainder of 2018 as the enrollment of additional patients in our Phase 3 clinical trials increases and we prepare for potential commercialization.</w:t>
      </w:r>
    </w:p>
    <w:p>
      <w:pPr>
        <w:spacing w:after="0" w:line="15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 grants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$0.8 million to $4.5 million for the three months ended March 31, 2018, as compared to $3.7 million for the three months ended March 31, 2017. The increase in noncash compensation expense was primarily related to greater compensation expense during the three months ended March 31, 2018 related to restricted stock granted to executive personnel.</w:t>
      </w:r>
    </w:p>
    <w:p>
      <w:pPr>
        <w:spacing w:after="0" w:line="17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$0.8 million to $2.1 million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2018, as compared to $1.3 million for the three months ended March 31, 2017. The increase was due primarily to rent related expenses of our office space, as well as increased personnel and other general and administrative costs. We expect our other general and administrative expenses to remain at a comparable level for the remainder of 2018.</w:t>
      </w:r>
    </w:p>
    <w:p>
      <w:pPr>
        <w:spacing w:after="0" w:line="176" w:lineRule="exact"/>
        <w:rPr>
          <w:sz w:val="20"/>
          <w:szCs w:val="20"/>
          <w:color w:val="auto"/>
        </w:rPr>
      </w:pPr>
    </w:p>
    <w:p>
      <w:pPr>
        <w:jc w:val="both"/>
        <w:ind w:right="160" w:firstLine="648"/>
        <w:spacing w:after="0" w:line="369" w:lineRule="auto"/>
        <w:rPr>
          <w:sz w:val="20"/>
          <w:szCs w:val="20"/>
          <w:color w:val="auto"/>
        </w:rPr>
      </w:pPr>
      <w:r>
        <w:rPr>
          <w:rFonts w:ascii="Arial" w:cs="Arial" w:eastAsia="Arial" w:hAnsi="Arial"/>
          <w:sz w:val="14"/>
          <w:szCs w:val="14"/>
          <w:i w:val="1"/>
          <w:iCs w:val="1"/>
          <w:color w:val="auto"/>
        </w:rPr>
        <w:t>Other (Income) Expense</w:t>
      </w:r>
      <w:r>
        <w:rPr>
          <w:rFonts w:ascii="Arial" w:cs="Arial" w:eastAsia="Arial" w:hAnsi="Arial"/>
          <w:sz w:val="14"/>
          <w:szCs w:val="14"/>
          <w:color w:val="auto"/>
        </w:rPr>
        <w:t>. Other income increased by $0.1 million to approximately $48,000 for the three months ended March 31, 2018, as compared to expense of</w:t>
      </w:r>
      <w:r>
        <w:rPr>
          <w:rFonts w:ascii="Arial" w:cs="Arial" w:eastAsia="Arial" w:hAnsi="Arial"/>
          <w:sz w:val="14"/>
          <w:szCs w:val="14"/>
          <w:i w:val="1"/>
          <w:iCs w:val="1"/>
          <w:color w:val="auto"/>
        </w:rPr>
        <w:t xml:space="preserve"> </w:t>
      </w:r>
      <w:r>
        <w:rPr>
          <w:rFonts w:ascii="Arial" w:cs="Arial" w:eastAsia="Arial" w:hAnsi="Arial"/>
          <w:sz w:val="14"/>
          <w:szCs w:val="14"/>
          <w:color w:val="auto"/>
        </w:rPr>
        <w:t>approximately $61,000 for the three months ended March 31, 2017. The increase is mainly due to an increase in interest income for the three months ended March 31, 2018.</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Our primary sources of cash have been from the sale of equity securities, warrant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2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auto"/>
        </w:rPr>
        <w:t>As of March 31, 2018, we had approximately $109.2 million in cash and cash equivalents, investment securities, and interest receivable. We anticipate that our cash, cash equivalents, investment securities, and interest receivable on hand as of March 31, 2018, combined with the additional capital raised in the second quarter of 2018, will be sufficient to fund the Company’s planned operations through mid-2019.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7" w:lineRule="exact"/>
        <w:rPr>
          <w:sz w:val="20"/>
          <w:szCs w:val="20"/>
          <w:color w:val="auto"/>
        </w:rPr>
      </w:pPr>
    </w:p>
    <w:p>
      <w:pPr>
        <w:jc w:val="both"/>
        <w:ind w:right="100" w:firstLine="648"/>
        <w:spacing w:after="0" w:line="278" w:lineRule="auto"/>
        <w:rPr>
          <w:sz w:val="20"/>
          <w:szCs w:val="20"/>
          <w:color w:val="auto"/>
        </w:rPr>
      </w:pPr>
      <w:r>
        <w:rPr>
          <w:rFonts w:ascii="Arial" w:cs="Arial" w:eastAsia="Arial" w:hAnsi="Arial"/>
          <w:sz w:val="16"/>
          <w:szCs w:val="16"/>
          <w:color w:val="auto"/>
        </w:rPr>
        <w:t>Cash used in operating activities for the three months ended March 31, 2018 was $28.0 million as compared to $22.3 million for the three months ended March 31, 2017. The increase in cash used in operating activities was due primarily to increased expenditures associated with our clinical development programs for TG-1101 and TGR-1202.</w:t>
      </w:r>
    </w:p>
    <w:p>
      <w:pPr>
        <w:spacing w:after="0" w:line="171"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For the three months ended March 31, 2018, net cash provided by investing activities was $1.8 million as compared to $6.0 million for the three months ended March 31, 2017. The decrease in net cash provided by investing activities was primarily due to the greater investment in treasury securities during the three months ended March 31, 2018.</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For the three months ended March 31, 2018, net cash provided by financing activities of $52.4 million related to net proceeds from the issuance of common stock as part of our ATM program.</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5"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6"/>
          <w:szCs w:val="16"/>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5"/>
          <w:szCs w:val="15"/>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59" w:lineRule="exact"/>
        <w:rPr>
          <w:sz w:val="20"/>
          <w:szCs w:val="20"/>
          <w:color w:val="auto"/>
        </w:rPr>
      </w:pPr>
    </w:p>
    <w:p>
      <w:pPr>
        <w:jc w:val="both"/>
        <w:ind w:right="100" w:firstLine="648"/>
        <w:spacing w:after="0" w:line="335" w:lineRule="auto"/>
        <w:rPr>
          <w:sz w:val="20"/>
          <w:szCs w:val="20"/>
          <w:color w:val="auto"/>
        </w:rPr>
      </w:pPr>
      <w:r>
        <w:rPr>
          <w:rFonts w:ascii="Arial" w:cs="Arial" w:eastAsia="Arial" w:hAnsi="Arial"/>
          <w:sz w:val="14"/>
          <w:szCs w:val="14"/>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36" w:lineRule="exact"/>
        <w:rPr>
          <w:sz w:val="20"/>
          <w:szCs w:val="20"/>
          <w:color w:val="auto"/>
        </w:rPr>
      </w:pPr>
    </w:p>
    <w:p>
      <w:pPr>
        <w:ind w:firstLine="648"/>
        <w:spacing w:after="0" w:line="302"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We recognize license revenue in accordance with the revenue recognition guidance of ASC 606. We analyze each element of our licensing</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a promise to transfer more than one good or service to the customer, in which case we would account for each promised good or service as a performance obligation only if it is (1) distinct or (2) a series of distinct goods or services that are substantially the same and have the same pattern of transfer. For each performance obligation, we would determine whether we satisfy the performance obligation over time by transferring control of a good or service over time. To determine whether our promise is to provide a right to access its intellectual property or a right to use its intellectual property, we would consider the nature of the intellectual property to which the customer will have rights. We have symbolic intellectual property, derived from our association with ongoing activities, including our ordinary business activities. We recognize milestone payments as revenue upon the achievement of specified milestones only if (1) the milestone payment is non-refundable,</w:t>
      </w:r>
    </w:p>
    <w:p>
      <w:pPr>
        <w:spacing w:after="0" w:line="4" w:lineRule="exact"/>
        <w:rPr>
          <w:sz w:val="20"/>
          <w:szCs w:val="20"/>
          <w:color w:val="auto"/>
        </w:rPr>
      </w:pPr>
    </w:p>
    <w:p>
      <w:pPr>
        <w:ind w:right="520" w:firstLine="8"/>
        <w:spacing w:after="0" w:line="276" w:lineRule="auto"/>
        <w:tabs>
          <w:tab w:leader="none" w:pos="23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2" w:lineRule="exact"/>
        <w:rPr>
          <w:sz w:val="20"/>
          <w:szCs w:val="20"/>
          <w:color w:val="auto"/>
        </w:rPr>
      </w:pPr>
    </w:p>
    <w:p>
      <w:pPr>
        <w:ind w:right="40" w:firstLine="648"/>
        <w:spacing w:after="0" w:line="26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 parties.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We recognize forfeitures as incurred.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24" w:name="page25"/>
    <w:bookmarkEnd w:id="24"/>
    <w:p>
      <w:pPr>
        <w:ind w:right="20" w:firstLine="648"/>
        <w:spacing w:after="0" w:line="287" w:lineRule="auto"/>
        <w:rPr>
          <w:sz w:val="20"/>
          <w:szCs w:val="20"/>
          <w:color w:val="auto"/>
        </w:rPr>
      </w:pPr>
      <w:r>
        <w:rPr>
          <w:rFonts w:ascii="Arial" w:cs="Arial" w:eastAsia="Arial" w:hAnsi="Arial"/>
          <w:sz w:val="15"/>
          <w:szCs w:val="15"/>
          <w:i w:val="1"/>
          <w:iCs w:val="1"/>
          <w:color w:val="auto"/>
        </w:rPr>
        <w:t xml:space="preserve">Accruals for Clinical Research Organization and Clinical Site Costs. </w:t>
      </w:r>
      <w:r>
        <w:rPr>
          <w:rFonts w:ascii="Arial" w:cs="Arial" w:eastAsia="Arial" w:hAnsi="Arial"/>
          <w:sz w:val="15"/>
          <w:szCs w:val="15"/>
          <w:color w:val="auto"/>
        </w:rPr>
        <w:t>We make estimates of costs incurred in relation to external clinical research organizations,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6" w:lineRule="exact"/>
        <w:rPr>
          <w:sz w:val="20"/>
          <w:szCs w:val="20"/>
          <w:color w:val="auto"/>
        </w:rPr>
      </w:pPr>
    </w:p>
    <w:p>
      <w:pPr>
        <w:ind w:firstLine="648"/>
        <w:spacing w:after="0" w:line="311" w:lineRule="auto"/>
        <w:rPr>
          <w:sz w:val="20"/>
          <w:szCs w:val="20"/>
          <w:color w:val="auto"/>
        </w:rPr>
      </w:pPr>
      <w:r>
        <w:rPr>
          <w:rFonts w:ascii="Arial" w:cs="Arial" w:eastAsia="Arial" w:hAnsi="Arial"/>
          <w:sz w:val="14"/>
          <w:szCs w:val="14"/>
          <w:i w:val="1"/>
          <w:iCs w:val="1"/>
          <w:color w:val="auto"/>
        </w:rPr>
        <w:t>Accounting For Income Taxes</w:t>
      </w:r>
      <w:r>
        <w:rPr>
          <w:rFonts w:ascii="Arial" w:cs="Arial" w:eastAsia="Arial" w:hAnsi="Arial"/>
          <w:sz w:val="14"/>
          <w:szCs w:val="14"/>
          <w:color w:val="auto"/>
        </w:rPr>
        <w:t>. In preparing our condensed consolidated financial statements, we are required to estimate our income taxes in each of the jurisdictions</w:t>
      </w:r>
      <w:r>
        <w:rPr>
          <w:rFonts w:ascii="Arial" w:cs="Arial" w:eastAsia="Arial" w:hAnsi="Arial"/>
          <w:sz w:val="14"/>
          <w:szCs w:val="14"/>
          <w:i w:val="1"/>
          <w:iCs w:val="1"/>
          <w:color w:val="auto"/>
        </w:rPr>
        <w:t xml:space="preserve"> </w:t>
      </w:r>
      <w:r>
        <w:rPr>
          <w:rFonts w:ascii="Arial" w:cs="Arial" w:eastAsia="Arial" w:hAnsi="Arial"/>
          <w:sz w:val="14"/>
          <w:szCs w:val="14"/>
          <w:color w:val="auto"/>
        </w:rPr>
        <w:t>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2" w:lineRule="exact"/>
        <w:rPr>
          <w:sz w:val="20"/>
          <w:szCs w:val="20"/>
          <w:color w:val="auto"/>
        </w:rPr>
      </w:pPr>
    </w:p>
    <w:p>
      <w:pPr>
        <w:jc w:val="both"/>
        <w:ind w:left="1040" w:hanging="373"/>
        <w:spacing w:after="0" w:line="264"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ind w:left="1040" w:hanging="373"/>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vesting conditions of the modified award are the same as the vesting conditions of the original award immediately before the original award is modified.</w:t>
      </w:r>
    </w:p>
    <w:p>
      <w:pPr>
        <w:spacing w:after="0" w:line="30" w:lineRule="exact"/>
        <w:rPr>
          <w:rFonts w:ascii="Arial" w:cs="Arial" w:eastAsia="Arial" w:hAnsi="Arial"/>
          <w:sz w:val="15"/>
          <w:szCs w:val="15"/>
          <w:color w:val="auto"/>
        </w:rPr>
      </w:pPr>
    </w:p>
    <w:p>
      <w:pPr>
        <w:ind w:left="1040" w:hanging="373"/>
        <w:spacing w:after="0" w:line="288"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classification of the modified award as an equity instrument or a liability instrument is the same as the classification of the original award immediately before the original award is modified.</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March 31, 2018.</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177" w:lineRule="exact"/>
        <w:rPr>
          <w:sz w:val="20"/>
          <w:szCs w:val="20"/>
          <w:color w:val="auto"/>
        </w:rPr>
      </w:pPr>
    </w:p>
    <w:p>
      <w:pPr>
        <w:ind w:left="1040" w:hanging="373"/>
        <w:spacing w:after="0" w:line="266"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Clarifies the requirements for excluding and allocating foreign currency translation adjustments to reporting units in connection with an entity’s testing of reporting units for goodwill impairment.</w:t>
      </w:r>
    </w:p>
    <w:p>
      <w:pPr>
        <w:spacing w:after="0" w:line="1" w:lineRule="exact"/>
        <w:rPr>
          <w:rFonts w:ascii="Arial" w:cs="Arial" w:eastAsia="Arial" w:hAnsi="Arial"/>
          <w:sz w:val="16"/>
          <w:szCs w:val="16"/>
          <w:color w:val="auto"/>
        </w:rPr>
      </w:pPr>
    </w:p>
    <w:p>
      <w:pPr>
        <w:ind w:left="1040" w:hanging="373"/>
        <w:spacing w:after="0" w:line="264"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Clarifies that an entity should consider income tax effects from any tax deductible goodwill on the carrying amount of the reporting unit when measuring the goodwill impairment loss, if applicable.</w:t>
      </w:r>
    </w:p>
    <w:p>
      <w:pPr>
        <w:ind w:left="1040" w:hanging="373"/>
        <w:spacing w:after="0" w:line="288"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62"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4"/>
          <w:szCs w:val="14"/>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71" w:lineRule="exact"/>
        <w:rPr>
          <w:sz w:val="20"/>
          <w:szCs w:val="20"/>
          <w:color w:val="auto"/>
        </w:rPr>
      </w:pPr>
    </w:p>
    <w:p>
      <w:pPr>
        <w:jc w:val="both"/>
        <w:ind w:left="980" w:right="20" w:hanging="324"/>
        <w:spacing w:after="0" w:line="26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spacing w:after="0" w:line="2"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Narrow the definition of the term output so that the term is consistent with how outputs are described in Topic 606.</w:t>
      </w:r>
    </w:p>
    <w:p>
      <w:pPr>
        <w:spacing w:after="0" w:line="217" w:lineRule="exact"/>
        <w:rPr>
          <w:sz w:val="20"/>
          <w:szCs w:val="20"/>
          <w:color w:val="auto"/>
        </w:rPr>
      </w:pPr>
    </w:p>
    <w:p>
      <w:pPr>
        <w:jc w:val="both"/>
        <w:ind w:right="20" w:firstLine="648"/>
        <w:spacing w:after="0" w:line="335" w:lineRule="auto"/>
        <w:rPr>
          <w:sz w:val="20"/>
          <w:szCs w:val="20"/>
          <w:color w:val="auto"/>
        </w:rPr>
      </w:pPr>
      <w:r>
        <w:rPr>
          <w:rFonts w:ascii="Arial" w:cs="Arial" w:eastAsia="Arial" w:hAnsi="Arial"/>
          <w:sz w:val="14"/>
          <w:szCs w:val="14"/>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March 31, 2018.</w:t>
      </w:r>
    </w:p>
    <w:p>
      <w:pPr>
        <w:spacing w:after="0" w:line="136" w:lineRule="exact"/>
        <w:rPr>
          <w:sz w:val="20"/>
          <w:szCs w:val="20"/>
          <w:color w:val="auto"/>
        </w:rPr>
      </w:pPr>
    </w:p>
    <w:p>
      <w:pPr>
        <w:ind w:right="160" w:firstLine="648"/>
        <w:spacing w:after="0" w:line="324" w:lineRule="auto"/>
        <w:rPr>
          <w:sz w:val="20"/>
          <w:szCs w:val="20"/>
          <w:color w:val="auto"/>
        </w:rPr>
      </w:pPr>
      <w:r>
        <w:rPr>
          <w:rFonts w:ascii="Arial" w:cs="Arial" w:eastAsia="Arial" w:hAnsi="Arial"/>
          <w:sz w:val="14"/>
          <w:szCs w:val="14"/>
          <w:color w:val="auto"/>
        </w:rPr>
        <w:t>In November 2016, the FASB issued ASU No. 2016-18, “Statement of Cash Flows – Restricted Cash” (“ASU 2016-18”). ASU 2016-18 requires that a statement of cash flows explain the change during the period for the total of cash, cash equivalents, and amounts generally described as restricted cash or restricted cash equivalents. ASU 2016-18 does not provide a definition of restricted cash or restricted cash equivalents, and does not change the balance sheet presentation for such items. The Company adopted ASU 2016-18 on January 1, 2018. The adoption of ASU 2016-18 did not have a material effect on our consolidated financial statements as of March 31, 2018.</w:t>
      </w:r>
    </w:p>
    <w:p>
      <w:pPr>
        <w:spacing w:after="0" w:line="144" w:lineRule="exact"/>
        <w:rPr>
          <w:sz w:val="20"/>
          <w:szCs w:val="20"/>
          <w:color w:val="auto"/>
        </w:rPr>
      </w:pPr>
    </w:p>
    <w:p>
      <w:pPr>
        <w:ind w:right="300" w:firstLine="648"/>
        <w:spacing w:after="0" w:line="273"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or “ASC 606”),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76"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6" w:name="page27"/>
    <w:bookmarkEnd w:id="26"/>
    <w:p>
      <w:pPr>
        <w:jc w:val="both"/>
        <w:ind w:firstLine="648"/>
        <w:spacing w:after="0" w:line="273"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condensed consolidated financial statements as of March 31, 2018.</w:t>
      </w:r>
    </w:p>
    <w:p>
      <w:pPr>
        <w:spacing w:after="0" w:line="17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Other pronouncements issued by the FASB or other authoritative accounting standards with future effective dates are either not applicable or not significant to our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5"/>
          <w:szCs w:val="15"/>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2018, our portfolio of financial instruments consists of cash equivalents, including bank deposits, and investments. Due to the short-term basis as well as the nature of our investments, we believe there is no material exposure to interest rate risk, and/or credit risk, arising from our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5"/>
          <w:szCs w:val="15"/>
          <w:color w:val="auto"/>
        </w:rPr>
        <w:t>As of March 31,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2018, our disclosure controls and procedures were effective.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and our subsidiaries, are not a party to, and our property is not the subject of, any material pending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5" w:lineRule="exact"/>
        <w:rPr>
          <w:sz w:val="20"/>
          <w:szCs w:val="20"/>
          <w:color w:val="auto"/>
        </w:rPr>
      </w:pPr>
    </w:p>
    <w:p>
      <w:pPr>
        <w:ind w:right="340" w:firstLine="648"/>
        <w:spacing w:after="0" w:line="329" w:lineRule="auto"/>
        <w:rPr>
          <w:sz w:val="20"/>
          <w:szCs w:val="20"/>
          <w:color w:val="auto"/>
        </w:rPr>
      </w:pPr>
      <w:r>
        <w:rPr>
          <w:rFonts w:ascii="Arial" w:cs="Arial" w:eastAsia="Arial" w:hAnsi="Arial"/>
          <w:sz w:val="15"/>
          <w:szCs w:val="15"/>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 and Industry</w:t>
      </w:r>
    </w:p>
    <w:p>
      <w:pPr>
        <w:spacing w:after="0" w:line="22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59" w:lineRule="exact"/>
        <w:rPr>
          <w:sz w:val="20"/>
          <w:szCs w:val="20"/>
          <w:color w:val="auto"/>
        </w:rPr>
      </w:pPr>
    </w:p>
    <w:p>
      <w:pPr>
        <w:ind w:right="160" w:firstLine="648"/>
        <w:spacing w:after="0" w:line="305" w:lineRule="auto"/>
        <w:rPr>
          <w:sz w:val="20"/>
          <w:szCs w:val="20"/>
          <w:color w:val="auto"/>
        </w:rPr>
      </w:pPr>
      <w:r>
        <w:rPr>
          <w:rFonts w:ascii="Arial" w:cs="Arial" w:eastAsia="Arial" w:hAnsi="Arial"/>
          <w:sz w:val="15"/>
          <w:szCs w:val="15"/>
          <w:color w:val="181717"/>
        </w:rPr>
        <w:t xml:space="preserve">Because we license our foundational intellectual property from third parties and we expect to continue to in-license additional intellectual property rights, if there is any dispute between us and our licensor regarding our rights under a </w:t>
      </w:r>
      <w:r>
        <w:rPr>
          <w:rFonts w:ascii="Arial" w:cs="Arial" w:eastAsia="Arial" w:hAnsi="Arial"/>
          <w:sz w:val="15"/>
          <w:szCs w:val="15"/>
          <w:color w:val="000000"/>
        </w:rPr>
        <w:t>license</w:t>
      </w:r>
      <w:r>
        <w:rPr>
          <w:rFonts w:ascii="Arial" w:cs="Arial" w:eastAsia="Arial" w:hAnsi="Arial"/>
          <w:sz w:val="15"/>
          <w:szCs w:val="15"/>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53"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scope of rights granted under the license agreement and other interpretation-related issues;</w:t>
      </w:r>
    </w:p>
    <w:p>
      <w:pPr>
        <w:spacing w:after="0" w:line="22" w:lineRule="exact"/>
        <w:rPr>
          <w:rFonts w:ascii="Arial" w:cs="Arial" w:eastAsia="Arial" w:hAnsi="Arial"/>
          <w:sz w:val="16"/>
          <w:szCs w:val="16"/>
          <w:color w:val="auto"/>
        </w:rPr>
      </w:pPr>
    </w:p>
    <w:p>
      <w:pPr>
        <w:ind w:left="1140" w:hanging="48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extent to which our technology and processes infringe on intellectual property of the licensor that is not subject to the licensing agreement;</w:t>
      </w:r>
    </w:p>
    <w:p>
      <w:pPr>
        <w:spacing w:after="0" w:line="18" w:lineRule="exact"/>
        <w:rPr>
          <w:rFonts w:ascii="Arial" w:cs="Arial" w:eastAsia="Arial" w:hAnsi="Arial"/>
          <w:sz w:val="16"/>
          <w:szCs w:val="16"/>
          <w:color w:val="auto"/>
        </w:rPr>
      </w:pPr>
    </w:p>
    <w:p>
      <w:pPr>
        <w:ind w:left="1140" w:hanging="48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sublicensing of patent and other rights under our collaborative development relationships and obligations associated with sublicensing;</w:t>
      </w:r>
    </w:p>
    <w:p>
      <w:pPr>
        <w:spacing w:after="0" w:line="18" w:lineRule="exact"/>
        <w:rPr>
          <w:rFonts w:ascii="Arial" w:cs="Arial" w:eastAsia="Arial" w:hAnsi="Arial"/>
          <w:sz w:val="16"/>
          <w:szCs w:val="16"/>
          <w:color w:val="auto"/>
        </w:rPr>
      </w:pPr>
    </w:p>
    <w:p>
      <w:pPr>
        <w:ind w:left="1140" w:hanging="48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our diligence obligations under the license agreement and what activities satisfy those diligence obligations;</w:t>
      </w:r>
    </w:p>
    <w:p>
      <w:pPr>
        <w:spacing w:after="0" w:line="18" w:lineRule="exact"/>
        <w:rPr>
          <w:rFonts w:ascii="Arial" w:cs="Arial" w:eastAsia="Arial" w:hAnsi="Arial"/>
          <w:sz w:val="16"/>
          <w:szCs w:val="16"/>
          <w:color w:val="auto"/>
        </w:rPr>
      </w:pPr>
    </w:p>
    <w:p>
      <w:pPr>
        <w:ind w:left="1140" w:right="20" w:hanging="484"/>
        <w:spacing w:after="0" w:line="264"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inventorship and ownership of inventions and know-how resulting from the joint creation or use of intellectual property by our licensors and us and our partners; and</w:t>
      </w:r>
    </w:p>
    <w:p>
      <w:pPr>
        <w:ind w:left="1140" w:hanging="48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181717"/>
        </w:rPr>
        <w:t>the priority of invention of patented technology.</w:t>
      </w:r>
    </w:p>
    <w:p>
      <w:pPr>
        <w:spacing w:after="0" w:line="217"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181717"/>
        </w:rPr>
        <w:t xml:space="preserve">In addition, the agreements under which we currently license intellectual property or technology from third parties are </w:t>
      </w:r>
      <w:r>
        <w:rPr>
          <w:rFonts w:ascii="Arial" w:cs="Arial" w:eastAsia="Arial" w:hAnsi="Arial"/>
          <w:sz w:val="16"/>
          <w:szCs w:val="16"/>
          <w:color w:val="000000"/>
        </w:rPr>
        <w:t>complex</w:t>
      </w:r>
      <w:r>
        <w:rPr>
          <w:rFonts w:ascii="Arial" w:cs="Arial" w:eastAsia="Arial" w:hAnsi="Arial"/>
          <w:sz w:val="16"/>
          <w:szCs w:val="16"/>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7" w:name="page28"/>
    <w:bookmarkEnd w:id="27"/>
    <w:p>
      <w:pPr>
        <w:ind w:right="140"/>
        <w:spacing w:after="0" w:line="293"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59" w:lineRule="exact"/>
        <w:rPr>
          <w:sz w:val="20"/>
          <w:szCs w:val="20"/>
          <w:color w:val="auto"/>
        </w:rPr>
      </w:pPr>
    </w:p>
    <w:p>
      <w:pPr>
        <w:ind w:right="40" w:firstLine="648"/>
        <w:spacing w:after="0" w:line="286" w:lineRule="auto"/>
        <w:rPr>
          <w:sz w:val="20"/>
          <w:szCs w:val="20"/>
          <w:color w:val="auto"/>
        </w:rPr>
      </w:pPr>
      <w:r>
        <w:rPr>
          <w:rFonts w:ascii="Arial" w:cs="Arial" w:eastAsia="Arial" w:hAnsi="Arial"/>
          <w:sz w:val="15"/>
          <w:szCs w:val="15"/>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BTK, or BET inhibitors, nor for our anti-GITR antibody. Additionally, there can be no assurance given that any of the molecules under development in our IRAK4, BTK, or BET inhibitor program or in our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these drugs in any other division under whose supervision we may seek to develop our product candidates, or that the FDA will allow us to continue the development of our product candidates in those divisions where we maintain an active IND.</w:t>
      </w:r>
    </w:p>
    <w:p>
      <w:pPr>
        <w:spacing w:after="0" w:line="170"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b w:val="1"/>
          <w:bCs w:val="1"/>
          <w:i w:val="1"/>
          <w:iCs w:val="1"/>
          <w:color w:val="auto"/>
        </w:rPr>
        <w:t>We are highly dependent on the success of our product candidates and cannot give any assurance that these or any future product candidates will be successfully commercialized.</w:t>
      </w:r>
    </w:p>
    <w:p>
      <w:pPr>
        <w:spacing w:after="0" w:line="159" w:lineRule="exact"/>
        <w:rPr>
          <w:sz w:val="20"/>
          <w:szCs w:val="20"/>
          <w:color w:val="auto"/>
        </w:rPr>
      </w:pPr>
    </w:p>
    <w:p>
      <w:pPr>
        <w:jc w:val="both"/>
        <w:ind w:right="40" w:firstLine="648"/>
        <w:spacing w:after="0" w:line="278" w:lineRule="auto"/>
        <w:rPr>
          <w:sz w:val="20"/>
          <w:szCs w:val="20"/>
          <w:color w:val="auto"/>
        </w:rPr>
      </w:pPr>
      <w:r>
        <w:rPr>
          <w:rFonts w:ascii="Arial" w:cs="Arial" w:eastAsia="Arial" w:hAnsi="Arial"/>
          <w:sz w:val="16"/>
          <w:szCs w:val="16"/>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71" w:lineRule="exact"/>
        <w:rPr>
          <w:sz w:val="20"/>
          <w:szCs w:val="20"/>
          <w:color w:val="auto"/>
        </w:rPr>
      </w:pPr>
    </w:p>
    <w:p>
      <w:pPr>
        <w:ind w:right="160" w:firstLine="648"/>
        <w:spacing w:after="0" w:line="278" w:lineRule="auto"/>
        <w:rPr>
          <w:sz w:val="20"/>
          <w:szCs w:val="20"/>
          <w:color w:val="auto"/>
        </w:rPr>
      </w:pPr>
      <w:r>
        <w:rPr>
          <w:rFonts w:ascii="Arial" w:cs="Arial" w:eastAsia="Arial" w:hAnsi="Arial"/>
          <w:sz w:val="16"/>
          <w:szCs w:val="16"/>
          <w:color w:val="auto"/>
        </w:rPr>
        <w:t>If we are unable to develop, or receive regulatory approval for or successfully commercialize any of our product candidates, we will not be able to generate product revenues.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59" w:lineRule="exact"/>
        <w:rPr>
          <w:sz w:val="20"/>
          <w:szCs w:val="20"/>
          <w:color w:val="auto"/>
        </w:rPr>
      </w:pPr>
    </w:p>
    <w:p>
      <w:pPr>
        <w:ind w:right="20" w:firstLine="648"/>
        <w:spacing w:after="0" w:line="318" w:lineRule="auto"/>
        <w:rPr>
          <w:sz w:val="20"/>
          <w:szCs w:val="20"/>
          <w:color w:val="auto"/>
        </w:rPr>
      </w:pPr>
      <w:r>
        <w:rPr>
          <w:rFonts w:ascii="Arial" w:cs="Arial" w:eastAsia="Arial" w:hAnsi="Arial"/>
          <w:sz w:val="14"/>
          <w:szCs w:val="14"/>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49" w:lineRule="exact"/>
        <w:rPr>
          <w:sz w:val="20"/>
          <w:szCs w:val="20"/>
          <w:color w:val="auto"/>
        </w:rPr>
      </w:pPr>
    </w:p>
    <w:p>
      <w:pPr>
        <w:ind w:firstLine="648"/>
        <w:spacing w:after="0" w:line="285" w:lineRule="auto"/>
        <w:rPr>
          <w:sz w:val="20"/>
          <w:szCs w:val="20"/>
          <w:color w:val="auto"/>
        </w:rPr>
      </w:pPr>
      <w:r>
        <w:rPr>
          <w:rFonts w:ascii="Arial" w:cs="Arial" w:eastAsia="Arial" w:hAnsi="Arial"/>
          <w:sz w:val="15"/>
          <w:szCs w:val="15"/>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BTK, BET,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8" w:name="page29"/>
    <w:bookmarkEnd w:id="28"/>
    <w:p>
      <w:pPr>
        <w:ind w:right="260"/>
        <w:spacing w:after="0" w:line="293" w:lineRule="auto"/>
        <w:rPr>
          <w:sz w:val="20"/>
          <w:szCs w:val="20"/>
          <w:color w:val="auto"/>
        </w:rPr>
      </w:pPr>
      <w:r>
        <w:rPr>
          <w:rFonts w:ascii="Arial" w:cs="Arial" w:eastAsia="Arial" w:hAnsi="Arial"/>
          <w:sz w:val="16"/>
          <w:szCs w:val="16"/>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59" w:lineRule="exact"/>
        <w:rPr>
          <w:sz w:val="20"/>
          <w:szCs w:val="20"/>
          <w:color w:val="auto"/>
        </w:rPr>
      </w:pPr>
    </w:p>
    <w:p>
      <w:pPr>
        <w:ind w:right="20" w:firstLine="648"/>
        <w:spacing w:after="0" w:line="287" w:lineRule="auto"/>
        <w:rPr>
          <w:sz w:val="20"/>
          <w:szCs w:val="20"/>
          <w:color w:val="auto"/>
        </w:rPr>
      </w:pPr>
      <w:r>
        <w:rPr>
          <w:rFonts w:ascii="Arial" w:cs="Arial" w:eastAsia="Arial" w:hAnsi="Arial"/>
          <w:sz w:val="15"/>
          <w:szCs w:val="15"/>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66" w:lineRule="exact"/>
        <w:rPr>
          <w:sz w:val="20"/>
          <w:szCs w:val="20"/>
          <w:color w:val="auto"/>
        </w:rPr>
      </w:pPr>
    </w:p>
    <w:p>
      <w:pPr>
        <w:ind w:right="60" w:firstLine="648"/>
        <w:spacing w:after="0" w:line="288" w:lineRule="auto"/>
        <w:rPr>
          <w:sz w:val="20"/>
          <w:szCs w:val="20"/>
          <w:color w:val="auto"/>
        </w:rPr>
      </w:pPr>
      <w:r>
        <w:rPr>
          <w:rFonts w:ascii="Arial" w:cs="Arial" w:eastAsia="Arial" w:hAnsi="Arial"/>
          <w:sz w:val="15"/>
          <w:szCs w:val="15"/>
          <w:color w:val="auto"/>
        </w:rPr>
        <w:t>In September 2015 we announced a Phase 3 clinical trial for the combination of TG-1101 + TGR-1202 for patients with CLL, which is being conducted pursuant to an SPA with the FDA and in August 2017 we announced an SPA for our registration program for TG-1101 in relapsing forms of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sufficiency of our GENUINE trial results for approval are subject to FDA’s discretion.</w:t>
      </w:r>
    </w:p>
    <w:p>
      <w:pPr>
        <w:spacing w:after="0" w:line="221" w:lineRule="exact"/>
        <w:rPr>
          <w:sz w:val="20"/>
          <w:szCs w:val="20"/>
          <w:color w:val="auto"/>
        </w:rPr>
      </w:pPr>
    </w:p>
    <w:p>
      <w:pPr>
        <w:ind w:right="20" w:firstLine="648"/>
        <w:spacing w:after="0" w:line="288" w:lineRule="auto"/>
        <w:rPr>
          <w:sz w:val="20"/>
          <w:szCs w:val="20"/>
          <w:color w:val="auto"/>
        </w:rPr>
      </w:pPr>
      <w:r>
        <w:rPr>
          <w:rFonts w:ascii="Arial" w:cs="Arial" w:eastAsia="Arial" w:hAnsi="Arial"/>
          <w:sz w:val="15"/>
          <w:szCs w:val="15"/>
          <w:color w:val="auto"/>
        </w:rPr>
        <w:t>Obtaining accelerated approval for an agent requires demonstration of meaningful benefit over available therapies. While we believe we have an understanding of what is considered available therapy today, ultimately the determination of what constitutes available therapy is wholly up to the FDA and is subject to change. In October 2017, we announced the outcome of a meeting with the U.S. Food and Drug Administration (FDA) regarding the use of the results from the GENUINE Phase 3 trial to support a Biologics License Application (BLA) filing for accelerated approval of TG-1101 in combination with ibrutinib. As part of the discussion, the FDA also guided that if one or more agents obtained full approval before we could obtain accelerated approval, those agents could be considered available therapy, and we would need to show meaningful benefit over those agents as well.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w:t>
      </w:r>
    </w:p>
    <w:p>
      <w:pPr>
        <w:spacing w:after="0" w:line="167" w:lineRule="exact"/>
        <w:rPr>
          <w:sz w:val="20"/>
          <w:szCs w:val="20"/>
          <w:color w:val="auto"/>
        </w:rPr>
      </w:pPr>
    </w:p>
    <w:p>
      <w:pPr>
        <w:ind w:right="20" w:firstLine="648"/>
        <w:spacing w:after="0" w:line="318" w:lineRule="auto"/>
        <w:rPr>
          <w:sz w:val="20"/>
          <w:szCs w:val="20"/>
          <w:color w:val="auto"/>
        </w:rPr>
      </w:pPr>
      <w:r>
        <w:rPr>
          <w:rFonts w:ascii="Arial" w:cs="Arial" w:eastAsia="Arial" w:hAnsi="Arial"/>
          <w:sz w:val="14"/>
          <w:szCs w:val="14"/>
          <w:color w:val="auto"/>
        </w:rPr>
        <w:t>While we wait to see if any drugs receive full approval and can evaluate the data associated with any such agents, we are continuing to make preparations for a BLA filing for accelerated approval. Whether or not we ultimately file such application will be subject to multiple factors and no assurance can be given that a filing will be made. If a filing is made, the FDA acceptance of such a filing will depend on the FDA’s views on the adequacy of the filing, and further even if the filing is accepted, approval of such a filing is a question wholly within the FDA’s discretion to determine. In addition, if we were to receive accelerated approval, we would be required to conduct a post-market confirmatory study, which we may not complete, or if completed, may prove unsuccessful. In such instance, the FDA can remove the product from the market.</w:t>
      </w:r>
    </w:p>
    <w:p>
      <w:pPr>
        <w:spacing w:after="0" w:line="149" w:lineRule="exact"/>
        <w:rPr>
          <w:sz w:val="20"/>
          <w:szCs w:val="20"/>
          <w:color w:val="auto"/>
        </w:rPr>
      </w:pPr>
    </w:p>
    <w:p>
      <w:pPr>
        <w:jc w:val="both"/>
        <w:ind w:right="160" w:firstLine="648"/>
        <w:spacing w:after="0" w:line="278" w:lineRule="auto"/>
        <w:rPr>
          <w:sz w:val="20"/>
          <w:szCs w:val="20"/>
          <w:color w:val="auto"/>
        </w:rPr>
      </w:pPr>
      <w:r>
        <w:rPr>
          <w:rFonts w:ascii="Arial" w:cs="Arial" w:eastAsia="Arial" w:hAnsi="Arial"/>
          <w:sz w:val="16"/>
          <w:szCs w:val="16"/>
          <w:color w:val="auto"/>
        </w:rPr>
        <w:t>The GENUINE study in its final form was not powered for progression-free survival (PFS). There can be no assurance given that we will reach agreement with the FDA on an acceptable use of PFS data from GENUINE to support approval of TG-1101, or even if an agreement is reached, that the PFS results of TG-1101 will be positive and/or sufficient to support a regulatory approval of TG-1101.</w:t>
      </w:r>
    </w:p>
    <w:p>
      <w:pPr>
        <w:spacing w:after="0" w:line="171" w:lineRule="exact"/>
        <w:rPr>
          <w:sz w:val="20"/>
          <w:szCs w:val="20"/>
          <w:color w:val="auto"/>
        </w:rPr>
      </w:pPr>
    </w:p>
    <w:p>
      <w:pPr>
        <w:jc w:val="both"/>
        <w:ind w:right="180"/>
        <w:spacing w:after="0" w:line="329"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35" w:lineRule="exact"/>
        <w:rPr>
          <w:sz w:val="20"/>
          <w:szCs w:val="20"/>
          <w:color w:val="auto"/>
        </w:rPr>
      </w:pPr>
    </w:p>
    <w:p>
      <w:pPr>
        <w:ind w:firstLine="648"/>
        <w:spacing w:after="0" w:line="307" w:lineRule="auto"/>
        <w:rPr>
          <w:sz w:val="20"/>
          <w:szCs w:val="20"/>
          <w:color w:val="auto"/>
        </w:rPr>
      </w:pPr>
      <w:r>
        <w:rPr>
          <w:rFonts w:ascii="Arial" w:cs="Arial" w:eastAsia="Arial" w:hAnsi="Arial"/>
          <w:sz w:val="14"/>
          <w:szCs w:val="14"/>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29" w:name="page30"/>
    <w:bookmarkEnd w:id="29"/>
    <w:p>
      <w:pPr>
        <w:ind w:right="240"/>
        <w:spacing w:after="0" w:line="265"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the design or implementation of our clinical trials;</w:t>
      </w:r>
    </w:p>
    <w:p>
      <w:pPr>
        <w:spacing w:after="0" w:line="18" w:lineRule="exact"/>
        <w:rPr>
          <w:rFonts w:ascii="Arial" w:cs="Arial" w:eastAsia="Arial" w:hAnsi="Arial"/>
          <w:sz w:val="16"/>
          <w:szCs w:val="16"/>
          <w:color w:val="auto"/>
        </w:rPr>
      </w:pPr>
    </w:p>
    <w:p>
      <w:pPr>
        <w:ind w:left="980" w:right="20" w:hanging="324"/>
        <w:spacing w:after="0" w:line="26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any indication;</w:t>
      </w:r>
    </w:p>
    <w:p>
      <w:pPr>
        <w:ind w:left="980" w:hanging="324"/>
        <w:spacing w:after="0" w:line="26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may not accept clinical data from trials which are conducted by individual investigators or in countries where the standard of care is potentially different from the United States;</w:t>
      </w:r>
    </w:p>
    <w:p>
      <w:pPr>
        <w:ind w:left="980" w:hanging="324"/>
        <w:spacing w:after="0"/>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results of clinical trials may not meet the level of statistical significance required by the FDA or comparable foreign regulatory authorities for approval;</w:t>
      </w:r>
    </w:p>
    <w:p>
      <w:pPr>
        <w:spacing w:after="0" w:line="30" w:lineRule="exact"/>
        <w:rPr>
          <w:rFonts w:ascii="Arial" w:cs="Arial" w:eastAsia="Arial" w:hAnsi="Arial"/>
          <w:sz w:val="15"/>
          <w:szCs w:val="15"/>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1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8" w:lineRule="exact"/>
        <w:rPr>
          <w:rFonts w:ascii="Arial" w:cs="Arial" w:eastAsia="Arial" w:hAnsi="Arial"/>
          <w:sz w:val="16"/>
          <w:szCs w:val="16"/>
          <w:color w:val="auto"/>
        </w:rPr>
      </w:pPr>
    </w:p>
    <w:p>
      <w:pPr>
        <w:ind w:left="980" w:hanging="324"/>
        <w:spacing w:after="0" w:line="26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BLA, NDA or other submission or to obtain regulatory approval in the United States or elsewhere;</w:t>
      </w:r>
    </w:p>
    <w:p>
      <w:pPr>
        <w:ind w:left="980" w:hanging="324"/>
        <w:spacing w:after="0" w:line="264"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20" w:hanging="324"/>
        <w:spacing w:after="0" w:line="288"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59"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71" w:lineRule="exact"/>
        <w:rPr>
          <w:sz w:val="20"/>
          <w:szCs w:val="20"/>
          <w:color w:val="auto"/>
        </w:rPr>
      </w:pPr>
    </w:p>
    <w:p>
      <w:pPr>
        <w:ind w:firstLine="648"/>
        <w:spacing w:after="0" w:line="284" w:lineRule="auto"/>
        <w:rPr>
          <w:sz w:val="20"/>
          <w:szCs w:val="20"/>
          <w:color w:val="auto"/>
        </w:rPr>
      </w:pPr>
      <w:r>
        <w:rPr>
          <w:rFonts w:ascii="Arial" w:cs="Arial" w:eastAsia="Arial" w:hAnsi="Arial"/>
          <w:sz w:val="15"/>
          <w:szCs w:val="15"/>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the Company not be able to adequately demonstrate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approximately one thousand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0" w:name="page31"/>
    <w:bookmarkEnd w:id="30"/>
    <w:p>
      <w:pPr>
        <w:ind w:right="220" w:firstLine="648"/>
        <w:spacing w:after="0" w:line="289" w:lineRule="auto"/>
        <w:rPr>
          <w:sz w:val="20"/>
          <w:szCs w:val="20"/>
          <w:color w:val="auto"/>
        </w:rPr>
      </w:pPr>
      <w:r>
        <w:rPr>
          <w:rFonts w:ascii="Arial" w:cs="Arial" w:eastAsia="Arial" w:hAnsi="Arial"/>
          <w:sz w:val="15"/>
          <w:szCs w:val="15"/>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67"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 of the affected product;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require a more significant clinical benefit for approval to offset the risk;</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that could diminish the usage of the product or otherwise limit the commercial success of the affected product;</w:t>
      </w: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choose to discontinue sale of the product;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not be able to enter into collaboration agreements on acceptable terms and execute on our business model;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17"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59" w:lineRule="exact"/>
        <w:rPr>
          <w:sz w:val="20"/>
          <w:szCs w:val="20"/>
          <w:color w:val="auto"/>
        </w:rPr>
      </w:pPr>
    </w:p>
    <w:p>
      <w:pPr>
        <w:ind w:right="80" w:firstLine="648"/>
        <w:spacing w:after="0" w:line="273"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76"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77" w:lineRule="exact"/>
        <w:rPr>
          <w:sz w:val="20"/>
          <w:szCs w:val="20"/>
          <w:color w:val="auto"/>
        </w:rPr>
      </w:pPr>
    </w:p>
    <w:p>
      <w:pPr>
        <w:jc w:val="both"/>
        <w:ind w:right="500" w:firstLine="648"/>
        <w:spacing w:after="0" w:line="335" w:lineRule="auto"/>
        <w:rPr>
          <w:sz w:val="20"/>
          <w:szCs w:val="20"/>
          <w:color w:val="auto"/>
        </w:rPr>
      </w:pPr>
      <w:r>
        <w:rPr>
          <w:rFonts w:ascii="Arial" w:cs="Arial" w:eastAsia="Arial" w:hAnsi="Arial"/>
          <w:sz w:val="14"/>
          <w:szCs w:val="14"/>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36" w:lineRule="exact"/>
        <w:rPr>
          <w:sz w:val="20"/>
          <w:szCs w:val="20"/>
          <w:color w:val="auto"/>
        </w:rPr>
      </w:pPr>
    </w:p>
    <w:p>
      <w:pPr>
        <w:ind w:firstLine="648"/>
        <w:spacing w:after="0" w:line="293" w:lineRule="auto"/>
        <w:rPr>
          <w:sz w:val="20"/>
          <w:szCs w:val="20"/>
          <w:color w:val="auto"/>
        </w:rPr>
      </w:pPr>
      <w:r>
        <w:rPr>
          <w:rFonts w:ascii="Arial" w:cs="Arial" w:eastAsia="Arial" w:hAnsi="Arial"/>
          <w:sz w:val="15"/>
          <w:szCs w:val="15"/>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1" w:name="page32"/>
    <w:bookmarkEnd w:id="31"/>
    <w:p>
      <w:pPr>
        <w:ind w:right="60" w:firstLine="648"/>
        <w:spacing w:after="0" w:line="293" w:lineRule="auto"/>
        <w:rPr>
          <w:sz w:val="20"/>
          <w:szCs w:val="20"/>
          <w:color w:val="auto"/>
        </w:rPr>
      </w:pPr>
      <w:r>
        <w:rPr>
          <w:rFonts w:ascii="Arial" w:cs="Arial" w:eastAsia="Arial" w:hAnsi="Arial"/>
          <w:sz w:val="16"/>
          <w:szCs w:val="16"/>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Even assuming an active IND for a product candidate, we do not know whether our planned clinical trials for any such product candidate will begin on time, or at all.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commencement of clinical trials can be delayed for a variety of reasons, including delays in:</w:t>
      </w:r>
    </w:p>
    <w:p>
      <w:pPr>
        <w:spacing w:after="0" w:line="1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regulatory clearance to commence a clinical trial;</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identifying, recruiting and training suitable clinical investigators;</w:t>
      </w:r>
    </w:p>
    <w:p>
      <w:pPr>
        <w:spacing w:after="0" w:line="1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sufficient quantities of a product candidate for use in clinical trials;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obtaining institutional review board (“IRB”) or ethics committee approval to conduct a clinical trial at a prospective site;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identifying, recruiting and enrolling patients to participate in a clinical trial;</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retaining patients who have initiated a clinical trial but may withdraw due to adverse events from the therapy, insufficient efficacy, fatigue with the clinical trial process or personal issues; and</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unexpected safety findings.</w:t>
      </w:r>
    </w:p>
    <w:p>
      <w:pPr>
        <w:spacing w:after="0" w:line="217" w:lineRule="exact"/>
        <w:rPr>
          <w:sz w:val="20"/>
          <w:szCs w:val="20"/>
          <w:color w:val="auto"/>
        </w:rPr>
      </w:pPr>
    </w:p>
    <w:p>
      <w:pPr>
        <w:ind w:right="20" w:firstLine="648"/>
        <w:spacing w:after="0" w:line="329" w:lineRule="auto"/>
        <w:rPr>
          <w:sz w:val="20"/>
          <w:szCs w:val="20"/>
          <w:color w:val="auto"/>
        </w:rPr>
      </w:pPr>
      <w:r>
        <w:rPr>
          <w:rFonts w:ascii="Arial" w:cs="Arial" w:eastAsia="Arial" w:hAnsi="Arial"/>
          <w:sz w:val="15"/>
          <w:szCs w:val="15"/>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the completion of clinical testing could result in increased costs and delay our ability to generate product revenues.</w:t>
      </w:r>
    </w:p>
    <w:p>
      <w:pPr>
        <w:spacing w:after="0" w:line="221" w:lineRule="exact"/>
        <w:rPr>
          <w:sz w:val="20"/>
          <w:szCs w:val="20"/>
          <w:color w:val="auto"/>
        </w:rPr>
      </w:pPr>
    </w:p>
    <w:p>
      <w:pPr>
        <w:ind w:right="40" w:firstLine="648"/>
        <w:spacing w:after="0" w:line="283" w:lineRule="auto"/>
        <w:rPr>
          <w:sz w:val="20"/>
          <w:szCs w:val="20"/>
          <w:color w:val="auto"/>
        </w:rPr>
      </w:pPr>
      <w:r>
        <w:rPr>
          <w:rFonts w:ascii="Arial" w:cs="Arial" w:eastAsia="Arial" w:hAnsi="Arial"/>
          <w:sz w:val="15"/>
          <w:szCs w:val="15"/>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conduct the clinical trial in accordance with regulatory requirements or our clinical protocols;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unforeseen safety issues or any determination that the clinical trial presents unacceptable health risks;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w:t>
      </w:r>
    </w:p>
    <w:p>
      <w:pPr>
        <w:spacing w:after="0" w:line="217" w:lineRule="exact"/>
        <w:rPr>
          <w:sz w:val="20"/>
          <w:szCs w:val="20"/>
          <w:color w:val="auto"/>
        </w:rPr>
      </w:pPr>
    </w:p>
    <w:p>
      <w:pPr>
        <w:ind w:right="20" w:firstLine="648"/>
        <w:spacing w:after="0" w:line="315" w:lineRule="auto"/>
        <w:rPr>
          <w:sz w:val="20"/>
          <w:szCs w:val="20"/>
          <w:color w:val="auto"/>
        </w:rPr>
      </w:pPr>
      <w:r>
        <w:rPr>
          <w:rFonts w:ascii="Arial" w:cs="Arial" w:eastAsia="Arial" w:hAnsi="Arial"/>
          <w:sz w:val="14"/>
          <w:szCs w:val="14"/>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5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59" w:lineRule="exact"/>
        <w:rPr>
          <w:sz w:val="20"/>
          <w:szCs w:val="20"/>
          <w:color w:val="auto"/>
        </w:rPr>
      </w:pPr>
    </w:p>
    <w:p>
      <w:pPr>
        <w:jc w:val="both"/>
        <w:ind w:right="80" w:firstLine="648"/>
        <w:spacing w:after="0" w:line="278"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71" w:lineRule="exact"/>
        <w:rPr>
          <w:sz w:val="20"/>
          <w:szCs w:val="20"/>
          <w:color w:val="auto"/>
        </w:rPr>
      </w:pPr>
    </w:p>
    <w:p>
      <w:pPr>
        <w:jc w:val="both"/>
        <w:ind w:right="220" w:firstLine="648"/>
        <w:spacing w:after="0" w:line="335" w:lineRule="auto"/>
        <w:rPr>
          <w:sz w:val="20"/>
          <w:szCs w:val="20"/>
          <w:color w:val="auto"/>
        </w:rPr>
      </w:pPr>
      <w:r>
        <w:rPr>
          <w:rFonts w:ascii="Arial" w:cs="Arial" w:eastAsia="Arial" w:hAnsi="Arial"/>
          <w:sz w:val="14"/>
          <w:szCs w:val="14"/>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2" w:name="page33"/>
    <w:bookmarkEnd w:id="32"/>
    <w:p>
      <w:pPr>
        <w:ind w:right="20" w:firstLine="648"/>
        <w:spacing w:after="0" w:line="297" w:lineRule="auto"/>
        <w:rPr>
          <w:sz w:val="20"/>
          <w:szCs w:val="20"/>
          <w:color w:val="auto"/>
        </w:rPr>
      </w:pPr>
      <w:r>
        <w:rPr>
          <w:rFonts w:ascii="Arial" w:cs="Arial" w:eastAsia="Arial" w:hAnsi="Arial"/>
          <w:sz w:val="15"/>
          <w:szCs w:val="15"/>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5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59"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to enable introduction into our clinical trials,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67"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ind w:right="60" w:firstLine="648"/>
        <w:spacing w:after="0" w:line="288" w:lineRule="auto"/>
        <w:rPr>
          <w:sz w:val="20"/>
          <w:szCs w:val="20"/>
          <w:color w:val="auto"/>
        </w:rPr>
      </w:pPr>
      <w:r>
        <w:rPr>
          <w:rFonts w:ascii="Arial" w:cs="Arial" w:eastAsia="Arial" w:hAnsi="Arial"/>
          <w:sz w:val="15"/>
          <w:szCs w:val="15"/>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the Company is exposed to liability risks under the Foreign Corrupt Practices Act or similar anti-bribery laws.</w:t>
      </w:r>
    </w:p>
    <w:p>
      <w:pPr>
        <w:spacing w:after="0" w:line="167" w:lineRule="exact"/>
        <w:rPr>
          <w:sz w:val="20"/>
          <w:szCs w:val="20"/>
          <w:color w:val="auto"/>
        </w:rPr>
      </w:pPr>
    </w:p>
    <w:p>
      <w:pPr>
        <w:ind w:right="160"/>
        <w:spacing w:after="0" w:line="369" w:lineRule="auto"/>
        <w:rPr>
          <w:sz w:val="20"/>
          <w:szCs w:val="20"/>
          <w:color w:val="auto"/>
        </w:rPr>
      </w:pPr>
      <w:r>
        <w:rPr>
          <w:rFonts w:ascii="Arial" w:cs="Arial" w:eastAsia="Arial" w:hAnsi="Arial"/>
          <w:sz w:val="14"/>
          <w:szCs w:val="14"/>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13" w:lineRule="exact"/>
        <w:rPr>
          <w:sz w:val="20"/>
          <w:szCs w:val="20"/>
          <w:color w:val="auto"/>
        </w:rPr>
      </w:pPr>
    </w:p>
    <w:p>
      <w:pPr>
        <w:ind w:firstLine="648"/>
        <w:spacing w:after="0" w:line="291" w:lineRule="auto"/>
        <w:rPr>
          <w:sz w:val="20"/>
          <w:szCs w:val="20"/>
          <w:color w:val="auto"/>
        </w:rPr>
      </w:pPr>
      <w:r>
        <w:rPr>
          <w:rFonts w:ascii="Arial" w:cs="Arial" w:eastAsia="Arial" w:hAnsi="Arial"/>
          <w:sz w:val="15"/>
          <w:szCs w:val="15"/>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63" w:lineRule="exact"/>
        <w:rPr>
          <w:sz w:val="20"/>
          <w:szCs w:val="20"/>
          <w:color w:val="auto"/>
        </w:rPr>
      </w:pPr>
    </w:p>
    <w:p>
      <w:pPr>
        <w:ind w:right="240" w:firstLine="648"/>
        <w:spacing w:after="0" w:line="273"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7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In 2017,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3" w:name="page34"/>
    <w:bookmarkEnd w:id="33"/>
    <w:p>
      <w:pPr>
        <w:ind w:right="20" w:firstLine="648"/>
        <w:spacing w:after="0" w:line="273" w:lineRule="auto"/>
        <w:rPr>
          <w:sz w:val="20"/>
          <w:szCs w:val="20"/>
          <w:color w:val="auto"/>
        </w:rPr>
      </w:pPr>
      <w:r>
        <w:rPr>
          <w:rFonts w:ascii="Arial" w:cs="Arial" w:eastAsia="Arial" w:hAnsi="Arial"/>
          <w:sz w:val="15"/>
          <w:szCs w:val="15"/>
          <w:color w:val="auto"/>
        </w:rPr>
        <w:t>With respect to TGR-1202, there are several PI3K delta targeted compounds both approved, such as Gilead’s Zydelig</w:t>
      </w:r>
      <w:r>
        <w:rPr>
          <w:rFonts w:ascii="Arial" w:cs="Arial" w:eastAsia="Arial" w:hAnsi="Arial"/>
          <w:sz w:val="20"/>
          <w:szCs w:val="20"/>
          <w:color w:val="auto"/>
          <w:vertAlign w:val="superscript"/>
        </w:rPr>
        <w:t>®</w:t>
      </w:r>
      <w:r>
        <w:rPr>
          <w:rFonts w:ascii="Arial" w:cs="Arial" w:eastAsia="Arial" w:hAnsi="Arial"/>
          <w:sz w:val="15"/>
          <w:szCs w:val="15"/>
          <w:color w:val="auto"/>
        </w:rPr>
        <w:t xml:space="preserve"> (idelalisib) and Bayer’s Aliqopa™ (copanlisib),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These developments may render our product candidates obsolete or noncompetitive. Compared to us, many of our potential competitors have substantially greater:</w:t>
      </w:r>
    </w:p>
    <w:p>
      <w:pPr>
        <w:spacing w:after="0" w:line="3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research and development resources, including personnel and technology;</w:t>
      </w:r>
    </w:p>
    <w:p>
      <w:pPr>
        <w:spacing w:after="0" w:line="1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experience;</w:t>
      </w:r>
    </w:p>
    <w:p>
      <w:pPr>
        <w:spacing w:after="0" w:line="1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pharmaceutical development, clinical trial and pharmaceutical commercialization experience;</w:t>
      </w:r>
    </w:p>
    <w:p>
      <w:pPr>
        <w:spacing w:after="0" w:line="1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and expertise in exploitation of intellectual property rights; and</w:t>
      </w:r>
    </w:p>
    <w:p>
      <w:pPr>
        <w:spacing w:after="0" w:line="18"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capital resources.</w:t>
      </w:r>
    </w:p>
    <w:p>
      <w:pPr>
        <w:spacing w:after="0" w:line="217" w:lineRule="exact"/>
        <w:rPr>
          <w:sz w:val="20"/>
          <w:szCs w:val="20"/>
          <w:color w:val="auto"/>
        </w:rPr>
      </w:pPr>
    </w:p>
    <w:p>
      <w:pPr>
        <w:ind w:right="420" w:firstLine="648"/>
        <w:spacing w:after="0" w:line="271"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59" w:lineRule="exact"/>
        <w:rPr>
          <w:sz w:val="20"/>
          <w:szCs w:val="20"/>
          <w:color w:val="auto"/>
        </w:rPr>
      </w:pPr>
    </w:p>
    <w:p>
      <w:pPr>
        <w:ind w:right="220"/>
        <w:spacing w:after="0" w:line="370" w:lineRule="auto"/>
        <w:rPr>
          <w:sz w:val="20"/>
          <w:szCs w:val="20"/>
          <w:color w:val="auto"/>
        </w:rPr>
      </w:pPr>
      <w:r>
        <w:rPr>
          <w:rFonts w:ascii="Arial" w:cs="Arial" w:eastAsia="Arial" w:hAnsi="Arial"/>
          <w:sz w:val="13"/>
          <w:szCs w:val="13"/>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19" w:lineRule="exact"/>
        <w:rPr>
          <w:sz w:val="20"/>
          <w:szCs w:val="20"/>
          <w:color w:val="auto"/>
        </w:rPr>
      </w:pPr>
    </w:p>
    <w:p>
      <w:pPr>
        <w:ind w:firstLine="648"/>
        <w:spacing w:after="0" w:line="287" w:lineRule="auto"/>
        <w:rPr>
          <w:sz w:val="20"/>
          <w:szCs w:val="20"/>
          <w:color w:val="auto"/>
        </w:rPr>
      </w:pPr>
      <w:r>
        <w:rPr>
          <w:rFonts w:ascii="Arial" w:cs="Arial" w:eastAsia="Arial" w:hAnsi="Arial"/>
          <w:sz w:val="15"/>
          <w:szCs w:val="15"/>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5"/>
          <w:szCs w:val="15"/>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28" w:right="259" w:bottom="1440" w:gutter="0" w:footer="0" w:header="0"/>
        </w:sectPr>
      </w:pPr>
    </w:p>
    <w:bookmarkStart w:id="34" w:name="page35"/>
    <w:bookmarkEnd w:id="34"/>
    <w:p>
      <w:pPr>
        <w:ind w:right="20" w:firstLine="648"/>
        <w:spacing w:after="0" w:line="291" w:lineRule="auto"/>
        <w:rPr>
          <w:sz w:val="20"/>
          <w:szCs w:val="20"/>
          <w:color w:val="auto"/>
        </w:rPr>
      </w:pPr>
      <w:r>
        <w:rPr>
          <w:rFonts w:ascii="Arial" w:cs="Arial" w:eastAsia="Arial" w:hAnsi="Arial"/>
          <w:sz w:val="15"/>
          <w:szCs w:val="15"/>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6"/>
          <w:szCs w:val="16"/>
          <w:color w:val="181717"/>
        </w:rPr>
        <w:t>Our product candidates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We may incur added costs and delays in identifying and qualifying any replacement manufacturers.</w:t>
      </w:r>
    </w:p>
    <w:p>
      <w:pPr>
        <w:spacing w:after="0" w:line="17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181717"/>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59" w:lineRule="exact"/>
        <w:rPr>
          <w:sz w:val="20"/>
          <w:szCs w:val="20"/>
          <w:color w:val="auto"/>
        </w:rPr>
      </w:pPr>
    </w:p>
    <w:p>
      <w:pPr>
        <w:ind w:right="120" w:firstLine="648"/>
        <w:spacing w:after="0" w:line="278" w:lineRule="auto"/>
        <w:rPr>
          <w:sz w:val="20"/>
          <w:szCs w:val="20"/>
          <w:color w:val="auto"/>
        </w:rPr>
      </w:pPr>
      <w:r>
        <w:rPr>
          <w:rFonts w:ascii="Arial" w:cs="Arial" w:eastAsia="Arial" w:hAnsi="Arial"/>
          <w:sz w:val="16"/>
          <w:szCs w:val="16"/>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1" w:lineRule="exact"/>
        <w:rPr>
          <w:sz w:val="20"/>
          <w:szCs w:val="20"/>
          <w:color w:val="auto"/>
        </w:rPr>
      </w:pPr>
    </w:p>
    <w:p>
      <w:pPr>
        <w:jc w:val="both"/>
        <w:ind w:right="440"/>
        <w:spacing w:after="0" w:line="278" w:lineRule="auto"/>
        <w:rPr>
          <w:sz w:val="20"/>
          <w:szCs w:val="20"/>
          <w:color w:val="auto"/>
        </w:rPr>
      </w:pPr>
      <w:r>
        <w:rPr>
          <w:rFonts w:ascii="Arial" w:cs="Arial" w:eastAsia="Arial" w:hAnsi="Arial"/>
          <w:sz w:val="16"/>
          <w:szCs w:val="16"/>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71" w:lineRule="exact"/>
        <w:rPr>
          <w:sz w:val="20"/>
          <w:szCs w:val="20"/>
          <w:color w:val="auto"/>
        </w:rPr>
      </w:pPr>
    </w:p>
    <w:p>
      <w:pPr>
        <w:jc w:val="both"/>
        <w:ind w:right="260" w:firstLine="648"/>
        <w:spacing w:after="0" w:line="278"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5"/>
          <w:szCs w:val="15"/>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6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181717"/>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right="160" w:firstLine="648"/>
        <w:spacing w:after="0" w:line="278" w:lineRule="auto"/>
        <w:rPr>
          <w:sz w:val="20"/>
          <w:szCs w:val="20"/>
          <w:color w:val="auto"/>
        </w:rPr>
      </w:pPr>
      <w:r>
        <w:rPr>
          <w:rFonts w:ascii="Arial" w:cs="Arial" w:eastAsia="Arial" w:hAnsi="Arial"/>
          <w:sz w:val="16"/>
          <w:szCs w:val="16"/>
          <w:color w:val="181717"/>
        </w:rPr>
        <w:t xml:space="preserve">Any future product candidate development programs and the potential commercialization of </w:t>
      </w:r>
      <w:r>
        <w:rPr>
          <w:rFonts w:ascii="Arial" w:cs="Arial" w:eastAsia="Arial" w:hAnsi="Arial"/>
          <w:sz w:val="16"/>
          <w:szCs w:val="16"/>
          <w:color w:val="000000"/>
        </w:rPr>
        <w:t>our</w:t>
      </w:r>
      <w:r>
        <w:rPr>
          <w:rFonts w:ascii="Arial" w:cs="Arial" w:eastAsia="Arial" w:hAnsi="Arial"/>
          <w:sz w:val="16"/>
          <w:szCs w:val="16"/>
          <w:color w:val="181717"/>
        </w:rPr>
        <w:t xml:space="preserve"> product candidates will require substantial additional cash to fund expenses. For </w:t>
      </w:r>
      <w:r>
        <w:rPr>
          <w:rFonts w:ascii="Arial" w:cs="Arial" w:eastAsia="Arial" w:hAnsi="Arial"/>
          <w:sz w:val="16"/>
          <w:szCs w:val="16"/>
          <w:color w:val="000000"/>
        </w:rPr>
        <w:t>any current or</w:t>
      </w:r>
      <w:r>
        <w:rPr>
          <w:rFonts w:ascii="Arial" w:cs="Arial" w:eastAsia="Arial" w:hAnsi="Arial"/>
          <w:sz w:val="16"/>
          <w:szCs w:val="16"/>
          <w:color w:val="181717"/>
        </w:rPr>
        <w:t xml:space="preserve"> future product candidates, we may decide to collaborate with additional pharmaceutical and biotechnology companies for the development and potential commercialization of those product candidates.</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5"/>
          <w:szCs w:val="15"/>
          <w:color w:val="181717"/>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any future product candidate. The terms of any additional collaborations or other arrangements that we may establish may not be favorable to us.</w:t>
      </w:r>
    </w:p>
    <w:p>
      <w:pPr>
        <w:spacing w:after="0" w:line="167" w:lineRule="exact"/>
        <w:rPr>
          <w:sz w:val="20"/>
          <w:szCs w:val="20"/>
          <w:color w:val="auto"/>
        </w:rPr>
      </w:pPr>
    </w:p>
    <w:p>
      <w:pPr>
        <w:ind w:right="360" w:firstLine="648"/>
        <w:spacing w:after="0" w:line="324" w:lineRule="auto"/>
        <w:rPr>
          <w:sz w:val="20"/>
          <w:szCs w:val="20"/>
          <w:color w:val="auto"/>
        </w:rPr>
      </w:pPr>
      <w:r>
        <w:rPr>
          <w:rFonts w:ascii="Arial" w:cs="Arial" w:eastAsia="Arial" w:hAnsi="Arial"/>
          <w:sz w:val="14"/>
          <w:szCs w:val="14"/>
          <w:color w:val="181717"/>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reduce or delay any other future development programs.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8" w:right="299" w:bottom="1440" w:gutter="0" w:footer="0" w:header="0"/>
        </w:sectPr>
      </w:pPr>
    </w:p>
    <w:bookmarkStart w:id="35" w:name="page36"/>
    <w:bookmarkEnd w:id="35"/>
    <w:p>
      <w:pPr>
        <w:ind w:right="20"/>
        <w:spacing w:after="0" w:line="293" w:lineRule="auto"/>
        <w:rPr>
          <w:sz w:val="20"/>
          <w:szCs w:val="20"/>
          <w:color w:val="auto"/>
        </w:rPr>
      </w:pPr>
      <w:r>
        <w:rPr>
          <w:rFonts w:ascii="Arial" w:cs="Arial" w:eastAsia="Arial" w:hAnsi="Arial"/>
          <w:sz w:val="16"/>
          <w:szCs w:val="16"/>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ind w:firstLine="648"/>
        <w:spacing w:after="0" w:line="315" w:lineRule="auto"/>
        <w:rPr>
          <w:sz w:val="20"/>
          <w:szCs w:val="20"/>
          <w:color w:val="auto"/>
        </w:rPr>
      </w:pPr>
      <w:r>
        <w:rPr>
          <w:rFonts w:ascii="Arial" w:cs="Arial" w:eastAsia="Arial" w:hAnsi="Arial"/>
          <w:sz w:val="14"/>
          <w:szCs w:val="14"/>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81717"/>
        </w:rPr>
        <w:t>We will need to obtain FDA approval of any proposed product brand names, and any failure or delay associated with such approval may adversely impact our business.</w:t>
      </w:r>
    </w:p>
    <w:p>
      <w:pPr>
        <w:spacing w:after="0" w:line="244" w:lineRule="exact"/>
        <w:rPr>
          <w:sz w:val="20"/>
          <w:szCs w:val="20"/>
          <w:color w:val="auto"/>
        </w:rPr>
      </w:pPr>
    </w:p>
    <w:p>
      <w:pPr>
        <w:ind w:firstLine="648"/>
        <w:spacing w:after="0" w:line="287" w:lineRule="auto"/>
        <w:rPr>
          <w:sz w:val="20"/>
          <w:szCs w:val="20"/>
          <w:color w:val="auto"/>
        </w:rPr>
      </w:pPr>
      <w:r>
        <w:rPr>
          <w:rFonts w:ascii="Arial" w:cs="Arial" w:eastAsia="Arial" w:hAnsi="Arial"/>
          <w:sz w:val="15"/>
          <w:szCs w:val="15"/>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Arial" w:cs="Arial" w:eastAsia="Arial" w:hAnsi="Arial"/>
          <w:sz w:val="15"/>
          <w:szCs w:val="15"/>
          <w:color w:val="000000"/>
        </w:rPr>
        <w:t>TG-1101, TGR-1202</w:t>
      </w:r>
      <w:r>
        <w:rPr>
          <w:rFonts w:ascii="Arial" w:cs="Arial" w:eastAsia="Arial" w:hAnsi="Arial"/>
          <w:sz w:val="15"/>
          <w:szCs w:val="15"/>
          <w:color w:val="181717"/>
        </w:rPr>
        <w:t xml:space="preserve"> or any future product candidates will require approval from the FDA regardless of whether we have secured a formal trademark registration from the U.S. Patent and Trademark Office, or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Arial" w:cs="Arial" w:eastAsia="Arial" w:hAnsi="Arial"/>
          <w:sz w:val="15"/>
          <w:szCs w:val="15"/>
          <w:color w:val="000000"/>
        </w:rPr>
        <w:t>required</w:t>
      </w:r>
      <w:r>
        <w:rPr>
          <w:rFonts w:ascii="Arial" w:cs="Arial" w:eastAsia="Arial" w:hAnsi="Arial"/>
          <w:sz w:val="15"/>
          <w:szCs w:val="15"/>
          <w:color w:val="181717"/>
        </w:rPr>
        <w:t xml:space="preserve"> to adopt an alternative brand name for </w:t>
      </w:r>
      <w:r>
        <w:rPr>
          <w:rFonts w:ascii="Arial" w:cs="Arial" w:eastAsia="Arial" w:hAnsi="Arial"/>
          <w:sz w:val="15"/>
          <w:szCs w:val="15"/>
          <w:color w:val="000000"/>
        </w:rPr>
        <w:t xml:space="preserve">TG-1101, TGR-1202 </w:t>
      </w:r>
      <w:r>
        <w:rPr>
          <w:rFonts w:ascii="Arial" w:cs="Arial" w:eastAsia="Arial" w:hAnsi="Arial"/>
          <w:sz w:val="15"/>
          <w:szCs w:val="15"/>
          <w:color w:val="181717"/>
        </w:rPr>
        <w:t>or any future product candidates. If we adopt an alternative brand name, we would lose the benefit of our existing trademark applications for such product</w:t>
      </w:r>
      <w:r>
        <w:rPr>
          <w:rFonts w:ascii="Arial" w:cs="Arial" w:eastAsia="Arial" w:hAnsi="Arial"/>
          <w:sz w:val="15"/>
          <w:szCs w:val="15"/>
          <w:color w:val="000000"/>
        </w:rPr>
        <w:t xml:space="preserve"> </w:t>
      </w:r>
      <w:r>
        <w:rPr>
          <w:rFonts w:ascii="Arial" w:cs="Arial" w:eastAsia="Arial" w:hAnsi="Arial"/>
          <w:sz w:val="15"/>
          <w:szCs w:val="15"/>
          <w:color w:val="181717"/>
        </w:rPr>
        <w:t xml:space="preserve">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Arial" w:cs="Arial" w:eastAsia="Arial" w:hAnsi="Arial"/>
          <w:sz w:val="15"/>
          <w:szCs w:val="15"/>
          <w:color w:val="000000"/>
        </w:rPr>
        <w:t>TG-1101, TGR-1202,</w:t>
      </w:r>
      <w:r>
        <w:rPr>
          <w:rFonts w:ascii="Arial" w:cs="Arial" w:eastAsia="Arial" w:hAnsi="Arial"/>
          <w:sz w:val="15"/>
          <w:szCs w:val="15"/>
          <w:color w:val="181717"/>
        </w:rPr>
        <w:t xml:space="preserve"> or any future product candidates.</w:t>
      </w:r>
    </w:p>
    <w:p>
      <w:pPr>
        <w:spacing w:after="0" w:line="169" w:lineRule="exact"/>
        <w:rPr>
          <w:sz w:val="20"/>
          <w:szCs w:val="20"/>
          <w:color w:val="auto"/>
        </w:rPr>
      </w:pPr>
    </w:p>
    <w:p>
      <w:pPr>
        <w:ind w:right="740"/>
        <w:spacing w:after="0" w:line="293" w:lineRule="auto"/>
        <w:rPr>
          <w:sz w:val="20"/>
          <w:szCs w:val="20"/>
          <w:color w:val="auto"/>
        </w:rPr>
      </w:pPr>
      <w:r>
        <w:rPr>
          <w:rFonts w:ascii="Arial" w:cs="Arial" w:eastAsia="Arial" w:hAnsi="Arial"/>
          <w:sz w:val="16"/>
          <w:szCs w:val="16"/>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59" w:lineRule="exact"/>
        <w:rPr>
          <w:sz w:val="20"/>
          <w:szCs w:val="20"/>
          <w:color w:val="auto"/>
        </w:rPr>
      </w:pPr>
    </w:p>
    <w:p>
      <w:pPr>
        <w:ind w:right="200" w:firstLine="648"/>
        <w:spacing w:after="0" w:line="265"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efficacy and safety as demonstrated in clinical trials;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acceptance by physicians, major operators of cancer clinics and patients of the product as a safe and effective treatment;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potential and perceived advantages of product candidates over alternative treatments;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safety of product candidates seen in a broader patient group, including its use outside the approved indications;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availability of adequate reimbursement and pricing by third parties and government authorities;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prevalence and severity of adverse events;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effectiveness of our sales and marketing efforts.</w:t>
      </w:r>
    </w:p>
    <w:p>
      <w:pPr>
        <w:spacing w:after="0" w:line="217" w:lineRule="exact"/>
        <w:rPr>
          <w:sz w:val="20"/>
          <w:szCs w:val="20"/>
          <w:color w:val="auto"/>
        </w:rPr>
      </w:pPr>
    </w:p>
    <w:p>
      <w:pPr>
        <w:ind w:right="480" w:firstLine="648"/>
        <w:spacing w:after="0" w:line="293" w:lineRule="auto"/>
        <w:rPr>
          <w:sz w:val="20"/>
          <w:szCs w:val="20"/>
          <w:color w:val="auto"/>
        </w:rPr>
      </w:pPr>
      <w:r>
        <w:rPr>
          <w:rFonts w:ascii="Arial" w:cs="Arial" w:eastAsia="Arial" w:hAnsi="Arial"/>
          <w:sz w:val="16"/>
          <w:szCs w:val="16"/>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81717"/>
        </w:rPr>
        <w:t>If the market opportunities for our product candidates are smaller than we believe they are, even assuming approval of a drug candidate, our business may suffer.</w:t>
      </w:r>
    </w:p>
    <w:p>
      <w:pPr>
        <w:spacing w:after="0" w:line="244"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181717"/>
        </w:rPr>
        <w:t xml:space="preserve">Our projections of both the number of people who are affected by disease within our target indications, as well as the subset of these people who have the potential to benefit from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w:t>
      </w:r>
      <w:r>
        <w:rPr>
          <w:rFonts w:ascii="Arial" w:cs="Arial" w:eastAsia="Arial" w:hAnsi="Arial"/>
          <w:sz w:val="16"/>
          <w:szCs w:val="16"/>
          <w:color w:val="000000"/>
        </w:rPr>
        <w:t>our</w:t>
      </w:r>
      <w:r>
        <w:rPr>
          <w:rFonts w:ascii="Arial" w:cs="Arial" w:eastAsia="Arial" w:hAnsi="Arial"/>
          <w:sz w:val="16"/>
          <w:szCs w:val="16"/>
          <w:color w:val="181717"/>
        </w:rPr>
        <w:t xml:space="preserve"> product candidates may be limited or may not be amenable to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and new patients may become increasingly difficult to identify or gain access to, which would adversely affect our results of operations and our business.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24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decreased demand for our product candidates;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impairment to our business reputation;</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distraction of management’s attention from our primary business;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17" w:lineRule="exact"/>
        <w:rPr>
          <w:sz w:val="20"/>
          <w:szCs w:val="20"/>
          <w:color w:val="auto"/>
        </w:rPr>
      </w:pPr>
    </w:p>
    <w:p>
      <w:pPr>
        <w:ind w:firstLine="648"/>
        <w:spacing w:after="0" w:line="293" w:lineRule="auto"/>
        <w:rPr>
          <w:sz w:val="20"/>
          <w:szCs w:val="20"/>
          <w:color w:val="auto"/>
        </w:rPr>
      </w:pPr>
      <w:r>
        <w:rPr>
          <w:rFonts w:ascii="Arial" w:cs="Arial" w:eastAsia="Arial" w:hAnsi="Arial"/>
          <w:sz w:val="15"/>
          <w:szCs w:val="15"/>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Reimbursement may be limited or unavailable in certain market segments for our product candidates, which could make it difficult for us to sell our products profitably.</w:t>
      </w:r>
    </w:p>
    <w:p>
      <w:pPr>
        <w:spacing w:after="0" w:line="244" w:lineRule="exact"/>
        <w:rPr>
          <w:sz w:val="20"/>
          <w:szCs w:val="20"/>
          <w:color w:val="auto"/>
        </w:rPr>
      </w:pPr>
    </w:p>
    <w:p>
      <w:pPr>
        <w:ind w:right="80" w:firstLine="648"/>
        <w:spacing w:after="0" w:line="270"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6"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16"/>
          <w:szCs w:val="16"/>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spacing w:after="0" w:line="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covered benefit under its health plan;</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safe, effective and medically necessary;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appropriate for the specific patient;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cost-effective;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experimental nor investigational.</w:t>
      </w:r>
    </w:p>
    <w:p>
      <w:pPr>
        <w:spacing w:after="0" w:line="2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5"/>
          <w:szCs w:val="15"/>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37" w:name="page38"/>
    <w:bookmarkEnd w:id="37"/>
    <w:p>
      <w:pPr>
        <w:ind w:right="60" w:firstLine="648"/>
        <w:spacing w:after="0" w:line="271"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77" w:lineRule="exact"/>
        <w:rPr>
          <w:sz w:val="20"/>
          <w:szCs w:val="20"/>
          <w:color w:val="auto"/>
        </w:rPr>
      </w:pPr>
    </w:p>
    <w:p>
      <w:pPr>
        <w:jc w:val="both"/>
        <w:ind w:right="220" w:firstLine="648"/>
        <w:spacing w:after="0" w:line="278" w:lineRule="auto"/>
        <w:rPr>
          <w:sz w:val="20"/>
          <w:szCs w:val="20"/>
          <w:color w:val="auto"/>
        </w:rPr>
      </w:pPr>
      <w:r>
        <w:rPr>
          <w:rFonts w:ascii="Arial" w:cs="Arial" w:eastAsia="Arial" w:hAnsi="Arial"/>
          <w:sz w:val="16"/>
          <w:szCs w:val="16"/>
          <w:color w:val="auto"/>
        </w:rPr>
        <w:t>Most recently, the Patient Protection and Affordable Care Act, as amended by the Health Care and Education Reconciliation Act of 2010, collectively, the “ACA,” was enacted. The ACA and any revisions or replacements of that Act, any substitute legislation, and other changes in the law or regulatory framework could have a material adverse effect on our business.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Among the provisions of the ACA of importance to our potential product candidates are:</w:t>
      </w:r>
    </w:p>
    <w:p>
      <w:pPr>
        <w:spacing w:after="0" w:line="22" w:lineRule="exact"/>
        <w:rPr>
          <w:sz w:val="20"/>
          <w:szCs w:val="20"/>
          <w:color w:val="auto"/>
        </w:rPr>
      </w:pPr>
    </w:p>
    <w:p>
      <w:pPr>
        <w:ind w:left="660" w:hanging="328"/>
        <w:spacing w:after="0" w:line="26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660" w:hanging="328"/>
        <w:spacing w:after="0" w:line="26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ind w:left="660" w:hanging="328"/>
        <w:spacing w:after="0" w:line="26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federal False Claims Act and the federal Anti-Kickback Statute, new government investigative powers and enhanced penalties for non-compliance;</w:t>
      </w:r>
    </w:p>
    <w:p>
      <w:pPr>
        <w:ind w:left="660" w:hanging="328"/>
        <w:spacing w:after="0" w:line="30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extension of a manufacturer’s Medicaid rebate liability to covered drugs dispensed to individuals who are enrolled in Medicaid managed care organizations;</w:t>
      </w:r>
    </w:p>
    <w:p>
      <w:pPr>
        <w:spacing w:after="0" w:line="30" w:lineRule="exact"/>
        <w:rPr>
          <w:rFonts w:ascii="Arial" w:cs="Arial" w:eastAsia="Arial" w:hAnsi="Arial"/>
          <w:sz w:val="15"/>
          <w:szCs w:val="15"/>
          <w:color w:val="auto"/>
        </w:rPr>
      </w:pPr>
    </w:p>
    <w:p>
      <w:pPr>
        <w:jc w:val="both"/>
        <w:ind w:left="660" w:right="20" w:hanging="328"/>
        <w:spacing w:after="0" w:line="26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expansion of the entities eligible for discounts under the 340B Drug Pricing Program;</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new requirements under the federal Open Payments program and its implementing regulations;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new regulatory pathway for the approval of biosimilar biological products, all of which will impact existing government healthcare programs and will result in the development of new programs; and</w:t>
      </w:r>
    </w:p>
    <w:p>
      <w:pPr>
        <w:ind w:left="660" w:hanging="328"/>
        <w:spacing w:after="0" w:line="288"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firstLine="648"/>
        <w:spacing w:after="0" w:line="278" w:lineRule="auto"/>
        <w:rPr>
          <w:sz w:val="20"/>
          <w:szCs w:val="20"/>
          <w:color w:val="auto"/>
        </w:rPr>
      </w:pPr>
      <w:r>
        <w:rPr>
          <w:rFonts w:ascii="Arial" w:cs="Arial" w:eastAsia="Arial" w:hAnsi="Arial"/>
          <w:sz w:val="16"/>
          <w:szCs w:val="16"/>
          <w:color w:val="auto"/>
        </w:rPr>
        <w:t>The Supreme Court upheld the ACA in the main challenge to the constitutionality of the law in 2012. The Supreme Court also upheld federal subsidies for purchasers of insurance through federally facilitated exchanges in a decision released in June 2015. Any remaining legal challenges to the ACA are viewed generally as not significantly impacting the implementation of the law if the plaintiffs prevail.</w:t>
      </w:r>
    </w:p>
    <w:p>
      <w:pPr>
        <w:spacing w:after="0" w:line="1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5"/>
          <w:szCs w:val="15"/>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 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w:t>
      </w:r>
    </w:p>
    <w:p>
      <w:pPr>
        <w:spacing w:after="0" w:line="169" w:lineRule="exact"/>
        <w:rPr>
          <w:sz w:val="20"/>
          <w:szCs w:val="20"/>
          <w:color w:val="auto"/>
        </w:rPr>
      </w:pPr>
    </w:p>
    <w:p>
      <w:pPr>
        <w:ind w:right="20" w:firstLine="648"/>
        <w:spacing w:after="0" w:line="303" w:lineRule="auto"/>
        <w:rPr>
          <w:sz w:val="20"/>
          <w:szCs w:val="20"/>
          <w:color w:val="auto"/>
        </w:rPr>
      </w:pPr>
      <w:r>
        <w:rPr>
          <w:rFonts w:ascii="Arial" w:cs="Arial" w:eastAsia="Arial" w:hAnsi="Arial"/>
          <w:sz w:val="14"/>
          <w:szCs w:val="14"/>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demand for any products for which we may obtain regulatory approval;</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generate revenues and achieve or maintain profitability;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level of taxes that we are required to pay;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21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In addition, governments may impose price controls, which may adversely affect our future profitability.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We will need to increase the size of our organization and the scope of our outside vendor relationships, and we may experience difficulties in managing this growth.</w:t>
      </w:r>
    </w:p>
    <w:p>
      <w:pPr>
        <w:spacing w:after="0" w:line="244" w:lineRule="exact"/>
        <w:rPr>
          <w:sz w:val="20"/>
          <w:szCs w:val="20"/>
          <w:color w:val="auto"/>
        </w:rPr>
      </w:pPr>
    </w:p>
    <w:p>
      <w:pPr>
        <w:ind w:right="100" w:firstLine="648"/>
        <w:spacing w:after="0" w:line="265" w:lineRule="auto"/>
        <w:rPr>
          <w:sz w:val="20"/>
          <w:szCs w:val="20"/>
          <w:color w:val="auto"/>
        </w:rPr>
      </w:pPr>
      <w:r>
        <w:rPr>
          <w:rFonts w:ascii="Arial" w:cs="Arial" w:eastAsia="Arial" w:hAnsi="Arial"/>
          <w:sz w:val="16"/>
          <w:szCs w:val="16"/>
          <w:color w:val="auto"/>
        </w:rPr>
        <w:t>As of May 1, 2018, we had 76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clinical trials effectively;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and reporting systems and procedures;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and retain sufficient numbers of talented employees.</w:t>
      </w:r>
    </w:p>
    <w:p>
      <w:pPr>
        <w:spacing w:after="0" w:line="217" w:lineRule="exact"/>
        <w:rPr>
          <w:sz w:val="20"/>
          <w:szCs w:val="20"/>
          <w:color w:val="auto"/>
        </w:rPr>
      </w:pPr>
    </w:p>
    <w:p>
      <w:pPr>
        <w:ind w:right="120" w:firstLine="648"/>
        <w:spacing w:after="0" w:line="287"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181717"/>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ind w:firstLine="648"/>
        <w:spacing w:after="0" w:line="305" w:lineRule="auto"/>
        <w:rPr>
          <w:sz w:val="20"/>
          <w:szCs w:val="20"/>
          <w:color w:val="auto"/>
        </w:rPr>
      </w:pPr>
      <w:r>
        <w:rPr>
          <w:rFonts w:ascii="Arial" w:cs="Arial" w:eastAsia="Arial" w:hAnsi="Arial"/>
          <w:sz w:val="15"/>
          <w:szCs w:val="15"/>
          <w:color w:val="181717"/>
        </w:rPr>
        <w:t>The success of our business depends upon our ability to identify, develop and commercialize product candidates based on our programs.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5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5"/>
          <w:szCs w:val="15"/>
          <w:color w:val="181717"/>
        </w:rPr>
        <w:t>Additionally,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63" w:lineRule="exact"/>
        <w:rPr>
          <w:sz w:val="20"/>
          <w:szCs w:val="20"/>
          <w:color w:val="auto"/>
        </w:rPr>
      </w:pPr>
    </w:p>
    <w:p>
      <w:pPr>
        <w:ind w:right="600" w:firstLine="648"/>
        <w:spacing w:after="0" w:line="369" w:lineRule="auto"/>
        <w:rPr>
          <w:sz w:val="20"/>
          <w:szCs w:val="20"/>
          <w:color w:val="auto"/>
        </w:rPr>
      </w:pPr>
      <w:r>
        <w:rPr>
          <w:rFonts w:ascii="Arial" w:cs="Arial" w:eastAsia="Arial" w:hAnsi="Arial"/>
          <w:sz w:val="14"/>
          <w:szCs w:val="14"/>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attract and keep key management and clinical development personnel, we may be unable to successfully develop or commercialize our product candidates.</w:t>
      </w:r>
    </w:p>
    <w:p>
      <w:pPr>
        <w:spacing w:after="0" w:line="244" w:lineRule="exact"/>
        <w:rPr>
          <w:sz w:val="20"/>
          <w:szCs w:val="20"/>
          <w:color w:val="auto"/>
        </w:rPr>
      </w:pPr>
    </w:p>
    <w:p>
      <w:pPr>
        <w:ind w:right="120" w:firstLine="648"/>
        <w:spacing w:after="0" w:line="318" w:lineRule="auto"/>
        <w:rPr>
          <w:sz w:val="20"/>
          <w:szCs w:val="20"/>
          <w:color w:val="auto"/>
        </w:rPr>
      </w:pPr>
      <w:r>
        <w:rPr>
          <w:rFonts w:ascii="Arial" w:cs="Arial" w:eastAsia="Arial" w:hAnsi="Arial"/>
          <w:sz w:val="14"/>
          <w:szCs w:val="14"/>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49"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If we fail to comply with healthcare regulations, we could face substantial penalties and our business, operations and financial condition could be adversely affected.</w:t>
      </w:r>
    </w:p>
    <w:p>
      <w:pPr>
        <w:spacing w:after="0" w:line="244" w:lineRule="exact"/>
        <w:rPr>
          <w:sz w:val="20"/>
          <w:szCs w:val="20"/>
          <w:color w:val="auto"/>
        </w:rPr>
      </w:pPr>
    </w:p>
    <w:p>
      <w:pPr>
        <w:ind w:firstLine="648"/>
        <w:spacing w:after="0" w:line="284"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as well as consulting or other service agreements with physicians or other potential referral sources and regulate the use and disclosure of identifiable patient information. These laws include anti-kickback statutes and false claims statutes that prohibit, among other things, knowingly and willfully offering, paying, soliciting or receiving remuneration to induce, or, in return for, purchasing, leasing, ordering, recommending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 Finally, the Health Insurance Portability and Accountability Act (HIPAA), as amended by the Health Information Technology for Economic and Clinical Health Act of 2009, or HITECH, their respective implementing regulations and similar state laws and regulations,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In the event our operations result in our receiving such information, we could become subject to the requirements of these laws and regulations, including potential civil and criminal penalties.</w:t>
      </w:r>
    </w:p>
    <w:p>
      <w:pPr>
        <w:spacing w:after="0" w:line="177"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b w:val="1"/>
          <w:bCs w:val="1"/>
          <w:i w:val="1"/>
          <w:iCs w:val="1"/>
          <w:color w:val="181717"/>
        </w:rPr>
        <w:t>Our employees, consultants, or third party partners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right="20" w:firstLine="648"/>
        <w:spacing w:after="0" w:line="287" w:lineRule="auto"/>
        <w:rPr>
          <w:sz w:val="20"/>
          <w:szCs w:val="20"/>
          <w:color w:val="auto"/>
        </w:rPr>
      </w:pPr>
      <w:r>
        <w:rPr>
          <w:rFonts w:ascii="Arial" w:cs="Arial" w:eastAsia="Arial" w:hAnsi="Arial"/>
          <w:sz w:val="15"/>
          <w:szCs w:val="15"/>
          <w:color w:val="181717"/>
        </w:rPr>
        <w:t xml:space="preserve">We are exposed to the risk of employee fraud or other misconduct. Misconduct by employees, consultants, or third party partners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w:t>
      </w:r>
      <w:r>
        <w:rPr>
          <w:rFonts w:ascii="Arial" w:cs="Arial" w:eastAsia="Arial" w:hAnsi="Arial"/>
          <w:sz w:val="15"/>
          <w:szCs w:val="15"/>
          <w:color w:val="000000"/>
        </w:rPr>
        <w:t>particular</w:t>
      </w:r>
      <w:r>
        <w:rPr>
          <w:rFonts w:ascii="Arial" w:cs="Arial" w:eastAsia="Arial" w:hAnsi="Arial"/>
          <w:sz w:val="15"/>
          <w:szCs w:val="15"/>
          <w:color w:val="181717"/>
        </w:rPr>
        <w:t>,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consultant, or third party misconduct could also involve the improper use of information obtained in the course of clinical trials, which could result in regulatory sanctions and serious harm to our reputation.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use biological and hazardous materials, and any claims relating to improper handling, storage or disposal of these materials could be time consuming or costly.</w:t>
      </w:r>
    </w:p>
    <w:p>
      <w:pPr>
        <w:spacing w:after="0" w:line="244"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6" w:lineRule="exact"/>
        <w:rPr>
          <w:sz w:val="20"/>
          <w:szCs w:val="20"/>
          <w:color w:val="auto"/>
        </w:rPr>
      </w:pPr>
    </w:p>
    <w:p>
      <w:pPr>
        <w:ind w:right="40" w:firstLine="648"/>
        <w:spacing w:after="0" w:line="270"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All product candidate development timelines and projections in this report are based on the assumption of further financing.</w:t>
      </w:r>
    </w:p>
    <w:p>
      <w:pPr>
        <w:spacing w:after="0" w:line="221" w:lineRule="exact"/>
        <w:rPr>
          <w:sz w:val="20"/>
          <w:szCs w:val="20"/>
          <w:color w:val="auto"/>
        </w:rPr>
      </w:pPr>
    </w:p>
    <w:p>
      <w:pPr>
        <w:ind w:right="40" w:firstLine="648"/>
        <w:spacing w:after="0" w:line="271"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81717"/>
        </w:rPr>
        <w:t>We incur significant increased costs as a result of operating as a public company, and our management is required to devote substantial time to compliance initiatives.</w:t>
      </w:r>
    </w:p>
    <w:p>
      <w:pPr>
        <w:spacing w:after="0" w:line="244" w:lineRule="exact"/>
        <w:rPr>
          <w:sz w:val="20"/>
          <w:szCs w:val="20"/>
          <w:color w:val="auto"/>
        </w:rPr>
      </w:pPr>
    </w:p>
    <w:p>
      <w:pPr>
        <w:ind w:right="40" w:firstLine="648"/>
        <w:spacing w:after="0" w:line="268" w:lineRule="auto"/>
        <w:rPr>
          <w:sz w:val="20"/>
          <w:szCs w:val="20"/>
          <w:color w:val="auto"/>
        </w:rPr>
      </w:pPr>
      <w:r>
        <w:rPr>
          <w:rFonts w:ascii="Arial" w:cs="Arial" w:eastAsia="Arial" w:hAnsi="Arial"/>
          <w:sz w:val="16"/>
          <w:szCs w:val="16"/>
          <w:color w:val="181717"/>
        </w:rPr>
        <w:t>As a public company, we incur significant legal, accounting and other expenses under the Sarbanes-Oxley Act of 2002, as well as rules subsequently implemented by the Securities and Exchange Commission, or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5"/>
          <w:szCs w:val="15"/>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Relating to Acquisitions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We may seek to expand our business through the acquisition of, investments in and strategic alliances with companies, technologies, products, and services.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Acquisitions, investments and strategic alliances involve a number of special problems and risks, including, but not limited to:</w:t>
      </w:r>
    </w:p>
    <w:p>
      <w:pPr>
        <w:spacing w:after="0" w:line="1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difficulty integrating acquired technologies, products, services, operations and personnel with the existing businesses;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diversion of management’s attention in connection with both negotiating the acquisitions and integrating the businesses;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strain on managerial and operational resources as management tries to oversee larger operations;</w:t>
      </w:r>
    </w:p>
    <w:p>
      <w:pPr>
        <w:spacing w:after="0" w:line="1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difficulty implementing and maintaining effective internal control over financial reporting at businesses that we acquire, particularly if they are not located near our existing operations;</w:t>
      </w: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exposure to unforeseen liabilities of acquired companies;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costly and time-consuming litigation, including stockholder lawsuits;</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potential issuance of securities to equity holders of the company being acquired with rights that are superior to the rights of holders of our common stock or which may have a dilutive effect on our stockholders;</w:t>
      </w: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risk of loss of invested capital;</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need to incur additional debt or use cash;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requirement to record potentially significant additional future operating costs for the amortization of intangible assets.</w:t>
      </w:r>
    </w:p>
    <w:p>
      <w:pPr>
        <w:spacing w:after="0" w:line="217" w:lineRule="exact"/>
        <w:rPr>
          <w:sz w:val="20"/>
          <w:szCs w:val="20"/>
          <w:color w:val="auto"/>
        </w:rPr>
      </w:pPr>
    </w:p>
    <w:p>
      <w:pPr>
        <w:ind w:right="120" w:firstLine="648"/>
        <w:spacing w:after="0" w:line="324" w:lineRule="auto"/>
        <w:rPr>
          <w:sz w:val="20"/>
          <w:szCs w:val="20"/>
          <w:color w:val="auto"/>
        </w:rPr>
      </w:pPr>
      <w:r>
        <w:rPr>
          <w:rFonts w:ascii="Arial" w:cs="Arial" w:eastAsia="Arial" w:hAnsi="Arial"/>
          <w:sz w:val="14"/>
          <w:szCs w:val="14"/>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44"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auto"/>
        </w:rPr>
        <w:t>Risks Relating to Our Intellectual Property</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59" w:lineRule="exact"/>
        <w:rPr>
          <w:sz w:val="20"/>
          <w:szCs w:val="20"/>
          <w:color w:val="auto"/>
        </w:rPr>
      </w:pPr>
    </w:p>
    <w:p>
      <w:pPr>
        <w:ind w:right="60" w:firstLine="648"/>
        <w:spacing w:after="0" w:line="311" w:lineRule="auto"/>
        <w:rPr>
          <w:sz w:val="20"/>
          <w:szCs w:val="20"/>
          <w:color w:val="auto"/>
        </w:rPr>
      </w:pPr>
      <w:r>
        <w:rPr>
          <w:rFonts w:ascii="Arial" w:cs="Arial" w:eastAsia="Arial" w:hAnsi="Arial"/>
          <w:sz w:val="14"/>
          <w:szCs w:val="14"/>
          <w:color w:val="auto"/>
        </w:rPr>
        <w:t>Our commercial success depends on obtaining and maintaining patent protection and trade secret protection in the US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position by filing patent applications in the United States and abroad related to our novel technologies and product candidates, and by maintenance of our trade secrets through proper procedures. We will only be able to protect our technologies from unauthorized use by third parties to the extent that valid and enforceable patents or trade secrets cover them in the market they are being used or developed.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BET inhibitor, BTK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risks and uncertainties include the following:</w:t>
      </w:r>
    </w:p>
    <w:p>
      <w:pPr>
        <w:spacing w:after="0" w:line="2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patent applications that we or our partners file may not result in any patents being issued;</w:t>
      </w:r>
    </w:p>
    <w:p>
      <w:pPr>
        <w:spacing w:after="0" w:line="1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patents that may be issued or in-licensed may be challenged, invalidated, modified, revoked or circumvented, or otherwise may not provide any competitive advantage;</w:t>
      </w:r>
    </w:p>
    <w:p>
      <w:pPr>
        <w:ind w:left="660" w:right="20" w:hanging="328"/>
        <w:spacing w:after="0" w:line="26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March 16, 2013, the U.S. converted from a “first to invent” to a “first to file” system. If we do not win the filing race, we will not be entitled to inventive priority;</w:t>
      </w:r>
    </w:p>
    <w:p>
      <w:pPr>
        <w:jc w:val="both"/>
        <w:ind w:left="660" w:hanging="328"/>
        <w:spacing w:after="0" w:line="26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ind w:left="660" w:hanging="328"/>
        <w:spacing w:after="0" w:line="264"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ind w:left="660" w:right="20" w:hanging="328"/>
        <w:spacing w:after="0" w:line="288"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5"/>
          <w:szCs w:val="15"/>
          <w:color w:val="auto"/>
        </w:rPr>
        <w:t>If patents are not issued that protect our product candidates, it could have a material adverse effect on our financial condition and results of operations. The patent prosecution process is expensive and time-consuming, and we may not be able to file and prosecute all necessary or desirable patent applications at a reasonable cost or in a timely manner.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If our licensors or we fail to obtain or maintain patent protection or trade secret protection for one or more product candidates or any future product candidate we may license or acquire, third parties may be able to leverage our proprietary information and products without risk of infringement, which could impair our ability to compete in the market and adversely affect our ability to generate revenues and achieve profitability. Moreover, should we enter into other collaborations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2" w:name="page43"/>
    <w:bookmarkEnd w:id="42"/>
    <w:p>
      <w:pPr>
        <w:ind w:right="20" w:firstLine="648"/>
        <w:spacing w:after="0" w:line="286"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US. The patent situation outside the US is even more uncertain. 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US. Accordingly, we cannot predict the breadth of claims that may be allowed or enforced in our patents or in those licensed from a third-party.</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4"/>
          <w:szCs w:val="14"/>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 The PTO recently developed new regulations and procedures to govern administration of the Leahy-Smith Act, and many of the substantive changes to patent law associated with the Leahy-Smith Act, and in particular, the first inventor-to-file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4" w:lineRule="exact"/>
        <w:rPr>
          <w:sz w:val="20"/>
          <w:szCs w:val="20"/>
          <w:color w:val="auto"/>
        </w:rPr>
      </w:pPr>
    </w:p>
    <w:p>
      <w:pPr>
        <w:ind w:right="60" w:firstLine="648"/>
        <w:spacing w:after="0" w:line="289" w:lineRule="auto"/>
        <w:rPr>
          <w:sz w:val="20"/>
          <w:szCs w:val="20"/>
          <w:color w:val="auto"/>
        </w:rPr>
      </w:pPr>
      <w:r>
        <w:rPr>
          <w:rFonts w:ascii="Arial" w:cs="Arial" w:eastAsia="Arial" w:hAnsi="Arial"/>
          <w:sz w:val="15"/>
          <w:szCs w:val="15"/>
          <w:color w:val="auto"/>
        </w:rPr>
        <w:t>Moreover, we may be subject to a third-party pre-issuance submission of prior art to the PTO, or become involved in opposition, derivation, reexamination, inter partes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7" w:lineRule="exact"/>
        <w:rPr>
          <w:sz w:val="20"/>
          <w:szCs w:val="20"/>
          <w:color w:val="auto"/>
        </w:rPr>
      </w:pPr>
    </w:p>
    <w:p>
      <w:pPr>
        <w:ind w:right="40" w:firstLine="648"/>
        <w:spacing w:after="0" w:line="278"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5"/>
          <w:szCs w:val="15"/>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63" w:lineRule="exact"/>
        <w:rPr>
          <w:sz w:val="20"/>
          <w:szCs w:val="20"/>
          <w:color w:val="auto"/>
        </w:rPr>
      </w:pPr>
    </w:p>
    <w:p>
      <w:pPr>
        <w:ind w:firstLine="648"/>
        <w:spacing w:after="0" w:line="310" w:lineRule="auto"/>
        <w:rPr>
          <w:sz w:val="20"/>
          <w:szCs w:val="20"/>
          <w:color w:val="auto"/>
        </w:rPr>
      </w:pPr>
      <w:r>
        <w:rPr>
          <w:rFonts w:ascii="Arial" w:cs="Arial" w:eastAsia="Arial" w:hAnsi="Arial"/>
          <w:sz w:val="14"/>
          <w:szCs w:val="14"/>
          <w:color w:val="auto"/>
        </w:rPr>
        <w:t>In addition to patents, we and our partners also rely on trade secrets and proprietary know-how, technology and other proprietary information, to maintain our competitive position, particularly where we do not believe patent protection is appropriate or obtainable. However, trade secrets are difficult to protect.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Patent protection and other intellectual property protection are crucial to the success of our business and prospects, and there is a substantial risk that such protections will prove inadequate.</w:t>
      </w:r>
    </w:p>
    <w:p>
      <w:pPr>
        <w:spacing w:after="0" w:line="15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ind w:right="20" w:firstLine="648"/>
        <w:spacing w:after="0" w:line="267"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3" w:name="page44"/>
    <w:bookmarkEnd w:id="43"/>
    <w:p>
      <w:pPr>
        <w:ind w:right="200" w:firstLine="648"/>
        <w:spacing w:after="0" w:line="318" w:lineRule="auto"/>
        <w:rPr>
          <w:sz w:val="20"/>
          <w:szCs w:val="20"/>
          <w:color w:val="auto"/>
        </w:rPr>
      </w:pPr>
      <w:r>
        <w:rPr>
          <w:rFonts w:ascii="Arial" w:cs="Arial" w:eastAsia="Arial" w:hAnsi="Arial"/>
          <w:sz w:val="14"/>
          <w:szCs w:val="14"/>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49" w:lineRule="exact"/>
        <w:rPr>
          <w:sz w:val="20"/>
          <w:szCs w:val="20"/>
          <w:color w:val="auto"/>
        </w:rPr>
      </w:pPr>
    </w:p>
    <w:p>
      <w:pPr>
        <w:ind w:right="60" w:firstLine="648"/>
        <w:spacing w:after="0" w:line="26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licenses, which may not be available on commercially reasonable terms, if at all;</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abandon an infringing product candidate or redesign its products or processes to avoid infringement;</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 substantial damages, including treble damages and attorneys’ fees, which we may have to pay if a court decides that the product or proprietary technology at issue infringes on or violates the third party’s rights;</w:t>
      </w: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 substantial royalties, fees and/or grant cross licenses to our technology; and/or</w:t>
      </w:r>
    </w:p>
    <w:p>
      <w:pPr>
        <w:spacing w:after="0" w:line="18" w:lineRule="exact"/>
        <w:rPr>
          <w:rFonts w:ascii="Arial" w:cs="Arial" w:eastAsia="Arial" w:hAnsi="Arial"/>
          <w:sz w:val="16"/>
          <w:szCs w:val="16"/>
          <w:color w:val="auto"/>
        </w:rPr>
      </w:pPr>
    </w:p>
    <w:p>
      <w:pPr>
        <w:ind w:left="660" w:hanging="328"/>
        <w:spacing w:after="0" w:line="288"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defend litigation or administrative proceedings which may be costly whether we win or lose, and which could result in a substantial diversion of our financial and management resources.</w:t>
      </w:r>
    </w:p>
    <w:p>
      <w:pPr>
        <w:spacing w:after="0" w:line="162" w:lineRule="exact"/>
        <w:rPr>
          <w:sz w:val="20"/>
          <w:szCs w:val="20"/>
          <w:color w:val="auto"/>
        </w:rPr>
      </w:pPr>
    </w:p>
    <w:p>
      <w:pPr>
        <w:jc w:val="both"/>
        <w:ind w:right="380" w:firstLine="648"/>
        <w:spacing w:after="0" w:line="305" w:lineRule="auto"/>
        <w:rPr>
          <w:sz w:val="20"/>
          <w:szCs w:val="20"/>
          <w:color w:val="auto"/>
        </w:rPr>
      </w:pPr>
      <w:r>
        <w:rPr>
          <w:rFonts w:ascii="Arial" w:cs="Arial" w:eastAsia="Arial" w:hAnsi="Arial"/>
          <w:sz w:val="15"/>
          <w:szCs w:val="15"/>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product candidates that we may in-license or acquire could be subject to similar risks and uncertainties.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license certain intellectual property from third parties, and such licenses may not be available or may not be available on commercially reasonable terms.</w:t>
      </w:r>
    </w:p>
    <w:p>
      <w:pPr>
        <w:spacing w:after="0" w:line="244" w:lineRule="exact"/>
        <w:rPr>
          <w:sz w:val="20"/>
          <w:szCs w:val="20"/>
          <w:color w:val="auto"/>
        </w:rPr>
      </w:pPr>
    </w:p>
    <w:p>
      <w:pPr>
        <w:ind w:right="20" w:firstLine="648"/>
        <w:spacing w:after="0" w:line="335" w:lineRule="auto"/>
        <w:rPr>
          <w:sz w:val="20"/>
          <w:szCs w:val="20"/>
          <w:color w:val="auto"/>
        </w:rPr>
      </w:pPr>
      <w:r>
        <w:rPr>
          <w:rFonts w:ascii="Arial" w:cs="Arial" w:eastAsia="Arial" w:hAnsi="Arial"/>
          <w:sz w:val="14"/>
          <w:szCs w:val="14"/>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33" w:lineRule="exact"/>
        <w:rPr>
          <w:sz w:val="20"/>
          <w:szCs w:val="20"/>
          <w:color w:val="auto"/>
        </w:rPr>
      </w:pPr>
    </w:p>
    <w:p>
      <w:pPr>
        <w:ind w:right="60" w:firstLine="648"/>
        <w:spacing w:after="0" w:line="268"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that we infringe their patents; or provoke those parties to petition the 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Furthermore, adverse results on US patents may affect related patents in our global portfolio. The adverse result could also put related patent applications at risk of not issuing.</w:t>
      </w:r>
    </w:p>
    <w:p>
      <w:pPr>
        <w:spacing w:after="0" w:line="180"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4" w:name="page45"/>
    <w:bookmarkEnd w:id="44"/>
    <w:p>
      <w:pPr>
        <w:ind w:right="56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5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5"/>
          <w:szCs w:val="15"/>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Even if frivolous or unsubstantiated in nature, litigation may be necessary to defend against these claims. Even if we are successful in defending against these claims, litigation could result in substantial costs and be a distraction to management, day-to-day business operations, and the implicated employee(s).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Relating to Our Finances and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capital to continue to operate our business.</w:t>
      </w:r>
    </w:p>
    <w:p>
      <w:pPr>
        <w:spacing w:after="0" w:line="262" w:lineRule="exact"/>
        <w:rPr>
          <w:sz w:val="20"/>
          <w:szCs w:val="20"/>
          <w:color w:val="auto"/>
        </w:rPr>
      </w:pPr>
    </w:p>
    <w:p>
      <w:pPr>
        <w:ind w:right="40" w:firstLine="648"/>
        <w:spacing w:after="0" w:line="269" w:lineRule="auto"/>
        <w:rPr>
          <w:sz w:val="20"/>
          <w:szCs w:val="20"/>
          <w:color w:val="auto"/>
        </w:rPr>
      </w:pPr>
      <w:r>
        <w:rPr>
          <w:rFonts w:ascii="Arial" w:cs="Arial" w:eastAsia="Arial" w:hAnsi="Arial"/>
          <w:sz w:val="16"/>
          <w:szCs w:val="16"/>
          <w:color w:val="auto"/>
        </w:rPr>
        <w:t>As of March 31, 2018, we had approximately $109.2 million in cash, cash equivalents, investment securities, and interest receivable, which in addition to the capital raised in the second quarter of 2018, will be sufficient to fund the Company’s planned operations through mid-2019.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operating losses, expect to continue to incur losses, and are unable to predict the extent of future losses or when we will become profitable, if ever.</w:t>
      </w:r>
    </w:p>
    <w:p>
      <w:pPr>
        <w:spacing w:after="0" w:line="244" w:lineRule="exact"/>
        <w:rPr>
          <w:sz w:val="20"/>
          <w:szCs w:val="20"/>
          <w:color w:val="auto"/>
        </w:rPr>
      </w:pPr>
    </w:p>
    <w:p>
      <w:pPr>
        <w:ind w:right="180" w:firstLine="648"/>
        <w:spacing w:after="0" w:line="297" w:lineRule="auto"/>
        <w:rPr>
          <w:sz w:val="20"/>
          <w:szCs w:val="20"/>
          <w:color w:val="auto"/>
        </w:rPr>
      </w:pPr>
      <w:r>
        <w:rPr>
          <w:rFonts w:ascii="Arial" w:cs="Arial" w:eastAsia="Arial" w:hAnsi="Arial"/>
          <w:sz w:val="15"/>
          <w:szCs w:val="15"/>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59" w:lineRule="exact"/>
        <w:rPr>
          <w:sz w:val="20"/>
          <w:szCs w:val="20"/>
          <w:color w:val="auto"/>
        </w:rPr>
      </w:pPr>
    </w:p>
    <w:p>
      <w:pPr>
        <w:ind w:right="80" w:firstLine="648"/>
        <w:spacing w:after="0" w:line="318" w:lineRule="auto"/>
        <w:rPr>
          <w:sz w:val="20"/>
          <w:szCs w:val="20"/>
          <w:color w:val="auto"/>
        </w:rPr>
      </w:pPr>
      <w:r>
        <w:rPr>
          <w:rFonts w:ascii="Arial" w:cs="Arial" w:eastAsia="Arial" w:hAnsi="Arial"/>
          <w:sz w:val="14"/>
          <w:szCs w:val="14"/>
          <w:color w:val="auto"/>
        </w:rPr>
        <w:t>We have never been profitable and, as of March 31, 2018, we had an accumulated deficit of $396.4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our product candidates and may never become profitable.</w:t>
      </w:r>
    </w:p>
    <w:p>
      <w:pPr>
        <w:spacing w:after="0" w:line="221" w:lineRule="exact"/>
        <w:rPr>
          <w:sz w:val="20"/>
          <w:szCs w:val="20"/>
          <w:color w:val="auto"/>
        </w:rPr>
      </w:pPr>
    </w:p>
    <w:p>
      <w:pPr>
        <w:ind w:right="200" w:firstLine="648"/>
        <w:spacing w:after="0" w:line="265"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 completion of preclinical studies of our product candidates;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 commencement and completion of clinical trials of our product candidates and any future product candidates we advance into clinical trials;</w:t>
      </w:r>
    </w:p>
    <w:p>
      <w:pPr>
        <w:spacing w:after="0" w:line="18"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manufacturing commercial quantities of our products at acceptable cost levels if regulatory approvals are obtained;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 sales, distribution and marketing of our future products, if any;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entry into collaborative arrangements or co-promotion agreements to market and sell our products.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If we are unable to generate significant continuing revenues, we will not become profitable and we may be unable to continue our operations without continued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funding.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5" w:name="page46"/>
    <w:bookmarkEnd w:id="45"/>
    <w:p>
      <w:pPr>
        <w:spacing w:after="0" w:line="293" w:lineRule="auto"/>
        <w:rPr>
          <w:sz w:val="20"/>
          <w:szCs w:val="20"/>
          <w:color w:val="auto"/>
        </w:rPr>
      </w:pPr>
      <w:r>
        <w:rPr>
          <w:rFonts w:ascii="Arial" w:cs="Arial" w:eastAsia="Arial" w:hAnsi="Arial"/>
          <w:sz w:val="16"/>
          <w:szCs w:val="16"/>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59" w:lineRule="exact"/>
        <w:rPr>
          <w:sz w:val="20"/>
          <w:szCs w:val="20"/>
          <w:color w:val="auto"/>
        </w:rPr>
      </w:pPr>
    </w:p>
    <w:p>
      <w:pPr>
        <w:ind w:right="180" w:firstLine="648"/>
        <w:spacing w:after="0" w:line="278"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7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 and timing of our future funding requirements will depend on many factors, including, but not limited to, the following:</w:t>
      </w:r>
    </w:p>
    <w:p>
      <w:pPr>
        <w:spacing w:after="0" w:line="2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progress of our clinical trials, including expenses to support the trials and milestone payments that may become payable under our license agreements;</w:t>
      </w:r>
    </w:p>
    <w:p>
      <w:pPr>
        <w:spacing w:after="0" w:line="30" w:lineRule="exact"/>
        <w:rPr>
          <w:rFonts w:ascii="Arial" w:cs="Arial" w:eastAsia="Arial" w:hAnsi="Arial"/>
          <w:sz w:val="15"/>
          <w:szCs w:val="15"/>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and timing of regulatory approvals;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and timing of clinical and commercial manufacturing supply arrangements for each product candidate;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of establishing sales or distribution capabilities;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success of the commercialization of our products;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including licensing and other arrangements;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involved in enforcing or defending patent claims or other intellectual property rights;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we in-license or invest in other indications or product candidates.</w:t>
      </w:r>
    </w:p>
    <w:p>
      <w:pPr>
        <w:spacing w:after="0" w:line="217" w:lineRule="exact"/>
        <w:rPr>
          <w:sz w:val="20"/>
          <w:szCs w:val="20"/>
          <w:color w:val="auto"/>
        </w:rPr>
      </w:pPr>
    </w:p>
    <w:p>
      <w:pPr>
        <w:ind w:right="200" w:firstLine="648"/>
        <w:spacing w:after="0" w:line="271" w:lineRule="auto"/>
        <w:rPr>
          <w:sz w:val="20"/>
          <w:szCs w:val="20"/>
          <w:color w:val="auto"/>
        </w:rPr>
      </w:pPr>
      <w:r>
        <w:rPr>
          <w:rFonts w:ascii="Arial" w:cs="Arial" w:eastAsia="Arial" w:hAnsi="Arial"/>
          <w:sz w:val="16"/>
          <w:szCs w:val="16"/>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6" w:lineRule="exact"/>
        <w:rPr>
          <w:sz w:val="20"/>
          <w:szCs w:val="20"/>
          <w:color w:val="auto"/>
        </w:rPr>
      </w:pPr>
    </w:p>
    <w:p>
      <w:pPr>
        <w:ind w:right="280" w:firstLine="648"/>
        <w:spacing w:after="0" w:line="305" w:lineRule="auto"/>
        <w:rPr>
          <w:sz w:val="20"/>
          <w:szCs w:val="20"/>
          <w:color w:val="auto"/>
        </w:rPr>
      </w:pPr>
      <w:r>
        <w:rPr>
          <w:rFonts w:ascii="Arial" w:cs="Arial" w:eastAsia="Arial" w:hAnsi="Arial"/>
          <w:sz w:val="15"/>
          <w:szCs w:val="15"/>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181717"/>
        </w:rPr>
        <w:t>Our tax position could be affected by recent changes in U.S. federal income tax laws.</w:t>
      </w:r>
    </w:p>
    <w:p>
      <w:pPr>
        <w:spacing w:after="0" w:line="221"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181717"/>
        </w:rPr>
        <w:t>On December 22, 2017, legislation commonly referred to as the “Tax Cuts and Jobs Act” was signed into law and is generally effective after December 31, 2017. The Tax Cuts and Jobs Act makes significant changes to the U.S.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and our affiliates,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controlled by current officers, directors and principal stockholders.</w:t>
      </w:r>
    </w:p>
    <w:p>
      <w:pPr>
        <w:spacing w:after="0" w:line="221" w:lineRule="exact"/>
        <w:rPr>
          <w:sz w:val="20"/>
          <w:szCs w:val="20"/>
          <w:color w:val="auto"/>
        </w:rPr>
      </w:pPr>
    </w:p>
    <w:p>
      <w:pPr>
        <w:ind w:right="100" w:firstLine="648"/>
        <w:spacing w:after="0" w:line="278"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37%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21" w:lineRule="exact"/>
        <w:rPr>
          <w:sz w:val="20"/>
          <w:szCs w:val="20"/>
          <w:color w:val="auto"/>
        </w:rPr>
      </w:pPr>
    </w:p>
    <w:p>
      <w:pPr>
        <w:ind w:right="460" w:firstLine="648"/>
        <w:spacing w:after="0" w:line="266" w:lineRule="auto"/>
        <w:rPr>
          <w:sz w:val="20"/>
          <w:szCs w:val="20"/>
          <w:color w:val="auto"/>
        </w:rPr>
      </w:pPr>
      <w:r>
        <w:rPr>
          <w:rFonts w:ascii="Arial" w:cs="Arial" w:eastAsia="Arial" w:hAnsi="Arial"/>
          <w:sz w:val="16"/>
          <w:szCs w:val="16"/>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publicity regarding actual or potential clinical results relating to products under development by our competitors or us;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delay or failure in initiating, completing or analyzing nonclinical or clinical trials or the unsatisfactory design or results of these trials;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achievement or rejection of regulatory approvals by our competitors or us;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commercial products by our competitors or us;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concerning proprietary rights, including patents;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developments concerning our collaborations;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economic or other crises and other external factors;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period-to-period fluctuations in our revenues and other results of operations;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changes in financial estimates by securities analysts;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our common stock.</w:t>
      </w:r>
    </w:p>
    <w:p>
      <w:pPr>
        <w:spacing w:after="0" w:line="2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will not be able to control many of these factors, and we believe that period-to-period comparisons of our financial results will not necessarily be indicative of our future performance.</w:t>
      </w:r>
    </w:p>
    <w:p>
      <w:pPr>
        <w:spacing w:after="0" w:line="159" w:lineRule="exact"/>
        <w:rPr>
          <w:sz w:val="20"/>
          <w:szCs w:val="20"/>
          <w:color w:val="auto"/>
        </w:rPr>
      </w:pPr>
    </w:p>
    <w:p>
      <w:pPr>
        <w:ind w:right="20" w:firstLine="648"/>
        <w:spacing w:after="0" w:line="278" w:lineRule="auto"/>
        <w:rPr>
          <w:sz w:val="20"/>
          <w:szCs w:val="20"/>
          <w:color w:val="auto"/>
        </w:rPr>
      </w:pPr>
      <w:r>
        <w:rPr>
          <w:rFonts w:ascii="Arial" w:cs="Arial" w:eastAsia="Arial" w:hAnsi="Arial"/>
          <w:sz w:val="16"/>
          <w:szCs w:val="16"/>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i w:val="1"/>
          <w:iCs w:val="1"/>
          <w:color w:val="auto"/>
        </w:rPr>
        <w:t>We have not paid dividends in the past and do not expect to pay dividends in the future, and any return on investment may be limited to the value of your stock.</w:t>
      </w:r>
    </w:p>
    <w:p>
      <w:pPr>
        <w:spacing w:after="0" w:line="233" w:lineRule="exact"/>
        <w:rPr>
          <w:sz w:val="20"/>
          <w:szCs w:val="20"/>
          <w:color w:val="auto"/>
        </w:rPr>
      </w:pPr>
    </w:p>
    <w:p>
      <w:pPr>
        <w:ind w:right="20" w:firstLine="648"/>
        <w:spacing w:after="0" w:line="335" w:lineRule="auto"/>
        <w:rPr>
          <w:sz w:val="20"/>
          <w:szCs w:val="20"/>
          <w:color w:val="auto"/>
        </w:rPr>
      </w:pPr>
      <w:r>
        <w:rPr>
          <w:rFonts w:ascii="Arial" w:cs="Arial" w:eastAsia="Arial" w:hAnsi="Arial"/>
          <w:sz w:val="14"/>
          <w:szCs w:val="14"/>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3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ind w:firstLine="648"/>
        <w:spacing w:after="0" w:line="289" w:lineRule="auto"/>
        <w:rPr>
          <w:sz w:val="20"/>
          <w:szCs w:val="20"/>
          <w:color w:val="auto"/>
        </w:rPr>
      </w:pPr>
      <w:r>
        <w:rPr>
          <w:rFonts w:ascii="Arial" w:cs="Arial" w:eastAsia="Arial" w:hAnsi="Arial"/>
          <w:sz w:val="15"/>
          <w:szCs w:val="15"/>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7" w:lineRule="exact"/>
        <w:rPr>
          <w:sz w:val="20"/>
          <w:szCs w:val="20"/>
          <w:color w:val="auto"/>
        </w:rPr>
      </w:pPr>
    </w:p>
    <w:p>
      <w:pPr>
        <w:ind w:firstLine="648"/>
        <w:spacing w:after="0" w:line="313" w:lineRule="auto"/>
        <w:rPr>
          <w:sz w:val="20"/>
          <w:szCs w:val="20"/>
          <w:color w:val="auto"/>
        </w:rPr>
      </w:pPr>
      <w:r>
        <w:rPr>
          <w:rFonts w:ascii="Arial" w:cs="Arial" w:eastAsia="Arial" w:hAnsi="Arial"/>
          <w:sz w:val="14"/>
          <w:szCs w:val="14"/>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181717"/>
        </w:rPr>
        <w:t>We may become involved in securities class action litigation that could divert management’s attention and harm our business.</w:t>
      </w:r>
    </w:p>
    <w:p>
      <w:pPr>
        <w:spacing w:after="0" w:line="22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181717"/>
        </w:rPr>
        <w:t xml:space="preserve">The </w:t>
      </w:r>
      <w:r>
        <w:rPr>
          <w:rFonts w:ascii="Arial" w:cs="Arial" w:eastAsia="Arial" w:hAnsi="Arial"/>
          <w:sz w:val="16"/>
          <w:szCs w:val="16"/>
          <w:color w:val="000000"/>
        </w:rPr>
        <w:t>stock</w:t>
      </w:r>
      <w:r>
        <w:rPr>
          <w:rFonts w:ascii="Arial" w:cs="Arial" w:eastAsia="Arial" w:hAnsi="Arial"/>
          <w:sz w:val="16"/>
          <w:szCs w:val="16"/>
          <w:color w:val="181717"/>
        </w:rPr>
        <w:t xml:space="preserve"> markets have from time to time experienced significant price and volume fluctuations that have affected the market prices for the common stock of biotechnology and pharmaceutical companies. These broad market fluctuations may cause the market price of our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exhibits listed on the Exhibit Index are included with this report.</w:t>
      </w:r>
    </w:p>
    <w:p>
      <w:pPr>
        <w:spacing w:after="0" w:line="200" w:lineRule="exact"/>
        <w:rPr>
          <w:sz w:val="20"/>
          <w:szCs w:val="20"/>
          <w:color w:val="auto"/>
        </w:rPr>
      </w:pP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1</w:t>
              </w:r>
            </w:hyperlink>
          </w:p>
        </w:tc>
        <w:tc>
          <w:tcPr>
            <w:tcW w:w="10520" w:type="dxa"/>
            <w:vAlign w:val="bottom"/>
          </w:tcPr>
          <w:p>
            <w:pPr>
              <w:ind w:left="620"/>
              <w:spacing w:after="0"/>
              <w:rPr>
                <w:sz w:val="20"/>
                <w:szCs w:val="20"/>
                <w:color w:val="auto"/>
              </w:rPr>
            </w:pPr>
            <w:r>
              <w:rPr>
                <w:rFonts w:ascii="Arial" w:cs="Arial" w:eastAsia="Arial" w:hAnsi="Arial"/>
                <w:sz w:val="16"/>
                <w:szCs w:val="16"/>
                <w:color w:val="auto"/>
                <w:w w:val="93"/>
              </w:rPr>
              <w:t>Certification of Chief Executive Officer pursuant to Rule 13a-14(a)/15d-14(a), as adopted pursuant to Section 302 of the Sarbanes-Oxley Act of 2002,</w:t>
            </w:r>
          </w:p>
        </w:tc>
      </w:tr>
      <w:tr>
        <w:trPr>
          <w:trHeight w:val="217"/>
        </w:trPr>
        <w:tc>
          <w:tcPr>
            <w:tcW w:w="300" w:type="dxa"/>
            <w:vAlign w:val="bottom"/>
          </w:tcPr>
          <w:p>
            <w:pPr>
              <w:spacing w:after="0"/>
              <w:rPr>
                <w:sz w:val="18"/>
                <w:szCs w:val="18"/>
                <w:color w:val="auto"/>
              </w:rPr>
            </w:pPr>
          </w:p>
        </w:tc>
        <w:tc>
          <w:tcPr>
            <w:tcW w:w="10520" w:type="dxa"/>
            <w:vAlign w:val="bottom"/>
          </w:tcPr>
          <w:p>
            <w:pPr>
              <w:ind w:left="620"/>
              <w:spacing w:after="0"/>
              <w:rPr>
                <w:sz w:val="20"/>
                <w:szCs w:val="20"/>
                <w:color w:val="auto"/>
              </w:rPr>
            </w:pPr>
            <w:r>
              <w:rPr>
                <w:rFonts w:ascii="Arial" w:cs="Arial" w:eastAsia="Arial" w:hAnsi="Arial"/>
                <w:sz w:val="16"/>
                <w:szCs w:val="16"/>
                <w:color w:val="auto"/>
              </w:rPr>
              <w:t>dated May 10, 2018.</w:t>
            </w:r>
          </w:p>
        </w:tc>
      </w:tr>
      <w:tr>
        <w:trPr>
          <w:trHeight w:val="371"/>
        </w:trPr>
        <w:tc>
          <w:tcPr>
            <w:tcW w:w="3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31.</w:t>
              </w:r>
              <w:r>
                <w:rPr>
                  <w:rFonts w:ascii="Arial" w:cs="Arial" w:eastAsia="Arial" w:hAnsi="Arial"/>
                  <w:sz w:val="16"/>
                  <w:szCs w:val="16"/>
                  <w:u w:val="single" w:color="auto"/>
                  <w:color w:val="0000EE"/>
                  <w:w w:val="89"/>
                </w:rPr>
                <w:t>2</w:t>
              </w:r>
            </w:hyperlink>
          </w:p>
        </w:tc>
        <w:tc>
          <w:tcPr>
            <w:tcW w:w="10520" w:type="dxa"/>
            <w:vAlign w:val="bottom"/>
          </w:tcPr>
          <w:p>
            <w:pPr>
              <w:ind w:left="620"/>
              <w:spacing w:after="0"/>
              <w:rPr>
                <w:sz w:val="20"/>
                <w:szCs w:val="20"/>
                <w:color w:val="auto"/>
              </w:rPr>
            </w:pPr>
            <w:r>
              <w:rPr>
                <w:rFonts w:ascii="Arial" w:cs="Arial" w:eastAsia="Arial" w:hAnsi="Arial"/>
                <w:sz w:val="16"/>
                <w:szCs w:val="16"/>
                <w:color w:val="auto"/>
                <w:w w:val="94"/>
              </w:rPr>
              <w:t>Certification of Chief Financial Officer pursuant to Rule 13a-14(a)/15d-14(a), as adopted pursuant to Section 302 of the Sarbanes-Oxley Act of 2002,</w:t>
            </w:r>
          </w:p>
        </w:tc>
      </w:tr>
      <w:tr>
        <w:trPr>
          <w:trHeight w:val="217"/>
        </w:trPr>
        <w:tc>
          <w:tcPr>
            <w:tcW w:w="300" w:type="dxa"/>
            <w:vAlign w:val="bottom"/>
          </w:tcPr>
          <w:p>
            <w:pPr>
              <w:spacing w:after="0"/>
              <w:rPr>
                <w:sz w:val="18"/>
                <w:szCs w:val="18"/>
                <w:color w:val="auto"/>
              </w:rPr>
            </w:pPr>
          </w:p>
        </w:tc>
        <w:tc>
          <w:tcPr>
            <w:tcW w:w="10520" w:type="dxa"/>
            <w:vAlign w:val="bottom"/>
          </w:tcPr>
          <w:p>
            <w:pPr>
              <w:ind w:left="620"/>
              <w:spacing w:after="0"/>
              <w:rPr>
                <w:sz w:val="20"/>
                <w:szCs w:val="20"/>
                <w:color w:val="auto"/>
              </w:rPr>
            </w:pPr>
            <w:r>
              <w:rPr>
                <w:rFonts w:ascii="Arial" w:cs="Arial" w:eastAsia="Arial" w:hAnsi="Arial"/>
                <w:sz w:val="16"/>
                <w:szCs w:val="16"/>
                <w:color w:val="auto"/>
              </w:rPr>
              <w:t>dated May 10, 2018.</w:t>
            </w:r>
          </w:p>
        </w:tc>
      </w:tr>
      <w:tr>
        <w:trPr>
          <w:trHeight w:val="371"/>
        </w:trPr>
        <w:tc>
          <w:tcPr>
            <w:tcW w:w="3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1</w:t>
              </w:r>
            </w:hyperlink>
          </w:p>
        </w:tc>
        <w:tc>
          <w:tcPr>
            <w:tcW w:w="10520" w:type="dxa"/>
            <w:vAlign w:val="bottom"/>
          </w:tcPr>
          <w:p>
            <w:pPr>
              <w:ind w:left="620"/>
              <w:spacing w:after="0"/>
              <w:rPr>
                <w:sz w:val="20"/>
                <w:szCs w:val="20"/>
                <w:color w:val="auto"/>
              </w:rPr>
            </w:pPr>
            <w:r>
              <w:rPr>
                <w:rFonts w:ascii="Arial" w:cs="Arial" w:eastAsia="Arial" w:hAnsi="Arial"/>
                <w:sz w:val="16"/>
                <w:szCs w:val="16"/>
                <w:color w:val="auto"/>
                <w:w w:val="92"/>
              </w:rPr>
              <w:t>Certification of Chief Executive Officer pursuant to 18 U.S.C. §1350, as adopted pursuant to Section 906 of the Sarbanes-Oxley Act of 2002, dated May</w:t>
            </w:r>
          </w:p>
        </w:tc>
      </w:tr>
      <w:tr>
        <w:trPr>
          <w:trHeight w:val="217"/>
        </w:trPr>
        <w:tc>
          <w:tcPr>
            <w:tcW w:w="300" w:type="dxa"/>
            <w:vAlign w:val="bottom"/>
          </w:tcPr>
          <w:p>
            <w:pPr>
              <w:spacing w:after="0"/>
              <w:rPr>
                <w:sz w:val="18"/>
                <w:szCs w:val="18"/>
                <w:color w:val="auto"/>
              </w:rPr>
            </w:pPr>
          </w:p>
        </w:tc>
        <w:tc>
          <w:tcPr>
            <w:tcW w:w="10520" w:type="dxa"/>
            <w:vAlign w:val="bottom"/>
          </w:tcPr>
          <w:p>
            <w:pPr>
              <w:ind w:left="620"/>
              <w:spacing w:after="0"/>
              <w:rPr>
                <w:sz w:val="20"/>
                <w:szCs w:val="20"/>
                <w:color w:val="auto"/>
              </w:rPr>
            </w:pPr>
            <w:r>
              <w:rPr>
                <w:rFonts w:ascii="Arial" w:cs="Arial" w:eastAsia="Arial" w:hAnsi="Arial"/>
                <w:sz w:val="16"/>
                <w:szCs w:val="16"/>
                <w:color w:val="auto"/>
              </w:rPr>
              <w:t>10, 2018.</w:t>
            </w:r>
          </w:p>
        </w:tc>
      </w:tr>
      <w:tr>
        <w:trPr>
          <w:trHeight w:val="371"/>
        </w:trPr>
        <w:tc>
          <w:tcPr>
            <w:tcW w:w="3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2</w:t>
              </w:r>
            </w:hyperlink>
          </w:p>
        </w:tc>
        <w:tc>
          <w:tcPr>
            <w:tcW w:w="10520" w:type="dxa"/>
            <w:vAlign w:val="bottom"/>
          </w:tcPr>
          <w:p>
            <w:pPr>
              <w:ind w:left="620"/>
              <w:spacing w:after="0"/>
              <w:rPr>
                <w:sz w:val="20"/>
                <w:szCs w:val="20"/>
                <w:color w:val="auto"/>
              </w:rPr>
            </w:pPr>
            <w:r>
              <w:rPr>
                <w:rFonts w:ascii="Arial" w:cs="Arial" w:eastAsia="Arial" w:hAnsi="Arial"/>
                <w:sz w:val="16"/>
                <w:szCs w:val="16"/>
                <w:color w:val="auto"/>
                <w:w w:val="92"/>
              </w:rPr>
              <w:t>Certification of Chief Financial Officer pursuant to 18 U.S.C. §1350, as adopted pursuant to Section 906 of the Sarbanes-Oxley Act of 2002, dated May</w:t>
            </w:r>
          </w:p>
        </w:tc>
      </w:tr>
      <w:tr>
        <w:trPr>
          <w:trHeight w:val="217"/>
        </w:trPr>
        <w:tc>
          <w:tcPr>
            <w:tcW w:w="300" w:type="dxa"/>
            <w:vAlign w:val="bottom"/>
          </w:tcPr>
          <w:p>
            <w:pPr>
              <w:spacing w:after="0"/>
              <w:rPr>
                <w:sz w:val="18"/>
                <w:szCs w:val="18"/>
                <w:color w:val="auto"/>
              </w:rPr>
            </w:pPr>
          </w:p>
        </w:tc>
        <w:tc>
          <w:tcPr>
            <w:tcW w:w="10520" w:type="dxa"/>
            <w:vAlign w:val="bottom"/>
          </w:tcPr>
          <w:p>
            <w:pPr>
              <w:ind w:left="620"/>
              <w:spacing w:after="0"/>
              <w:rPr>
                <w:sz w:val="20"/>
                <w:szCs w:val="20"/>
                <w:color w:val="auto"/>
              </w:rPr>
            </w:pPr>
            <w:r>
              <w:rPr>
                <w:rFonts w:ascii="Arial" w:cs="Arial" w:eastAsia="Arial" w:hAnsi="Arial"/>
                <w:sz w:val="16"/>
                <w:szCs w:val="16"/>
                <w:color w:val="auto"/>
              </w:rPr>
              <w:t>10, 2018.</w:t>
            </w:r>
          </w:p>
        </w:tc>
      </w:tr>
    </w:tbl>
    <w:p>
      <w:pPr>
        <w:spacing w:after="0" w:line="199" w:lineRule="exact"/>
        <w:rPr>
          <w:sz w:val="20"/>
          <w:szCs w:val="20"/>
          <w:color w:val="auto"/>
        </w:rPr>
      </w:pPr>
    </w:p>
    <w:p>
      <w:pPr>
        <w:ind w:left="1200" w:right="40" w:hanging="913"/>
        <w:spacing w:after="0" w:line="273" w:lineRule="auto"/>
        <w:tabs>
          <w:tab w:leader="none" w:pos="1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2018,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17780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420" w:top="531" w:right="37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SIGNATURES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TG THERAPEUTICS, INC.</w:t>
      </w:r>
    </w:p>
    <w:p>
      <w:pPr>
        <w:spacing w:after="0" w:line="221" w:lineRule="exact"/>
        <w:rPr>
          <w:sz w:val="20"/>
          <w:szCs w:val="20"/>
          <w:color w:val="auto"/>
        </w:rPr>
      </w:pPr>
    </w:p>
    <w:p>
      <w:pPr>
        <w:ind w:left="180"/>
        <w:spacing w:after="0"/>
        <w:tabs>
          <w:tab w:leader="none" w:pos="5520" w:val="left"/>
        </w:tabs>
        <w:rPr>
          <w:sz w:val="20"/>
          <w:szCs w:val="20"/>
          <w:color w:val="auto"/>
        </w:rPr>
      </w:pPr>
      <w:r>
        <w:rPr>
          <w:rFonts w:ascii="Arial" w:cs="Arial" w:eastAsia="Arial" w:hAnsi="Arial"/>
          <w:sz w:val="16"/>
          <w:szCs w:val="16"/>
          <w:color w:val="auto"/>
        </w:rPr>
        <w:t>Date: May 10, 2018</w:t>
      </w:r>
      <w:r>
        <w:rPr>
          <w:sz w:val="20"/>
          <w:szCs w:val="20"/>
          <w:color w:val="auto"/>
        </w:rPr>
        <w:tab/>
      </w:r>
      <w:r>
        <w:rPr>
          <w:rFonts w:ascii="Arial" w:cs="Arial" w:eastAsia="Arial" w:hAnsi="Arial"/>
          <w:sz w:val="15"/>
          <w:szCs w:val="15"/>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17780</wp:posOffset>
            </wp:positionV>
            <wp:extent cx="38334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2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Sean A. Power</w:t>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2018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2018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May 10, 2018</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2"/>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0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5"/>
    </w:lvl>
    <w:lvl w:ilvl="1">
      <w:lvlJc w:val="left"/>
      <w:lvlText w:val="%2)"/>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2019-12-28T22:04:44Z</dcterms:created>
  <dcterms:modified xsi:type="dcterms:W3CDTF">2019-12-28T22:04:44Z</dcterms:modified>
</cp:coreProperties>
</file>