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6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There were 144,435,369 shares of the registrant’s common stock, $0.001 par value, outstanding as of May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2022</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gridSpan w:val="10"/>
          </w:tcPr>
          <w:p>
            <w:pPr>
              <w:ind w:left="46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364"/>
        </w:trPr>
        <w:tc>
          <w:tcPr>
            <w:tcW w:w="796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720" w:type="dxa"/>
            <w:vAlign w:val="bottom"/>
            <w:tcBorders>
              <w:top w:val="single" w:sz="8" w:color="0000EE"/>
            </w:tcBorders>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12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72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6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Financial Statements:</w:t>
              </w:r>
            </w:hyperlink>
          </w:p>
        </w:tc>
        <w:tc>
          <w:tcPr>
            <w:tcW w:w="700" w:type="dxa"/>
            <w:vAlign w:val="bottom"/>
            <w:tcBorders>
              <w:top w:val="single" w:sz="8" w:color="0000EE"/>
            </w:tcBorders>
            <w:gridSpan w:val="4"/>
          </w:tcPr>
          <w:p>
            <w:pPr>
              <w:spacing w:after="0"/>
              <w:rPr>
                <w:sz w:val="24"/>
                <w:szCs w:val="24"/>
                <w:color w:val="auto"/>
              </w:rPr>
            </w:pPr>
          </w:p>
        </w:tc>
        <w:tc>
          <w:tcPr>
            <w:tcW w:w="494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Balance Sheets</w:t>
              </w:r>
            </w:hyperlink>
          </w:p>
        </w:tc>
        <w:tc>
          <w:tcPr>
            <w:tcW w:w="426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Operations (unaudited)</w:t>
              </w:r>
            </w:hyperlink>
          </w:p>
        </w:tc>
        <w:tc>
          <w:tcPr>
            <w:tcW w:w="26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Changes in Stockholders’ Equity (unaudited)</w:t>
              </w:r>
            </w:hyperlink>
          </w:p>
        </w:tc>
        <w:tc>
          <w:tcPr>
            <w:tcW w:w="108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w:t>
              </w:r>
            </w:hyperlink>
          </w:p>
        </w:tc>
        <w:tc>
          <w:tcPr>
            <w:tcW w:w="280" w:type="dxa"/>
            <w:vAlign w:val="bottom"/>
            <w:gridSpan w:val="3"/>
          </w:tcPr>
          <w:p>
            <w:pPr>
              <w:spacing w:after="0"/>
              <w:rPr>
                <w:sz w:val="24"/>
                <w:szCs w:val="24"/>
                <w:color w:val="auto"/>
              </w:rPr>
            </w:pP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3</w:t>
              </w:r>
            </w:hyperlink>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8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460" w:type="dxa"/>
            <w:vAlign w:val="bottom"/>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300" w:type="dxa"/>
            <w:vAlign w:val="bottom"/>
            <w:gridSpan w:val="4"/>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w:t>
              </w:r>
            </w:hyperlink>
          </w:p>
        </w:tc>
        <w:tc>
          <w:tcPr>
            <w:tcW w:w="72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1</w:t>
              </w:r>
            </w:hyperlink>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532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76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72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Item 2</w:t>
              </w:r>
            </w:hyperlink>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Item 3</w:t>
              </w:r>
            </w:hyperlink>
          </w:p>
        </w:tc>
        <w:tc>
          <w:tcPr>
            <w:tcW w:w="280" w:type="dxa"/>
            <w:vAlign w:val="bottom"/>
            <w:gridSpan w:val="3"/>
          </w:tcPr>
          <w:p>
            <w:pPr>
              <w:spacing w:after="0"/>
              <w:rPr>
                <w:sz w:val="24"/>
                <w:szCs w:val="24"/>
                <w:color w:val="auto"/>
              </w:rPr>
            </w:pPr>
          </w:p>
        </w:tc>
        <w:tc>
          <w:tcPr>
            <w:tcW w:w="20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Defaults of Senior Securities</w:t>
              </w:r>
            </w:hyperlink>
          </w:p>
        </w:tc>
        <w:tc>
          <w:tcPr>
            <w:tcW w:w="2260" w:type="dxa"/>
            <w:vAlign w:val="bottom"/>
            <w:tcBorders>
              <w:top w:val="single" w:sz="8" w:color="0000EE"/>
            </w:tcBorders>
            <w:gridSpan w:val="3"/>
          </w:tcPr>
          <w:p>
            <w:pPr>
              <w:spacing w:after="0"/>
              <w:rPr>
                <w:sz w:val="24"/>
                <w:szCs w:val="24"/>
                <w:color w:val="auto"/>
              </w:rPr>
            </w:pPr>
          </w:p>
        </w:tc>
        <w:tc>
          <w:tcPr>
            <w:tcW w:w="28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Item 4</w:t>
              </w:r>
            </w:hyperlink>
          </w:p>
        </w:tc>
        <w:tc>
          <w:tcPr>
            <w:tcW w:w="280" w:type="dxa"/>
            <w:vAlign w:val="bottom"/>
            <w:gridSpan w:val="3"/>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Item 5</w:t>
              </w:r>
            </w:hyperlink>
          </w:p>
        </w:tc>
        <w:tc>
          <w:tcPr>
            <w:tcW w:w="28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54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Item 6</w:t>
              </w:r>
            </w:hyperlink>
          </w:p>
        </w:tc>
        <w:tc>
          <w:tcPr>
            <w:tcW w:w="280" w:type="dxa"/>
            <w:vAlign w:val="bottom"/>
            <w:gridSpan w:val="3"/>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Exhibits</w:t>
              </w:r>
            </w:hyperlink>
          </w:p>
        </w:tc>
        <w:tc>
          <w:tcPr>
            <w:tcW w:w="660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4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2" w:lineRule="exact"/>
        <w:rPr>
          <w:sz w:val="20"/>
          <w:szCs w:val="20"/>
          <w:color w:val="auto"/>
        </w:rPr>
      </w:pPr>
    </w:p>
    <w:p>
      <w:pPr>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regulatory approval for ublituximab in relapsing forms of multiple sclerosis (RMS) and any other product candidates;</w:t>
      </w:r>
    </w:p>
    <w:p>
      <w:pPr>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and expand our commercial infrastructure to successfully launch, market and sell ublituximab in RMS if we obtain regulatory approval in the future;</w:t>
      </w:r>
    </w:p>
    <w:p>
      <w:pPr>
        <w:ind w:left="760" w:right="79" w:hanging="359"/>
        <w:spacing w:after="0" w:line="26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the potential commercialization of ublituximab or any future products or combinations of products, including the anticipated rate and degree of market acceptance and pricing and reimbursement;</w:t>
      </w: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w:t>
      </w:r>
    </w:p>
    <w:p>
      <w:pPr>
        <w:spacing w:after="0" w:line="9"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and drug candidates;</w:t>
      </w:r>
    </w:p>
    <w:p>
      <w:pPr>
        <w:spacing w:after="0" w:line="9" w:lineRule="exact"/>
        <w:rPr>
          <w:rFonts w:ascii="Arial" w:cs="Arial" w:eastAsia="Arial" w:hAnsi="Arial"/>
          <w:sz w:val="18"/>
          <w:szCs w:val="18"/>
          <w:color w:val="auto"/>
        </w:rPr>
      </w:pPr>
    </w:p>
    <w:p>
      <w:pPr>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20"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760" w:right="79" w:hanging="359"/>
        <w:spacing w:after="0" w:line="28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meet any of our financial projections or guidance, including without limitation short and long-term revenue projections or guidance and changes to the assumptions underlying those projections or guidance;</w:t>
      </w:r>
    </w:p>
    <w:p>
      <w:pPr>
        <w:spacing w:after="0" w:line="1" w:lineRule="exact"/>
        <w:rPr>
          <w:rFonts w:ascii="Arial" w:cs="Arial" w:eastAsia="Arial" w:hAnsi="Arial"/>
          <w:sz w:val="16"/>
          <w:szCs w:val="16"/>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 and</w:t>
      </w:r>
    </w:p>
    <w:p>
      <w:pPr>
        <w:spacing w:after="0" w:line="9"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SUMMARY RISK FACTORS</w:t>
      </w:r>
    </w:p>
    <w:p>
      <w:pPr>
        <w:spacing w:after="0" w:line="9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Drug Development and Regulatory Approval</w:t>
      </w:r>
    </w:p>
    <w:p>
      <w:pPr>
        <w:spacing w:after="0" w:line="25" w:lineRule="exact"/>
        <w:rPr>
          <w:sz w:val="20"/>
          <w:szCs w:val="20"/>
          <w:color w:val="auto"/>
        </w:rPr>
      </w:pPr>
    </w:p>
    <w:p>
      <w:pPr>
        <w:ind w:left="380" w:right="79" w:hanging="330"/>
        <w:spacing w:after="0" w:line="232"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regulatory approval for our product candidates and ultimately cannot commercialize one or more of them, or experience significant delays in doing so, our business will be materially harmed.</w:t>
      </w:r>
    </w:p>
    <w:p>
      <w:pPr>
        <w:ind w:left="380" w:right="79" w:hanging="330"/>
        <w:spacing w:after="0" w:line="24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that could delay or prevent their regulatory approval or significantly limit their commercial profile following marketing approval, if any.</w:t>
      </w:r>
    </w:p>
    <w:p>
      <w:pPr>
        <w:jc w:val="both"/>
        <w:ind w:left="380" w:right="79" w:hanging="330"/>
        <w:spacing w:after="0" w:line="24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2" w:lineRule="exact"/>
        <w:rPr>
          <w:rFonts w:ascii="Arial" w:cs="Arial" w:eastAsia="Arial" w:hAnsi="Arial"/>
          <w:sz w:val="17"/>
          <w:szCs w:val="17"/>
          <w:color w:val="auto"/>
        </w:rPr>
      </w:pPr>
    </w:p>
    <w:p>
      <w:pPr>
        <w:ind w:left="380" w:right="79" w:hanging="330"/>
        <w:spacing w:after="0" w:line="257"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Commercialization</w:t>
      </w:r>
    </w:p>
    <w:p>
      <w:pPr>
        <w:spacing w:after="0" w:line="25" w:lineRule="exact"/>
        <w:rPr>
          <w:sz w:val="20"/>
          <w:szCs w:val="20"/>
          <w:color w:val="auto"/>
        </w:rPr>
      </w:pPr>
    </w:p>
    <w:p>
      <w:pPr>
        <w:ind w:left="380" w:right="79" w:hanging="330"/>
        <w:spacing w:after="0" w:line="24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cannot predict when or if we will obtain regulatory approval to commercialize our product candidates, including ublituximab in RMS.</w:t>
      </w:r>
    </w:p>
    <w:p>
      <w:pPr>
        <w:spacing w:after="0" w:line="1" w:lineRule="exact"/>
        <w:rPr>
          <w:rFonts w:ascii="Arial" w:cs="Arial" w:eastAsia="Arial" w:hAnsi="Arial"/>
          <w:sz w:val="17"/>
          <w:szCs w:val="17"/>
          <w:color w:val="auto"/>
        </w:rPr>
      </w:pPr>
    </w:p>
    <w:p>
      <w:pPr>
        <w:ind w:left="380" w:right="79" w:hanging="330"/>
        <w:spacing w:after="0" w:line="24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limited experience operating as a commercial company, and, as a result, the marketing and sale of ublituximab in RMS, if approved, may be less successful than anticipated.</w:t>
      </w:r>
    </w:p>
    <w:p>
      <w:pPr>
        <w:spacing w:after="0" w:line="1" w:lineRule="exact"/>
        <w:rPr>
          <w:rFonts w:ascii="Arial" w:cs="Arial" w:eastAsia="Arial" w:hAnsi="Arial"/>
          <w:sz w:val="17"/>
          <w:szCs w:val="17"/>
          <w:color w:val="auto"/>
        </w:rPr>
      </w:pPr>
    </w:p>
    <w:p>
      <w:pPr>
        <w:ind w:left="380" w:right="79" w:hanging="330"/>
        <w:spacing w:after="0" w:line="26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any of our future product candidates receive approval but do not achieve broad market acceptance among physicians, patients, payors, and the medical community, the revenues that we generate from product sales will be limited.</w:t>
      </w:r>
    </w:p>
    <w:p>
      <w:pPr>
        <w:jc w:val="both"/>
        <w:ind w:left="380" w:right="79" w:hanging="330"/>
        <w:spacing w:after="0" w:line="281"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the market opportunities for any products for which we may receive approval, including ublituximab in RMS, are smaller than we estimate or if any approval that we obtain is based on a narrower patient population or the labeling includes warnings or limitations that are not acceptable to patients or healthcare providers, our revenue will be adversely affected.</w:t>
      </w:r>
    </w:p>
    <w:p>
      <w:pPr>
        <w:spacing w:after="0" w:line="1" w:lineRule="exact"/>
        <w:rPr>
          <w:rFonts w:ascii="Arial" w:cs="Arial" w:eastAsia="Arial" w:hAnsi="Arial"/>
          <w:sz w:val="15"/>
          <w:szCs w:val="15"/>
          <w:color w:val="auto"/>
        </w:rPr>
      </w:pPr>
    </w:p>
    <w:p>
      <w:pPr>
        <w:ind w:left="380" w:right="79" w:hanging="330"/>
        <w:spacing w:after="0" w:line="26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face substantial competition for treatments for our target indications, which may result in others commercializing drugs before or more successfully than we do, resulting in the reduction or elimination of our commercial opportunity.</w:t>
      </w:r>
    </w:p>
    <w:p>
      <w:pPr>
        <w:ind w:left="380" w:right="79" w:hanging="330"/>
        <w:spacing w:after="0" w:line="264"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unable to establish additional commercial capabilities and infrastructure to support a potential launch in RMS or expansion into geographies outside the U.S., we may be unable to generate sufficient revenue to sustain our business.</w:t>
      </w:r>
    </w:p>
    <w:p>
      <w:pPr>
        <w:ind w:left="380" w:hanging="330"/>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Product liability lawsuits could cause us to incur substantial liabilities and limit product commercialization.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5" w:lineRule="exact"/>
        <w:rPr>
          <w:sz w:val="20"/>
          <w:szCs w:val="20"/>
          <w:color w:val="auto"/>
        </w:rPr>
      </w:pPr>
    </w:p>
    <w:p>
      <w:pPr>
        <w:ind w:left="380" w:right="79" w:hanging="330"/>
        <w:spacing w:after="0" w:line="24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anticipate that we will continue to incur losses for the foreseeable future.</w:t>
      </w:r>
    </w:p>
    <w:p>
      <w:pPr>
        <w:spacing w:after="0" w:line="1" w:lineRule="exact"/>
        <w:rPr>
          <w:rFonts w:ascii="Arial" w:cs="Arial" w:eastAsia="Arial" w:hAnsi="Arial"/>
          <w:sz w:val="17"/>
          <w:szCs w:val="17"/>
          <w:color w:val="auto"/>
        </w:rPr>
      </w:pPr>
    </w:p>
    <w:p>
      <w:pPr>
        <w:ind w:left="380" w:right="79" w:hanging="330"/>
        <w:spacing w:after="0" w:line="24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we will be forced to delay, reduce, or eliminate some of our drug development programs or commercialization efforts.</w:t>
      </w:r>
    </w:p>
    <w:p>
      <w:pPr>
        <w:spacing w:after="0" w:line="1" w:lineRule="exact"/>
        <w:rPr>
          <w:rFonts w:ascii="Arial" w:cs="Arial" w:eastAsia="Arial" w:hAnsi="Arial"/>
          <w:sz w:val="17"/>
          <w:szCs w:val="17"/>
          <w:color w:val="auto"/>
        </w:rPr>
      </w:pPr>
    </w:p>
    <w:p>
      <w:pPr>
        <w:ind w:left="380" w:right="79" w:hanging="330"/>
        <w:spacing w:after="0" w:line="257"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level of indebtedness and debt service obligations could adversely affect our financial condition and may make it more difficult for us to fund our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Governmental Regulation of the Pharmaceutical Industry</w:t>
      </w:r>
    </w:p>
    <w:p>
      <w:pPr>
        <w:spacing w:after="0" w:line="25" w:lineRule="exact"/>
        <w:rPr>
          <w:sz w:val="20"/>
          <w:szCs w:val="20"/>
          <w:color w:val="auto"/>
        </w:rPr>
      </w:pPr>
    </w:p>
    <w:p>
      <w:pPr>
        <w:ind w:left="380" w:right="79" w:hanging="330"/>
        <w:spacing w:after="0" w:line="24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subject to extensive regulation, including new legislative and regulatory proposals, that may increase our compliance costs and adversely affect our ability to market our products, obtain collaborators and raise capital.</w:t>
      </w:r>
    </w:p>
    <w:p>
      <w:pPr>
        <w:spacing w:after="0" w:line="1" w:lineRule="exact"/>
        <w:rPr>
          <w:rFonts w:ascii="Arial" w:cs="Arial" w:eastAsia="Arial" w:hAnsi="Arial"/>
          <w:sz w:val="17"/>
          <w:szCs w:val="17"/>
          <w:color w:val="auto"/>
        </w:rPr>
      </w:pPr>
    </w:p>
    <w:p>
      <w:pPr>
        <w:ind w:left="380" w:hanging="330"/>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comply with various healthcare laws and regulations, we may incur losses or be subject to liability.</w:t>
      </w:r>
    </w:p>
    <w:p>
      <w:pPr>
        <w:spacing w:after="0" w:line="7" w:lineRule="exact"/>
        <w:rPr>
          <w:rFonts w:ascii="Arial" w:cs="Arial" w:eastAsia="Arial" w:hAnsi="Arial"/>
          <w:sz w:val="17"/>
          <w:szCs w:val="17"/>
          <w:color w:val="auto"/>
        </w:rPr>
      </w:pPr>
    </w:p>
    <w:p>
      <w:pPr>
        <w:ind w:left="380" w:right="79" w:hanging="330"/>
        <w:spacing w:after="0" w:line="257"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comply with regulatory requirements, any product for which we obtain marketing approval could be subject to restrictions or withdrawal from the market and we may be subject to penalties.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5" w:lineRule="exact"/>
        <w:rPr>
          <w:sz w:val="20"/>
          <w:szCs w:val="20"/>
          <w:color w:val="auto"/>
        </w:rPr>
      </w:pPr>
    </w:p>
    <w:p>
      <w:pPr>
        <w:jc w:val="both"/>
        <w:ind w:left="380" w:right="79" w:hanging="330"/>
        <w:spacing w:after="0" w:line="24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1" w:lineRule="exact"/>
        <w:rPr>
          <w:rFonts w:ascii="Arial" w:cs="Arial" w:eastAsia="Arial" w:hAnsi="Arial"/>
          <w:sz w:val="17"/>
          <w:szCs w:val="17"/>
          <w:color w:val="auto"/>
        </w:rPr>
      </w:pPr>
    </w:p>
    <w:p>
      <w:pPr>
        <w:jc w:val="both"/>
        <w:ind w:left="380" w:right="79" w:hanging="330"/>
        <w:spacing w:after="0" w:line="24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spacing w:after="0" w:line="1" w:lineRule="exact"/>
        <w:rPr>
          <w:rFonts w:ascii="Arial" w:cs="Arial" w:eastAsia="Arial" w:hAnsi="Arial"/>
          <w:sz w:val="17"/>
          <w:szCs w:val="17"/>
          <w:color w:val="auto"/>
        </w:rPr>
      </w:pPr>
    </w:p>
    <w:p>
      <w:pPr>
        <w:ind w:left="380" w:right="79" w:hanging="330"/>
        <w:spacing w:after="0" w:line="257"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5" w:lineRule="exact"/>
        <w:rPr>
          <w:sz w:val="20"/>
          <w:szCs w:val="20"/>
          <w:color w:val="auto"/>
        </w:rPr>
      </w:pPr>
    </w:p>
    <w:p>
      <w:pPr>
        <w:jc w:val="both"/>
        <w:ind w:left="380" w:right="79" w:hanging="330"/>
        <w:spacing w:after="0" w:line="24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Arial" w:cs="Arial" w:eastAsia="Arial" w:hAnsi="Arial"/>
          <w:sz w:val="17"/>
          <w:szCs w:val="17"/>
          <w:color w:val="auto"/>
        </w:rPr>
      </w:pPr>
    </w:p>
    <w:p>
      <w:pPr>
        <w:ind w:left="380" w:right="79" w:hanging="330"/>
        <w:spacing w:after="0" w:line="24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patent protection could be reduced or eliminated for non-compliance with various procedural and other requirements imposed by governmental patent agencies.</w:t>
      </w:r>
    </w:p>
    <w:p>
      <w:pPr>
        <w:spacing w:after="0" w:line="1" w:lineRule="exact"/>
        <w:rPr>
          <w:rFonts w:ascii="Arial" w:cs="Arial" w:eastAsia="Arial" w:hAnsi="Arial"/>
          <w:sz w:val="17"/>
          <w:szCs w:val="17"/>
          <w:color w:val="auto"/>
        </w:rPr>
      </w:pPr>
    </w:p>
    <w:p>
      <w:pPr>
        <w:ind w:left="380" w:right="79" w:hanging="330"/>
        <w:spacing w:after="0" w:line="24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need to license certain intellectual property from third parties, and such licenses may not be available or may not be available on commercially reasonable terms.</w:t>
      </w:r>
    </w:p>
    <w:p>
      <w:pPr>
        <w:spacing w:after="0" w:line="1" w:lineRule="exact"/>
        <w:rPr>
          <w:rFonts w:ascii="Arial" w:cs="Arial" w:eastAsia="Arial" w:hAnsi="Arial"/>
          <w:sz w:val="17"/>
          <w:szCs w:val="17"/>
          <w:color w:val="auto"/>
        </w:rPr>
      </w:pPr>
    </w:p>
    <w:p>
      <w:pPr>
        <w:ind w:left="380" w:right="79" w:hanging="330"/>
        <w:spacing w:after="0" w:line="24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 w:lineRule="exact"/>
        <w:rPr>
          <w:rFonts w:ascii="Arial" w:cs="Arial" w:eastAsia="Arial" w:hAnsi="Arial"/>
          <w:sz w:val="17"/>
          <w:szCs w:val="17"/>
          <w:color w:val="auto"/>
        </w:rPr>
      </w:pPr>
    </w:p>
    <w:p>
      <w:pPr>
        <w:ind w:left="380" w:hanging="330"/>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protect the confidentiality of our trade secrets, our business may be significantly harmed.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COVID-19</w:t>
      </w:r>
    </w:p>
    <w:p>
      <w:pPr>
        <w:spacing w:after="0" w:line="25" w:lineRule="exact"/>
        <w:rPr>
          <w:sz w:val="20"/>
          <w:szCs w:val="20"/>
          <w:color w:val="auto"/>
        </w:rPr>
      </w:pPr>
    </w:p>
    <w:p>
      <w:pPr>
        <w:ind w:left="380" w:right="79" w:hanging="330"/>
        <w:spacing w:after="0" w:line="24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Public health issues, and specifically the pandemic caused by COVID-19, could have an adverse impact on our financial condition and results of operations and other aspects of our business.</w:t>
      </w:r>
    </w:p>
    <w:p>
      <w:pPr>
        <w:spacing w:after="0" w:line="1" w:lineRule="exact"/>
        <w:rPr>
          <w:rFonts w:ascii="Arial" w:cs="Arial" w:eastAsia="Arial" w:hAnsi="Arial"/>
          <w:sz w:val="17"/>
          <w:szCs w:val="17"/>
          <w:color w:val="auto"/>
        </w:rPr>
      </w:pPr>
    </w:p>
    <w:p>
      <w:pPr>
        <w:jc w:val="both"/>
        <w:ind w:left="380" w:right="79" w:hanging="330"/>
        <w:spacing w:after="0" w:line="251"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ublituximab and other immunosuppressive products that we have in development.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General Risk Factors</w:t>
      </w:r>
    </w:p>
    <w:p>
      <w:pPr>
        <w:spacing w:after="0" w:line="25" w:lineRule="exact"/>
        <w:rPr>
          <w:sz w:val="20"/>
          <w:szCs w:val="20"/>
          <w:color w:val="auto"/>
        </w:rPr>
      </w:pPr>
    </w:p>
    <w:p>
      <w:pPr>
        <w:ind w:left="400" w:right="79" w:hanging="242"/>
        <w:spacing w:after="0" w:line="248"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will need to develop and expand our business, and we may encounter difficulties in managing this development and expansion.</w:t>
      </w:r>
    </w:p>
    <w:p>
      <w:pPr>
        <w:spacing w:after="0" w:line="1" w:lineRule="exact"/>
        <w:rPr>
          <w:rFonts w:ascii="Arial" w:cs="Arial" w:eastAsia="Arial" w:hAnsi="Arial"/>
          <w:sz w:val="17"/>
          <w:szCs w:val="17"/>
          <w:color w:val="auto"/>
        </w:rPr>
      </w:pPr>
    </w:p>
    <w:p>
      <w:pPr>
        <w:ind w:left="400" w:right="79" w:hanging="242"/>
        <w:spacing w:after="0" w:line="248"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continue our clinical development and commercialization activities will depend on our ability to attract and maintain key management and other personnel.</w:t>
      </w:r>
    </w:p>
    <w:p>
      <w:pPr>
        <w:spacing w:after="0" w:line="1" w:lineRule="exact"/>
        <w:rPr>
          <w:rFonts w:ascii="Arial" w:cs="Arial" w:eastAsia="Arial" w:hAnsi="Arial"/>
          <w:sz w:val="17"/>
          <w:szCs w:val="17"/>
          <w:color w:val="auto"/>
        </w:rPr>
      </w:pPr>
    </w:p>
    <w:p>
      <w:pPr>
        <w:ind w:left="400" w:right="79" w:hanging="242"/>
        <w:spacing w:after="0" w:line="264"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of our executive officers, directors and other stockholders own more than 5% of our outstanding common stock and may be able to influence our management and the outcome of matters submitted to shareholders for approval.</w:t>
      </w:r>
    </w:p>
    <w:p>
      <w:pPr>
        <w:ind w:left="400" w:right="79" w:hanging="242"/>
        <w:spacing w:after="0" w:line="248"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anti-takeover provisions in our charter documents and Delaware law could make a third-party acquisition more difficult, which could limit the price investors might be willing to pay for our common stock.</w:t>
      </w:r>
    </w:p>
    <w:p>
      <w:pPr>
        <w:spacing w:after="0" w:line="1" w:lineRule="exact"/>
        <w:rPr>
          <w:rFonts w:ascii="Arial" w:cs="Arial" w:eastAsia="Arial" w:hAnsi="Arial"/>
          <w:sz w:val="17"/>
          <w:szCs w:val="17"/>
          <w:color w:val="auto"/>
        </w:rPr>
      </w:pPr>
    </w:p>
    <w:p>
      <w:pPr>
        <w:ind w:left="400" w:right="79" w:hanging="242"/>
        <w:spacing w:after="0" w:line="257"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stock price is, and we expect it to remain, volatile, which could limit investors’ ability to sell stock at a profit and could subject us to securities and shareholder derivative litigation.</w:t>
      </w:r>
    </w:p>
    <w:p>
      <w:pPr>
        <w:spacing w:after="0" w:line="175" w:lineRule="exact"/>
        <w:rPr>
          <w:sz w:val="20"/>
          <w:szCs w:val="20"/>
          <w:color w:val="auto"/>
        </w:rPr>
      </w:pPr>
    </w:p>
    <w:p>
      <w:pPr>
        <w:ind w:left="60" w:right="439" w:firstLine="648"/>
        <w:spacing w:after="0" w:line="306" w:lineRule="auto"/>
        <w:rPr>
          <w:sz w:val="20"/>
          <w:szCs w:val="20"/>
          <w:color w:val="auto"/>
        </w:rPr>
      </w:pPr>
      <w:r>
        <w:rPr>
          <w:rFonts w:ascii="Arial" w:cs="Arial" w:eastAsia="Arial" w:hAnsi="Arial"/>
          <w:sz w:val="16"/>
          <w:szCs w:val="16"/>
          <w:color w:val="auto"/>
        </w:rPr>
        <w:t>The foregoing is only a summary of some of our risks. These and other risks are discussed more fully in the section entitled “Risk Factors” in Part II, Item IA and elsewhere in this Quarterly Report on Form 10-Q (our Risk Factors).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r>
      <w:tr>
        <w:trPr>
          <w:trHeight w:val="156"/>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5"/>
              </w:rPr>
              <w:t>(Note 1)</w:t>
            </w:r>
          </w:p>
        </w:tc>
        <w:tc>
          <w:tcPr>
            <w:tcW w:w="20" w:type="dxa"/>
            <w:vAlign w:val="bottom"/>
          </w:tcPr>
          <w:p>
            <w:pPr>
              <w:spacing w:after="0"/>
              <w:rPr>
                <w:sz w:val="13"/>
                <w:szCs w:val="13"/>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298,887</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15,876</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11,929</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330,965</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Long-term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35,533</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Leasehold interest,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r>
      <w:tr>
        <w:trPr>
          <w:trHeight w:val="210"/>
        </w:trPr>
        <w:tc>
          <w:tcPr>
            <w:tcW w:w="6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303,028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379,629</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payable –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Lease liability –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0" w:type="dxa"/>
            <w:vAlign w:val="bottom"/>
          </w:tcPr>
          <w:p>
            <w:pPr>
              <w:spacing w:after="0"/>
              <w:rPr>
                <w:sz w:val="18"/>
                <w:szCs w:val="18"/>
                <w:color w:val="auto"/>
              </w:rPr>
            </w:pPr>
          </w:p>
        </w:tc>
      </w:tr>
      <w:tr>
        <w:trPr>
          <w:trHeight w:val="210"/>
        </w:trPr>
        <w:tc>
          <w:tcPr>
            <w:tcW w:w="66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65,384</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Loan payable – non-current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66,788</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non-current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20" w:type="dxa"/>
            <w:vAlign w:val="bottom"/>
          </w:tcPr>
          <w:p>
            <w:pPr>
              <w:spacing w:after="0"/>
              <w:rPr>
                <w:sz w:val="18"/>
                <w:szCs w:val="18"/>
                <w:color w:val="auto"/>
              </w:rPr>
            </w:pPr>
          </w:p>
        </w:tc>
      </w:tr>
      <w:tr>
        <w:trPr>
          <w:trHeight w:val="210"/>
        </w:trPr>
        <w:tc>
          <w:tcPr>
            <w:tcW w:w="6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142,476</w:t>
            </w:r>
          </w:p>
        </w:tc>
        <w:tc>
          <w:tcPr>
            <w:tcW w:w="20" w:type="dxa"/>
            <w:vAlign w:val="bottom"/>
          </w:tcPr>
          <w:p>
            <w:pPr>
              <w:spacing w:after="0"/>
              <w:rPr>
                <w:sz w:val="18"/>
                <w:szCs w:val="18"/>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66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Common stock, $0.001 par value per share (175,000,000 shares authorized,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144,583,334 and 143,292,043 shares issued, 144,542,025 and 143,250,734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March 31, 2022 and December 31, 2021,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1,568,186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1,565,942</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Treasury stock, at cost, 41,309 shares at March 31, 2022 and December 31, 2021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(1,397,711)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(1,328,698)</w:t>
            </w:r>
          </w:p>
        </w:tc>
        <w:tc>
          <w:tcPr>
            <w:tcW w:w="20" w:type="dxa"/>
            <w:vAlign w:val="bottom"/>
          </w:tcPr>
          <w:p>
            <w:pPr>
              <w:spacing w:after="0"/>
              <w:rPr>
                <w:sz w:val="18"/>
                <w:szCs w:val="18"/>
                <w:color w:val="auto"/>
              </w:rPr>
            </w:pPr>
          </w:p>
        </w:tc>
      </w:tr>
      <w:tr>
        <w:trPr>
          <w:trHeight w:val="210"/>
        </w:trPr>
        <w:tc>
          <w:tcPr>
            <w:tcW w:w="66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237,153</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303,028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379,629</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1,978</w:t>
            </w:r>
          </w:p>
        </w:tc>
        <w:tc>
          <w:tcPr>
            <w:tcW w:w="24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48,042</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20,609</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68,888</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(66,872)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(69,013)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Weighted-average shares used in computing basic and diluted net loss per</w:t>
            </w:r>
          </w:p>
        </w:tc>
        <w:tc>
          <w:tcPr>
            <w:tcW w:w="1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134,400,500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131,898,626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Statements of Changes in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8"/>
              </w:rPr>
              <w:t>Additional</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35"/>
        </w:trPr>
        <w:tc>
          <w:tcPr>
            <w:tcW w:w="3840" w:type="dxa"/>
            <w:vAlign w:val="bottom"/>
          </w:tcPr>
          <w:p>
            <w:pPr>
              <w:spacing w:after="0"/>
              <w:rPr>
                <w:sz w:val="11"/>
                <w:szCs w:val="11"/>
                <w:color w:val="auto"/>
              </w:rPr>
            </w:pPr>
          </w:p>
        </w:tc>
        <w:tc>
          <w:tcPr>
            <w:tcW w:w="11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paid-in</w:t>
            </w:r>
          </w:p>
        </w:tc>
        <w:tc>
          <w:tcPr>
            <w:tcW w:w="1280" w:type="dxa"/>
            <w:vAlign w:val="bottom"/>
            <w:gridSpan w:val="5"/>
          </w:tcPr>
          <w:p>
            <w:pPr>
              <w:ind w:left="140"/>
              <w:spacing w:after="0" w:line="135" w:lineRule="exact"/>
              <w:rPr>
                <w:sz w:val="20"/>
                <w:szCs w:val="20"/>
                <w:color w:val="auto"/>
              </w:rPr>
            </w:pPr>
            <w:r>
              <w:rPr>
                <w:rFonts w:ascii="Arial" w:cs="Arial" w:eastAsia="Arial" w:hAnsi="Arial"/>
                <w:sz w:val="13"/>
                <w:szCs w:val="13"/>
                <w:b w:val="1"/>
                <w:bCs w:val="1"/>
                <w:color w:val="auto"/>
              </w:rPr>
              <w:t>Treasury Stock</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580" w:type="dxa"/>
            <w:vAlign w:val="bottom"/>
          </w:tcPr>
          <w:p>
            <w:pPr>
              <w:spacing w:after="0"/>
              <w:rPr>
                <w:sz w:val="11"/>
                <w:szCs w:val="11"/>
                <w:color w:val="auto"/>
              </w:rPr>
            </w:pPr>
          </w:p>
        </w:tc>
      </w:tr>
      <w:tr>
        <w:trPr>
          <w:trHeight w:val="128"/>
        </w:trPr>
        <w:tc>
          <w:tcPr>
            <w:tcW w:w="38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gridSpan w:val="2"/>
            <w:shd w:val="clear" w:color="auto" w:fill="CCEEFF"/>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gridSpan w:val="2"/>
            <w:shd w:val="clear" w:color="auto" w:fill="CCEEFF"/>
          </w:tcPr>
          <w:p>
            <w:pPr>
              <w:jc w:val="center"/>
              <w:ind w:right="80"/>
              <w:spacing w:after="0" w:line="129" w:lineRule="exact"/>
              <w:rPr>
                <w:sz w:val="20"/>
                <w:szCs w:val="20"/>
                <w:color w:val="auto"/>
              </w:rPr>
            </w:pPr>
            <w:r>
              <w:rPr>
                <w:rFonts w:ascii="Arial" w:cs="Arial" w:eastAsia="Arial" w:hAnsi="Arial"/>
                <w:sz w:val="13"/>
                <w:szCs w:val="13"/>
                <w:b w:val="1"/>
                <w:bCs w:val="1"/>
                <w:color w:val="auto"/>
                <w:w w:val="87"/>
              </w:rPr>
              <w:t>capital</w:t>
            </w:r>
          </w:p>
        </w:tc>
        <w:tc>
          <w:tcPr>
            <w:tcW w:w="600" w:type="dxa"/>
            <w:vAlign w:val="bottom"/>
            <w:tcBorders>
              <w:top w:val="single" w:sz="8" w:color="auto"/>
            </w:tcBorders>
            <w:gridSpan w:val="2"/>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gridSpan w:val="2"/>
            <w:shd w:val="clear" w:color="auto" w:fill="CCEEFF"/>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580" w:type="dxa"/>
            <w:vAlign w:val="bottom"/>
            <w:tcBorders>
              <w:top w:val="single" w:sz="8" w:color="CCEEFF"/>
            </w:tcBorders>
            <w:shd w:val="clear" w:color="auto" w:fill="CCEEFF"/>
          </w:tcPr>
          <w:p>
            <w:pPr>
              <w:jc w:val="right"/>
              <w:ind w:right="7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840" w:type="dxa"/>
            <w:vAlign w:val="bottom"/>
          </w:tcPr>
          <w:p>
            <w:pPr>
              <w:ind w:left="20"/>
              <w:spacing w:after="0" w:line="129" w:lineRule="exact"/>
              <w:rPr>
                <w:sz w:val="20"/>
                <w:szCs w:val="20"/>
                <w:color w:val="auto"/>
              </w:rPr>
            </w:pPr>
            <w:r>
              <w:rPr>
                <w:rFonts w:ascii="Arial" w:cs="Arial" w:eastAsia="Arial" w:hAnsi="Arial"/>
                <w:sz w:val="13"/>
                <w:szCs w:val="13"/>
                <w:color w:val="auto"/>
              </w:rPr>
              <w:t>Balance at January 1, 2021</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140,617,606</w:t>
            </w:r>
          </w:p>
        </w:tc>
        <w:tc>
          <w:tcPr>
            <w:tcW w:w="140" w:type="dxa"/>
            <w:vAlign w:val="bottom"/>
          </w:tcPr>
          <w:p>
            <w:pPr>
              <w:spacing w:after="0"/>
              <w:rPr>
                <w:sz w:val="11"/>
                <w:szCs w:val="11"/>
                <w:color w:val="auto"/>
              </w:rPr>
            </w:pPr>
          </w:p>
        </w:tc>
        <w:tc>
          <w:tcPr>
            <w:tcW w:w="280" w:type="dxa"/>
            <w:vAlign w:val="bottom"/>
            <w:tcBorders>
              <w:top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141</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$ 1,500,040</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40" w:type="dxa"/>
            <w:vAlign w:val="bottom"/>
          </w:tcPr>
          <w:p>
            <w:pPr>
              <w:spacing w:after="0"/>
              <w:rPr>
                <w:sz w:val="11"/>
                <w:szCs w:val="11"/>
                <w:color w:val="auto"/>
              </w:rPr>
            </w:pPr>
          </w:p>
        </w:tc>
        <w:tc>
          <w:tcPr>
            <w:tcW w:w="180" w:type="dxa"/>
            <w:vAlign w:val="bottom"/>
            <w:tcBorders>
              <w:top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   (980,597)</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$ 519,350</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31,245</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r>
      <w:tr>
        <w:trPr>
          <w:trHeight w:val="135"/>
        </w:trPr>
        <w:tc>
          <w:tcPr>
            <w:tcW w:w="384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893,488</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(21,643)</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40" w:type="dxa"/>
            <w:vAlign w:val="bottom"/>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(183)</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(183)</w:t>
            </w:r>
          </w:p>
        </w:tc>
      </w:tr>
      <w:tr>
        <w:trPr>
          <w:trHeight w:val="121"/>
        </w:trPr>
        <w:tc>
          <w:tcPr>
            <w:tcW w:w="38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16,618</w:t>
            </w:r>
          </w:p>
        </w:tc>
      </w:tr>
      <w:tr>
        <w:trPr>
          <w:trHeight w:val="135"/>
        </w:trPr>
        <w:tc>
          <w:tcPr>
            <w:tcW w:w="384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(90,628)</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(90,628)</w:t>
            </w:r>
          </w:p>
        </w:tc>
      </w:tr>
      <w:tr>
        <w:trPr>
          <w:trHeight w:val="129"/>
        </w:trPr>
        <w:tc>
          <w:tcPr>
            <w:tcW w:w="38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March 31,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141,520,696</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142</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1,516,602</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(1,071,225)</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445,285</w:t>
            </w:r>
          </w:p>
        </w:tc>
      </w:tr>
    </w:tbl>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8"/>
              </w:rPr>
              <w:t>Additional</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35"/>
        </w:trPr>
        <w:tc>
          <w:tcPr>
            <w:tcW w:w="3840" w:type="dxa"/>
            <w:vAlign w:val="bottom"/>
          </w:tcPr>
          <w:p>
            <w:pPr>
              <w:spacing w:after="0"/>
              <w:rPr>
                <w:sz w:val="11"/>
                <w:szCs w:val="11"/>
                <w:color w:val="auto"/>
              </w:rPr>
            </w:pPr>
          </w:p>
        </w:tc>
        <w:tc>
          <w:tcPr>
            <w:tcW w:w="11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paid-in</w:t>
            </w:r>
          </w:p>
        </w:tc>
        <w:tc>
          <w:tcPr>
            <w:tcW w:w="1280" w:type="dxa"/>
            <w:vAlign w:val="bottom"/>
            <w:gridSpan w:val="5"/>
          </w:tcPr>
          <w:p>
            <w:pPr>
              <w:ind w:left="140"/>
              <w:spacing w:after="0" w:line="135" w:lineRule="exact"/>
              <w:rPr>
                <w:sz w:val="20"/>
                <w:szCs w:val="20"/>
                <w:color w:val="auto"/>
              </w:rPr>
            </w:pPr>
            <w:r>
              <w:rPr>
                <w:rFonts w:ascii="Arial" w:cs="Arial" w:eastAsia="Arial" w:hAnsi="Arial"/>
                <w:sz w:val="13"/>
                <w:szCs w:val="13"/>
                <w:b w:val="1"/>
                <w:bCs w:val="1"/>
                <w:color w:val="auto"/>
              </w:rPr>
              <w:t>Treasury Stock</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580" w:type="dxa"/>
            <w:vAlign w:val="bottom"/>
          </w:tcPr>
          <w:p>
            <w:pPr>
              <w:spacing w:after="0"/>
              <w:rPr>
                <w:sz w:val="11"/>
                <w:szCs w:val="11"/>
                <w:color w:val="auto"/>
              </w:rPr>
            </w:pPr>
          </w:p>
        </w:tc>
      </w:tr>
      <w:tr>
        <w:trPr>
          <w:trHeight w:val="128"/>
        </w:trPr>
        <w:tc>
          <w:tcPr>
            <w:tcW w:w="38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gridSpan w:val="2"/>
            <w:shd w:val="clear" w:color="auto" w:fill="CCEEFF"/>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gridSpan w:val="2"/>
            <w:shd w:val="clear" w:color="auto" w:fill="CCEEFF"/>
          </w:tcPr>
          <w:p>
            <w:pPr>
              <w:jc w:val="center"/>
              <w:ind w:right="80"/>
              <w:spacing w:after="0" w:line="129" w:lineRule="exact"/>
              <w:rPr>
                <w:sz w:val="20"/>
                <w:szCs w:val="20"/>
                <w:color w:val="auto"/>
              </w:rPr>
            </w:pPr>
            <w:r>
              <w:rPr>
                <w:rFonts w:ascii="Arial" w:cs="Arial" w:eastAsia="Arial" w:hAnsi="Arial"/>
                <w:sz w:val="13"/>
                <w:szCs w:val="13"/>
                <w:b w:val="1"/>
                <w:bCs w:val="1"/>
                <w:color w:val="auto"/>
                <w:w w:val="87"/>
              </w:rPr>
              <w:t>capital</w:t>
            </w:r>
          </w:p>
        </w:tc>
        <w:tc>
          <w:tcPr>
            <w:tcW w:w="600" w:type="dxa"/>
            <w:vAlign w:val="bottom"/>
            <w:tcBorders>
              <w:top w:val="single" w:sz="8" w:color="auto"/>
            </w:tcBorders>
            <w:gridSpan w:val="2"/>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gridSpan w:val="2"/>
            <w:shd w:val="clear" w:color="auto" w:fill="CCEEFF"/>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580" w:type="dxa"/>
            <w:vAlign w:val="bottom"/>
            <w:tcBorders>
              <w:top w:val="single" w:sz="8" w:color="CCEEFF"/>
            </w:tcBorders>
            <w:shd w:val="clear" w:color="auto" w:fill="CCEEFF"/>
          </w:tcPr>
          <w:p>
            <w:pPr>
              <w:jc w:val="right"/>
              <w:ind w:right="77"/>
              <w:spacing w:after="0" w:line="129" w:lineRule="exact"/>
              <w:rPr>
                <w:sz w:val="20"/>
                <w:szCs w:val="20"/>
                <w:color w:val="auto"/>
              </w:rPr>
            </w:pPr>
            <w:r>
              <w:rPr>
                <w:rFonts w:ascii="Arial" w:cs="Arial" w:eastAsia="Arial" w:hAnsi="Arial"/>
                <w:sz w:val="13"/>
                <w:szCs w:val="13"/>
                <w:b w:val="1"/>
                <w:bCs w:val="1"/>
                <w:color w:val="auto"/>
              </w:rPr>
              <w:t>Total</w:t>
            </w:r>
          </w:p>
        </w:tc>
      </w:tr>
      <w:tr>
        <w:trPr>
          <w:trHeight w:val="129"/>
        </w:trPr>
        <w:tc>
          <w:tcPr>
            <w:tcW w:w="3840" w:type="dxa"/>
            <w:vAlign w:val="bottom"/>
          </w:tcPr>
          <w:p>
            <w:pPr>
              <w:ind w:left="20"/>
              <w:spacing w:after="0" w:line="129" w:lineRule="exact"/>
              <w:rPr>
                <w:sz w:val="20"/>
                <w:szCs w:val="20"/>
                <w:color w:val="auto"/>
              </w:rPr>
            </w:pPr>
            <w:r>
              <w:rPr>
                <w:rFonts w:ascii="Arial" w:cs="Arial" w:eastAsia="Arial" w:hAnsi="Arial"/>
                <w:sz w:val="13"/>
                <w:szCs w:val="13"/>
                <w:color w:val="auto"/>
              </w:rPr>
              <w:t>Balance at January 1, 2022</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143,292,043</w:t>
            </w:r>
          </w:p>
        </w:tc>
        <w:tc>
          <w:tcPr>
            <w:tcW w:w="140" w:type="dxa"/>
            <w:vAlign w:val="bottom"/>
          </w:tcPr>
          <w:p>
            <w:pPr>
              <w:spacing w:after="0"/>
              <w:rPr>
                <w:sz w:val="11"/>
                <w:szCs w:val="11"/>
                <w:color w:val="auto"/>
              </w:rPr>
            </w:pPr>
          </w:p>
        </w:tc>
        <w:tc>
          <w:tcPr>
            <w:tcW w:w="280" w:type="dxa"/>
            <w:vAlign w:val="bottom"/>
            <w:tcBorders>
              <w:top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143</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$ 1,565,942</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40" w:type="dxa"/>
            <w:vAlign w:val="bottom"/>
          </w:tcPr>
          <w:p>
            <w:pPr>
              <w:spacing w:after="0"/>
              <w:rPr>
                <w:sz w:val="11"/>
                <w:szCs w:val="11"/>
                <w:color w:val="auto"/>
              </w:rPr>
            </w:pPr>
          </w:p>
        </w:tc>
        <w:tc>
          <w:tcPr>
            <w:tcW w:w="180" w:type="dxa"/>
            <w:vAlign w:val="bottom"/>
            <w:tcBorders>
              <w:top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  (1,328,698)</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$ 237,153</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30,411</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r>
      <w:tr>
        <w:trPr>
          <w:trHeight w:val="135"/>
        </w:trPr>
        <w:tc>
          <w:tcPr>
            <w:tcW w:w="384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1,852,626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(591,746)</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40" w:type="dxa"/>
            <w:vAlign w:val="bottom"/>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84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2,121</w:t>
            </w:r>
          </w:p>
        </w:tc>
        <w:tc>
          <w:tcPr>
            <w:tcW w:w="1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2,121</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(69,013)</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(69,013)</w:t>
            </w:r>
          </w:p>
        </w:tc>
      </w:tr>
      <w:tr>
        <w:trPr>
          <w:trHeight w:val="154"/>
        </w:trPr>
        <w:tc>
          <w:tcPr>
            <w:tcW w:w="3840" w:type="dxa"/>
            <w:vAlign w:val="bottom"/>
          </w:tcPr>
          <w:p>
            <w:pPr>
              <w:ind w:left="20"/>
              <w:spacing w:after="0" w:line="141" w:lineRule="exact"/>
              <w:rPr>
                <w:sz w:val="20"/>
                <w:szCs w:val="20"/>
                <w:color w:val="auto"/>
              </w:rPr>
            </w:pPr>
            <w:r>
              <w:rPr>
                <w:rFonts w:ascii="Arial" w:cs="Arial" w:eastAsia="Arial" w:hAnsi="Arial"/>
                <w:sz w:val="13"/>
                <w:szCs w:val="13"/>
                <w:color w:val="auto"/>
              </w:rPr>
              <w:t>Balance at March 31, 2022</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144,583,334</w:t>
            </w: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2"/>
              </w:rPr>
              <w:t>145</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1,568,186</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41,309</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(1,397,711)</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170,386</w:t>
            </w:r>
          </w:p>
        </w:tc>
      </w:tr>
    </w:tbl>
    <w:p>
      <w:pPr>
        <w:spacing w:after="0" w:line="87"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*Amount less than one thousand dollars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(69,013)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other current assets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Arial" w:cs="Arial" w:eastAsia="Arial" w:hAnsi="Arial"/>
                <w:sz w:val="14"/>
                <w:szCs w:val="14"/>
                <w:color w:val="auto"/>
              </w:rPr>
              <w:t>Decrease (increase) in accounts receivable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accounts payable and accrued expenses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(10,170)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other current liabilities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(68,689)</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13,225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(56,889)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Purchases of PPE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(43,671)</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4"/>
                <w:szCs w:val="14"/>
                <w:color w:val="auto"/>
              </w:rPr>
              <w:t>Payment of loan payable</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(975)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4"/>
                <w:szCs w:val="14"/>
                <w:color w:val="auto"/>
              </w:rPr>
              <w:t>Offering costs paid</w:t>
            </w:r>
          </w:p>
        </w:tc>
        <w:tc>
          <w:tcPr>
            <w:tcW w:w="20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(850)</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DECREASE IN CASH, CASH EQUIVALENTS AND RESTRICTED CASH</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(113,210)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(81,924)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300,151</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554,698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186,941</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472,774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Arial" w:cs="Arial" w:eastAsia="Arial" w:hAnsi="Arial"/>
                <w:sz w:val="14"/>
                <w:szCs w:val="14"/>
                <w:color w:val="auto"/>
              </w:rPr>
              <w:t>Reconciliation to amounts on condensed consolidated balance sheets: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185,676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186,941</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472,774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1,584</w:t>
            </w:r>
          </w:p>
        </w:tc>
        <w:tc>
          <w:tcPr>
            <w:tcW w:w="20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648"/>
        <w:spacing w:after="0" w:line="273" w:lineRule="auto"/>
        <w:rPr>
          <w:sz w:val="20"/>
          <w:szCs w:val="20"/>
          <w:color w:val="auto"/>
        </w:rPr>
      </w:pPr>
      <w:r>
        <w:rPr>
          <w:rFonts w:ascii="Arial" w:cs="Arial" w:eastAsia="Arial" w:hAnsi="Arial"/>
          <w:sz w:val="17"/>
          <w:szCs w:val="17"/>
          <w:color w:val="auto"/>
        </w:rPr>
        <w:t>TG Therapeutics is a biopharmaceutical company focused on the acquisition, development and commercialization of novel treatments for B-cell malignancies and autoimmune diseases. In addition to a research pipeline including several investigational medicines, TG has completed a Phase 3 program for ublituximab, an investigational glycoengineered monoclonal antibody that targets a unique epitope on CD20-expressing B-cells, to treat patients with relapsing forms of multiple sclerosis (RMS). We also actively evaluate complementary products, technologies and companies for in-licensing, partnership, acquisition and/or investment opportunities.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2021. The accompanying condensed December 31, 2021 balance sheet has been derived from these statements. The results of operations for the three months ended March 31, 2022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We have incurred operating losses since our inception, and expect to continue to incur operating losses for the foreseeable future and may never become profitable. As of March 31, 2022, we have an accumulated deficit of $1.4 billion.</w:t>
      </w:r>
    </w:p>
    <w:p>
      <w:pPr>
        <w:spacing w:after="0" w:line="97"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Because we have withdrawn UKONIQ from sale, we have no marketed products currently. We expect to continue to incur significant research and development expenses and we expect to continue to incur significant commercialization and outsourced-manufacturing expenses as we plan for the possible commercialization of ublituximab in RMS.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As of March 31, 2022, we had $280.7 million in cash and cash equivalents, and investment securities. We anticipate that our cash and cash equivalents, and investment securities as of March 31, 2022 will provide sufficient liquidity for more than a twelve-month period from the date of filing this Quarterly Report on Form 10-Q. The actual amount of cash that we will need to operate is subject to many factors, including, but not limited to, the costs and timing of clinical and commercial manufacturing supply arrangements for each product and product candidate, and the costs of expanding our sales, distribution and other commercialization capabilities. We are dependent upon significant future financing to provide the cash necessary to execute our long-term operations.</w:t>
      </w:r>
    </w:p>
    <w:p>
      <w:pPr>
        <w:spacing w:after="0" w:line="150" w:lineRule="exact"/>
        <w:rPr>
          <w:sz w:val="20"/>
          <w:szCs w:val="20"/>
          <w:color w:val="auto"/>
        </w:rPr>
      </w:pPr>
    </w:p>
    <w:p>
      <w:pPr>
        <w:ind w:left="60" w:right="1399" w:firstLine="492"/>
        <w:spacing w:after="0" w:line="453" w:lineRule="auto"/>
        <w:rPr>
          <w:sz w:val="20"/>
          <w:szCs w:val="20"/>
          <w:color w:val="auto"/>
        </w:rPr>
      </w:pPr>
      <w:r>
        <w:rPr>
          <w:rFonts w:ascii="Arial" w:cs="Arial" w:eastAsia="Arial" w:hAnsi="Arial"/>
          <w:sz w:val="18"/>
          <w:szCs w:val="18"/>
          <w:color w:val="auto"/>
        </w:rPr>
        <w:t xml:space="preserve">Our common stock is quoted on the Nasdaq Capital Market and trades under the symbol “TGTX.” </w:t>
      </w:r>
      <w:r>
        <w:rPr>
          <w:rFonts w:ascii="Arial" w:cs="Arial" w:eastAsia="Arial" w:hAnsi="Arial"/>
          <w:sz w:val="18"/>
          <w:szCs w:val="18"/>
          <w:b w:val="1"/>
          <w:bCs w:val="1"/>
          <w:i w:val="1"/>
          <w:iCs w:val="1"/>
          <w:color w:val="auto"/>
        </w:rPr>
        <w:t>Summary of Significant Accounting Policies</w:t>
      </w:r>
    </w:p>
    <w:p>
      <w:pPr>
        <w:spacing w:after="0" w:line="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Our significant accounting policies are described in Note 1 of Notes to Consolidated Financial Statements included in our 2021 Annual Report on Form 10-K, except updated herein or as it relates to the adoption of new accounting standards during the three months ended March 31, 2022. Management does not believe that any recently issued, but not yet effective, accounting pronouncements, if currently adopted, would have a material effect on the Company’s consolidated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cumulative amounts of potentially dilutive securities excluded from the calculation were 12,657,717 securities and 12,129,734 securities for the three months ended March 31, 2022 and 2021, respectively.</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potentially dilutive securities at March 31, 2022 and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Three Months Ended</w:t>
      </w:r>
    </w:p>
    <w:tbl>
      <w:tblPr>
        <w:tblLayout w:type="fixed"/>
        <w:tblInd w:w="40" w:type="dxa"/>
        <w:tblCellMar>
          <w:top w:w="0" w:type="dxa"/>
          <w:left w:w="0" w:type="dxa"/>
          <w:bottom w:w="0" w:type="dxa"/>
          <w:right w:w="0" w:type="dxa"/>
        </w:tblCellMar>
      </w:tblPr>
      <w:tr>
        <w:trPr>
          <w:trHeight w:val="159"/>
        </w:trPr>
        <w:tc>
          <w:tcPr>
            <w:tcW w:w="6620" w:type="dxa"/>
            <w:vAlign w:val="bottom"/>
          </w:tcPr>
          <w:p>
            <w:pPr>
              <w:spacing w:after="0"/>
              <w:rPr>
                <w:sz w:val="13"/>
                <w:szCs w:val="13"/>
                <w:color w:val="auto"/>
              </w:rPr>
            </w:pPr>
          </w:p>
        </w:tc>
        <w:tc>
          <w:tcPr>
            <w:tcW w:w="2280" w:type="dxa"/>
            <w:vAlign w:val="bottom"/>
            <w:tcBorders>
              <w:bottom w:val="single" w:sz="8" w:color="auto"/>
            </w:tcBorders>
            <w:gridSpan w:val="3"/>
          </w:tcPr>
          <w:p>
            <w:pPr>
              <w:jc w:val="right"/>
              <w:ind w:right="753"/>
              <w:spacing w:after="0" w:line="159" w:lineRule="exact"/>
              <w:rPr>
                <w:sz w:val="20"/>
                <w:szCs w:val="20"/>
                <w:color w:val="auto"/>
              </w:rPr>
            </w:pPr>
            <w:r>
              <w:rPr>
                <w:rFonts w:ascii="Arial" w:cs="Arial" w:eastAsia="Arial" w:hAnsi="Arial"/>
                <w:sz w:val="14"/>
                <w:szCs w:val="14"/>
                <w:b w:val="1"/>
                <w:bCs w:val="1"/>
                <w:color w:val="auto"/>
              </w:rPr>
              <w:t>March 31,</w:t>
            </w:r>
          </w:p>
        </w:tc>
      </w:tr>
      <w:tr>
        <w:trPr>
          <w:trHeight w:val="142"/>
        </w:trPr>
        <w:tc>
          <w:tcPr>
            <w:tcW w:w="66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restricted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9,952,451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9,474,026</w:t>
            </w:r>
          </w:p>
        </w:tc>
      </w:tr>
      <w:tr>
        <w:trPr>
          <w:trHeight w:val="216"/>
        </w:trPr>
        <w:tc>
          <w:tcPr>
            <w:tcW w:w="6620" w:type="dxa"/>
            <w:vAlign w:val="bottom"/>
          </w:tcPr>
          <w:p>
            <w:pPr>
              <w:ind w:left="60"/>
              <w:spacing w:after="0"/>
              <w:rPr>
                <w:sz w:val="20"/>
                <w:szCs w:val="20"/>
                <w:color w:val="auto"/>
              </w:rPr>
            </w:pPr>
            <w:r>
              <w:rPr>
                <w:rFonts w:ascii="Arial" w:cs="Arial" w:eastAsia="Arial" w:hAnsi="Arial"/>
                <w:sz w:val="18"/>
                <w:szCs w:val="18"/>
                <w:color w:val="auto"/>
              </w:rPr>
              <w:t>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2,423,991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2,490,396</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r>
      <w:tr>
        <w:trPr>
          <w:trHeight w:val="216"/>
        </w:trPr>
        <w:tc>
          <w:tcPr>
            <w:tcW w:w="66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Shares issuable upon note conversion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19,175</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18,254</w:t>
            </w:r>
          </w:p>
        </w:tc>
      </w:tr>
      <w:tr>
        <w:trPr>
          <w:trHeight w:val="209"/>
        </w:trPr>
        <w:tc>
          <w:tcPr>
            <w:tcW w:w="6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12,657,717</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12,129,734</w:t>
            </w:r>
          </w:p>
        </w:tc>
      </w:tr>
      <w:tr>
        <w:trPr>
          <w:trHeight w:val="20"/>
        </w:trPr>
        <w:tc>
          <w:tcPr>
            <w:tcW w:w="6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Gross-to-Net Sales Adjustments</w:t>
      </w:r>
    </w:p>
    <w:p>
      <w:pPr>
        <w:spacing w:after="0" w:line="29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To date, our only source of product revenue has been from the U.S. sales of UKONIQ, which we began shipping to our customers in February 2021. On April 15, 2022, we announced our voluntary withdrawal of UKONIQ from sale. We record our best estimate for sales discounts and allowances to which customers are likely to be entitled. The reconciliation of gross product sales to net product sales by each significant category of gross-to-net adjustments was as follows for the three months ended March 31, 2022 and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2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71"/>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Gross product revenue</w:t>
            </w:r>
          </w:p>
        </w:tc>
        <w:tc>
          <w:tcPr>
            <w:tcW w:w="220" w:type="dxa"/>
            <w:vAlign w:val="bottom"/>
          </w:tcPr>
          <w:p>
            <w:pPr>
              <w:spacing w:after="0"/>
              <w:rPr>
                <w:sz w:val="14"/>
                <w:szCs w:val="14"/>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March 31, 2022</w:t>
            </w:r>
          </w:p>
        </w:tc>
        <w:tc>
          <w:tcPr>
            <w:tcW w:w="200" w:type="dxa"/>
            <w:vAlign w:val="bottom"/>
          </w:tcPr>
          <w:p>
            <w:pPr>
              <w:spacing w:after="0"/>
              <w:rPr>
                <w:sz w:val="14"/>
                <w:szCs w:val="14"/>
                <w:color w:val="auto"/>
              </w:rPr>
            </w:pPr>
          </w:p>
        </w:tc>
        <w:tc>
          <w:tcPr>
            <w:tcW w:w="164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Gross-to-net adjustments: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Chargebacks and administrative fees</w:t>
            </w:r>
          </w:p>
        </w:tc>
        <w:tc>
          <w:tcPr>
            <w:tcW w:w="220" w:type="dxa"/>
            <w:vAlign w:val="bottom"/>
          </w:tcPr>
          <w:p>
            <w:pPr>
              <w:spacing w:after="0"/>
              <w:rPr>
                <w:sz w:val="18"/>
                <w:szCs w:val="18"/>
                <w:color w:val="auto"/>
              </w:rPr>
            </w:pP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discounts and allowances</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Government rebates and co-payment assistance</w:t>
            </w:r>
          </w:p>
        </w:tc>
        <w:tc>
          <w:tcPr>
            <w:tcW w:w="220" w:type="dxa"/>
            <w:vAlign w:val="bottom"/>
          </w:tcPr>
          <w:p>
            <w:pPr>
              <w:spacing w:after="0"/>
              <w:rPr>
                <w:sz w:val="18"/>
                <w:szCs w:val="18"/>
                <w:color w:val="auto"/>
              </w:rPr>
            </w:pP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returns and allowances</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7"/>
                <w:szCs w:val="17"/>
                <w:color w:val="auto"/>
              </w:rPr>
              <w:t>Total gross-to-net adjustments</w:t>
            </w:r>
            <w:r>
              <w:rPr>
                <w:rFonts w:ascii="Arial" w:cs="Arial" w:eastAsia="Arial" w:hAnsi="Arial"/>
                <w:sz w:val="24"/>
                <w:szCs w:val="24"/>
                <w:color w:val="auto"/>
                <w:vertAlign w:val="superscript"/>
              </w:rPr>
              <w:t>(1)</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product revenue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1,978</w:t>
            </w:r>
          </w:p>
        </w:tc>
        <w:tc>
          <w:tcPr>
            <w:tcW w:w="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hanging="10"/>
        <w:spacing w:after="0" w:line="263" w:lineRule="auto"/>
        <w:tabs>
          <w:tab w:leader="none" w:pos="251"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As of March 31, 2022 approximately $1.3 million of estimated gross-to-net accruals have been recorded as a reduction of accounts receivable, net and within accounts payable and accrued expenses on the condensed consolidated balance sheets. In addtion, as of March 31, 2022, we determined an allowance for expected credit losses related to outstanding accounts receivable was currently not required based upon our review of contractual payment terms and individual customer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Our investments as of March 31, 2022 and December 31, 2021 are classified as held-to-maturity. Held-to-maturity investments are recorded at amortized cost.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summarize our investment securities at March 31, 2022 and December 31, 2021: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6"/>
              </w:rPr>
              <w:t>March 31, 2022</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2022 and March 2023) (held-to-maturity)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$ 47,525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April 2023 and February 2024) (held-to-maturity)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46,542</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$ 94,997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2021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Estimated fair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Short-term investments: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January 2022 and April 2022) (held-to-maturity)</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$ 15,876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2023 and June 2023) (held-to-maturity)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35,373</w:t>
            </w: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$ 51,409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60"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As of March 31, 2022 and December 31, 2021, the fair values of cash and cash equivalents, restricted cash, accounts receivable, and loan and interest payable approximate their carrying value.</w:t>
      </w:r>
    </w:p>
    <w:p>
      <w:pPr>
        <w:spacing w:after="0" w:line="13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The Company’s financial instruments include cash, cash equivalents consisting of money market funds, accounts receivable, accounts payable and loan payable. Cash, cash equivalents, restricted cash, accounts receivable, accounts payable and interest payable are stated at their respective historical carrying amounts, which approximate fair value due to their short-term nature. The carrying value of loan payable on the Company’s balance sheet is estimated to approximate its fair value as the interest rate approximates the market rate for loans with similar terms and risk characteristics.</w:t>
      </w:r>
    </w:p>
    <w:p>
      <w:pPr>
        <w:spacing w:after="0" w:line="134"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We have no Level 1 or Level 2 instruments. Our Level 3 instrument amounts represent the fair value of the 5% Notes and related accrued interest. The following table summarizes the changes in Level 3 instruments during the three months ended March 31, 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EQUITY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175,000,000 shares of $0.001 par value common stock.</w:t>
      </w:r>
    </w:p>
    <w:p>
      <w:pPr>
        <w:spacing w:after="0" w:line="130"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 The 2021 ATM has replaced the 2020 ATM as the only active ATM program.</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no activity on the 2021 ATM during the three months ended March 31, 2022 and 2021.</w:t>
      </w:r>
    </w:p>
    <w:p>
      <w:pPr>
        <w:spacing w:after="0" w:line="198"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The TG Therapeutics, Inc. Amended and Restated 2012 Incentive Plan (the 2012 Incentive Plan) was approved by stockholders in June 2020. As of March 31, 2022, 11,452,473 shares of restricted stock and 2,423,991 options were outstanding and up to an additional 263,359 shares may be issued under the 2012 Incentive Plan.</w:t>
      </w:r>
    </w:p>
    <w:p>
      <w:pPr>
        <w:spacing w:after="0" w:line="1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Stock-based compensation expense included in the condensed consolidated statements of operations was $2.1 million and $16.6 million for the three months ended March 31, 2022 and 2021,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 and Restricted Stock</w:t>
      </w:r>
    </w:p>
    <w:p>
      <w:pPr>
        <w:spacing w:after="0" w:line="200" w:lineRule="exact"/>
        <w:rPr>
          <w:sz w:val="20"/>
          <w:szCs w:val="20"/>
          <w:color w:val="auto"/>
        </w:rPr>
      </w:pPr>
    </w:p>
    <w:p>
      <w:pPr>
        <w:spacing w:after="0" w:line="201"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summarizes the activity for stock options and restricted stock for the three months ended March 31, 2022:</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Options</w:t>
            </w:r>
          </w:p>
        </w:tc>
        <w:tc>
          <w:tcPr>
            <w:tcW w:w="1460" w:type="dxa"/>
            <w:vAlign w:val="bottom"/>
          </w:tcPr>
          <w:p>
            <w:pPr>
              <w:jc w:val="right"/>
              <w:ind w:right="353"/>
              <w:spacing w:after="0"/>
              <w:rPr>
                <w:sz w:val="20"/>
                <w:szCs w:val="20"/>
                <w:color w:val="auto"/>
              </w:rPr>
            </w:pPr>
            <w:r>
              <w:rPr>
                <w:rFonts w:ascii="Arial" w:cs="Arial" w:eastAsia="Arial" w:hAnsi="Arial"/>
                <w:sz w:val="14"/>
                <w:szCs w:val="14"/>
                <w:b w:val="1"/>
                <w:bCs w:val="1"/>
                <w:color w:val="auto"/>
                <w:w w:val="90"/>
              </w:rPr>
              <w:t>Restricted Stock</w:t>
            </w: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awards outstanding, beginning of year</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2,467,537</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12,032,040</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Changes during the year:</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1,852,626</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Exercised or vested</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(30,411)</w:t>
            </w:r>
          </w:p>
        </w:tc>
        <w:tc>
          <w:tcPr>
            <w:tcW w:w="1460" w:type="dxa"/>
            <w:vAlign w:val="bottom"/>
          </w:tcPr>
          <w:p>
            <w:pPr>
              <w:jc w:val="right"/>
              <w:spacing w:after="0"/>
              <w:rPr>
                <w:sz w:val="20"/>
                <w:szCs w:val="20"/>
                <w:color w:val="auto"/>
              </w:rPr>
            </w:pPr>
            <w:r>
              <w:rPr>
                <w:rFonts w:ascii="Arial" w:cs="Arial" w:eastAsia="Arial" w:hAnsi="Arial"/>
                <w:sz w:val="18"/>
                <w:szCs w:val="18"/>
                <w:color w:val="auto"/>
              </w:rPr>
              <w:t>(1,840,447)</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or Forfeited</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(13,135)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(591,746)</w:t>
            </w:r>
          </w:p>
        </w:tc>
      </w:tr>
      <w:tr>
        <w:trPr>
          <w:trHeight w:val="203"/>
        </w:trPr>
        <w:tc>
          <w:tcPr>
            <w:tcW w:w="570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Equity awards outstanding, end of period</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2,423,991</w:t>
            </w:r>
          </w:p>
        </w:tc>
        <w:tc>
          <w:tcPr>
            <w:tcW w:w="280" w:type="dxa"/>
            <w:vAlign w:val="bottom"/>
            <w:tcBorders>
              <w:top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11,452,473</w:t>
            </w:r>
          </w:p>
        </w:tc>
      </w:tr>
      <w:tr>
        <w:trPr>
          <w:trHeight w:val="20"/>
        </w:trPr>
        <w:tc>
          <w:tcPr>
            <w:tcW w:w="5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March 31, 2022, total compensation cost related to unvested awards not yet recognized and the weighted-average periods over which the awards are expected to be recognized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 Options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Restricted Stock</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4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53,979</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w w:val="93"/>
              </w:rPr>
              <w:t>Expected weighted-average period in years of compensation cost to be recognized</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Warrants</w:t>
      </w:r>
    </w:p>
    <w:p>
      <w:pPr>
        <w:spacing w:after="0" w:line="185"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Company’s only outstanding warrants are the warrants issued to Hercules as part of our the Loan Agreement and Amended Loan Agreement (as such terms are defined below) to purchase 147,058 and 115,042 shares of our common stock with exercise prices of $4.08 and $17.95, respectively. See Note 6 for further details. There will not be any ongoing stock compensation expense volatility associated with these warrants.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LOAN PAYABLE</w:t>
      </w:r>
    </w:p>
    <w:p>
      <w:pPr>
        <w:spacing w:after="0" w:line="202"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On February 28, 2019 (the Closing Date), we entered into a term loan facility with Hercules Capital, Inc. (Hercules or Lender), which provided us with the capacity to borrow up to an aggregate principal amount of $60.0 million (Term Loan),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pacing w:after="0" w:line="154" w:lineRule="exact"/>
        <w:rPr>
          <w:sz w:val="20"/>
          <w:szCs w:val="20"/>
          <w:color w:val="auto"/>
        </w:rPr>
      </w:pPr>
    </w:p>
    <w:p>
      <w:pPr>
        <w:jc w:val="both"/>
        <w:ind w:left="60" w:right="59" w:firstLine="492"/>
        <w:spacing w:after="0" w:line="290" w:lineRule="auto"/>
        <w:rPr>
          <w:sz w:val="20"/>
          <w:szCs w:val="20"/>
          <w:color w:val="auto"/>
        </w:rPr>
      </w:pPr>
      <w:r>
        <w:rPr>
          <w:rFonts w:ascii="Arial" w:cs="Arial" w:eastAsia="Arial" w:hAnsi="Arial"/>
          <w:sz w:val="16"/>
          <w:szCs w:val="16"/>
          <w:color w:val="auto"/>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 period from April 1,</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2021 to February 1, 2025 and extendable to August 1, 2025 subject to the achievement of certain performance milestones, and (vi) modify the cash interest rate to be the greater of either (a) the “prime rate” as reported in The Wall Street Journal plus 2.15%, and (b) 5.40%. 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spacing w:after="0" w:line="14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146"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The Amended Loan Agreement also contains warrant coverage of 2.95% of the total amount funded. A warrant was issued by the Company to Hercules to purchase 115,042 shares of common stock with an exercise price of $17.95 for the initial amount funded at closing (the Warrant). The Warrant shall be exercisable for seven years from the date of issuance. Hercules may exercise the Warrant either by (a) cash or check or (b) through a net issuance conversion.</w:t>
      </w:r>
    </w:p>
    <w:p>
      <w:pPr>
        <w:spacing w:after="0" w:line="117"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 (as defined in the Loan Agreement).</w:t>
      </w:r>
    </w:p>
    <w:p>
      <w:pPr>
        <w:spacing w:after="0" w:line="14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w:t>
      </w:r>
    </w:p>
    <w:p>
      <w:pPr>
        <w:spacing w:after="0" w:line="152"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evaluated whether the Amended Term Loan entered into in December 2021 represented a debt modification or extinguishment of the Term Loan in accordance with ASC 470-50, Debt – Modifications and Extinguishments. As a result of the repayment and retirement of the Term Loan, the Term Loan was accounted for by the Company under the extinguishment accounting model. The Company recorded a loss on extinguishment of debt of approximately $0.2 million on the Company’s statement of operations for the twelve months ended December 31, 2021, representing the write-off of deferred financing costs.</w:t>
      </w:r>
    </w:p>
    <w:p>
      <w:pPr>
        <w:spacing w:after="0" w:line="15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40" w:type="dxa"/>
            <w:vAlign w:val="bottom"/>
            <w:vMerge w:val="restart"/>
          </w:tcPr>
          <w:p>
            <w:pPr>
              <w:ind w:left="20"/>
              <w:spacing w:after="0"/>
              <w:rPr>
                <w:sz w:val="20"/>
                <w:szCs w:val="20"/>
                <w:color w:val="auto"/>
              </w:rPr>
            </w:pPr>
            <w:r>
              <w:rPr>
                <w:rFonts w:ascii="Arial" w:cs="Arial" w:eastAsia="Arial" w:hAnsi="Arial"/>
                <w:sz w:val="18"/>
                <w:szCs w:val="18"/>
                <w:color w:val="auto"/>
              </w:rPr>
              <w:t>Exercise price</w:t>
            </w: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Amended Term Loan</w:t>
            </w:r>
          </w:p>
        </w:tc>
        <w:tc>
          <w:tcPr>
            <w:tcW w:w="0" w:type="dxa"/>
            <w:vAlign w:val="bottom"/>
          </w:tcPr>
          <w:p>
            <w:pPr>
              <w:spacing w:after="0"/>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price on date of issuance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term (in years)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years</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incurred financing expenses of $7.4 million (including the fair value of the Warrant) related to the Amended Loan Agreement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$0.5 million and $0.2 million for the three months ended March 31, 2022, and 2021, respectively. At March 31, 2022, the remaining unamortized balance of debt issuance costs was $6.9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loan payable as of March 31, 2022 and December 31, 2021, is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term fee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r>
      <w:tr>
        <w:trPr>
          <w:trHeight w:val="210"/>
        </w:trPr>
        <w:tc>
          <w:tcPr>
            <w:tcW w:w="6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75,140</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(6,916)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(7,377)</w:t>
            </w:r>
          </w:p>
        </w:tc>
      </w:tr>
      <w:tr>
        <w:trPr>
          <w:trHeight w:val="209"/>
        </w:trPr>
        <w:tc>
          <w:tcPr>
            <w:tcW w:w="6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67,763</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principal payments</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 payable</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67,763</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09"/>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payable non-current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66,788</w:t>
            </w: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189" w:lineRule="exact"/>
        <w:rPr>
          <w:sz w:val="20"/>
          <w:szCs w:val="20"/>
          <w:color w:val="auto"/>
        </w:rPr>
      </w:pPr>
    </w:p>
    <w:p>
      <w:pPr>
        <w:jc w:val="both"/>
        <w:ind w:left="60" w:right="60" w:firstLine="492"/>
        <w:spacing w:after="0" w:line="288"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March 31, 2022, the allocation rate is 63% and will be evaluated again in September 2022 for the following rent year. Also in connection with this lease, we have pledged $1.3 million to secure a line of credit as a security deposit for the Office Agreement, which has been recorded as restricted cash in the accompanying condensed consolidated balance sheets.</w:t>
      </w:r>
    </w:p>
    <w:p>
      <w:pPr>
        <w:spacing w:after="0" w:line="128" w:lineRule="exact"/>
        <w:rPr>
          <w:sz w:val="20"/>
          <w:szCs w:val="20"/>
          <w:color w:val="auto"/>
        </w:rPr>
      </w:pPr>
    </w:p>
    <w:p>
      <w:pPr>
        <w:jc w:val="both"/>
        <w:ind w:left="60" w:right="60"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$0.1 million for the three months ended March 31, 2022.</w:t>
      </w:r>
    </w:p>
    <w:p>
      <w:pPr>
        <w:spacing w:after="0" w:line="160" w:lineRule="exact"/>
        <w:rPr>
          <w:sz w:val="20"/>
          <w:szCs w:val="20"/>
          <w:color w:val="auto"/>
        </w:rPr>
      </w:pPr>
    </w:p>
    <w:p>
      <w:pPr>
        <w:jc w:val="both"/>
        <w:ind w:left="60" w:right="60" w:firstLine="492"/>
        <w:spacing w:after="0" w:line="263" w:lineRule="auto"/>
        <w:rPr>
          <w:sz w:val="20"/>
          <w:szCs w:val="20"/>
          <w:color w:val="auto"/>
        </w:rPr>
      </w:pPr>
      <w:r>
        <w:rPr>
          <w:rFonts w:ascii="Arial" w:cs="Arial" w:eastAsia="Arial" w:hAnsi="Arial"/>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w:t>
      </w:r>
    </w:p>
    <w:p>
      <w:pPr>
        <w:spacing w:after="0" w:line="143" w:lineRule="exact"/>
        <w:rPr>
          <w:sz w:val="20"/>
          <w:szCs w:val="20"/>
          <w:color w:val="auto"/>
        </w:rPr>
      </w:pPr>
    </w:p>
    <w:p>
      <w:pPr>
        <w:jc w:val="both"/>
        <w:ind w:left="60" w:right="60" w:firstLine="492"/>
        <w:spacing w:after="0" w:line="272" w:lineRule="auto"/>
        <w:rPr>
          <w:sz w:val="20"/>
          <w:szCs w:val="20"/>
          <w:color w:val="auto"/>
        </w:rPr>
      </w:pPr>
      <w:r>
        <w:rPr>
          <w:rFonts w:ascii="Arial" w:cs="Arial" w:eastAsia="Arial" w:hAnsi="Arial"/>
          <w:sz w:val="17"/>
          <w:szCs w:val="17"/>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$11.8 million and $9.0 million, respectively, as of March 31, 2022. Our leases have remaining lease terms of 2 years to 10 years. One lease has a renewal option to extend the lease for an additional term of two years. The following components of lease expense are included in the Company’s condensed consolidated statements of operations for the three months ended March 31, 2022 and 2021:</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60" w:firstLine="492"/>
        <w:spacing w:after="0" w:line="263" w:lineRule="auto"/>
        <w:rPr>
          <w:sz w:val="20"/>
          <w:szCs w:val="20"/>
          <w:color w:val="auto"/>
        </w:rPr>
      </w:pPr>
      <w:r>
        <w:rPr>
          <w:rFonts w:ascii="Arial" w:cs="Arial" w:eastAsia="Arial" w:hAnsi="Arial"/>
          <w:sz w:val="18"/>
          <w:szCs w:val="18"/>
          <w:color w:val="auto"/>
        </w:rPr>
        <w:t>As of March 31, 2022, the weighted-average remaining operating lease term was 7.01 years and the weighted-average discount rate for operating leases was 9.94%. Cash paid for amounts included in the measurement of operating lease liabilities during the three months ended March 31, 2022 was $0.5 million.</w:t>
      </w: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Lease liability 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09"/>
        </w:trPr>
        <w:tc>
          <w:tcPr>
            <w:tcW w:w="6820" w:type="dxa"/>
            <w:vAlign w:val="bottom"/>
            <w:gridSpan w:val="2"/>
          </w:tcPr>
          <w:p>
            <w:pPr>
              <w:ind w:left="560"/>
              <w:spacing w:after="0"/>
              <w:rPr>
                <w:sz w:val="20"/>
                <w:szCs w:val="20"/>
                <w:color w:val="auto"/>
              </w:rPr>
            </w:pPr>
            <w:r>
              <w:rPr>
                <w:rFonts w:ascii="Arial" w:cs="Arial" w:eastAsia="Arial" w:hAnsi="Arial"/>
                <w:sz w:val="18"/>
                <w:szCs w:val="18"/>
                <w:color w:val="auto"/>
              </w:rPr>
              <w:t>Total lease liability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500"/>
              <w:spacing w:after="0"/>
              <w:rPr>
                <w:sz w:val="20"/>
                <w:szCs w:val="20"/>
                <w:color w:val="auto"/>
              </w:rPr>
            </w:pPr>
            <w:r>
              <w:rPr>
                <w:rFonts w:ascii="Arial" w:cs="Arial" w:eastAsia="Arial" w:hAnsi="Arial"/>
                <w:sz w:val="18"/>
                <w:szCs w:val="18"/>
                <w:color w:val="auto"/>
              </w:rPr>
              <w:t>As of March 31, 2021, the maturities of lease liabilities were as follows:</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2023</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2025</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39" w:hanging="330"/>
        <w:spacing w:after="0" w:line="25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LICENSE AGREEMENTS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98"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For the three months ended March 31, 2022 and 2021 we incurred approximately zero and $3.0 million, respectively, associated with the LFB license agreement. As of March 31, 2022, we have incurred approximately $13.0 million in expense related to the achievement of certain milestones of the LFB License Agreement.</w:t>
      </w:r>
    </w:p>
    <w:p>
      <w:pPr>
        <w:spacing w:after="0" w:line="177"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LFB Group is eligible to receive future payments of up to an aggregate of approximately $18.0 million upon our successful achievement of certain regulatory milestones, in addition to royalty payments on net sales of ublituximab at a royalty rate that escalates from mid-single digits to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6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2022 and 2021, and at March 31, 2022 and December 31, 2021, have deferred revenue of approximately $0.6 million and $0.6 million, respectively, associated with this $2 million payment (approximately $0.2 million of which has been classified in current liabilities at March 31, 2022 and December 31, 2021).</w:t>
      </w:r>
    </w:p>
    <w:p>
      <w:pPr>
        <w:spacing w:after="0" w:line="13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TGR-1202 (Umbralisib or UKONIQ)</w:t>
      </w:r>
    </w:p>
    <w:p>
      <w:pPr>
        <w:spacing w:after="0" w:line="185"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 As of March 31, 2022, we have incurred approximately $24.0 million in expense related to the achievement of certain milestones of the Umbralisib License.</w:t>
      </w:r>
    </w:p>
    <w:p>
      <w:pPr>
        <w:spacing w:after="0" w:line="188"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6"/>
          <w:szCs w:val="16"/>
          <w:color w:val="auto"/>
        </w:rPr>
        <w:t>Rhizen will be eligible to receive additional approval and sales-based milestone payments in the aggregate of approximately $150.0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During the three months ended March 31, 2022 and 2021, the Company recorded $0.2 million and $0.1 million, respectively, related to the worldwide royalty due under the Umbralisib License in cost of product revenue based on U.S. sales of UKONIQ. As of March 31, 2022 and December 31, 2021, $0.2 million in royalties were payable under the Umbralisib License .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country-by-country basis upon the expiration of the last licensed patent right or any other exclusivity right in such country, unless the agreement is earlier terminated (i) by us for any reason, or (ii) by either party due to a breach of the agreement.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RELATED PARTY TRANSACTIONS</w:t>
      </w:r>
    </w:p>
    <w:p>
      <w:pPr>
        <w:spacing w:after="0" w:line="20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$0.1 million and $0.2 million for shared services for the three months ended March 31, 2022, and 2021, respectively, primarily related to shared personnel. Mr. Weiss, our Chairman and Chief Executive Officer, also serves as a director and Executive Vice Chairman, Strategic Development of FBIO.</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refer to Note 7 - Leases for details regarding the Office Agreement with FBIO.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77"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TG Therapeutics is a biopharmaceutical company focused on the acquisition, development and commercialization of novel treatments for B-cell malignancies and autoimmune diseases. In addition to a research pipeline including several investigational medicines, TG has completed a Phase 3 program for ublituximab, an investigational glycoengineered monoclonal antibody that targets a unique epitope on CD20-expressing B-cells, to treat patients with relapsing forms of multiple sclerosis (RMS). We also actively evaluate complementary products, technologies and companies for in-licensing, partnership, acquisition and/or investment opportunities.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UPDATES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UNITY-CLL Phase 3 Trial &amp; Withdrawal of the BLA/sNDA Submission for U2 to Treat Patients with CLL/SLL and Withdrawal of UKONIQ from Sale</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UNITY-CLL, a global, Phase 3, randomized, controlled clinical trial, compared the combination of ublituximab and UKONIQ® (umbralisib) (combination referred to as U2), to an active control arm of obinutuzumab plus chlorambucil in patients with both treatment-naïve and relapsed or refractory chronic lymphocytic leukemia (CLL). The trial met its primary endpoint, with U2 significantly prolonging independent review committee (IRC) assessed progression-free survival (PFS) versus. the control arm. The UNITY-CLL Phase 3 trial was conducted under a Special Protocol Assessment (SPA) agreement with the U.S. Food and Drug Administration (FDA). Based on the results of the UNITY-CLL trial, a Biologics License Application (BLA) and supplemental New Drug Application (sNDA) were submitted to the FDA for U2 to treat patients with CLL/small lymphocytic lymphoma (SLL).</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November 2021, the FDA notified the Company that it planned to host an Oncologic Drug Advisory Committee (ODAC) meeting in connection with its review of the pending BLA/sNDA and to discuss the benefit risk of UKONIQ in its approved indications. While the FDA identified a number of concerns, the FDA’s desire to host an ODAC appeared to stem from an early ad hoc analysis of overall survival (OS) from the UNITY-CLL trial.</w:t>
      </w:r>
    </w:p>
    <w:p>
      <w:pPr>
        <w:spacing w:after="0" w:line="17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this first analysis of OS using a cut-off date of September 2021, there was an imbalance in favor of the control arm (HR: 1.23). However, based on the ad hoc nature of the analysis, approximately 15% of patients had missing or outdated survival data. Further, when excluding deaths related to COVID-19, the two arms were approximately balanced (HR: 1.04). In February 2022, the Company submitted updated OS data with the same September 2021 cut-off date, but with reduced missing data and additional OS events, which showed an improvement from the previously reported OS data. Neither the original preliminary OS results nor the updated preliminary OS results were statistically significant.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April 15, 2022, we announced that pursuant to a recent information request made by the FDA, updated OS data were collected that showed an increasing imbalance in favor of the control arm, differing from the improved results provided to the FDA in February 2022. Based on these new data, the Company decided to withdraw the pending BLA/sNDA for U2 to treat CLL/SLL and accordingly the April 22, 2022 ODAC meeting was canceled.</w:t>
      </w:r>
    </w:p>
    <w:p>
      <w:pPr>
        <w:spacing w:after="0" w:line="17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also announced the voluntary withdrawal of UKONIQ from sale for the approved indications of adult patients with relapsed or refractory marginal zone lymphoma (MZL) who have received at least one prior anti-CD20 based regimen and for the treatment of adult patients with relapsed or refractory follicular lymphoma (FL) who have received at least three prior lines of systemic therapy. UKONIQ was granted accelerated approval in these indications in February 2021. Our decision to withdraw UKONIQ from sale was primarily based on the withdrawal of the BLA and sNDA for U2 in CLL.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jc w:val="both"/>
        <w:ind w:left="60" w:right="59" w:firstLine="634"/>
        <w:spacing w:after="0" w:line="254" w:lineRule="auto"/>
        <w:rPr>
          <w:sz w:val="20"/>
          <w:szCs w:val="20"/>
          <w:color w:val="auto"/>
        </w:rPr>
      </w:pPr>
      <w:r>
        <w:rPr>
          <w:rFonts w:ascii="Arial" w:cs="Arial" w:eastAsia="Arial" w:hAnsi="Arial"/>
          <w:sz w:val="18"/>
          <w:szCs w:val="18"/>
          <w:color w:val="auto"/>
        </w:rPr>
        <w:t>We have leveraged our B-cell platform to develop a drug pipeline of small molecule kinase inhibitors and intravenously delivered immunotherapies that leverage the patients’ own immune system. In connection with the withdrawal of the BLA/sNDA for U2 to treat patients with CLL/SLL and the withdrawal of UKONIQ from sale in its approved indications of relapsed/refractory MZL and FL, we are re-evaluating the clinical development of umbralisib +/-ublituximab and combinations including those medicines in oncology indications and have paused or closed a number of trials related to these indications. The following table summarizes our current focus for the Company’s clinical stage pipeline:</w:t>
      </w:r>
    </w:p>
    <w:p>
      <w:pPr>
        <w:spacing w:after="0" w:line="189"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32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2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(molecular target)</w:t>
            </w:r>
          </w:p>
        </w:tc>
        <w:tc>
          <w:tcPr>
            <w:tcW w:w="294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94"/>
        </w:trPr>
        <w:tc>
          <w:tcPr>
            <w:tcW w:w="3240" w:type="dxa"/>
            <w:vAlign w:val="bottom"/>
            <w:tcBorders>
              <w:left w:val="single" w:sz="8" w:color="auto"/>
              <w:bottom w:val="single" w:sz="8" w:color="auto"/>
              <w:right w:val="single" w:sz="8" w:color="auto"/>
            </w:tcBorders>
            <w:gridSpan w:val="2"/>
          </w:tcPr>
          <w:p>
            <w:pPr>
              <w:spacing w:after="0"/>
              <w:rPr>
                <w:sz w:val="8"/>
                <w:szCs w:val="8"/>
                <w:color w:val="auto"/>
              </w:rPr>
            </w:pPr>
          </w:p>
        </w:tc>
        <w:tc>
          <w:tcPr>
            <w:tcW w:w="294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195"/>
        </w:trPr>
        <w:tc>
          <w:tcPr>
            <w:tcW w:w="324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Ublituximab (anti-CD20 mAb)</w:t>
            </w:r>
          </w:p>
        </w:tc>
        <w:tc>
          <w:tcPr>
            <w:tcW w:w="2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Relapsing Forms of Multiple Sclerosis</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Phase 3 trials (ULTIMATE I and II)</w:t>
            </w:r>
          </w:p>
        </w:tc>
      </w:tr>
      <w:tr>
        <w:trPr>
          <w:trHeight w:val="230"/>
        </w:trPr>
        <w:tc>
          <w:tcPr>
            <w:tcW w:w="70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(RMS)</w:t>
            </w:r>
          </w:p>
        </w:tc>
        <w:tc>
          <w:tcPr>
            <w:tcW w:w="2740" w:type="dxa"/>
            <w:vAlign w:val="bottom"/>
            <w:tcBorders>
              <w:right w:val="single" w:sz="8" w:color="auto"/>
            </w:tcBorders>
          </w:tcPr>
          <w:p>
            <w:pPr>
              <w:spacing w:after="0"/>
              <w:rPr>
                <w:sz w:val="20"/>
                <w:szCs w:val="20"/>
                <w:color w:val="auto"/>
              </w:rPr>
            </w:pPr>
          </w:p>
        </w:tc>
      </w:tr>
      <w:tr>
        <w:trPr>
          <w:trHeight w:val="94"/>
        </w:trPr>
        <w:tc>
          <w:tcPr>
            <w:tcW w:w="3240" w:type="dxa"/>
            <w:vAlign w:val="bottom"/>
            <w:tcBorders>
              <w:left w:val="single" w:sz="8" w:color="auto"/>
              <w:bottom w:val="single" w:sz="8" w:color="auto"/>
              <w:right w:val="single" w:sz="8" w:color="auto"/>
            </w:tcBorders>
            <w:gridSpan w:val="2"/>
          </w:tcPr>
          <w:p>
            <w:pPr>
              <w:spacing w:after="0"/>
              <w:rPr>
                <w:sz w:val="8"/>
                <w:szCs w:val="8"/>
                <w:color w:val="auto"/>
              </w:rPr>
            </w:pPr>
          </w:p>
        </w:tc>
        <w:tc>
          <w:tcPr>
            <w:tcW w:w="294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4"/>
        </w:trPr>
        <w:tc>
          <w:tcPr>
            <w:tcW w:w="32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Cosibelimab/TG-1501 (anti-PDL1 mAb)</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700" w:type="dxa"/>
            <w:vAlign w:val="bottom"/>
            <w:tcBorders>
              <w:left w:val="single" w:sz="8" w:color="auto"/>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2"/>
              </w:rPr>
              <w:t>TG-1701</w:t>
            </w:r>
          </w:p>
        </w:tc>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(BTK inhibitor)</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700" w:type="dxa"/>
            <w:vAlign w:val="bottom"/>
            <w:tcBorders>
              <w:left w:val="single" w:sz="8" w:color="auto"/>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195"/>
        </w:trPr>
        <w:tc>
          <w:tcPr>
            <w:tcW w:w="7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TG-1801</w:t>
            </w:r>
          </w:p>
        </w:tc>
        <w:tc>
          <w:tcPr>
            <w:tcW w:w="25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(anti-CD47/CD19 bispecific</w:t>
            </w:r>
          </w:p>
        </w:tc>
        <w:tc>
          <w:tcPr>
            <w:tcW w:w="2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1 trial</w:t>
            </w:r>
          </w:p>
        </w:tc>
      </w:tr>
      <w:tr>
        <w:trPr>
          <w:trHeight w:val="23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mAb)</w:t>
            </w:r>
          </w:p>
        </w:tc>
        <w:tc>
          <w:tcPr>
            <w:tcW w:w="25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Phase 3 ULTIMATE Program in Relapsing Forms of Multiple Sclerosis: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ULTIMATE I and ULTIMATE II are two independent Phase 3 trials. Each trial is a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SPA with the FDA. The ULTIMATE I and II trials were led by Lawrence Steinman, MD, Zimmermann Professor of Neurology &amp; Neurological Sciences, and Pediatrics at Stanford University. Full enrollment was completed in October 2018, with approximately 1,100 subjects enrolled in both studies combined.</w:t>
      </w:r>
    </w:p>
    <w:p>
      <w:pPr>
        <w:spacing w:after="0" w:line="192" w:lineRule="exact"/>
        <w:rPr>
          <w:sz w:val="20"/>
          <w:szCs w:val="20"/>
          <w:color w:val="auto"/>
        </w:rPr>
      </w:pPr>
    </w:p>
    <w:p>
      <w:pPr>
        <w:jc w:val="both"/>
        <w:ind w:left="800" w:right="79" w:hanging="318"/>
        <w:spacing w:after="0" w:line="25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April 2021, data from the ULTIMATE I and II trials were presented at the American Academy of Neurology Annual meeting. Both studies met their primary endpoint with ublituximab treatment demonstrating a statistically significant reduction in annualized relapse rate (ARR) over a 96-week period (p&lt;0.005 in each trial). Key secondary MRI endpoints were also met. Additional data from these trials have been presented at various other medical meetings.</w:t>
      </w:r>
    </w:p>
    <w:p>
      <w:pPr>
        <w:spacing w:after="0" w:line="187" w:lineRule="exact"/>
        <w:rPr>
          <w:rFonts w:ascii="Arial" w:cs="Arial" w:eastAsia="Arial" w:hAnsi="Arial"/>
          <w:sz w:val="18"/>
          <w:szCs w:val="18"/>
          <w:color w:val="auto"/>
        </w:rPr>
      </w:pPr>
    </w:p>
    <w:p>
      <w:pPr>
        <w:jc w:val="both"/>
        <w:ind w:left="800" w:right="79" w:hanging="318"/>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14, 2021, we announced that the FDA accepted a BLA for ublituximab as a treatment for patients with RMS. The FDA set a Prescription Drug User Fee Act (PDUFA) goal date of September 28, 2022 and notified the Company that it is not currently planning to hold an advisory committee meeting to discuss this application.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Quarters Ended March 31, 2022 and 2021</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the results of operations for the quarters ended March 31, 2022 and 2021:</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center"/>
              <w:ind w:left="512"/>
              <w:spacing w:after="0"/>
              <w:rPr>
                <w:sz w:val="20"/>
                <w:szCs w:val="20"/>
                <w:color w:val="auto"/>
              </w:rPr>
            </w:pPr>
            <w:r>
              <w:rPr>
                <w:rFonts w:ascii="Arial" w:cs="Arial" w:eastAsia="Arial" w:hAnsi="Arial"/>
                <w:sz w:val="14"/>
                <w:szCs w:val="14"/>
                <w:b w:val="1"/>
                <w:bCs w:val="1"/>
                <w:color w:val="auto"/>
                <w:w w:val="95"/>
              </w:rPr>
              <w:t>Three Months Ended</w:t>
            </w: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center"/>
              <w:ind w:left="512"/>
              <w:spacing w:after="0"/>
              <w:rPr>
                <w:sz w:val="20"/>
                <w:szCs w:val="20"/>
                <w:color w:val="auto"/>
              </w:rPr>
            </w:pPr>
            <w:r>
              <w:rPr>
                <w:rFonts w:ascii="Arial" w:cs="Arial" w:eastAsia="Arial" w:hAnsi="Arial"/>
                <w:sz w:val="14"/>
                <w:szCs w:val="14"/>
                <w:b w:val="1"/>
                <w:bCs w:val="1"/>
                <w:color w:val="auto"/>
                <w:w w:val="99"/>
              </w:rPr>
              <w:t>March 31,</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2022</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1,978</w:t>
            </w:r>
          </w:p>
        </w:tc>
        <w:tc>
          <w:tcPr>
            <w:tcW w:w="28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46,147</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20,609</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(69,013)</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Product revenue, net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revenue, net for the three months ended March 31, 2022 was $2.0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$0.8 million for the three months ended March 31, 2021. Product revenue, net consisted of net product sales of UKONIQ in the United States. In February 2021, we began commercial sales of UKONIQ within the U.S. following FDA approval. The $1.2 million increase was primarily driven by an increase in product shipments for UKONIQ as a result of greater market penetration. The increase in product shipments is partially offset by the recording of an additional allowance for sales returns in the first quarter of 2022 due to the anticipated increase in returns resulting from the voluntary withdrawal of UKONIQ from the U.S. market announced on April 15, 2022. Any product sales subsequent to the voluntary withdrawal are limited to existing patients that elect to remain on treatment and no shipments for new prescriptions are allowed. Therefore, it is expected product revenue, net will decline significantly throughout 2022 as a result of the voluntary market withdrawal of UKONIQ.</w:t>
      </w:r>
    </w:p>
    <w:p>
      <w:pPr>
        <w:spacing w:after="0" w:line="18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b w:val="1"/>
          <w:bCs w:val="1"/>
          <w:i w:val="1"/>
          <w:iCs w:val="1"/>
          <w:color w:val="auto"/>
        </w:rPr>
        <w:t>License revenue</w:t>
      </w:r>
      <w:r>
        <w:rPr>
          <w:rFonts w:ascii="Arial" w:cs="Arial" w:eastAsia="Arial" w:hAnsi="Arial"/>
          <w:sz w:val="17"/>
          <w:szCs w:val="17"/>
          <w:color w:val="auto"/>
        </w:rPr>
        <w:t>. License revenue was less than $0.1 million for both the three months ended March 31, 2022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2021. License revenue for both the three months ended March 31, 2022 and March 31, 2021 is comprised of recognition of a portion of the upfront payment from the ublituximab sublicense agreement with Ildong.</w:t>
      </w:r>
    </w:p>
    <w:p>
      <w:pPr>
        <w:spacing w:after="0" w:line="16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for the three months ended March 31, 2022 was $0.2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$0.1 million for the three months ended March 31, 2021. The $0.1 million increase was primarily driven by an increase in the volume of UKONIQ sold, corresponding increases in royalties and other costs during the three month period ended March 31, 2022 as compared to the three month period ended March 31, 2021. Cost of product revenue consists primarily of freight and royalties on net sales of UKONIQ owed to our licensing partner. Based on our policy to expense costs associated with the manufacture of our products prior to regulatory approval, the manufacturing costs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UKONIQ units recognized as revenue during the three months ended March 31, 2022 and March 31, 2021 were expensed as research and development expenses prior to receipt of FDA approval on February 5, 2021, and therefore are not included in costs of product revenue during this period. We expect the cost of product revenue to remain low, as we sell through certain inventory that was expensed prior to FDA approval of UKONIQ in February 2021 and the anticipated decline in product sales resulting from the voluntary market withdrawal of UKONIQ.</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Noncash Compensation Expense (Research and Development). </w:t>
      </w:r>
      <w:r>
        <w:rPr>
          <w:rFonts w:ascii="Arial" w:cs="Arial" w:eastAsia="Arial" w:hAnsi="Arial"/>
          <w:sz w:val="18"/>
          <w:szCs w:val="18"/>
          <w:color w:val="auto"/>
        </w:rPr>
        <w:t>Noncash compensation expense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related to equity incentive grants totaled $1.9 million for the three months ended March 31, 2022, as compared to $7.5 million during the comparable period ended March 31, 2021. The decrease in noncash compensation expense was primarily due to forfeitures of restricted stock as a result of a decrease in headcount during the three months ended March 31, 2022.</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i w:val="1"/>
          <w:iCs w:val="1"/>
          <w:color w:val="auto"/>
        </w:rPr>
        <w:t>Other Research and Development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research and development expense decreased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2022 by approximately $9.4 million to $46.1 million as compared to the comparable period ended March 31, 2021. The decrease in research and development expense is primarily attributable to a decrease in license milestones of $14.0 million, and an $8.6 million decrease in clinical trial expense, partially offset by an increase in manufacturing expense of $16.4 million. The increase in manufacturing expense was primarily due to a one time charge to expense advanced payments related to clinical and commercial batches of UKONIQ as a result of the voluntary withdrawal from the market.</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Noncash Compensation Expense (Selling, General and Administrative). </w:t>
      </w:r>
      <w:r>
        <w:rPr>
          <w:rFonts w:ascii="Arial" w:cs="Arial" w:eastAsia="Arial" w:hAnsi="Arial"/>
          <w:sz w:val="18"/>
          <w:szCs w:val="18"/>
          <w:color w:val="auto"/>
        </w:rPr>
        <w:t>Noncash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related to equity incentive grants totaled $0.2 million for the three months ended March 31, 2022, as compared to $9.1 million during the comparable period ended March 31, 2021. The decrease in noncash compensation expense was primarily related to forfeitures of stock as a result of a decrease in headcount during the three months ended March 31, 2022.</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b w:val="1"/>
          <w:bCs w:val="1"/>
          <w:i w:val="1"/>
          <w:iCs w:val="1"/>
          <w:color w:val="auto"/>
        </w:rPr>
        <w:t xml:space="preserve">Other Selling, General and Administrative. </w:t>
      </w:r>
      <w:r>
        <w:rPr>
          <w:rFonts w:ascii="Arial" w:cs="Arial" w:eastAsia="Arial" w:hAnsi="Arial"/>
          <w:sz w:val="16"/>
          <w:szCs w:val="16"/>
          <w:color w:val="auto"/>
        </w:rPr>
        <w:t>Other selling, general and administrative expenses increased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2022 by approximately $2.7 million to $20.4 million as compared to the comparable period ended March 31, 2021. The increase was due primarily to increased other selling, general and administrative costs associated with the marketing of UKONIQ and planning for the potential launch of ublituximab in RMS.</w:t>
      </w:r>
    </w:p>
    <w:p>
      <w:pPr>
        <w:spacing w:after="0" w:line="15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by $0.8 million to $2.7 million for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as compared to $1.9 million for the three months ended March 31, 2021. The increase is mainly due to greater interest expense related to the Amended Loan Agreement entered into in December 2021.</w:t>
      </w:r>
    </w:p>
    <w:p>
      <w:pPr>
        <w:spacing w:after="0" w:line="16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increased by less than $0.1 million to $0.5 million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2022. The increase is mainly due to a decrease in the fair value of notes payable during the three months ended March 31,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Because we have withdrawn UKONIQ from sale, we have no marketed products currently. We expect to continue to incur significant research and development expenses and we expect to continue to incur significant commercialization and outsourced-manufacturing expenses as we plan for the possible commercialization of ublituximab in RMS.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As of March 31, 2022, we had $280.7 million in cash and cash equivalents, and investment securities. We anticipate that our cash and cash equivalents, and investment securities as of March 31, 2022 will provide sufficient liquidity for more than a twelve-month period from the date of filing this Quarterly Report on Form 10-Q. The actual amount of cash that we will need to operate is subject to many factors, including, but not limited to, the costs and timing of clinical and commercial manufacturing supply arrangements for each product and product candidate, and the costs of expanding our sales, distribution and other commercialization capabilities. We are dependent upon significant future financing to provide the cash necessary to execute our long-term operations.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Discussion of Cash Flows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for the three months ended March 31, 2022 and 2021:</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(68,689)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(81,355)</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8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Cash used in operating activities for the three months ended March 31, 2022 was $68.7 million as compared to $81.4 million for the three months ended March 31, 2021. The decrease in net cash used in operating activities was due primarily to greater expenditures associated with our license milestone agreements and clinical trial expense during the three months ended March 31, 2021.</w:t>
      </w:r>
    </w:p>
    <w:p>
      <w:pPr>
        <w:spacing w:after="0" w:line="14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2022, was $43.7 million as compared to cash used in investing activities of $0.5 million for the three months ended March 31, 2021. The increase in net cash used in investing activities was primarily due to greater investment in short-term and long-term securities during the three months ended March 31, 2022.</w:t>
      </w:r>
    </w:p>
    <w:p>
      <w:pPr>
        <w:spacing w:after="0" w:line="160"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Net cash used in financing activities for the three months ended March 31, 2022, was $0.9 million as compared to net cash used in financing activities of $0.1 million for the three months ended March 31, 2021. The increase in net cash used in financing activities was primarily due to the one time payment of the End of Term Charge (as defined in the Loan Agreement) related to our Term Loan during the three months ended March 31, 2022.</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18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2021 Annual Report on Form 10-K.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 Revenue Recognition”, "Note 4 - Fair Value Measurements" and "Note 5 – Stockholders’ Equity" respectively, for more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Our exposure to market risk has not changed materially since our disclosure in Item 7A, "Quantitative and Qualitative Disclosures About Market Risk" in our Annual Report on Form 10-K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March 31, 2022,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2022,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March 31, 2022 that materially affected, or are reasonably likely to materially affect, our internal control over financial reporting.</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75"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3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invested substantially all of our efforts and financial resources in the identification, pre-clinical and clinical development of umbralisib as monotherapy and in combination with ublituximab in hematologic conditions (U2), ublituximab in RMS and our other product candidates, including cosibelimab, TG-1701 and TG-1801, and building a commercial infrastructure. On April 15, 2022, we announced our voluntary withdrawal of the pending BLA and sNDA for U2 to treat CLL and SLL and the voluntary withdrawal of UKONIQ from sale for the approved indications. Our decision was based on updated overall survival data collected in response to an FDA information request that showed that a possible increased risk of death in patients receiving U2 compared to the control arm of obinutuzumab plus chlorambucil. Although we are currently planning to continue to follow patients in the UNITY-CLL study to understand the overall survival data as it matures, there is a risk that we decide not to continue to do so. Moreover, we are still assessing the impact of the withdrawal of the BLA and sNDA for U2 and the withdrawal of UKONIQ from sale on our oncology research and development programs. We may determine that there is not a regulatory path forward for UKONIQ as monotherapy or in combination with ublituximab in any hematologic conditions, including CLL, and may stop development of UKONIQ, ublituximab, and our other product candidates for oncology indications. If we were to do so, our oncology pipeline would have little, if any, value, which would have a material and adverse effect on our business, financial condition, and results of operations.</w:t>
      </w:r>
    </w:p>
    <w:p>
      <w:pPr>
        <w:spacing w:after="0" w:line="18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ability to generate revenues from product sales will depend on the approval and successful commercialization of ublituximab in RMS. Each of our other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the following:</w:t>
      </w:r>
    </w:p>
    <w:p>
      <w:pPr>
        <w:spacing w:after="0" w:line="157" w:lineRule="exact"/>
        <w:rPr>
          <w:sz w:val="20"/>
          <w:szCs w:val="20"/>
          <w:color w:val="auto"/>
        </w:rPr>
      </w:pPr>
    </w:p>
    <w:p>
      <w:pPr>
        <w:jc w:val="both"/>
        <w:ind w:left="1040" w:right="79" w:hanging="315"/>
        <w:spacing w:after="0" w:line="25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INDs and clinical trial applications (CTAs), being cleared/approved such that our product candidates can commence clinical trials;</w:t>
      </w: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1040" w:right="79" w:hanging="315"/>
        <w:spacing w:after="0" w:line="26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45"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98"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2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spacing w:after="0" w:line="115" w:lineRule="exact"/>
        <w:rPr>
          <w:sz w:val="20"/>
          <w:szCs w:val="20"/>
          <w:color w:val="auto"/>
        </w:rPr>
      </w:pPr>
    </w:p>
    <w:p>
      <w:pPr>
        <w:ind w:left="1040" w:right="79" w:hanging="315"/>
        <w:spacing w:after="0" w:line="22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32"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40" w:right="79" w:hanging="315"/>
        <w:spacing w:after="0" w:line="21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1040" w:right="79" w:hanging="315"/>
        <w:spacing w:after="0" w:line="232"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46"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6"/>
          <w:szCs w:val="16"/>
          <w:color w:val="auto"/>
        </w:rPr>
      </w:pPr>
    </w:p>
    <w:p>
      <w:pPr>
        <w:jc w:val="both"/>
        <w:ind w:left="1040" w:right="79" w:hanging="315"/>
        <w:spacing w:after="0" w:line="232"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040" w:right="79" w:hanging="315"/>
        <w:spacing w:after="0" w:line="22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or natural disasters;</w:t>
      </w:r>
    </w:p>
    <w:p>
      <w:pPr>
        <w:spacing w:after="0" w:line="2" w:lineRule="exact"/>
        <w:rPr>
          <w:rFonts w:ascii="Arial" w:cs="Arial" w:eastAsia="Arial" w:hAnsi="Arial"/>
          <w:sz w:val="18"/>
          <w:szCs w:val="18"/>
          <w:color w:val="auto"/>
        </w:rPr>
      </w:pPr>
    </w:p>
    <w:p>
      <w:pPr>
        <w:ind w:left="1040" w:right="79" w:hanging="315"/>
        <w:spacing w:after="0" w:line="21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1040" w:right="79" w:hanging="315"/>
        <w:spacing w:after="0" w:line="226"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63"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in January 2022, the FDA imposed a partial clinical hold on the Company’s clinical trials investigating UKONIQ and ublituximab in CLL and NHL as a result of concerns from an initial overall survival analysis from the UNITY-CLL study that showed a possible increased risk of death in patients receiving U2 compared to the control arm of obinutuzumab plus chlorambucil. This partial clinical hold remains in place.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7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Negative or inconclusive results from the clinical trials we conduct, unanticipated adverse medical events, or changes in regulatory policy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addition, changes in regulatory policy could cause us to have to repeat or conduct additional clinical trials or change our clinical development strategy. For example, in April 2022, the FDA convened an ODAC meeting to discuss the PI3K inhibitor class. The ODAC voted in favor of requiring randomized data to support the evaluation of benefit-risk of PI3K drug candidates in patients with hematologic malignancies. The vote of the ODAC and the views expressed by FDA during the meeting will likely impact any future development of UKONIQ in hematologic malignancies.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9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of our clinical studies have involved combinations of UKONIQ and ublituximab in hematologic conditions, which may cause unforeseen toxicities, or impact the severity, duration, and incidence of adverse events observed compared to those seen in the single-agent studies of these agents.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or regulatory review of the other component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that has received a SPA.</w:t>
      </w:r>
    </w:p>
    <w:p>
      <w:pPr>
        <w:spacing w:after="0" w:line="17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Furthermore, some of our clinical trials may be conducted as open-label studies, meaning that trial participants, investigators, site staff, some employees of our contract research organizations,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 as was the case with the BLA and sNDA for U2 in CLL and SLL.</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Other reasons that the FDA or regulatory authorities around the world may delay, limit or deny approval of a product candidate, include:</w:t>
      </w:r>
    </w:p>
    <w:p>
      <w:pPr>
        <w:spacing w:after="0" w:line="170" w:lineRule="exact"/>
        <w:rPr>
          <w:sz w:val="20"/>
          <w:szCs w:val="20"/>
          <w:color w:val="auto"/>
        </w:rPr>
      </w:pPr>
    </w:p>
    <w:p>
      <w:pPr>
        <w:ind w:left="1040" w:right="79" w:hanging="315"/>
        <w:spacing w:after="0" w:line="258"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jc w:val="both"/>
        <w:ind w:left="1040" w:right="79" w:hanging="315"/>
        <w:spacing w:after="0" w:line="255"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w:t>
      </w:r>
    </w:p>
    <w:p>
      <w:pPr>
        <w:spacing w:after="0" w:line="2"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2"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jc w:val="both"/>
        <w:ind w:left="1040" w:right="79" w:hanging="315"/>
        <w:spacing w:after="0" w:line="25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and foreign regulatory authorities as a result of global health crises, such as the COVID-19 pandemic, international conflict, or national disasters may negatively impact review, inspection, and approval timelines.</w:t>
      </w:r>
    </w:p>
    <w:p>
      <w:pPr>
        <w:spacing w:after="0" w:line="19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Even if we succeed in obtaining regulatory approval for any of our product candidates,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candidates and increase our costs.</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2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7"/>
          <w:szCs w:val="17"/>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8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PFS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candidates may be harmed, which could harm our business, operating results, prospects or financial condition.</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7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are conducting clinical trials and anticipate conducting additional clinical trials for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Many of our Phase 3 and registration-directed clinical trials across our MS and oncology programs, including ULTIMATE I and II and related extension studies,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While we do not believe this conflict will have a material impact on our current regulatory submission for approval of ublituximab in RMS or our overall business, given the rapidly evolving situation and the potential to expand beyond Ukraine and Russia, the full impact of the conflict remains uncertain.</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and may negatively impact the regulatory process in other countries.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174"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4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Many of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Phase 3 ULTIMATE I and II trials.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conduct additional analyses of the Phase 3 study(ies)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that there are no clinical differences between these drug products, which could substantially impact the approvability of ublituximab based on the results of Ultimate I and II. In such circumstances, that would have a material adverse effect on the Company.</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as we move closer to potential commercialization of ublituximab,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obtain FDA approval for a product candidate and do not achieve broad market acceptance among physicians, patients, healthcare payors, and the medical community, the revenues that we generate from product sales will be limited.</w:t>
      </w:r>
    </w:p>
    <w:p>
      <w:pPr>
        <w:spacing w:after="0" w:line="143"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Our product candidates, if approved, may not gain market acceptance by physicians, patients, third-party payors and others in the healthcare community and, as a result, we may not generate significant revenues or meet our revenue projections or guidance and may not become profitable. The degree of market acceptance of any product candidates for which we may receive approval, including ublituximab in RMS, will depend on a number of factors, including:</w:t>
      </w:r>
    </w:p>
    <w:p>
      <w:pPr>
        <w:spacing w:after="0" w:line="154" w:lineRule="exact"/>
        <w:rPr>
          <w:sz w:val="20"/>
          <w:szCs w:val="20"/>
          <w:color w:val="auto"/>
        </w:rPr>
      </w:pPr>
    </w:p>
    <w:p>
      <w:pPr>
        <w:ind w:left="1040" w:right="79" w:hanging="315"/>
        <w:spacing w:after="0" w:line="258"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any of our product candidates as well as competitive products;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major operators of neurology clinics, and patients of our products as safe, tolerable and effective treatments;</w:t>
      </w:r>
    </w:p>
    <w:p>
      <w:pPr>
        <w:ind w:left="1040" w:hanging="315"/>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and perceived advantages or disadvantages of our products compared to alternative treatments;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1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the COVID-19 pandemic could impact commercialization of ublituximab in RMS. Patients and healthcare providers have raised concerns that immunosuppressive products like anti-CD20 antibodies and other B-cell targeted agents may increase the risk of acquiring COVID-19 or lead to more severe complications or outcomes upon infection, including death. These concerns may impact the commercial potential for ublituximab and other immunosuppressive products that we have in development. The length of time and full extent to which the COVID-19 pandemic directly or indirectly impacts our commercialization efforts depends on future developments that are highly uncertain, subject to change and are difficult to predict “</w:t>
      </w:r>
      <w:r>
        <w:rPr>
          <w:rFonts w:ascii="Arial" w:cs="Arial" w:eastAsia="Arial" w:hAnsi="Arial"/>
          <w:sz w:val="17"/>
          <w:szCs w:val="17"/>
          <w:b w:val="1"/>
          <w:bCs w:val="1"/>
          <w:u w:val="single" w:color="auto"/>
          <w:color w:val="auto"/>
        </w:rPr>
        <w:t>Risks Related to the COVID-19 Pandemic.</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are unable to expand our commercialization operations, we may not be successful in commercializing ublituximab or any other product candidate if and when they are approved, and we may not be able to generate any revenue.</w:t>
      </w:r>
    </w:p>
    <w:p>
      <w:pPr>
        <w:spacing w:after="0" w:line="10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made and continue to make significant investments in our commercial organization and infrastructure. We built processes and systems to support the commercialization of UKONIQ in the U.S. Although we withdrew UKONIQ from sale in April 2022, we are using and expanding upon many of those systems and processes to prepare for the potential commercial launch of ublituximab in RMS prior to knowing whether or when FDA will approve the application. It is possible that FDA approval will be delayed or not received at all. A significant delay in regulatory approval will cause us to incur delays that may impede or significantly delay our ability to generate revenue while incurring significant expenses, which would have a material adverse effect on the Company.</w:t>
      </w:r>
    </w:p>
    <w:p>
      <w:pPr>
        <w:spacing w:after="0" w:line="17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are risks involved with establishing our own commercialization capabilities. For example, recruiting and training a commercialization team is both expensive and time-consuming, and could potentially delay any drug launch. If the commercial launch of a product candidate for which we establish commercialization capabilities is delayed or does not occur for any reason, we would have prematurely or unnecessarily incurred these commercialization expenses. This may be costly, and our investment would be lost if we cannot retain or reposition our commercialization personnel. For example, we developed commercialization capabilities to support the launch of UKONIQ in February 2021 and prepare for the potential launch of U2 in CLL and SLL following the PDUFA goal date in June 2022. As a result of the decision to withdraw the BLA and sNDA for U2 in CLL and SLL and withdraw UKONIQ from sale in the U.S., we have had to dismantle or reposition our oncology commercialization team and have lost much of the investment in personnel, oncology market research, and educational materials and programs.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Furthermore, the recent regulatory developments impacting our oncology commercialization efforts may make it difficult or delay our ability to recruit and retain qualified commercial and medical affairs personnel in MS. If we are unable to recruit and retain adequate numbers of effective personnel to support the launch of ublituximab in RMS, if approved, we may not be successful in marketing and selling the product or may be delayed in launching the product if and when approved.</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Additional factors that may inhibit our efforts to commercialize any products on our own and generate product revenues include:</w:t>
      </w:r>
    </w:p>
    <w:p>
      <w:pPr>
        <w:spacing w:after="0" w:line="170" w:lineRule="exact"/>
        <w:rPr>
          <w:sz w:val="20"/>
          <w:szCs w:val="20"/>
          <w:color w:val="auto"/>
        </w:rPr>
      </w:pPr>
    </w:p>
    <w:p>
      <w:pPr>
        <w:ind w:left="1040" w:right="79" w:hanging="315"/>
        <w:spacing w:after="0" w:line="274"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and time associated with the initial and ongoing training of commercialization personnel on the applicable disease states, products, competitors, and legal and regulatory compliance matters;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commercialization personnel to obtain access to physicians or to effectively provide education about any approved products;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drugs to be offered by the Company, which may put us at a competitive disadvantage relative to companies with more extensive product lines;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decisions by third-party payors to deny reimbursement of or delay coverage decisions following approval of any product candidates;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w:t>
      </w: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product availability for commercial sale following approval;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commercialization organization.</w:t>
      </w:r>
    </w:p>
    <w:p>
      <w:pPr>
        <w:spacing w:after="0" w:line="21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may expand into certain European markets. Building and maintaining an infrastructure outside the United States is expensive, complex, resource intensive and time consuming. Like the situation described above in the U.S., we will need to establish our infrastructure in planning for potential commercial launches in Europe prior to knowing whether the regulatory authorities will accept or approve our regulatory submissions or approve any of our products at an appropriate price. In either case we will incur delays that may impede or significantly delay our ability to generate revenue in those international markets and at the same time will incur significant expenses. If this were to occur, it could materially and adversely affect our business operations and financial condition.</w:t>
      </w:r>
    </w:p>
    <w:p>
      <w:pPr>
        <w:spacing w:after="0" w:line="17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including ublituximab in RMS,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precise incidence and/or prevalence of RMS are unknown. Our projections of ublituximab in RMS, as well as the subset of these patients who have the potential to benefit from treatment with our products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total addressable market opportunity for ublituximab in RMS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9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may be subject to limitations on the indicated uses or requirements to fulfill certain post-marketing requirements to the satisfaction of regulatory authorities for future products that we may bring to market.</w:t>
      </w:r>
    </w:p>
    <w:p>
      <w:pPr>
        <w:spacing w:after="0" w:line="14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In some cases, these studies are highly specialized in their design and conduct and are associated with considerable expenses, and based on the outcome, could result in further labeling restrictions that could impair or restrict the way in which we are able to market the product, or negatively impact the product’s overall clinical profile.</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with respect to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Any of our product candidates for which we in the future obtain approval, may after approval be found to cause undesirable side effects that could result in significant negative consequences following commercialization.</w:t>
      </w:r>
    </w:p>
    <w:p>
      <w:pPr>
        <w:spacing w:after="0" w:line="12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As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our product candidates following introduction into the market, a number of potentially significant negative consequences could result, including:</w:t>
      </w:r>
    </w:p>
    <w:p>
      <w:pPr>
        <w:spacing w:after="0" w:line="177"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research in the same diseases that we are,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products that we commercialize may become subject to unfavorable pricing regulations or third-party payor coverage and reimbursement policies, which would harm our business.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18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an even greater risk in connection with the commercialization of any products for which we may receive marketing authorization in the future. If we cannot successfully defend ourselves against claims that any of our products caused injuries, we could incur substantial liabilities. Regardless of merit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0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(which received FDA approval in February 2021 and which we withdrew from sale in April 2022), and preparing for potential commercialization of ublituximab. We are transitioning from a company with a research and development focus and commercialization capabilities in oncology to a company capable of supporting commercial activities in neurology in the U.S. and outside the U.S. This transition involves a wide variety of risks, and we may not be successful in such transition.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a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Due to our voluntary withdrawal of UKONIQ from sale, we have no marketed products. We expect to continue to incur significant research and development expenses and we expect to continue to incur significant commercialization and outsourced-manufacturing expenses as we plan for the possible commercialization of ublituximab in RMS.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Prior to the withdrawal of UKONIQ from sale in the U.S. in April 2022, we had not generated any significant revenue from our sales of the product. It is uncertain when and if we will generate any significant revenue from the sale of any product candidates, if approved, in the future. Furthermore, no assurance can be given that we will meet revenue projections or guidance. To obtain significant and sustained revenues and meet our revenue projections or guidance, we must succeed, either alone or with others, in (i) obtaining regulatory approval for our product candidates, including ublituximab in RMS; and (ii) manufacturing and marketing our products and product candidates. Accordingly, we do not expect to generate sustained revenue unless and until we obtain marketing approval of ublituximab in RMS. Our ability to generate sustained revenue depends on a number of factors, including, but not limited to, our ability to:</w:t>
      </w:r>
    </w:p>
    <w:p>
      <w:pPr>
        <w:spacing w:after="0" w:line="178"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candidates;</w:t>
      </w: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candidates, including ublituximab in RMS;</w:t>
      </w:r>
    </w:p>
    <w:p>
      <w:pPr>
        <w:ind w:left="1040" w:right="79" w:hanging="315"/>
        <w:spacing w:after="0" w:line="281"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 commercial manufacturing capabilities with third parties that are satisfactory to the regulatory authorities, cost effective, and that are capable of providing commercial supply of our product candidates;</w:t>
      </w:r>
    </w:p>
    <w:p>
      <w:pPr>
        <w:spacing w:after="0" w:line="1"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on our commercialization infrastructure to commercialize ublituximab in RMS, if approved, and/or entering into collaborations with third parties; and</w:t>
      </w:r>
    </w:p>
    <w:p>
      <w:pPr>
        <w:ind w:left="1040" w:right="79" w:hanging="315"/>
        <w:spacing w:after="0" w:line="26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 market acceptance of any products for which we receive regulatory approval in the medical community and with third-party payors.</w:t>
      </w:r>
    </w:p>
    <w:p>
      <w:pPr>
        <w:spacing w:after="0" w:line="18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development of pharmaceuticals is capital-intensive. Moreover, in anticipation of potential FDA approval for ublituximab in RMS, we will need to expend substantial resources on supporting the regulatory application, preparing for commercialization, and manufacturing over the next 6 to 12 months.</w:t>
      </w:r>
    </w:p>
    <w:p>
      <w:pPr>
        <w:spacing w:after="0" w:line="184"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1" w:lineRule="exact"/>
        <w:rPr>
          <w:sz w:val="20"/>
          <w:szCs w:val="20"/>
          <w:color w:val="auto"/>
        </w:rPr>
      </w:pPr>
    </w:p>
    <w:p>
      <w:pPr>
        <w:ind w:left="720" w:right="119" w:hanging="319"/>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and product candidate;</w:t>
      </w: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expanding our sales, distribution, and other commercialization capabilities;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the commercialization of any products for which we receive regulatory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9" w:hanging="319"/>
        <w:spacing w:after="0" w:line="25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ublituximab in RMS, or any of our other product candidates and otherwise forego attractive business opportunities. Any additional sources of financing may involve the issuance of our equity securities, which would have a dilutive effect to stockholders. For the foreseeable future, we will have to fund all of our operations and capital expenditures from cash on hand, amounts raised in future offerings or financings, and potentially from U.S. sales of ublituximab in RMS, if approved.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 xml:space="preserve">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and which was expanded in December 2021 (see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w:t>
      </w:r>
      <w:r>
        <w:rPr>
          <w:rFonts w:ascii="Arial" w:cs="Arial" w:eastAsia="Arial" w:hAnsi="Arial"/>
          <w:sz w:val="16"/>
          <w:szCs w:val="16"/>
          <w:b w:val="1"/>
          <w:bCs w:val="1"/>
          <w:color w:val="auto"/>
        </w:rPr>
        <w:t>“Risks Related to Our Indebtedness.”</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Long-term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long-term commercialization efforts and the development of our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February 2019, we entered into a Loan and Security Agreement (the Loan Agreement), with Hercules Capital, Inc., a Maryland corporation (Hercules) and on December 30, 2021 (the First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(the Amended Term Loan) (see Note 6 to our consolidated financial statements for more information). A first advance of $70.0 million was drawn at the First Amendment Closing Date, a portion of which was used to refinance the current outstanding loan balance of approximately $7.8 million.</w:t>
      </w:r>
    </w:p>
    <w:p>
      <w:pPr>
        <w:spacing w:after="0" w:line="16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Amended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79" w:hanging="315"/>
        <w:spacing w:after="0" w:line="277"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failure to comply with the restrictive covenants in the Amended Loan Agreement could result in an event of default that, if not cured or waived, would accelerate our obligation to repay this indebtedness, and Hercules could seek to enforce its security interest in the assets securing such indebtedness.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Failure to satisfy our current and future debt obligations under the Amended Loan Agreement, or the breach of any of its covenants, subject to specified cure periods with respect to certain breaches, could result in an event of default and, as a result, Hercules could accelerate all of the amounts due. In the event of an acceleration of amounts due under the Amended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18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Amended Loan Agreement imposes operating and other restrictions on the Company. Such restrictions will affect, and in many respects limit or prohibit, our ability and the ability of any future subsidiary to, among other things:</w:t>
      </w:r>
    </w:p>
    <w:p>
      <w:pPr>
        <w:spacing w:after="0" w:line="124"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further changes to the ACA would have on our business.</w:t>
      </w:r>
    </w:p>
    <w:p>
      <w:pPr>
        <w:spacing w:after="0" w:line="18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At the state level, individual states are experiencing significant economic pressure within their state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are subject to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5" w:lineRule="exact"/>
        <w:rPr>
          <w:sz w:val="20"/>
          <w:szCs w:val="20"/>
          <w:color w:val="auto"/>
        </w:rPr>
      </w:pPr>
    </w:p>
    <w:p>
      <w:pPr>
        <w:jc w:val="both"/>
        <w:ind w:left="1040" w:right="79" w:hanging="315"/>
        <w:spacing w:after="0" w:line="25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90"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 wide range of federal and state consumer protection and unfair competition laws, which broadly regulate marketplace activities and activities that potentially harm consumers including those related to privacy;</w:t>
      </w:r>
    </w:p>
    <w:p>
      <w:pPr>
        <w:jc w:val="both"/>
        <w:ind w:left="1020" w:right="79" w:hanging="31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6"/>
        <w:spacing w:after="0" w:line="25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2" w:lineRule="exact"/>
        <w:rPr>
          <w:rFonts w:ascii="Arial" w:cs="Arial" w:eastAsia="Arial" w:hAnsi="Arial"/>
          <w:sz w:val="18"/>
          <w:szCs w:val="18"/>
          <w:color w:val="auto"/>
        </w:rPr>
      </w:pPr>
    </w:p>
    <w:p>
      <w:pPr>
        <w:jc w:val="both"/>
        <w:ind w:left="1020" w:right="79" w:hanging="326"/>
        <w:spacing w:after="0" w:line="25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Drug Supply Chain Security Act, or DSCSA, which imposes obligations on entities in the commercial product supply chain, including manufacturers, to identify and track prescription drugs as they are distributed in the U.S.; and</w:t>
      </w:r>
    </w:p>
    <w:p>
      <w:pPr>
        <w:spacing w:after="0" w:line="1" w:lineRule="exact"/>
        <w:rPr>
          <w:rFonts w:ascii="Arial" w:cs="Arial" w:eastAsia="Arial" w:hAnsi="Arial"/>
          <w:sz w:val="18"/>
          <w:szCs w:val="18"/>
          <w:color w:val="auto"/>
        </w:rPr>
      </w:pPr>
    </w:p>
    <w:p>
      <w:pPr>
        <w:jc w:val="both"/>
        <w:ind w:left="1040" w:right="79" w:hanging="315"/>
        <w:spacing w:after="0" w:line="252"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we prepare for potential commercialization of ublituximab, we are planning to provide patient support services to help patients access the product, if approved. Our patient support program would be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6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Anti-Kickback Statute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5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(the FTCA), the FTC expects a company’s data security measures to be reasonable and appropriate in light of the sensitivity and volume of consumer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(the CCPA), went into effect in January 2020 creating data privacy obligations for covered companies and providing privacy rights to California residents, including the right to opt out of certain disclosures of their information.</w:t>
      </w:r>
    </w:p>
    <w:p>
      <w:pPr>
        <w:spacing w:after="0" w:line="18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Numerous other jurisdictions regulate the privacy and security of personally identifiable data. For example, the processing of personal data in the European Economic Area (the EEA), is subject to the General Data Protection Regulation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7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6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1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87"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0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7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patients.</w:t>
      </w:r>
    </w:p>
    <w:p>
      <w:pPr>
        <w:spacing w:after="0" w:line="39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contract with third parties for the manufacture of clinical product supply, and we expect to continue to do so, including for commercial supply of ublituximab.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packaging and labeling of any products that we commercialize and our product candidates for pre-clinical development and clinical testing. For example, we currently rely on Samsung Biologics for clinical supply of ublituximab and will rely on Samsung Biologics for commercial supply, if ublituximab is approved.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7" w:lineRule="exact"/>
        <w:rPr>
          <w:sz w:val="20"/>
          <w:szCs w:val="20"/>
          <w:color w:val="auto"/>
        </w:rPr>
      </w:pPr>
    </w:p>
    <w:p>
      <w:pPr>
        <w:jc w:val="both"/>
        <w:ind w:left="60" w:right="59" w:firstLine="486"/>
        <w:spacing w:after="0" w:line="293" w:lineRule="auto"/>
        <w:rPr>
          <w:sz w:val="20"/>
          <w:szCs w:val="20"/>
          <w:color w:val="auto"/>
        </w:rPr>
      </w:pPr>
      <w:r>
        <w:rPr>
          <w:rFonts w:ascii="Arial" w:cs="Arial" w:eastAsia="Arial" w:hAnsi="Arial"/>
          <w:sz w:val="16"/>
          <w:szCs w:val="16"/>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satisfaction in a timely manner during the review of any NDAs or BLAs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reliance on third-party manufacturers entails additional risks, including:</w:t>
      </w:r>
    </w:p>
    <w:p>
      <w:pPr>
        <w:spacing w:after="0" w:line="225"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Moreover, our current long-term supply agreement for ublituximab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ublituximab,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 may adversely affect our clinical development program, our ability to commercialize any drugs that receive marketing approval on a timely and competitive basis, and our future profit margins.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expect to continue to do so for any potential commercial product.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6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COVID-19 pandemic has caused strain on the global supply chain. Although the pandemic has not had a material adverse effect on our supply chain to date, no assurance can be given that it will not in the future if the situation persists or worsens. In addition to potential disruptions at our contract manufacturers, there may be unfavorable changes in the availability or cost of raw materials, intermediates or other materials that we need for clinical and commercial production, which may result in higher costs or supply chain interruptions.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307" w:lineRule="auto"/>
        <w:rPr>
          <w:sz w:val="20"/>
          <w:szCs w:val="20"/>
          <w:color w:val="auto"/>
        </w:rPr>
      </w:pPr>
      <w:r>
        <w:rPr>
          <w:rFonts w:ascii="Arial" w:cs="Arial" w:eastAsia="Arial" w:hAnsi="Arial"/>
          <w:sz w:val="16"/>
          <w:szCs w:val="16"/>
          <w:b w:val="1"/>
          <w:bCs w:val="1"/>
          <w:i w:val="1"/>
          <w:iCs w:val="1"/>
          <w:color w:val="auto"/>
        </w:rPr>
        <w:t>Because we have in-licensed our product candidates from third parties, any dispute with or non-performance by our licensors will adversely affect our ability to develop and commercialize the applicable product or product candidate.</w:t>
      </w:r>
    </w:p>
    <w:p>
      <w:pPr>
        <w:spacing w:after="0" w:line="96"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6"/>
          <w:szCs w:val="16"/>
          <w:color w:val="auto"/>
        </w:rPr>
        <w:t>Because we license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27"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40" w:right="79"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40" w:right="79"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40" w:hanging="315"/>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5"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In addition, the agreements under which we currently license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5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3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6"/>
          <w:szCs w:val="16"/>
          <w:color w:val="auto"/>
        </w:rPr>
        <w:t>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34" w:lineRule="exact"/>
        <w:rPr>
          <w:sz w:val="20"/>
          <w:szCs w:val="20"/>
          <w:color w:val="auto"/>
        </w:rPr>
      </w:pPr>
    </w:p>
    <w:p>
      <w:pPr>
        <w:jc w:val="both"/>
        <w:ind w:left="60" w:right="59" w:firstLine="486"/>
        <w:spacing w:after="0" w:line="231"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9"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Our commercial success in part depends on obtaining and maintaining patent protection and trade secret protection in the United States and other countries with respect to any product we commercialize,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38"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3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7"/>
          <w:szCs w:val="17"/>
          <w:color w:val="auto"/>
        </w:rPr>
        <w:t>Currently, we have granted several patents in the United States and EU, among other countries and several patents that have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65"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398"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pacing w:after="0" w:line="23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Risks Related to Our Business Organization and Governance, Strategy, Employees and Growth Management</w:t>
      </w:r>
    </w:p>
    <w:p>
      <w:pPr>
        <w:spacing w:after="0" w:line="24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anticipate that the withdrawal of the BLA and sNDA for U2 and the withdrawal of UKONIQ from sale may make it more challenging to recruit and retain qualified personnel across functions. In January and April 2022, we engaged in streamlining efforts across the Company, reducing headcount and external expenses, primarily related to our oncology commercialization and research and development functions. Those streamlining efforts have made and may continue to make retention of key personnel more difficult.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w:t>
      </w:r>
    </w:p>
    <w:p>
      <w:pPr>
        <w:spacing w:after="0" w:line="18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7"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7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As of May 5, 2022, we had 219 full -time employees. Our management and medical, commercial, and scientific personnel, systems and facilities currently in place, which were largely designed to support research and development and commercialization in oncology, may not be adequate to support our anticipated future growth, particularly in MS.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7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6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$1.3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60"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2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2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business if new variants continue to circulate and government control measures are reinstated.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ongoing COVID-19 pandemic has presented substantial public health challenges and has negatively impacted the global economy, global supply chains, and the global healthcare system, including the conduct of clinical trials in the U.S. and other parts of the world. New variants continue to circulate, and uncertainty remains as to whether restrictions that have been lifted will be reinstated or new measures will be implemented to address the spread of new variants. The extent to which the COVID-19 pandemic impacts our business and operating results will depend on future developments that cannot be accurately predicted. Should the COVID-19 pandemic worsen and government restrictions be reinstated, our business operations could be materially delayed or interrupted. For instance, our supply chain may be disrupted; health authority inspections of clinical sites, marketing application sponsor, CROs, or manufacturing facilities or review of our regulatory submissions may be delayed; and our commercialization efforts may be impacted.</w:t>
      </w:r>
    </w:p>
    <w:p>
      <w:pPr>
        <w:spacing w:after="0" w:line="16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addition,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 Further, patients and healthcare providers have raised concerns that B-cell targeted agents, like anti-</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CD20 antibodies, may increase the risk of acquiring COVID-19 or lead to more severe complications or outcomes upon infection, including death, which could negatively impact the results of our clinical trials of ublituximab and other B-cell targeted product candidates, impact the regulatory review of those product candidates, prompt restrictive labeling for any products that receive approval, or adversely impact their acceptance among patients, healthcare providers, and payors.</w:t>
      </w:r>
    </w:p>
    <w:p>
      <w:pPr>
        <w:spacing w:after="0" w:line="157"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pandemic also may adversely affect our ability to complete ongoing clinical trials or conduct new trials. Some factors from the COVID-19 outbreak that may delay or otherwise adversely affect our clinical trial programs, as well as adversely impact our business generally, include:</w:t>
      </w:r>
    </w:p>
    <w:p>
      <w:pPr>
        <w:spacing w:after="0" w:line="184" w:lineRule="exact"/>
        <w:rPr>
          <w:sz w:val="20"/>
          <w:szCs w:val="20"/>
          <w:color w:val="auto"/>
        </w:rPr>
      </w:pPr>
    </w:p>
    <w:p>
      <w:pPr>
        <w:jc w:val="both"/>
        <w:ind w:left="1040" w:right="79" w:hanging="315"/>
        <w:spacing w:after="0" w:line="252"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5" w:lineRule="exact"/>
        <w:rPr>
          <w:rFonts w:ascii="Arial" w:cs="Arial" w:eastAsia="Arial" w:hAnsi="Arial"/>
          <w:sz w:val="18"/>
          <w:szCs w:val="18"/>
          <w:color w:val="auto"/>
        </w:rPr>
      </w:pPr>
    </w:p>
    <w:p>
      <w:pPr>
        <w:ind w:left="1040" w:right="79" w:hanging="315"/>
        <w:spacing w:after="0" w:line="191"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1040" w:right="79" w:hanging="315"/>
        <w:spacing w:after="0" w:line="217"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spacing w:after="0" w:line="1" w:lineRule="exact"/>
        <w:rPr>
          <w:rFonts w:ascii="Arial" w:cs="Arial" w:eastAsia="Arial" w:hAnsi="Arial"/>
          <w:sz w:val="29"/>
          <w:szCs w:val="29"/>
          <w:color w:val="auto"/>
          <w:vertAlign w:val="superscript"/>
        </w:rPr>
      </w:pPr>
    </w:p>
    <w:p>
      <w:pPr>
        <w:jc w:val="both"/>
        <w:ind w:left="1040" w:right="79" w:hanging="315"/>
        <w:spacing w:after="0" w:line="250"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spacing w:after="0" w:line="1" w:lineRule="exact"/>
        <w:rPr>
          <w:rFonts w:ascii="Arial" w:cs="Arial" w:eastAsia="Arial" w:hAnsi="Arial"/>
          <w:sz w:val="18"/>
          <w:szCs w:val="18"/>
          <w:color w:val="auto"/>
        </w:rPr>
      </w:pPr>
    </w:p>
    <w:p>
      <w:pPr>
        <w:jc w:val="both"/>
        <w:ind w:left="1040" w:right="79" w:hanging="315"/>
        <w:spacing w:after="0" w:line="208"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1040" w:right="79" w:hanging="315"/>
        <w:spacing w:after="0" w:line="191"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pacing w:after="0" w:line="1" w:lineRule="exact"/>
        <w:rPr>
          <w:rFonts w:ascii="Arial" w:cs="Arial" w:eastAsia="Arial" w:hAnsi="Arial"/>
          <w:sz w:val="29"/>
          <w:szCs w:val="29"/>
          <w:color w:val="auto"/>
          <w:vertAlign w:val="superscript"/>
        </w:rPr>
      </w:pPr>
    </w:p>
    <w:p>
      <w:pPr>
        <w:jc w:val="both"/>
        <w:ind w:left="1040" w:right="79" w:hanging="315"/>
        <w:spacing w:after="0" w:line="265"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jc w:val="both"/>
        <w:ind w:left="1040" w:right="79" w:hanging="315"/>
        <w:spacing w:after="0" w:line="250"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 and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pacing w:after="0" w:line="22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potential disruptions and other impacts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ublituximab in RMS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 The impacts of COVID-19 on clinical studies described above may be greater in geographies outside the U.S., including in Eastern European countries where we have a number of study sites for ULTIMATE I and II.</w:t>
      </w:r>
    </w:p>
    <w:p>
      <w:pPr>
        <w:spacing w:after="0" w:line="185"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In the event government-imposed restrictions related to COVID-19 that have been lifted are reinstated or new measures are implemented to address the spread of new variants, our ability to successfully commercialize any of our product candidates for which we in the future obtain regulatory approval also may be adversely impacted. In response to the COVID-19 pandemic, many healthcare institutions reduced access of pharmaceutical and biotechnology companies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healthcare providers as part of their safety measures. Should limitations on access continue, our commercialization activities, including the manner in which our field teams engage with healthcare providers and facilities, may limit our ability to provide product education and information, which could slow adoption and impact potential sales.</w:t>
      </w:r>
    </w:p>
    <w:p>
      <w:pPr>
        <w:spacing w:after="0" w:line="9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business, however, the full extent to which the COVID-19 pandemic may directly or indirectly impact the progress of our current and planned trials will depend on future developments that are uncertain and cannot be accurately predicted.</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35"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1040" w:right="79"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ind w:left="1040" w:right="79"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us or our competitors;</w:t>
      </w:r>
    </w:p>
    <w:p>
      <w:pPr>
        <w:jc w:val="both"/>
        <w:ind w:left="1040" w:right="79"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regulatory review for ublituximab or any other product candidate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ind w:left="1040" w:hanging="315"/>
        <w:spacing w:after="0" w:line="21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left="60" w:right="59" w:firstLine="648"/>
        <w:spacing w:after="0" w:line="228"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under the Amended Loan Agreement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ongoing military conflict between Russia and Ukraine may result in market volatility that could adversely affect our stock price.</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late February 2022, Russia invaded Ukraine, significantly amplifying already existing geopolitical tensions among Russia and other countries in the region and in the west, including the U.S. The invasion by Russia, responses of countries and political bodies to the invasion, the broader overarching tensions, Ukraine’s military response, and the potential for broader conflict may increase financial market volatility and could have severe adverse effects on regional and global economic markets.</w:t>
      </w:r>
    </w:p>
    <w:p>
      <w:pPr>
        <w:spacing w:after="0" w:line="18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Following Russia’s actions, various countries, including the U.S., Canada, the United Kingdom, Germany and France, as well as the European Union, issued broad-ranging economic sanctions against Russia. Such sanctions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The current sanctions (and potential further sanctions in response to continued Russian military activity) and other actions may have adverse effects on regional and global economic markets, and may result in increased volatility in the price of our common stock.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OF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12" w:lineRule="exact"/>
        <w:rPr>
          <w:sz w:val="20"/>
          <w:szCs w:val="20"/>
          <w:color w:val="auto"/>
        </w:rPr>
      </w:pPr>
    </w:p>
    <w:p>
      <w:pPr>
        <w:ind w:left="1080" w:right="619" w:hanging="580"/>
        <w:spacing w:after="0" w:line="258"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76">
        <w:r>
          <w:rPr>
            <w:rFonts w:ascii="Arial" w:cs="Arial" w:eastAsia="Arial" w:hAnsi="Arial"/>
            <w:sz w:val="18"/>
            <w:szCs w:val="18"/>
            <w:u w:val="single" w:color="auto"/>
            <w:color w:val="0000EE"/>
          </w:rPr>
          <w:t>Certification of Chief Executive Officer pursuant to Rule 13a-14(a)/15d-14(a), as adopted pursuant to</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Section 302 of the Sarbanes-Oxley Act of 2002, dated May 10, 2022.</w:t>
        </w:r>
      </w:hyperlink>
    </w:p>
    <w:p>
      <w:pPr>
        <w:spacing w:after="0" w:line="1" w:lineRule="exact"/>
        <w:rPr>
          <w:sz w:val="20"/>
          <w:szCs w:val="20"/>
          <w:color w:val="auto"/>
        </w:rPr>
      </w:pPr>
    </w:p>
    <w:p>
      <w:pPr>
        <w:ind w:left="1080" w:right="67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77">
        <w:r>
          <w:rPr>
            <w:rFonts w:ascii="Arial" w:cs="Arial" w:eastAsia="Arial" w:hAnsi="Arial"/>
            <w:sz w:val="18"/>
            <w:szCs w:val="18"/>
            <w:u w:val="single" w:color="auto"/>
            <w:color w:val="0000EE"/>
          </w:rPr>
          <w:t>Certification of Chief Financial Officer pursuant to Rule 13a-14(a)/15d-14(a), as adopted pursuant to</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Section 302 of the Sarbanes-Oxley Act of 2002, dated May 10, 2022.</w:t>
        </w:r>
      </w:hyperlink>
    </w:p>
    <w:p>
      <w:pPr>
        <w:spacing w:after="0" w:line="1" w:lineRule="exact"/>
        <w:rPr>
          <w:sz w:val="20"/>
          <w:szCs w:val="20"/>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32.1** </w:t>
      </w:r>
      <w:hyperlink w:anchor="page78">
        <w:r>
          <w:rPr>
            <w:rFonts w:ascii="Arial" w:cs="Arial" w:eastAsia="Arial" w:hAnsi="Arial"/>
            <w:sz w:val="16"/>
            <w:szCs w:val="16"/>
            <w:u w:val="single" w:color="auto"/>
            <w:color w:val="0000EE"/>
          </w:rPr>
          <w:t>Certification of Chief Executive Officer pursuant to 18 U.S.C. 1350, as adopted pursuant to Section</w:t>
        </w:r>
      </w:hyperlink>
    </w:p>
    <w:p>
      <w:pPr>
        <w:spacing w:after="0" w:line="32" w:lineRule="exact"/>
        <w:rPr>
          <w:sz w:val="20"/>
          <w:szCs w:val="20"/>
          <w:color w:val="auto"/>
        </w:rPr>
      </w:pPr>
    </w:p>
    <w:p>
      <w:pPr>
        <w:ind w:left="10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906 of the Sarbanes-Oxley Act of 2002, dated May 10, 2022.</w:t>
        </w:r>
      </w:hyperlink>
    </w:p>
    <w:p>
      <w:pPr>
        <w:spacing w:after="0" w:line="9" w:lineRule="exact"/>
        <w:rPr>
          <w:sz w:val="20"/>
          <w:szCs w:val="20"/>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 xml:space="preserve">32.2** </w:t>
      </w:r>
      <w:hyperlink w:anchor="page79">
        <w:r>
          <w:rPr>
            <w:rFonts w:ascii="Arial" w:cs="Arial" w:eastAsia="Arial" w:hAnsi="Arial"/>
            <w:sz w:val="17"/>
            <w:szCs w:val="17"/>
            <w:u w:val="single" w:color="auto"/>
            <w:color w:val="0000EE"/>
          </w:rPr>
          <w:t>Certification of Chief Financial Officer pursuant to 18 U.S.C. 1350, as adopted pursuant to Section</w:t>
        </w:r>
      </w:hyperlink>
    </w:p>
    <w:p>
      <w:pPr>
        <w:spacing w:after="0" w:line="21" w:lineRule="exact"/>
        <w:rPr>
          <w:sz w:val="20"/>
          <w:szCs w:val="20"/>
          <w:color w:val="auto"/>
        </w:rPr>
      </w:pPr>
    </w:p>
    <w:p>
      <w:pPr>
        <w:ind w:left="10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906 of the Sarbanes-Oxley Act of 2002, dated May 10, 2022.</w:t>
        </w:r>
      </w:hyperlink>
    </w:p>
    <w:p>
      <w:pPr>
        <w:spacing w:after="0" w:line="9" w:lineRule="exact"/>
        <w:rPr>
          <w:sz w:val="20"/>
          <w:szCs w:val="20"/>
          <w:color w:val="auto"/>
        </w:rPr>
      </w:pPr>
    </w:p>
    <w:p>
      <w:pPr>
        <w:ind w:left="1080" w:right="619" w:hanging="579"/>
        <w:spacing w:after="0" w:line="281"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period ended March 31, 2022, formatted in Inline Extensible Business Reporting Language (iXBRL):</w:t>
      </w:r>
    </w:p>
    <w:p>
      <w:pPr>
        <w:spacing w:after="0" w:line="1" w:lineRule="exact"/>
        <w:rPr>
          <w:sz w:val="20"/>
          <w:szCs w:val="20"/>
          <w:color w:val="auto"/>
        </w:rPr>
      </w:pPr>
    </w:p>
    <w:p>
      <w:pPr>
        <w:ind w:left="1080" w:right="639" w:firstLine="2"/>
        <w:spacing w:after="0" w:line="250"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p>
      <w:pPr>
        <w:spacing w:after="0" w:line="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TG THERAPEUTICS,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10, 2022</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 /s/ Sean A. Power</w:t>
            </w:r>
          </w:p>
        </w:tc>
      </w:tr>
      <w:tr>
        <w:trPr>
          <w:trHeight w:val="195"/>
        </w:trPr>
        <w:tc>
          <w:tcPr>
            <w:tcW w:w="2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2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6" w:name="page77"/>
    <w:bookmarkEnd w:id="7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7" w:name="page78"/>
    <w:bookmarkEnd w:id="77"/>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2022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8" w:name="page79"/>
    <w:bookmarkEnd w:id="78"/>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2022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May 10, 2022</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lvl w:ilvl="1">
      <w:lvlJc w:val="left"/>
      <w:lvlText w:val="●"/>
      <w:numFmt w:val="bullet"/>
      <w:start w:val="1"/>
    </w:lvl>
  </w:abstractNum>
  <w:abstractNum w:abstractNumId="34">
    <w:nsid w:val="3855585C"/>
    <w:multiLevelType w:val="hybridMultilevel"/>
    <w:lvl w:ilvl="0">
      <w:lvlJc w:val="left"/>
      <w:lvlText w:val="●"/>
      <w:numFmt w:val="bullet"/>
      <w:start w:val="1"/>
    </w:lvl>
    <w:lvl w:ilvl="1">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lowerRoman"/>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2022-05-10T16:09:02Z</dcterms:created>
  <dcterms:modified xsi:type="dcterms:W3CDTF">2022-05-10T16:09:02Z</dcterms:modified>
</cp:coreProperties>
</file>