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10-K</w:t>
      </w:r>
    </w:p>
    <w:p>
      <w:pPr>
        <w:spacing w:after="0" w:line="107" w:lineRule="exact"/>
        <w:rPr>
          <w:sz w:val="24"/>
          <w:szCs w:val="24"/>
          <w:color w:val="auto"/>
        </w:rPr>
      </w:pPr>
    </w:p>
    <w:p>
      <w:pPr>
        <w:jc w:val="center"/>
        <w:ind w:left="4000" w:right="1740" w:hanging="2247"/>
        <w:spacing w:after="0" w:line="249" w:lineRule="auto"/>
        <w:tabs>
          <w:tab w:leader="none" w:pos="1907" w:val="left"/>
        </w:tabs>
        <w:numPr>
          <w:ilvl w:val="1"/>
          <w:numId w:val="1"/>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ANNUAL REPORT PURSUANT TO SECTION 13 OR 15(d) OF THE SECURITIES EXCHANGE ACT OF 1934 For the fiscal year ended December 31, 2022.</w:t>
      </w:r>
    </w:p>
    <w:p>
      <w:pPr>
        <w:ind w:left="5020"/>
        <w:spacing w:after="0"/>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OR</w:t>
      </w:r>
    </w:p>
    <w:p>
      <w:pPr>
        <w:spacing w:after="0" w:line="147" w:lineRule="exact"/>
        <w:rPr>
          <w:rFonts w:ascii="MS PGothic" w:cs="MS PGothic" w:eastAsia="MS PGothic" w:hAnsi="MS PGothic"/>
          <w:sz w:val="13"/>
          <w:szCs w:val="13"/>
          <w:color w:val="auto"/>
          <w:highlight w:val="black"/>
        </w:rPr>
      </w:pPr>
    </w:p>
    <w:p>
      <w:pPr>
        <w:jc w:val="center"/>
        <w:ind w:left="3760" w:right="1600" w:hanging="2148"/>
        <w:spacing w:after="0" w:line="278" w:lineRule="auto"/>
        <w:tabs>
          <w:tab w:leader="none" w:pos="1775"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TRANSITION REPORT PURSUANT TO SECTION 13 OR 15(d) OF THE SECURITIES EXCHANGE ACT OF 1934 For the transition period from ________ to 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1-32639</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TG THERAPEUTICS, INC.</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42" w:lineRule="exact"/>
        <w:rPr>
          <w:sz w:val="24"/>
          <w:szCs w:val="24"/>
          <w:color w:val="auto"/>
        </w:rPr>
      </w:pPr>
    </w:p>
    <w:tbl>
      <w:tblPr>
        <w:tblLayout w:type="fixed"/>
        <w:tblInd w:w="900" w:type="dxa"/>
        <w:tblCellMar>
          <w:top w:w="0" w:type="dxa"/>
          <w:left w:w="0" w:type="dxa"/>
          <w:bottom w:w="0" w:type="dxa"/>
          <w:right w:w="0" w:type="dxa"/>
        </w:tblCellMar>
      </w:tblPr>
      <w:tr>
        <w:trPr>
          <w:trHeight w:val="151"/>
        </w:trPr>
        <w:tc>
          <w:tcPr>
            <w:tcW w:w="4540" w:type="dxa"/>
            <w:vAlign w:val="bottom"/>
          </w:tcPr>
          <w:p>
            <w:pPr>
              <w:jc w:val="center"/>
              <w:ind w:right="1233"/>
              <w:spacing w:after="0"/>
              <w:rPr>
                <w:sz w:val="20"/>
                <w:szCs w:val="20"/>
                <w:color w:val="auto"/>
              </w:rPr>
            </w:pPr>
            <w:r>
              <w:rPr>
                <w:rFonts w:ascii="Arial" w:cs="Arial" w:eastAsia="Arial" w:hAnsi="Arial"/>
                <w:sz w:val="13"/>
                <w:szCs w:val="13"/>
                <w:b w:val="1"/>
                <w:bCs w:val="1"/>
                <w:color w:val="auto"/>
                <w:w w:val="98"/>
              </w:rPr>
              <w:t>Delaware</w:t>
            </w:r>
          </w:p>
        </w:tc>
        <w:tc>
          <w:tcPr>
            <w:tcW w:w="3280" w:type="dxa"/>
            <w:vAlign w:val="bottom"/>
          </w:tcPr>
          <w:p>
            <w:pPr>
              <w:jc w:val="right"/>
              <w:ind w:right="593"/>
              <w:spacing w:after="0"/>
              <w:rPr>
                <w:sz w:val="20"/>
                <w:szCs w:val="20"/>
                <w:color w:val="auto"/>
              </w:rPr>
            </w:pPr>
            <w:r>
              <w:rPr>
                <w:rFonts w:ascii="Arial" w:cs="Arial" w:eastAsia="Arial" w:hAnsi="Arial"/>
                <w:sz w:val="13"/>
                <w:szCs w:val="13"/>
                <w:b w:val="1"/>
                <w:bCs w:val="1"/>
                <w:color w:val="auto"/>
              </w:rPr>
              <w:t>36-3898269</w:t>
            </w:r>
          </w:p>
        </w:tc>
      </w:tr>
      <w:tr>
        <w:trPr>
          <w:trHeight w:val="172"/>
        </w:trPr>
        <w:tc>
          <w:tcPr>
            <w:tcW w:w="4540" w:type="dxa"/>
            <w:vAlign w:val="bottom"/>
          </w:tcPr>
          <w:p>
            <w:pPr>
              <w:jc w:val="center"/>
              <w:ind w:right="1233"/>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3280" w:type="dxa"/>
            <w:vAlign w:val="bottom"/>
          </w:tcPr>
          <w:p>
            <w:pPr>
              <w:jc w:val="center"/>
              <w:ind w:left="1233"/>
              <w:spacing w:after="0"/>
              <w:rPr>
                <w:sz w:val="20"/>
                <w:szCs w:val="20"/>
                <w:color w:val="auto"/>
              </w:rPr>
            </w:pPr>
            <w:r>
              <w:rPr>
                <w:rFonts w:ascii="Arial" w:cs="Arial" w:eastAsia="Arial" w:hAnsi="Arial"/>
                <w:sz w:val="13"/>
                <w:szCs w:val="13"/>
                <w:color w:val="auto"/>
                <w:w w:val="98"/>
              </w:rPr>
              <w:t>(I.R.S. Employer Identification No.)</w:t>
            </w:r>
          </w:p>
        </w:tc>
      </w:tr>
      <w:tr>
        <w:trPr>
          <w:trHeight w:val="271"/>
        </w:trPr>
        <w:tc>
          <w:tcPr>
            <w:tcW w:w="4540" w:type="dxa"/>
            <w:vAlign w:val="bottom"/>
          </w:tcPr>
          <w:p>
            <w:pPr>
              <w:jc w:val="center"/>
              <w:ind w:right="1233"/>
              <w:spacing w:after="0"/>
              <w:rPr>
                <w:sz w:val="20"/>
                <w:szCs w:val="20"/>
                <w:color w:val="auto"/>
              </w:rPr>
            </w:pPr>
            <w:r>
              <w:rPr>
                <w:rFonts w:ascii="Arial" w:cs="Arial" w:eastAsia="Arial" w:hAnsi="Arial"/>
                <w:sz w:val="13"/>
                <w:szCs w:val="13"/>
                <w:b w:val="1"/>
                <w:bCs w:val="1"/>
                <w:color w:val="auto"/>
                <w:w w:val="96"/>
              </w:rPr>
              <w:t>3020 Carrington Mill Blvd, Suite 475</w:t>
            </w:r>
          </w:p>
        </w:tc>
        <w:tc>
          <w:tcPr>
            <w:tcW w:w="3280" w:type="dxa"/>
            <w:vAlign w:val="bottom"/>
          </w:tcPr>
          <w:p>
            <w:pPr>
              <w:spacing w:after="0"/>
              <w:rPr>
                <w:sz w:val="23"/>
                <w:szCs w:val="23"/>
                <w:color w:val="auto"/>
              </w:rPr>
            </w:pPr>
          </w:p>
        </w:tc>
      </w:tr>
      <w:tr>
        <w:trPr>
          <w:trHeight w:val="151"/>
        </w:trPr>
        <w:tc>
          <w:tcPr>
            <w:tcW w:w="4540" w:type="dxa"/>
            <w:vAlign w:val="bottom"/>
          </w:tcPr>
          <w:p>
            <w:pPr>
              <w:jc w:val="center"/>
              <w:ind w:right="1233"/>
              <w:spacing w:after="0"/>
              <w:rPr>
                <w:sz w:val="20"/>
                <w:szCs w:val="20"/>
                <w:color w:val="auto"/>
              </w:rPr>
            </w:pPr>
            <w:r>
              <w:rPr>
                <w:rFonts w:ascii="Arial" w:cs="Arial" w:eastAsia="Arial" w:hAnsi="Arial"/>
                <w:sz w:val="13"/>
                <w:szCs w:val="13"/>
                <w:b w:val="1"/>
                <w:bCs w:val="1"/>
                <w:color w:val="auto"/>
                <w:w w:val="98"/>
              </w:rPr>
              <w:t>Morrisville, North Carolina</w:t>
            </w:r>
          </w:p>
        </w:tc>
        <w:tc>
          <w:tcPr>
            <w:tcW w:w="3280" w:type="dxa"/>
            <w:vAlign w:val="bottom"/>
          </w:tcPr>
          <w:p>
            <w:pPr>
              <w:jc w:val="right"/>
              <w:ind w:right="753"/>
              <w:spacing w:after="0"/>
              <w:rPr>
                <w:sz w:val="20"/>
                <w:szCs w:val="20"/>
                <w:color w:val="auto"/>
              </w:rPr>
            </w:pPr>
            <w:r>
              <w:rPr>
                <w:rFonts w:ascii="Arial" w:cs="Arial" w:eastAsia="Arial" w:hAnsi="Arial"/>
                <w:sz w:val="13"/>
                <w:szCs w:val="13"/>
                <w:b w:val="1"/>
                <w:bCs w:val="1"/>
                <w:color w:val="auto"/>
              </w:rPr>
              <w:t>27560</w:t>
            </w:r>
          </w:p>
        </w:tc>
      </w:tr>
      <w:tr>
        <w:trPr>
          <w:trHeight w:val="172"/>
        </w:trPr>
        <w:tc>
          <w:tcPr>
            <w:tcW w:w="4540" w:type="dxa"/>
            <w:vAlign w:val="bottom"/>
          </w:tcPr>
          <w:p>
            <w:pPr>
              <w:jc w:val="center"/>
              <w:ind w:right="1253"/>
              <w:spacing w:after="0"/>
              <w:rPr>
                <w:sz w:val="20"/>
                <w:szCs w:val="20"/>
                <w:color w:val="auto"/>
              </w:rPr>
            </w:pPr>
            <w:r>
              <w:rPr>
                <w:rFonts w:ascii="Arial" w:cs="Arial" w:eastAsia="Arial" w:hAnsi="Arial"/>
                <w:sz w:val="13"/>
                <w:szCs w:val="13"/>
                <w:color w:val="auto"/>
                <w:w w:val="96"/>
              </w:rPr>
              <w:t>(Address of principal executive offices)</w:t>
            </w:r>
          </w:p>
        </w:tc>
        <w:tc>
          <w:tcPr>
            <w:tcW w:w="3280" w:type="dxa"/>
            <w:vAlign w:val="bottom"/>
          </w:tcPr>
          <w:p>
            <w:pPr>
              <w:jc w:val="center"/>
              <w:ind w:left="1233"/>
              <w:spacing w:after="0"/>
              <w:rPr>
                <w:sz w:val="20"/>
                <w:szCs w:val="20"/>
                <w:color w:val="auto"/>
              </w:rPr>
            </w:pPr>
            <w:r>
              <w:rPr>
                <w:rFonts w:ascii="Arial" w:cs="Arial" w:eastAsia="Arial" w:hAnsi="Arial"/>
                <w:sz w:val="13"/>
                <w:szCs w:val="13"/>
                <w:color w:val="auto"/>
                <w:w w:val="94"/>
              </w:rPr>
              <w:t>(Zip Code)</w:t>
            </w:r>
          </w:p>
        </w:tc>
      </w:tr>
    </w:tbl>
    <w:p>
      <w:pPr>
        <w:spacing w:after="0" w:line="1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(212) 554-4484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262"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080" w:type="dxa"/>
            <w:vAlign w:val="bottom"/>
            <w:tcBorders>
              <w:top w:val="single" w:sz="8" w:color="auto"/>
              <w:left w:val="single" w:sz="8" w:color="auto"/>
              <w:bottom w:val="single" w:sz="8" w:color="auto"/>
            </w:tcBorders>
          </w:tcPr>
          <w:p>
            <w:pPr>
              <w:jc w:val="center"/>
              <w:ind w:left="833"/>
              <w:spacing w:after="0"/>
              <w:rPr>
                <w:sz w:val="20"/>
                <w:szCs w:val="20"/>
                <w:color w:val="auto"/>
              </w:rPr>
            </w:pPr>
            <w:r>
              <w:rPr>
                <w:rFonts w:ascii="Arial" w:cs="Arial" w:eastAsia="Arial" w:hAnsi="Arial"/>
                <w:sz w:val="13"/>
                <w:szCs w:val="13"/>
                <w:b w:val="1"/>
                <w:bCs w:val="1"/>
                <w:color w:val="auto"/>
                <w:w w:val="91"/>
              </w:rPr>
              <w:t>Title of Class</w:t>
            </w:r>
          </w:p>
        </w:tc>
        <w:tc>
          <w:tcPr>
            <w:tcW w:w="720" w:type="dxa"/>
            <w:vAlign w:val="bottom"/>
            <w:tcBorders>
              <w:top w:val="single" w:sz="8" w:color="auto"/>
              <w:bottom w:val="single" w:sz="8" w:color="auto"/>
              <w:right w:val="single" w:sz="8" w:color="auto"/>
            </w:tcBorders>
          </w:tcPr>
          <w:p>
            <w:pPr>
              <w:spacing w:after="0"/>
              <w:rPr>
                <w:sz w:val="14"/>
                <w:szCs w:val="14"/>
                <w:color w:val="auto"/>
              </w:rPr>
            </w:pPr>
          </w:p>
        </w:tc>
        <w:tc>
          <w:tcPr>
            <w:tcW w:w="2820" w:type="dxa"/>
            <w:vAlign w:val="bottom"/>
            <w:tcBorders>
              <w:top w:val="single" w:sz="8" w:color="auto"/>
              <w:bottom w:val="single" w:sz="8" w:color="auto"/>
            </w:tcBorders>
          </w:tcPr>
          <w:p>
            <w:pPr>
              <w:jc w:val="center"/>
              <w:ind w:left="313"/>
              <w:spacing w:after="0"/>
              <w:rPr>
                <w:sz w:val="20"/>
                <w:szCs w:val="20"/>
                <w:color w:val="auto"/>
              </w:rPr>
            </w:pPr>
            <w:r>
              <w:rPr>
                <w:rFonts w:ascii="Arial" w:cs="Arial" w:eastAsia="Arial" w:hAnsi="Arial"/>
                <w:sz w:val="13"/>
                <w:szCs w:val="13"/>
                <w:b w:val="1"/>
                <w:bCs w:val="1"/>
                <w:color w:val="auto"/>
                <w:w w:val="94"/>
              </w:rPr>
              <w:t>Trading Symbol(s)</w:t>
            </w:r>
          </w:p>
        </w:tc>
        <w:tc>
          <w:tcPr>
            <w:tcW w:w="240" w:type="dxa"/>
            <w:vAlign w:val="bottom"/>
            <w:tcBorders>
              <w:top w:val="single" w:sz="8" w:color="auto"/>
              <w:bottom w:val="single" w:sz="8" w:color="auto"/>
              <w:right w:val="single" w:sz="8" w:color="auto"/>
            </w:tcBorders>
          </w:tcPr>
          <w:p>
            <w:pPr>
              <w:spacing w:after="0"/>
              <w:rPr>
                <w:sz w:val="14"/>
                <w:szCs w:val="14"/>
                <w:color w:val="auto"/>
              </w:rPr>
            </w:pPr>
          </w:p>
        </w:tc>
        <w:tc>
          <w:tcPr>
            <w:tcW w:w="3380" w:type="dxa"/>
            <w:vAlign w:val="bottom"/>
            <w:tcBorders>
              <w:top w:val="single" w:sz="8" w:color="auto"/>
              <w:bottom w:val="single" w:sz="8" w:color="auto"/>
              <w:right w:val="single" w:sz="8" w:color="auto"/>
            </w:tcBorders>
          </w:tcPr>
          <w:p>
            <w:pPr>
              <w:jc w:val="center"/>
              <w:ind w:left="53"/>
              <w:spacing w:after="0"/>
              <w:rPr>
                <w:sz w:val="20"/>
                <w:szCs w:val="20"/>
                <w:color w:val="auto"/>
              </w:rPr>
            </w:pPr>
            <w:r>
              <w:rPr>
                <w:rFonts w:ascii="Arial" w:cs="Arial" w:eastAsia="Arial" w:hAnsi="Arial"/>
                <w:sz w:val="13"/>
                <w:szCs w:val="13"/>
                <w:b w:val="1"/>
                <w:bCs w:val="1"/>
                <w:color w:val="auto"/>
                <w:w w:val="93"/>
              </w:rPr>
              <w:t>Exchange Name</w:t>
            </w:r>
          </w:p>
        </w:tc>
      </w:tr>
      <w:tr>
        <w:trPr>
          <w:trHeight w:val="142"/>
        </w:trPr>
        <w:tc>
          <w:tcPr>
            <w:tcW w:w="3080" w:type="dxa"/>
            <w:vAlign w:val="bottom"/>
            <w:tcBorders>
              <w:left w:val="single" w:sz="8" w:color="auto"/>
              <w:bottom w:val="single" w:sz="8" w:color="auto"/>
            </w:tcBorders>
          </w:tcPr>
          <w:p>
            <w:pPr>
              <w:jc w:val="center"/>
              <w:ind w:left="833"/>
              <w:spacing w:after="0" w:line="142" w:lineRule="exact"/>
              <w:rPr>
                <w:sz w:val="20"/>
                <w:szCs w:val="20"/>
                <w:color w:val="auto"/>
              </w:rPr>
            </w:pPr>
            <w:r>
              <w:rPr>
                <w:rFonts w:ascii="Arial" w:cs="Arial" w:eastAsia="Arial" w:hAnsi="Arial"/>
                <w:sz w:val="13"/>
                <w:szCs w:val="13"/>
                <w:color w:val="auto"/>
                <w:w w:val="94"/>
              </w:rPr>
              <w:t>Common Stock, par value $0.001</w:t>
            </w:r>
          </w:p>
        </w:tc>
        <w:tc>
          <w:tcPr>
            <w:tcW w:w="72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tcBorders>
          </w:tcPr>
          <w:p>
            <w:pPr>
              <w:jc w:val="center"/>
              <w:ind w:left="313"/>
              <w:spacing w:after="0" w:line="142" w:lineRule="exact"/>
              <w:rPr>
                <w:sz w:val="20"/>
                <w:szCs w:val="20"/>
                <w:color w:val="auto"/>
              </w:rPr>
            </w:pPr>
            <w:r>
              <w:rPr>
                <w:rFonts w:ascii="Arial" w:cs="Arial" w:eastAsia="Arial" w:hAnsi="Arial"/>
                <w:sz w:val="13"/>
                <w:szCs w:val="13"/>
                <w:color w:val="auto"/>
              </w:rPr>
              <w:t>TGTX</w:t>
            </w:r>
          </w:p>
        </w:tc>
        <w:tc>
          <w:tcPr>
            <w:tcW w:w="240" w:type="dxa"/>
            <w:vAlign w:val="bottom"/>
            <w:tcBorders>
              <w:bottom w:val="single" w:sz="8" w:color="auto"/>
              <w:right w:val="single" w:sz="8" w:color="auto"/>
            </w:tcBorders>
          </w:tcPr>
          <w:p>
            <w:pPr>
              <w:spacing w:after="0"/>
              <w:rPr>
                <w:sz w:val="12"/>
                <w:szCs w:val="12"/>
                <w:color w:val="auto"/>
              </w:rPr>
            </w:pPr>
          </w:p>
        </w:tc>
        <w:tc>
          <w:tcPr>
            <w:tcW w:w="3380" w:type="dxa"/>
            <w:vAlign w:val="bottom"/>
            <w:tcBorders>
              <w:bottom w:val="single" w:sz="8" w:color="auto"/>
              <w:right w:val="single" w:sz="8" w:color="auto"/>
            </w:tcBorders>
          </w:tcPr>
          <w:p>
            <w:pPr>
              <w:jc w:val="center"/>
              <w:ind w:left="73"/>
              <w:spacing w:after="0" w:line="142" w:lineRule="exact"/>
              <w:rPr>
                <w:sz w:val="20"/>
                <w:szCs w:val="20"/>
                <w:color w:val="auto"/>
              </w:rPr>
            </w:pPr>
            <w:r>
              <w:rPr>
                <w:rFonts w:ascii="Arial" w:cs="Arial" w:eastAsia="Arial" w:hAnsi="Arial"/>
                <w:sz w:val="13"/>
                <w:szCs w:val="13"/>
                <w:color w:val="auto"/>
                <w:w w:val="93"/>
              </w:rPr>
              <w:t>Nasdaq Capital Market</w:t>
            </w:r>
          </w:p>
        </w:tc>
      </w:tr>
      <w:tr>
        <w:trPr>
          <w:trHeight w:val="303"/>
        </w:trPr>
        <w:tc>
          <w:tcPr>
            <w:tcW w:w="3080" w:type="dxa"/>
            <w:vAlign w:val="bottom"/>
          </w:tcPr>
          <w:p>
            <w:pPr>
              <w:spacing w:after="0"/>
              <w:rPr>
                <w:sz w:val="24"/>
                <w:szCs w:val="24"/>
                <w:color w:val="auto"/>
              </w:rPr>
            </w:pPr>
          </w:p>
        </w:tc>
        <w:tc>
          <w:tcPr>
            <w:tcW w:w="3540" w:type="dxa"/>
            <w:vAlign w:val="bottom"/>
            <w:gridSpan w:val="2"/>
          </w:tcPr>
          <w:p>
            <w:pPr>
              <w:ind w:left="180"/>
              <w:spacing w:after="0"/>
              <w:rPr>
                <w:sz w:val="20"/>
                <w:szCs w:val="20"/>
                <w:color w:val="auto"/>
              </w:rPr>
            </w:pPr>
            <w:r>
              <w:rPr>
                <w:rFonts w:ascii="Arial" w:cs="Arial" w:eastAsia="Arial" w:hAnsi="Arial"/>
                <w:sz w:val="13"/>
                <w:szCs w:val="13"/>
                <w:b w:val="1"/>
                <w:bCs w:val="1"/>
                <w:color w:val="auto"/>
                <w:w w:val="93"/>
              </w:rPr>
              <w:t>Securities registered pursuant to Section 12(g) of the Act:</w:t>
            </w:r>
          </w:p>
        </w:tc>
        <w:tc>
          <w:tcPr>
            <w:tcW w:w="3620" w:type="dxa"/>
            <w:vAlign w:val="bottom"/>
            <w:gridSpan w:val="2"/>
          </w:tcPr>
          <w:p>
            <w:pPr>
              <w:ind w:left="80"/>
              <w:spacing w:after="0"/>
              <w:rPr>
                <w:sz w:val="20"/>
                <w:szCs w:val="20"/>
                <w:color w:val="auto"/>
              </w:rPr>
            </w:pPr>
            <w:r>
              <w:rPr>
                <w:rFonts w:ascii="Arial" w:cs="Arial" w:eastAsia="Arial" w:hAnsi="Arial"/>
                <w:sz w:val="13"/>
                <w:szCs w:val="13"/>
                <w:color w:val="auto"/>
              </w:rPr>
              <w:t>None</w:t>
            </w:r>
          </w:p>
        </w:tc>
      </w:tr>
    </w:tbl>
    <w:p>
      <w:pPr>
        <w:spacing w:after="0" w:line="59" w:lineRule="exact"/>
        <w:rPr>
          <w:sz w:val="24"/>
          <w:szCs w:val="24"/>
          <w:color w:val="auto"/>
        </w:rPr>
      </w:pPr>
    </w:p>
    <w:p>
      <w:pPr>
        <w:ind w:left="20" w:right="3040"/>
        <w:spacing w:after="0" w:line="23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71" w:lineRule="exact"/>
        <w:rPr>
          <w:sz w:val="24"/>
          <w:szCs w:val="24"/>
          <w:color w:val="auto"/>
        </w:rPr>
      </w:pPr>
    </w:p>
    <w:p>
      <w:pPr>
        <w:ind w:left="20" w:right="4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1" w:lineRule="exact"/>
        <w:rPr>
          <w:sz w:val="24"/>
          <w:szCs w:val="24"/>
          <w:color w:val="auto"/>
        </w:rPr>
      </w:pPr>
    </w:p>
    <w:p>
      <w:pPr>
        <w:ind w:left="20" w:right="22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1" w:lineRule="exact"/>
        <w:rPr>
          <w:sz w:val="24"/>
          <w:szCs w:val="24"/>
          <w:color w:val="auto"/>
        </w:rPr>
      </w:pPr>
    </w:p>
    <w:p>
      <w:pPr>
        <w:ind w:left="20" w:right="20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52"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48"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ind w:left="580"/>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4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11"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47" w:lineRule="exact"/>
        <w:rPr>
          <w:sz w:val="24"/>
          <w:szCs w:val="24"/>
          <w:color w:val="auto"/>
        </w:rPr>
      </w:pPr>
    </w:p>
    <w:p>
      <w:pPr>
        <w:sectPr>
          <w:pgSz w:w="11900" w:h="16838" w:orient="portrait"/>
          <w:cols w:equalWidth="0" w:num="2">
            <w:col w:w="7880" w:space="720"/>
            <w:col w:w="1640"/>
          </w:cols>
          <w:pgMar w:left="820" w:top="665" w:right="839" w:bottom="1440" w:gutter="0" w:footer="0" w:header="0"/>
          <w:type w:val="continuous"/>
        </w:sectPr>
      </w:pPr>
    </w:p>
    <w:p>
      <w:pPr>
        <w:ind w:left="20" w:right="22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1" w:lineRule="exact"/>
        <w:rPr>
          <w:sz w:val="24"/>
          <w:szCs w:val="24"/>
          <w:color w:val="auto"/>
        </w:rPr>
      </w:pPr>
    </w:p>
    <w:p>
      <w:pPr>
        <w:ind w:left="20" w:right="180"/>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85" w:lineRule="exact"/>
        <w:rPr>
          <w:sz w:val="24"/>
          <w:szCs w:val="24"/>
          <w:color w:val="auto"/>
        </w:rPr>
      </w:pPr>
    </w:p>
    <w:p>
      <w:pPr>
        <w:ind w:left="20" w:right="20"/>
        <w:spacing w:after="0" w:line="188"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11" w:lineRule="exact"/>
        <w:rPr>
          <w:sz w:val="24"/>
          <w:szCs w:val="24"/>
          <w:color w:val="auto"/>
        </w:rPr>
      </w:pPr>
    </w:p>
    <w:p>
      <w:pPr>
        <w:ind w:left="20"/>
        <w:spacing w:after="0" w:line="195"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r>
        <w:rPr>
          <w:rFonts w:ascii="MS PGothic" w:cs="MS PGothic" w:eastAsia="MS PGothic" w:hAnsi="MS PGothic"/>
          <w:sz w:val="13"/>
          <w:szCs w:val="13"/>
          <w:color w:val="auto"/>
        </w:rPr>
        <w:t>☐</w:t>
      </w:r>
    </w:p>
    <w:p>
      <w:pPr>
        <w:spacing w:after="0" w:line="72"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2" w:lineRule="exact"/>
        <w:rPr>
          <w:sz w:val="24"/>
          <w:szCs w:val="24"/>
          <w:color w:val="auto"/>
        </w:rPr>
      </w:pPr>
    </w:p>
    <w:p>
      <w:pPr>
        <w:ind w:left="20" w:right="240"/>
        <w:spacing w:after="0" w:line="274" w:lineRule="auto"/>
        <w:rPr>
          <w:sz w:val="20"/>
          <w:szCs w:val="20"/>
          <w:color w:val="auto"/>
        </w:rPr>
      </w:pPr>
      <w:r>
        <w:rPr>
          <w:rFonts w:ascii="Arial" w:cs="Arial" w:eastAsia="Arial" w:hAnsi="Arial"/>
          <w:sz w:val="13"/>
          <w:szCs w:val="13"/>
          <w:color w:val="auto"/>
        </w:rPr>
        <w:t>The aggregate market value of voting common stock held by non-affiliates of the registrant (assuming, for purposes of this calculation, without conceding, that all executive officers and directors are “affiliates”) was $564,449,606 as June 30, 2022, based on the closing sale price of such stock as reported on the NASDAQ Capital Market.</w:t>
      </w:r>
    </w:p>
    <w:p>
      <w:pPr>
        <w:spacing w:after="0" w:line="64" w:lineRule="exact"/>
        <w:rPr>
          <w:sz w:val="24"/>
          <w:szCs w:val="24"/>
          <w:color w:val="auto"/>
        </w:rPr>
      </w:pPr>
    </w:p>
    <w:p>
      <w:pPr>
        <w:ind w:left="20"/>
        <w:spacing w:after="0"/>
        <w:rPr>
          <w:sz w:val="20"/>
          <w:szCs w:val="20"/>
          <w:color w:val="auto"/>
        </w:rPr>
      </w:pPr>
      <w:r>
        <w:rPr>
          <w:rFonts w:ascii="Arial" w:cs="Arial" w:eastAsia="Arial" w:hAnsi="Arial"/>
          <w:sz w:val="13"/>
          <w:szCs w:val="13"/>
          <w:color w:val="auto"/>
        </w:rPr>
        <w:t>There were 146,363,127 shares of the registrant’s common stock, $0.001 par value, outstanding as of February 17, 2023.</w:t>
      </w:r>
    </w:p>
    <w:p>
      <w:pPr>
        <w:spacing w:after="0" w:line="105" w:lineRule="exact"/>
        <w:rPr>
          <w:sz w:val="24"/>
          <w:szCs w:val="24"/>
          <w:color w:val="auto"/>
        </w:rPr>
      </w:pPr>
    </w:p>
    <w:p>
      <w:pPr>
        <w:ind w:left="35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5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Portions of the registrant’s Proxy Statement for the 2022 Annual Meeting of Stockholders are incorporated by reference in Part III of this Annual Report on Form 10-K.</w:t>
      </w:r>
    </w:p>
    <w:p>
      <w:pPr>
        <w:spacing w:after="0" w:line="148" w:lineRule="exact"/>
        <w:rPr>
          <w:sz w:val="24"/>
          <w:szCs w:val="24"/>
          <w:color w:val="auto"/>
        </w:rPr>
      </w:pPr>
    </w:p>
    <w:p>
      <w:pPr>
        <w:ind w:left="660"/>
        <w:spacing w:after="0"/>
        <w:tabs>
          <w:tab w:leader="none" w:pos="4520" w:val="left"/>
          <w:tab w:leader="none" w:pos="7760" w:val="left"/>
        </w:tabs>
        <w:rPr>
          <w:sz w:val="20"/>
          <w:szCs w:val="20"/>
          <w:color w:val="auto"/>
        </w:rPr>
      </w:pPr>
      <w:r>
        <w:rPr>
          <w:rFonts w:ascii="Arial" w:cs="Arial" w:eastAsia="Arial" w:hAnsi="Arial"/>
          <w:sz w:val="13"/>
          <w:szCs w:val="13"/>
          <w:color w:val="auto"/>
        </w:rPr>
        <w:t>Auditor Name: KPMG LLP</w:t>
      </w:r>
      <w:r>
        <w:rPr>
          <w:sz w:val="20"/>
          <w:szCs w:val="20"/>
          <w:color w:val="auto"/>
        </w:rPr>
        <w:tab/>
      </w:r>
      <w:r>
        <w:rPr>
          <w:rFonts w:ascii="Arial" w:cs="Arial" w:eastAsia="Arial" w:hAnsi="Arial"/>
          <w:sz w:val="13"/>
          <w:szCs w:val="13"/>
          <w:color w:val="auto"/>
        </w:rPr>
        <w:t>Auditor Location: New York, NY</w:t>
      </w:r>
      <w:r>
        <w:rPr>
          <w:sz w:val="20"/>
          <w:szCs w:val="20"/>
          <w:color w:val="auto"/>
        </w:rPr>
        <w:tab/>
      </w:r>
      <w:r>
        <w:rPr>
          <w:rFonts w:ascii="Arial" w:cs="Arial" w:eastAsia="Arial" w:hAnsi="Arial"/>
          <w:sz w:val="12"/>
          <w:szCs w:val="12"/>
          <w:color w:val="auto"/>
        </w:rPr>
        <w:t>Auditor Firm ID: 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743585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194945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229235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00" w:type="dxa"/>
            <w:vAlign w:val="bottom"/>
            <w:gridSpan w:val="27"/>
          </w:tcPr>
          <w:p>
            <w:pPr>
              <w:spacing w:after="0"/>
              <w:rPr>
                <w:sz w:val="20"/>
                <w:szCs w:val="20"/>
                <w:color w:val="auto"/>
              </w:rPr>
            </w:pPr>
            <w:r>
              <w:rPr>
                <w:rFonts w:ascii="Arial" w:cs="Arial" w:eastAsia="Arial" w:hAnsi="Arial"/>
                <w:sz w:val="18"/>
                <w:szCs w:val="18"/>
                <w:color w:val="0000EE"/>
              </w:rPr>
              <w:t>Table of Contents</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80" w:type="dxa"/>
            <w:vAlign w:val="bottom"/>
            <w:gridSpan w:val="11"/>
          </w:tcPr>
          <w:p>
            <w:pPr>
              <w:jc w:val="center"/>
              <w:ind w:right="2620"/>
              <w:spacing w:after="0"/>
              <w:rPr>
                <w:sz w:val="20"/>
                <w:szCs w:val="20"/>
                <w:color w:val="auto"/>
              </w:rPr>
            </w:pPr>
            <w:r>
              <w:rPr>
                <w:rFonts w:ascii="Arial" w:cs="Arial" w:eastAsia="Arial" w:hAnsi="Arial"/>
                <w:sz w:val="18"/>
                <w:szCs w:val="18"/>
                <w:b w:val="1"/>
                <w:bCs w:val="1"/>
                <w:color w:val="auto"/>
              </w:rPr>
              <w:t>TG THERAPEUTICS, INC.</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gridSpan w:val="12"/>
          </w:tcPr>
          <w:p>
            <w:pPr>
              <w:jc w:val="center"/>
              <w:ind w:right="1780"/>
              <w:spacing w:after="0"/>
              <w:rPr>
                <w:sz w:val="20"/>
                <w:szCs w:val="20"/>
                <w:color w:val="auto"/>
              </w:rPr>
            </w:pPr>
            <w:r>
              <w:rPr>
                <w:rFonts w:ascii="Arial" w:cs="Arial" w:eastAsia="Arial" w:hAnsi="Arial"/>
                <w:sz w:val="18"/>
                <w:szCs w:val="18"/>
                <w:b w:val="1"/>
                <w:bCs w:val="1"/>
                <w:color w:val="auto"/>
                <w:w w:val="99"/>
              </w:rPr>
              <w:t>ANNUAL REPORT ON FORM 10-K</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13"/>
          </w:tcPr>
          <w:p>
            <w:pPr>
              <w:jc w:val="center"/>
              <w:ind w:right="1560"/>
              <w:spacing w:after="0"/>
              <w:rPr>
                <w:sz w:val="20"/>
                <w:szCs w:val="20"/>
                <w:color w:val="auto"/>
              </w:rPr>
            </w:pPr>
            <w:r>
              <w:rPr>
                <w:rFonts w:ascii="Arial" w:cs="Arial" w:eastAsia="Arial" w:hAnsi="Arial"/>
                <w:sz w:val="18"/>
                <w:szCs w:val="18"/>
                <w:b w:val="1"/>
                <w:bCs w:val="1"/>
                <w:color w:val="auto"/>
                <w:w w:val="98"/>
              </w:rPr>
              <w:t>FOR THE FISCAL YEAR ENDED DECEMBER 31, 2022</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80" w:type="dxa"/>
            <w:vAlign w:val="bottom"/>
            <w:gridSpan w:val="11"/>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740" w:type="dxa"/>
            <w:vAlign w:val="bottom"/>
            <w:gridSpan w:val="22"/>
            <w:vMerge w:val="restart"/>
          </w:tcPr>
          <w:p>
            <w:pPr>
              <w:spacing w:after="0"/>
              <w:rPr>
                <w:sz w:val="20"/>
                <w:szCs w:val="20"/>
                <w:color w:val="auto"/>
              </w:rPr>
            </w:pPr>
            <w:r>
              <w:rPr>
                <w:rFonts w:ascii="Arial" w:cs="Arial" w:eastAsia="Arial" w:hAnsi="Arial"/>
                <w:sz w:val="18"/>
                <w:szCs w:val="18"/>
                <w:color w:val="0000EE"/>
                <w:w w:val="96"/>
              </w:rPr>
              <w:t>SPECIAL CAUTIONARY NOTICE REGARDING FORWARD-LOOKING STATEMENTS</w:t>
            </w:r>
          </w:p>
        </w:tc>
        <w:tc>
          <w:tcPr>
            <w:tcW w:w="2160" w:type="dxa"/>
            <w:vAlign w:val="bottom"/>
            <w:gridSpan w:val="5"/>
            <w:vMerge w:val="restart"/>
          </w:tcPr>
          <w:p>
            <w:pPr>
              <w:spacing w:after="0"/>
              <w:rPr>
                <w:sz w:val="24"/>
                <w:szCs w:val="24"/>
                <w:color w:val="auto"/>
              </w:rPr>
            </w:pP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0"/>
        </w:trPr>
        <w:tc>
          <w:tcPr>
            <w:tcW w:w="6740" w:type="dxa"/>
            <w:vAlign w:val="bottom"/>
            <w:tcBorders>
              <w:bottom w:val="single" w:sz="8" w:color="0000EE"/>
            </w:tcBorders>
            <w:gridSpan w:val="22"/>
            <w:vMerge w:val="continue"/>
          </w:tcPr>
          <w:p>
            <w:pPr>
              <w:spacing w:after="0"/>
              <w:rPr>
                <w:sz w:val="13"/>
                <w:szCs w:val="13"/>
                <w:color w:val="auto"/>
              </w:rPr>
            </w:pPr>
          </w:p>
        </w:tc>
        <w:tc>
          <w:tcPr>
            <w:tcW w:w="2160" w:type="dxa"/>
            <w:vAlign w:val="bottom"/>
            <w:gridSpan w:val="5"/>
            <w:vMerge w:val="continue"/>
          </w:tcPr>
          <w:p>
            <w:pPr>
              <w:spacing w:after="0"/>
              <w:rPr>
                <w:sz w:val="13"/>
                <w:szCs w:val="13"/>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8900" w:type="dxa"/>
            <w:vAlign w:val="bottom"/>
            <w:gridSpan w:val="27"/>
          </w:tcPr>
          <w:p>
            <w:pPr>
              <w:spacing w:after="0"/>
              <w:rPr>
                <w:sz w:val="20"/>
                <w:szCs w:val="20"/>
                <w:color w:val="auto"/>
              </w:rPr>
            </w:pPr>
            <w:r>
              <w:rPr>
                <w:rFonts w:ascii="Arial" w:cs="Arial" w:eastAsia="Arial" w:hAnsi="Arial"/>
                <w:sz w:val="18"/>
                <w:szCs w:val="18"/>
                <w:color w:val="0000EE"/>
              </w:rPr>
              <w:t>SUMMARY RISK FACTORS</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12"/>
        </w:trPr>
        <w:tc>
          <w:tcPr>
            <w:tcW w:w="5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4"/>
              </w:rPr>
              <w:t>PART I</w:t>
            </w:r>
          </w:p>
        </w:tc>
        <w:tc>
          <w:tcPr>
            <w:tcW w:w="460" w:type="dxa"/>
            <w:vAlign w:val="bottom"/>
            <w:tcBorders>
              <w:top w:val="single" w:sz="8" w:color="0000EE"/>
            </w:tcBorders>
            <w:gridSpan w:val="4"/>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1040" w:type="dxa"/>
            <w:vAlign w:val="bottom"/>
            <w:gridSpan w:val="6"/>
          </w:tcPr>
          <w:p>
            <w:pPr>
              <w:spacing w:after="0" w:line="196" w:lineRule="exact"/>
              <w:rPr>
                <w:sz w:val="20"/>
                <w:szCs w:val="20"/>
                <w:color w:val="auto"/>
              </w:rPr>
            </w:pPr>
            <w:r>
              <w:rPr>
                <w:rFonts w:ascii="Arial" w:cs="Arial" w:eastAsia="Arial" w:hAnsi="Arial"/>
                <w:sz w:val="18"/>
                <w:szCs w:val="18"/>
                <w:color w:val="0000EE"/>
              </w:rPr>
              <w:t>ITEM 1</w:t>
            </w:r>
          </w:p>
        </w:tc>
        <w:tc>
          <w:tcPr>
            <w:tcW w:w="7860" w:type="dxa"/>
            <w:vAlign w:val="bottom"/>
            <w:gridSpan w:val="21"/>
          </w:tcPr>
          <w:p>
            <w:pPr>
              <w:spacing w:after="0" w:line="196" w:lineRule="exact"/>
              <w:rPr>
                <w:sz w:val="20"/>
                <w:szCs w:val="20"/>
                <w:color w:val="auto"/>
              </w:rPr>
            </w:pPr>
            <w:r>
              <w:rPr>
                <w:rFonts w:ascii="Arial" w:cs="Arial" w:eastAsia="Arial" w:hAnsi="Arial"/>
                <w:sz w:val="18"/>
                <w:szCs w:val="18"/>
                <w:color w:val="0000EE"/>
              </w:rPr>
              <w:t>Business</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ITEM 1A</w:t>
            </w:r>
          </w:p>
        </w:tc>
        <w:tc>
          <w:tcPr>
            <w:tcW w:w="340" w:type="dxa"/>
            <w:vAlign w:val="bottom"/>
            <w:gridSpan w:val="2"/>
          </w:tcPr>
          <w:p>
            <w:pPr>
              <w:spacing w:after="0"/>
              <w:rPr>
                <w:sz w:val="17"/>
                <w:szCs w:val="17"/>
                <w:color w:val="auto"/>
              </w:rPr>
            </w:pPr>
          </w:p>
        </w:tc>
        <w:tc>
          <w:tcPr>
            <w:tcW w:w="9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Risk Factors</w:t>
            </w:r>
          </w:p>
        </w:tc>
        <w:tc>
          <w:tcPr>
            <w:tcW w:w="6940" w:type="dxa"/>
            <w:vAlign w:val="bottom"/>
            <w:gridSpan w:val="17"/>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96"/>
        </w:trPr>
        <w:tc>
          <w:tcPr>
            <w:tcW w:w="1040" w:type="dxa"/>
            <w:vAlign w:val="bottom"/>
            <w:gridSpan w:val="6"/>
          </w:tcPr>
          <w:p>
            <w:pPr>
              <w:spacing w:after="0" w:line="196" w:lineRule="exact"/>
              <w:rPr>
                <w:sz w:val="20"/>
                <w:szCs w:val="20"/>
                <w:color w:val="auto"/>
              </w:rPr>
            </w:pPr>
            <w:r>
              <w:rPr>
                <w:rFonts w:ascii="Arial" w:cs="Arial" w:eastAsia="Arial" w:hAnsi="Arial"/>
                <w:sz w:val="18"/>
                <w:szCs w:val="18"/>
                <w:color w:val="0000EE"/>
              </w:rPr>
              <w:t>ITEM 1B</w:t>
            </w:r>
          </w:p>
        </w:tc>
        <w:tc>
          <w:tcPr>
            <w:tcW w:w="7860" w:type="dxa"/>
            <w:vAlign w:val="bottom"/>
            <w:gridSpan w:val="21"/>
          </w:tcPr>
          <w:p>
            <w:pPr>
              <w:spacing w:after="0" w:line="196" w:lineRule="exact"/>
              <w:rPr>
                <w:sz w:val="20"/>
                <w:szCs w:val="20"/>
                <w:color w:val="auto"/>
              </w:rPr>
            </w:pPr>
            <w:r>
              <w:rPr>
                <w:rFonts w:ascii="Arial" w:cs="Arial" w:eastAsia="Arial" w:hAnsi="Arial"/>
                <w:sz w:val="18"/>
                <w:szCs w:val="18"/>
                <w:color w:val="0000EE"/>
              </w:rPr>
              <w:t>Unresolved Staff Comments</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ITEM 2</w:t>
            </w:r>
          </w:p>
        </w:tc>
        <w:tc>
          <w:tcPr>
            <w:tcW w:w="380" w:type="dxa"/>
            <w:vAlign w:val="bottom"/>
            <w:gridSpan w:val="3"/>
          </w:tcPr>
          <w:p>
            <w:pPr>
              <w:spacing w:after="0"/>
              <w:rPr>
                <w:sz w:val="17"/>
                <w:szCs w:val="17"/>
                <w:color w:val="auto"/>
              </w:rPr>
            </w:pPr>
          </w:p>
        </w:tc>
        <w:tc>
          <w:tcPr>
            <w:tcW w:w="20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Properties</w:t>
            </w:r>
          </w:p>
        </w:tc>
        <w:tc>
          <w:tcPr>
            <w:tcW w:w="5800" w:type="dxa"/>
            <w:vAlign w:val="bottom"/>
            <w:gridSpan w:val="12"/>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6"/>
          </w:tcPr>
          <w:p>
            <w:pPr>
              <w:spacing w:after="0" w:line="196" w:lineRule="exact"/>
              <w:rPr>
                <w:sz w:val="20"/>
                <w:szCs w:val="20"/>
                <w:color w:val="auto"/>
              </w:rPr>
            </w:pPr>
            <w:r>
              <w:rPr>
                <w:rFonts w:ascii="Arial" w:cs="Arial" w:eastAsia="Arial" w:hAnsi="Arial"/>
                <w:sz w:val="18"/>
                <w:szCs w:val="18"/>
                <w:color w:val="0000EE"/>
              </w:rPr>
              <w:t>ITEM 3</w:t>
            </w:r>
          </w:p>
        </w:tc>
        <w:tc>
          <w:tcPr>
            <w:tcW w:w="7860" w:type="dxa"/>
            <w:vAlign w:val="bottom"/>
            <w:gridSpan w:val="21"/>
          </w:tcPr>
          <w:p>
            <w:pPr>
              <w:spacing w:after="0" w:line="196" w:lineRule="exact"/>
              <w:rPr>
                <w:sz w:val="20"/>
                <w:szCs w:val="20"/>
                <w:color w:val="auto"/>
              </w:rPr>
            </w:pPr>
            <w:r>
              <w:rPr>
                <w:rFonts w:ascii="Arial" w:cs="Arial" w:eastAsia="Arial" w:hAnsi="Arial"/>
                <w:sz w:val="18"/>
                <w:szCs w:val="18"/>
                <w:color w:val="0000EE"/>
              </w:rPr>
              <w:t>Legal Proceedings</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6"/>
          </w:tcPr>
          <w:p>
            <w:pPr>
              <w:spacing w:after="0" w:line="196" w:lineRule="exact"/>
              <w:rPr>
                <w:sz w:val="20"/>
                <w:szCs w:val="20"/>
                <w:color w:val="auto"/>
              </w:rPr>
            </w:pPr>
            <w:r>
              <w:rPr>
                <w:rFonts w:ascii="Arial" w:cs="Arial" w:eastAsia="Arial" w:hAnsi="Arial"/>
                <w:sz w:val="18"/>
                <w:szCs w:val="18"/>
                <w:color w:val="0000EE"/>
              </w:rPr>
              <w:t>ITEM 4</w:t>
            </w:r>
          </w:p>
        </w:tc>
        <w:tc>
          <w:tcPr>
            <w:tcW w:w="7860" w:type="dxa"/>
            <w:vAlign w:val="bottom"/>
            <w:gridSpan w:val="21"/>
          </w:tcPr>
          <w:p>
            <w:pPr>
              <w:spacing w:after="0" w:line="196" w:lineRule="exact"/>
              <w:rPr>
                <w:sz w:val="20"/>
                <w:szCs w:val="20"/>
                <w:color w:val="auto"/>
              </w:rPr>
            </w:pPr>
            <w:r>
              <w:rPr>
                <w:rFonts w:ascii="Arial" w:cs="Arial" w:eastAsia="Arial" w:hAnsi="Arial"/>
                <w:sz w:val="18"/>
                <w:szCs w:val="18"/>
                <w:color w:val="0000EE"/>
              </w:rPr>
              <w:t>Mine Safety Disclosures</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6"/>
          </w:tcPr>
          <w:p>
            <w:pPr>
              <w:spacing w:after="0"/>
              <w:rPr>
                <w:sz w:val="20"/>
                <w:szCs w:val="20"/>
                <w:color w:val="auto"/>
              </w:rPr>
            </w:pPr>
            <w:r>
              <w:rPr>
                <w:rFonts w:ascii="Arial" w:cs="Arial" w:eastAsia="Arial" w:hAnsi="Arial"/>
                <w:sz w:val="18"/>
                <w:szCs w:val="18"/>
                <w:b w:val="1"/>
                <w:bCs w:val="1"/>
                <w:color w:val="0000EE"/>
              </w:rPr>
              <w:t>PART II</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412"/>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ITEM 5</w:t>
            </w:r>
          </w:p>
        </w:tc>
        <w:tc>
          <w:tcPr>
            <w:tcW w:w="380" w:type="dxa"/>
            <w:vAlign w:val="bottom"/>
            <w:gridSpan w:val="3"/>
          </w:tcPr>
          <w:p>
            <w:pPr>
              <w:spacing w:after="0"/>
              <w:rPr>
                <w:sz w:val="24"/>
                <w:szCs w:val="24"/>
                <w:color w:val="auto"/>
              </w:rPr>
            </w:pPr>
          </w:p>
        </w:tc>
        <w:tc>
          <w:tcPr>
            <w:tcW w:w="7860" w:type="dxa"/>
            <w:vAlign w:val="bottom"/>
            <w:gridSpan w:val="21"/>
          </w:tcPr>
          <w:p>
            <w:pPr>
              <w:spacing w:after="0"/>
              <w:rPr>
                <w:sz w:val="20"/>
                <w:szCs w:val="20"/>
                <w:color w:val="auto"/>
              </w:rPr>
            </w:pPr>
            <w:r>
              <w:rPr>
                <w:rFonts w:ascii="Arial" w:cs="Arial" w:eastAsia="Arial" w:hAnsi="Arial"/>
                <w:sz w:val="18"/>
                <w:szCs w:val="18"/>
                <w:color w:val="0000EE"/>
                <w:w w:val="97"/>
              </w:rPr>
              <w:t>Market for Registrant’s Common Equity, Related Stockholder Matters and Issuer Purchases of Equity</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Securities</w:t>
            </w:r>
          </w:p>
        </w:tc>
        <w:tc>
          <w:tcPr>
            <w:tcW w:w="6580" w:type="dxa"/>
            <w:vAlign w:val="bottom"/>
            <w:tcBorders>
              <w:top w:val="single" w:sz="8" w:color="0000EE"/>
            </w:tcBorders>
            <w:gridSpan w:val="17"/>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6"/>
          </w:tcPr>
          <w:p>
            <w:pPr>
              <w:spacing w:after="0" w:line="196" w:lineRule="exact"/>
              <w:rPr>
                <w:sz w:val="20"/>
                <w:szCs w:val="20"/>
                <w:color w:val="auto"/>
              </w:rPr>
            </w:pPr>
            <w:r>
              <w:rPr>
                <w:rFonts w:ascii="Arial" w:cs="Arial" w:eastAsia="Arial" w:hAnsi="Arial"/>
                <w:sz w:val="18"/>
                <w:szCs w:val="18"/>
                <w:color w:val="0000EE"/>
              </w:rPr>
              <w:t>ITEM 6</w:t>
            </w:r>
          </w:p>
        </w:tc>
        <w:tc>
          <w:tcPr>
            <w:tcW w:w="7860" w:type="dxa"/>
            <w:vAlign w:val="bottom"/>
            <w:gridSpan w:val="21"/>
          </w:tcPr>
          <w:p>
            <w:pPr>
              <w:spacing w:after="0" w:line="196" w:lineRule="exact"/>
              <w:rPr>
                <w:sz w:val="20"/>
                <w:szCs w:val="20"/>
                <w:color w:val="auto"/>
              </w:rPr>
            </w:pPr>
            <w:r>
              <w:rPr>
                <w:rFonts w:ascii="Arial" w:cs="Arial" w:eastAsia="Arial" w:hAnsi="Arial"/>
                <w:sz w:val="18"/>
                <w:szCs w:val="18"/>
                <w:color w:val="0000EE"/>
              </w:rPr>
              <w:t>Removed and Reserved</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6"/>
          </w:tcPr>
          <w:p>
            <w:pPr>
              <w:spacing w:after="0" w:line="196" w:lineRule="exact"/>
              <w:rPr>
                <w:sz w:val="20"/>
                <w:szCs w:val="20"/>
                <w:color w:val="auto"/>
              </w:rPr>
            </w:pPr>
            <w:r>
              <w:rPr>
                <w:rFonts w:ascii="Arial" w:cs="Arial" w:eastAsia="Arial" w:hAnsi="Arial"/>
                <w:sz w:val="18"/>
                <w:szCs w:val="18"/>
                <w:color w:val="0000EE"/>
              </w:rPr>
              <w:t>ITEM 7</w:t>
            </w:r>
          </w:p>
        </w:tc>
        <w:tc>
          <w:tcPr>
            <w:tcW w:w="7860" w:type="dxa"/>
            <w:vAlign w:val="bottom"/>
            <w:gridSpan w:val="21"/>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ITEM 7A</w:t>
            </w:r>
          </w:p>
        </w:tc>
        <w:tc>
          <w:tcPr>
            <w:tcW w:w="340" w:type="dxa"/>
            <w:vAlign w:val="bottom"/>
            <w:gridSpan w:val="2"/>
          </w:tcPr>
          <w:p>
            <w:pPr>
              <w:spacing w:after="0"/>
              <w:rPr>
                <w:sz w:val="17"/>
                <w:szCs w:val="17"/>
                <w:color w:val="auto"/>
              </w:rPr>
            </w:pPr>
          </w:p>
        </w:tc>
        <w:tc>
          <w:tcPr>
            <w:tcW w:w="430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Quantitative and Qualitative Disclosure About Market Risk</w:t>
            </w:r>
          </w:p>
        </w:tc>
        <w:tc>
          <w:tcPr>
            <w:tcW w:w="3560" w:type="dxa"/>
            <w:vAlign w:val="bottom"/>
            <w:gridSpan w:val="7"/>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196"/>
        </w:trPr>
        <w:tc>
          <w:tcPr>
            <w:tcW w:w="1040" w:type="dxa"/>
            <w:vAlign w:val="bottom"/>
            <w:gridSpan w:val="6"/>
          </w:tcPr>
          <w:p>
            <w:pPr>
              <w:spacing w:after="0" w:line="196" w:lineRule="exact"/>
              <w:rPr>
                <w:sz w:val="20"/>
                <w:szCs w:val="20"/>
                <w:color w:val="auto"/>
              </w:rPr>
            </w:pPr>
            <w:r>
              <w:rPr>
                <w:rFonts w:ascii="Arial" w:cs="Arial" w:eastAsia="Arial" w:hAnsi="Arial"/>
                <w:sz w:val="18"/>
                <w:szCs w:val="18"/>
                <w:color w:val="0000EE"/>
              </w:rPr>
              <w:t>ITEM 8</w:t>
            </w:r>
          </w:p>
        </w:tc>
        <w:tc>
          <w:tcPr>
            <w:tcW w:w="7860" w:type="dxa"/>
            <w:vAlign w:val="bottom"/>
            <w:gridSpan w:val="21"/>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6"/>
          </w:tcPr>
          <w:p>
            <w:pPr>
              <w:spacing w:after="0" w:line="196" w:lineRule="exact"/>
              <w:rPr>
                <w:sz w:val="20"/>
                <w:szCs w:val="20"/>
                <w:color w:val="auto"/>
              </w:rPr>
            </w:pPr>
            <w:r>
              <w:rPr>
                <w:rFonts w:ascii="Arial" w:cs="Arial" w:eastAsia="Arial" w:hAnsi="Arial"/>
                <w:sz w:val="18"/>
                <w:szCs w:val="18"/>
                <w:color w:val="0000EE"/>
              </w:rPr>
              <w:t>ITEM 9</w:t>
            </w:r>
          </w:p>
        </w:tc>
        <w:tc>
          <w:tcPr>
            <w:tcW w:w="7860" w:type="dxa"/>
            <w:vAlign w:val="bottom"/>
            <w:gridSpan w:val="21"/>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Disclosures</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ITEM 9A</w:t>
            </w:r>
          </w:p>
        </w:tc>
        <w:tc>
          <w:tcPr>
            <w:tcW w:w="340" w:type="dxa"/>
            <w:vAlign w:val="bottom"/>
            <w:gridSpan w:val="2"/>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4"/>
              </w:rPr>
              <w:t>Controls and Procedures</w:t>
            </w:r>
          </w:p>
        </w:tc>
        <w:tc>
          <w:tcPr>
            <w:tcW w:w="6140" w:type="dxa"/>
            <w:vAlign w:val="bottom"/>
            <w:gridSpan w:val="14"/>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196"/>
        </w:trPr>
        <w:tc>
          <w:tcPr>
            <w:tcW w:w="1040" w:type="dxa"/>
            <w:vAlign w:val="bottom"/>
            <w:gridSpan w:val="6"/>
          </w:tcPr>
          <w:p>
            <w:pPr>
              <w:spacing w:after="0" w:line="196" w:lineRule="exact"/>
              <w:rPr>
                <w:sz w:val="20"/>
                <w:szCs w:val="20"/>
                <w:color w:val="auto"/>
              </w:rPr>
            </w:pPr>
            <w:r>
              <w:rPr>
                <w:rFonts w:ascii="Arial" w:cs="Arial" w:eastAsia="Arial" w:hAnsi="Arial"/>
                <w:sz w:val="18"/>
                <w:szCs w:val="18"/>
                <w:color w:val="0000EE"/>
              </w:rPr>
              <w:t>ITEM 9B</w:t>
            </w:r>
          </w:p>
        </w:tc>
        <w:tc>
          <w:tcPr>
            <w:tcW w:w="7860" w:type="dxa"/>
            <w:vAlign w:val="bottom"/>
            <w:gridSpan w:val="21"/>
          </w:tcPr>
          <w:p>
            <w:pPr>
              <w:spacing w:after="0" w:line="196" w:lineRule="exact"/>
              <w:rPr>
                <w:sz w:val="20"/>
                <w:szCs w:val="20"/>
                <w:color w:val="auto"/>
              </w:rPr>
            </w:pPr>
            <w:r>
              <w:rPr>
                <w:rFonts w:ascii="Arial" w:cs="Arial" w:eastAsia="Arial" w:hAnsi="Arial"/>
                <w:sz w:val="18"/>
                <w:szCs w:val="18"/>
                <w:color w:val="0000EE"/>
              </w:rPr>
              <w:t>Other Information</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rPr>
              <w:t>PART III</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412"/>
        </w:trPr>
        <w:tc>
          <w:tcPr>
            <w:tcW w:w="660" w:type="dxa"/>
            <w:vAlign w:val="bottom"/>
            <w:gridSpan w:val="3"/>
          </w:tcPr>
          <w:p>
            <w:pPr>
              <w:spacing w:after="0"/>
              <w:rPr>
                <w:sz w:val="20"/>
                <w:szCs w:val="20"/>
                <w:color w:val="auto"/>
              </w:rPr>
            </w:pPr>
            <w:r>
              <w:rPr>
                <w:rFonts w:ascii="Arial" w:cs="Arial" w:eastAsia="Arial" w:hAnsi="Arial"/>
                <w:sz w:val="18"/>
                <w:szCs w:val="18"/>
                <w:color w:val="0000EE"/>
                <w:w w:val="91"/>
              </w:rPr>
              <w:t>ITEM 10</w:t>
            </w:r>
          </w:p>
        </w:tc>
        <w:tc>
          <w:tcPr>
            <w:tcW w:w="380" w:type="dxa"/>
            <w:vAlign w:val="bottom"/>
            <w:gridSpan w:val="3"/>
          </w:tcPr>
          <w:p>
            <w:pPr>
              <w:spacing w:after="0"/>
              <w:rPr>
                <w:sz w:val="24"/>
                <w:szCs w:val="24"/>
                <w:color w:val="auto"/>
              </w:rPr>
            </w:pPr>
          </w:p>
        </w:tc>
        <w:tc>
          <w:tcPr>
            <w:tcW w:w="7860" w:type="dxa"/>
            <w:vAlign w:val="bottom"/>
            <w:gridSpan w:val="21"/>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ITEM 11</w:t>
            </w:r>
          </w:p>
        </w:tc>
        <w:tc>
          <w:tcPr>
            <w:tcW w:w="380" w:type="dxa"/>
            <w:vAlign w:val="bottom"/>
            <w:gridSpan w:val="3"/>
          </w:tcPr>
          <w:p>
            <w:pPr>
              <w:spacing w:after="0"/>
              <w:rPr>
                <w:sz w:val="17"/>
                <w:szCs w:val="17"/>
                <w:color w:val="auto"/>
              </w:rPr>
            </w:pPr>
          </w:p>
        </w:tc>
        <w:tc>
          <w:tcPr>
            <w:tcW w:w="182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Executive Compensation</w:t>
            </w:r>
          </w:p>
        </w:tc>
        <w:tc>
          <w:tcPr>
            <w:tcW w:w="2280" w:type="dxa"/>
            <w:vAlign w:val="bottom"/>
            <w:tcBorders>
              <w:top w:val="single" w:sz="8" w:color="0000EE"/>
            </w:tcBorders>
            <w:gridSpan w:val="5"/>
          </w:tcPr>
          <w:p>
            <w:pPr>
              <w:spacing w:after="0"/>
              <w:rPr>
                <w:sz w:val="17"/>
                <w:szCs w:val="17"/>
                <w:color w:val="auto"/>
              </w:rPr>
            </w:pPr>
          </w:p>
        </w:tc>
        <w:tc>
          <w:tcPr>
            <w:tcW w:w="3760" w:type="dxa"/>
            <w:vAlign w:val="bottom"/>
            <w:gridSpan w:val="8"/>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ITEM 12</w:t>
            </w:r>
          </w:p>
        </w:tc>
        <w:tc>
          <w:tcPr>
            <w:tcW w:w="380" w:type="dxa"/>
            <w:vAlign w:val="bottom"/>
            <w:gridSpan w:val="3"/>
          </w:tcPr>
          <w:p>
            <w:pPr>
              <w:spacing w:after="0"/>
              <w:rPr>
                <w:sz w:val="17"/>
                <w:szCs w:val="17"/>
                <w:color w:val="auto"/>
              </w:rPr>
            </w:pPr>
          </w:p>
        </w:tc>
        <w:tc>
          <w:tcPr>
            <w:tcW w:w="730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0"/>
              </w:rPr>
              <w:t>Security Ownership of Certain Beneficial Owners and Management and Related Stockholder Matters</w:t>
            </w:r>
          </w:p>
        </w:tc>
        <w:tc>
          <w:tcPr>
            <w:tcW w:w="560" w:type="dxa"/>
            <w:vAlign w:val="bottom"/>
            <w:gridSpan w:val="2"/>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ITEM 13</w:t>
            </w:r>
          </w:p>
        </w:tc>
        <w:tc>
          <w:tcPr>
            <w:tcW w:w="380" w:type="dxa"/>
            <w:vAlign w:val="bottom"/>
            <w:gridSpan w:val="3"/>
          </w:tcPr>
          <w:p>
            <w:pPr>
              <w:spacing w:after="0"/>
              <w:rPr>
                <w:sz w:val="17"/>
                <w:szCs w:val="17"/>
                <w:color w:val="auto"/>
              </w:rPr>
            </w:pPr>
          </w:p>
        </w:tc>
        <w:tc>
          <w:tcPr>
            <w:tcW w:w="546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Certain Relationships and Related Transactions, and Director Independence</w:t>
            </w:r>
          </w:p>
        </w:tc>
        <w:tc>
          <w:tcPr>
            <w:tcW w:w="2400" w:type="dxa"/>
            <w:vAlign w:val="bottom"/>
            <w:gridSpan w:val="6"/>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ITEM 14</w:t>
            </w:r>
          </w:p>
        </w:tc>
        <w:tc>
          <w:tcPr>
            <w:tcW w:w="380" w:type="dxa"/>
            <w:vAlign w:val="bottom"/>
            <w:gridSpan w:val="3"/>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Principal Accounting Fees and Services</w:t>
            </w:r>
          </w:p>
        </w:tc>
        <w:tc>
          <w:tcPr>
            <w:tcW w:w="4980" w:type="dxa"/>
            <w:vAlign w:val="bottom"/>
            <w:gridSpan w:val="11"/>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412"/>
        </w:trPr>
        <w:tc>
          <w:tcPr>
            <w:tcW w:w="1040" w:type="dxa"/>
            <w:vAlign w:val="bottom"/>
            <w:gridSpan w:val="6"/>
          </w:tcPr>
          <w:p>
            <w:pPr>
              <w:spacing w:after="0"/>
              <w:rPr>
                <w:sz w:val="20"/>
                <w:szCs w:val="20"/>
                <w:color w:val="auto"/>
              </w:rPr>
            </w:pPr>
            <w:r>
              <w:rPr>
                <w:rFonts w:ascii="Arial" w:cs="Arial" w:eastAsia="Arial" w:hAnsi="Arial"/>
                <w:sz w:val="18"/>
                <w:szCs w:val="18"/>
                <w:b w:val="1"/>
                <w:bCs w:val="1"/>
                <w:color w:val="0000EE"/>
              </w:rPr>
              <w:t>PART IV</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412"/>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w w:val="91"/>
              </w:rPr>
              <w:t>ITEM 15</w:t>
            </w:r>
          </w:p>
        </w:tc>
        <w:tc>
          <w:tcPr>
            <w:tcW w:w="40" w:type="dxa"/>
            <w:vAlign w:val="bottom"/>
            <w:tcBorders>
              <w:top w:val="single" w:sz="8" w:color="0000EE"/>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7860" w:type="dxa"/>
            <w:vAlign w:val="bottom"/>
            <w:gridSpan w:val="21"/>
          </w:tcPr>
          <w:p>
            <w:pPr>
              <w:spacing w:after="0"/>
              <w:rPr>
                <w:sz w:val="20"/>
                <w:szCs w:val="20"/>
                <w:color w:val="auto"/>
              </w:rPr>
            </w:pPr>
            <w:r>
              <w:rPr>
                <w:rFonts w:ascii="Arial" w:cs="Arial" w:eastAsia="Arial" w:hAnsi="Arial"/>
                <w:sz w:val="18"/>
                <w:szCs w:val="18"/>
                <w:color w:val="0000EE"/>
              </w:rPr>
              <w:t>Exhibits and Financial Statement Schedules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00" w:right="8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CAUTIONARY NOTICE REGARDING FORWARD-LOOKING STATEMENTS</w:t>
      </w:r>
    </w:p>
    <w:p>
      <w:pPr>
        <w:spacing w:after="0" w:line="2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2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5"/>
          <w:szCs w:val="15"/>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jc w:val="both"/>
        <w:ind w:left="700" w:right="20" w:hanging="359"/>
        <w:spacing w:after="0" w:line="214" w:lineRule="auto"/>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obtain regulatory approvals for our product candidates, including TG-1701 and TG-1801, as well as any other product candidates, and our ability to maintain regulatory approval of BRIUMVI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(ublituximab-xiiy) in relapsing forms of multiple sclerosis (RMS) in the U.S.;</w:t>
      </w:r>
    </w:p>
    <w:p>
      <w:pPr>
        <w:spacing w:after="0" w:line="2" w:lineRule="exact"/>
        <w:rPr>
          <w:rFonts w:ascii="Arial" w:cs="Arial" w:eastAsia="Arial" w:hAnsi="Arial"/>
          <w:sz w:val="17"/>
          <w:szCs w:val="17"/>
          <w:color w:val="auto"/>
        </w:rPr>
      </w:pPr>
    </w:p>
    <w:p>
      <w:pPr>
        <w:ind w:left="700" w:right="20" w:hanging="359"/>
        <w:spacing w:after="0" w:line="248" w:lineRule="auto"/>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adapt and expand our commercial infrastructure to successfully launch, market and sell BRIUMVI and our other product candidates;</w:t>
      </w:r>
    </w:p>
    <w:p>
      <w:pPr>
        <w:spacing w:after="0" w:line="1" w:lineRule="exact"/>
        <w:rPr>
          <w:rFonts w:ascii="Arial" w:cs="Arial" w:eastAsia="Arial" w:hAnsi="Arial"/>
          <w:sz w:val="17"/>
          <w:szCs w:val="17"/>
          <w:color w:val="auto"/>
        </w:rPr>
      </w:pPr>
    </w:p>
    <w:p>
      <w:pPr>
        <w:ind w:left="700" w:hanging="359"/>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maintain a reliable supply of our products that meets market demand;</w:t>
      </w:r>
    </w:p>
    <w:p>
      <w:pPr>
        <w:spacing w:after="0" w:line="7" w:lineRule="exact"/>
        <w:rPr>
          <w:rFonts w:ascii="Arial" w:cs="Arial" w:eastAsia="Arial" w:hAnsi="Arial"/>
          <w:sz w:val="17"/>
          <w:szCs w:val="17"/>
          <w:color w:val="auto"/>
        </w:rPr>
      </w:pPr>
    </w:p>
    <w:p>
      <w:pPr>
        <w:ind w:left="700" w:right="20" w:hanging="359"/>
        <w:spacing w:after="0" w:line="248" w:lineRule="auto"/>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success of the ongoing commercialization of BRIUMVI or any future products or combinations of products, including the anticipated rate and degree of market acceptance and pricing and reimbursement;</w:t>
      </w:r>
    </w:p>
    <w:p>
      <w:pPr>
        <w:spacing w:after="0" w:line="1" w:lineRule="exact"/>
        <w:rPr>
          <w:rFonts w:ascii="Arial" w:cs="Arial" w:eastAsia="Arial" w:hAnsi="Arial"/>
          <w:sz w:val="17"/>
          <w:szCs w:val="17"/>
          <w:color w:val="auto"/>
        </w:rPr>
      </w:pPr>
    </w:p>
    <w:p>
      <w:pPr>
        <w:ind w:left="700" w:hanging="359"/>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pre-clinical studies and clinical trials;</w:t>
      </w:r>
    </w:p>
    <w:p>
      <w:pPr>
        <w:spacing w:after="0" w:line="7" w:lineRule="exact"/>
        <w:rPr>
          <w:rFonts w:ascii="Arial" w:cs="Arial" w:eastAsia="Arial" w:hAnsi="Arial"/>
          <w:sz w:val="17"/>
          <w:szCs w:val="17"/>
          <w:color w:val="auto"/>
        </w:rPr>
      </w:pPr>
    </w:p>
    <w:p>
      <w:pPr>
        <w:ind w:left="700" w:hanging="359"/>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advance drug candidates into, and successfully complete, clinical trials;</w:t>
      </w:r>
    </w:p>
    <w:p>
      <w:pPr>
        <w:spacing w:after="0" w:line="7" w:lineRule="exact"/>
        <w:rPr>
          <w:rFonts w:ascii="Arial" w:cs="Arial" w:eastAsia="Arial" w:hAnsi="Arial"/>
          <w:sz w:val="17"/>
          <w:szCs w:val="17"/>
          <w:color w:val="auto"/>
        </w:rPr>
      </w:pPr>
    </w:p>
    <w:p>
      <w:pPr>
        <w:ind w:left="700" w:right="20" w:hanging="359"/>
        <w:spacing w:after="0" w:line="264"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establish and maintain contractual relationships, on commercially reasonable terms, with third parties for manufacturing, distribution and supply, and a range of other support functions for our clinical development and commercialization efforts;</w:t>
      </w:r>
    </w:p>
    <w:p>
      <w:pPr>
        <w:ind w:left="700" w:hanging="359"/>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implementation of our business model, strategic plans for our business and drug candidates;</w:t>
      </w:r>
    </w:p>
    <w:p>
      <w:pPr>
        <w:spacing w:after="0" w:line="7" w:lineRule="exact"/>
        <w:rPr>
          <w:rFonts w:ascii="Arial" w:cs="Arial" w:eastAsia="Arial" w:hAnsi="Arial"/>
          <w:sz w:val="17"/>
          <w:szCs w:val="17"/>
          <w:color w:val="auto"/>
        </w:rPr>
      </w:pPr>
    </w:p>
    <w:p>
      <w:pPr>
        <w:ind w:left="700" w:hanging="359"/>
        <w:spacing w:after="0"/>
        <w:tabs>
          <w:tab w:leader="none" w:pos="70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scope of protection we are able to establish and maintain for intellectual property rights covering our product and product candidates;</w:t>
      </w:r>
    </w:p>
    <w:p>
      <w:pPr>
        <w:spacing w:after="0" w:line="30" w:lineRule="exact"/>
        <w:rPr>
          <w:rFonts w:ascii="Arial" w:cs="Arial" w:eastAsia="Arial" w:hAnsi="Arial"/>
          <w:sz w:val="15"/>
          <w:szCs w:val="15"/>
          <w:color w:val="auto"/>
        </w:rPr>
      </w:pPr>
    </w:p>
    <w:p>
      <w:pPr>
        <w:ind w:left="700" w:hanging="359"/>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7" w:lineRule="exact"/>
        <w:rPr>
          <w:rFonts w:ascii="Arial" w:cs="Arial" w:eastAsia="Arial" w:hAnsi="Arial"/>
          <w:sz w:val="17"/>
          <w:szCs w:val="17"/>
          <w:color w:val="auto"/>
        </w:rPr>
      </w:pPr>
    </w:p>
    <w:p>
      <w:pPr>
        <w:ind w:left="700" w:hanging="359"/>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maintain and establish collaborations and enter into strategic arrangements, if desired;</w:t>
      </w:r>
    </w:p>
    <w:p>
      <w:pPr>
        <w:spacing w:after="0" w:line="7" w:lineRule="exact"/>
        <w:rPr>
          <w:rFonts w:ascii="Arial" w:cs="Arial" w:eastAsia="Arial" w:hAnsi="Arial"/>
          <w:sz w:val="17"/>
          <w:szCs w:val="17"/>
          <w:color w:val="auto"/>
        </w:rPr>
      </w:pPr>
    </w:p>
    <w:p>
      <w:pPr>
        <w:ind w:left="700" w:right="20" w:hanging="359"/>
        <w:spacing w:after="0" w:line="248" w:lineRule="auto"/>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meet any of our financial projections or guidance, including without limitation short and long-term revenue projections or guidance and changes to the assumptions underlying those projections or guidance;</w:t>
      </w:r>
    </w:p>
    <w:p>
      <w:pPr>
        <w:spacing w:after="0" w:line="1" w:lineRule="exact"/>
        <w:rPr>
          <w:rFonts w:ascii="Arial" w:cs="Arial" w:eastAsia="Arial" w:hAnsi="Arial"/>
          <w:sz w:val="17"/>
          <w:szCs w:val="17"/>
          <w:color w:val="auto"/>
        </w:rPr>
      </w:pPr>
    </w:p>
    <w:p>
      <w:pPr>
        <w:ind w:left="700" w:hanging="359"/>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obtain sufficient capital to fund our planned operations;</w:t>
      </w:r>
    </w:p>
    <w:p>
      <w:pPr>
        <w:spacing w:after="0" w:line="7" w:lineRule="exact"/>
        <w:rPr>
          <w:rFonts w:ascii="Arial" w:cs="Arial" w:eastAsia="Arial" w:hAnsi="Arial"/>
          <w:sz w:val="17"/>
          <w:szCs w:val="17"/>
          <w:color w:val="auto"/>
        </w:rPr>
      </w:pPr>
    </w:p>
    <w:p>
      <w:pPr>
        <w:ind w:left="700" w:hanging="359"/>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financial performance and cash burn management; and</w:t>
      </w:r>
    </w:p>
    <w:p>
      <w:pPr>
        <w:spacing w:after="0" w:line="7" w:lineRule="exact"/>
        <w:rPr>
          <w:rFonts w:ascii="Arial" w:cs="Arial" w:eastAsia="Arial" w:hAnsi="Arial"/>
          <w:sz w:val="17"/>
          <w:szCs w:val="17"/>
          <w:color w:val="auto"/>
        </w:rPr>
      </w:pPr>
    </w:p>
    <w:p>
      <w:pPr>
        <w:ind w:left="700" w:hanging="359"/>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 w:name="page4"/>
    <w:bookmarkEnd w:id="3"/>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jc w:val="both"/>
        <w:ind w:left="10" w:firstLine="648"/>
        <w:spacing w:after="0" w:line="259"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IA, and the other reports and documents that we have filed with the Securities and Exchange Commission (SEC).</w:t>
      </w:r>
    </w:p>
    <w:p>
      <w:pPr>
        <w:spacing w:after="0" w:line="18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Risks Related to Commercialization</w:t>
      </w:r>
    </w:p>
    <w:p>
      <w:pPr>
        <w:spacing w:after="0" w:line="27" w:lineRule="exact"/>
        <w:rPr>
          <w:sz w:val="20"/>
          <w:szCs w:val="20"/>
          <w:color w:val="auto"/>
        </w:rPr>
      </w:pPr>
    </w:p>
    <w:p>
      <w:pPr>
        <w:ind w:left="330" w:hanging="330"/>
        <w:spacing w:after="0"/>
        <w:tabs>
          <w:tab w:leader="none" w:pos="33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maintain current approval of BRIUMVI, our business will be materially harmed.</w:t>
      </w:r>
    </w:p>
    <w:p>
      <w:pPr>
        <w:spacing w:after="0" w:line="9" w:lineRule="exact"/>
        <w:rPr>
          <w:rFonts w:ascii="Arial" w:cs="Arial" w:eastAsia="Arial" w:hAnsi="Arial"/>
          <w:sz w:val="18"/>
          <w:szCs w:val="18"/>
          <w:color w:val="auto"/>
        </w:rPr>
      </w:pPr>
    </w:p>
    <w:p>
      <w:pPr>
        <w:ind w:left="330" w:right="20" w:hanging="330"/>
        <w:spacing w:after="0" w:line="250" w:lineRule="auto"/>
        <w:tabs>
          <w:tab w:leader="none" w:pos="33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cannot predict when or if we will obtain regulatory approval to commercialize our product candidates, including TG-1701 and TG-1801 in B-cell disorders.</w:t>
      </w:r>
    </w:p>
    <w:p>
      <w:pPr>
        <w:ind w:left="330" w:right="20" w:hanging="330"/>
        <w:spacing w:after="0" w:line="250" w:lineRule="auto"/>
        <w:tabs>
          <w:tab w:leader="none" w:pos="33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limited experience operating as a commercial company, and, as a result, the marketing and sale of BRIUMVI in RMS may be less successful than anticipated.</w:t>
      </w:r>
    </w:p>
    <w:p>
      <w:pPr>
        <w:ind w:left="330" w:right="20" w:hanging="330"/>
        <w:spacing w:after="0" w:line="250" w:lineRule="auto"/>
        <w:tabs>
          <w:tab w:leader="none" w:pos="33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BRIUMVI or any of our future product candidates (if approved) do not achieve broad market acceptance among physicians, patients, payors, and the medical community, the revenues that we generate from product sales will be limited.</w:t>
      </w:r>
    </w:p>
    <w:p>
      <w:pPr>
        <w:jc w:val="both"/>
        <w:ind w:left="330" w:right="20" w:hanging="330"/>
        <w:spacing w:after="0" w:line="250" w:lineRule="auto"/>
        <w:tabs>
          <w:tab w:leader="none" w:pos="33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opportunities for BRIUMVI and any future products for which we may receive approval, including TG-1701 or TG-1801 in B-cell disorders, are smaller than we estimate or if any approval that we obtain is based on a narrower patient population or the labeling includes warnings or limitations that are not acceptable to patients or healthcare providers, our revenue will be adversely affected.</w:t>
      </w:r>
    </w:p>
    <w:p>
      <w:pPr>
        <w:spacing w:after="0" w:line="1" w:lineRule="exact"/>
        <w:rPr>
          <w:rFonts w:ascii="Arial" w:cs="Arial" w:eastAsia="Arial" w:hAnsi="Arial"/>
          <w:sz w:val="18"/>
          <w:szCs w:val="18"/>
          <w:color w:val="auto"/>
        </w:rPr>
      </w:pPr>
    </w:p>
    <w:p>
      <w:pPr>
        <w:ind w:left="330" w:right="20" w:hanging="330"/>
        <w:spacing w:after="0" w:line="250" w:lineRule="auto"/>
        <w:tabs>
          <w:tab w:leader="none" w:pos="33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for treatments for our target indications, which may result in others commercializing drugs before or more successfully than we do, resulting in the reduction or elimination of our commercial opportunity.</w:t>
      </w:r>
    </w:p>
    <w:p>
      <w:pPr>
        <w:ind w:left="330" w:right="20" w:hanging="330"/>
        <w:spacing w:after="0" w:line="281" w:lineRule="auto"/>
        <w:tabs>
          <w:tab w:leader="none" w:pos="33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unable to establish additional commercial capabilities and infrastructure to support a potential launch RMS or B-cell disorders, or expansion into geographies outside the U.S., we may be unable to generate sufficient revenue to sustain our business.</w:t>
      </w:r>
    </w:p>
    <w:p>
      <w:pPr>
        <w:spacing w:after="0" w:line="1" w:lineRule="exact"/>
        <w:rPr>
          <w:rFonts w:ascii="Arial" w:cs="Arial" w:eastAsia="Arial" w:hAnsi="Arial"/>
          <w:sz w:val="16"/>
          <w:szCs w:val="16"/>
          <w:color w:val="auto"/>
        </w:rPr>
      </w:pPr>
    </w:p>
    <w:p>
      <w:pPr>
        <w:ind w:left="330" w:hanging="330"/>
        <w:spacing w:after="0"/>
        <w:tabs>
          <w:tab w:leader="none" w:pos="33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lawsuits could cause us to incur substantial liabilities and limit product commercialization.</w:t>
      </w:r>
    </w:p>
    <w:p>
      <w:pPr>
        <w:spacing w:after="0" w:line="20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ind w:left="330" w:right="20" w:hanging="330"/>
        <w:spacing w:after="0" w:line="250" w:lineRule="auto"/>
        <w:tabs>
          <w:tab w:leader="none" w:pos="33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anticipate that we will continue to incur losses for the foreseeable future.</w:t>
      </w:r>
    </w:p>
    <w:p>
      <w:pPr>
        <w:ind w:left="330" w:right="20" w:hanging="330"/>
        <w:spacing w:after="0" w:line="250" w:lineRule="auto"/>
        <w:tabs>
          <w:tab w:leader="none" w:pos="33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to raise substantial additional funding. If we are unable to raise capital when needed, we will be forced to delay, reduce, or eliminate some of our drug development programs or commercialization efforts.</w:t>
      </w:r>
    </w:p>
    <w:p>
      <w:pPr>
        <w:ind w:left="330" w:right="20" w:hanging="330"/>
        <w:spacing w:after="0" w:line="260" w:lineRule="auto"/>
        <w:tabs>
          <w:tab w:leader="none" w:pos="33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indebtedness and debt service obligations could adversely affect our financial condition and may make it more difficult for us to fund our operations.</w:t>
      </w:r>
    </w:p>
    <w:p>
      <w:pPr>
        <w:spacing w:after="0" w:line="18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6" w:lineRule="exact"/>
        <w:rPr>
          <w:sz w:val="20"/>
          <w:szCs w:val="20"/>
          <w:color w:val="auto"/>
        </w:rPr>
      </w:pPr>
    </w:p>
    <w:p>
      <w:pPr>
        <w:ind w:left="330" w:right="20" w:hanging="330"/>
        <w:spacing w:after="0" w:line="233"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or maintain regulatory approval for our product and product candidates and ultimately cannot commercialize one or more of them, or experience significant delays in doing so, our business will be materially harmed.</w:t>
      </w:r>
    </w:p>
    <w:p>
      <w:pPr>
        <w:spacing w:after="0" w:line="1" w:lineRule="exact"/>
        <w:rPr>
          <w:rFonts w:ascii="Arial" w:cs="Arial" w:eastAsia="Arial" w:hAnsi="Arial"/>
          <w:sz w:val="18"/>
          <w:szCs w:val="18"/>
          <w:color w:val="auto"/>
        </w:rPr>
      </w:pPr>
    </w:p>
    <w:p>
      <w:pPr>
        <w:ind w:left="330" w:right="20" w:hanging="330"/>
        <w:spacing w:after="0" w:line="250"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 and product candidates may cause undesirable side effects that could delay or prevent their regulatory approval or significantly limit their commercial profile following marketing approval, if any.</w:t>
      </w:r>
    </w:p>
    <w:p>
      <w:pPr>
        <w:jc w:val="both"/>
        <w:ind w:left="330" w:right="20" w:hanging="330"/>
        <w:spacing w:after="0" w:line="250"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1" w:lineRule="exact"/>
        <w:rPr>
          <w:rFonts w:ascii="Arial" w:cs="Arial" w:eastAsia="Arial" w:hAnsi="Arial"/>
          <w:sz w:val="18"/>
          <w:szCs w:val="18"/>
          <w:color w:val="auto"/>
        </w:rPr>
      </w:pPr>
    </w:p>
    <w:p>
      <w:pPr>
        <w:ind w:left="330" w:right="20" w:hanging="330"/>
        <w:spacing w:after="0" w:line="260"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8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Risks Related to Governmental Regulation of the Pharmaceutical Industry</w:t>
      </w:r>
    </w:p>
    <w:p>
      <w:pPr>
        <w:spacing w:after="0" w:line="27" w:lineRule="exact"/>
        <w:rPr>
          <w:sz w:val="20"/>
          <w:szCs w:val="20"/>
          <w:color w:val="auto"/>
        </w:rPr>
      </w:pPr>
    </w:p>
    <w:p>
      <w:pPr>
        <w:ind w:left="330" w:right="20" w:hanging="330"/>
        <w:spacing w:after="0" w:line="250"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extensive regulation, including new legislative and regulatory proposals, that may increase our compliance costs and adversely affect our ability to market our products, obtain collaborators and raise capital.</w:t>
      </w:r>
    </w:p>
    <w:p>
      <w:pPr>
        <w:ind w:left="330" w:hanging="330"/>
        <w:spacing w:after="0"/>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various healthcare laws and regulations, we may incur losses or be subject to liability.</w:t>
      </w:r>
    </w:p>
    <w:p>
      <w:pPr>
        <w:spacing w:after="0" w:line="9" w:lineRule="exact"/>
        <w:rPr>
          <w:rFonts w:ascii="Arial" w:cs="Arial" w:eastAsia="Arial" w:hAnsi="Arial"/>
          <w:sz w:val="18"/>
          <w:szCs w:val="18"/>
          <w:color w:val="auto"/>
        </w:rPr>
      </w:pPr>
    </w:p>
    <w:p>
      <w:pPr>
        <w:ind w:left="330" w:right="20" w:hanging="330"/>
        <w:spacing w:after="0" w:line="260"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regulatory requirements, any product for which we obtain marketing approval could be subject to restrictions or withdrawal from the market and we may be subject to penalties.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517" w:right="839" w:bottom="1440" w:gutter="0" w:footer="0" w:header="0"/>
        </w:sectPr>
      </w:pPr>
    </w:p>
    <w:bookmarkStart w:id="4" w:name="page5"/>
    <w:bookmarkEnd w:id="4"/>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7" w:lineRule="exact"/>
        <w:rPr>
          <w:sz w:val="20"/>
          <w:szCs w:val="20"/>
          <w:color w:val="auto"/>
        </w:rPr>
      </w:pPr>
    </w:p>
    <w:p>
      <w:pPr>
        <w:jc w:val="both"/>
        <w:ind w:left="330" w:hanging="330"/>
        <w:spacing w:after="0" w:line="250"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or product candidates when expected or at all.</w:t>
      </w:r>
    </w:p>
    <w:p>
      <w:pPr>
        <w:spacing w:after="0" w:line="1" w:lineRule="exact"/>
        <w:rPr>
          <w:rFonts w:ascii="Arial" w:cs="Arial" w:eastAsia="Arial" w:hAnsi="Arial"/>
          <w:sz w:val="18"/>
          <w:szCs w:val="18"/>
          <w:color w:val="auto"/>
        </w:rPr>
      </w:pPr>
    </w:p>
    <w:p>
      <w:pPr>
        <w:jc w:val="both"/>
        <w:ind w:left="330" w:hanging="330"/>
        <w:spacing w:after="0" w:line="250"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for commercial and clinical supply of our product and product candidates increases the risk that we will not have sufficient quantities of our product or product candidates or such quantities at an acceptable cost or quality, which could delay, prevent or impair our development or commercialization efforts.</w:t>
      </w:r>
    </w:p>
    <w:p>
      <w:pPr>
        <w:spacing w:after="0" w:line="1" w:lineRule="exact"/>
        <w:rPr>
          <w:rFonts w:ascii="Arial" w:cs="Arial" w:eastAsia="Arial" w:hAnsi="Arial"/>
          <w:sz w:val="18"/>
          <w:szCs w:val="18"/>
          <w:color w:val="auto"/>
        </w:rPr>
      </w:pPr>
    </w:p>
    <w:p>
      <w:pPr>
        <w:ind w:left="330" w:hanging="330"/>
        <w:spacing w:after="0" w:line="260"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we have in-licensed our product and product candidates from third parties, any dispute with or non-performance by our licensors will adversely affect our ability to develop and commercialize the applicable product.</w:t>
      </w:r>
    </w:p>
    <w:p>
      <w:pPr>
        <w:spacing w:after="0" w:line="18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 w:lineRule="exact"/>
        <w:rPr>
          <w:sz w:val="20"/>
          <w:szCs w:val="20"/>
          <w:color w:val="auto"/>
        </w:rPr>
      </w:pPr>
    </w:p>
    <w:p>
      <w:pPr>
        <w:jc w:val="both"/>
        <w:ind w:left="330" w:hanging="330"/>
        <w:spacing w:after="0" w:line="250" w:lineRule="auto"/>
        <w:tabs>
          <w:tab w:leader="none" w:pos="33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spacing w:after="0" w:line="1" w:lineRule="exact"/>
        <w:rPr>
          <w:rFonts w:ascii="Arial" w:cs="Arial" w:eastAsia="Arial" w:hAnsi="Arial"/>
          <w:sz w:val="18"/>
          <w:szCs w:val="18"/>
          <w:color w:val="auto"/>
        </w:rPr>
      </w:pPr>
    </w:p>
    <w:p>
      <w:pPr>
        <w:ind w:left="330" w:hanging="330"/>
        <w:spacing w:after="0" w:line="250" w:lineRule="auto"/>
        <w:tabs>
          <w:tab w:leader="none" w:pos="33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patent protection could be reduced or eliminated for non-compliance with various procedural and other requirements imposed by governmental patent agencies.</w:t>
      </w:r>
    </w:p>
    <w:p>
      <w:pPr>
        <w:ind w:left="330" w:hanging="330"/>
        <w:spacing w:after="0" w:line="250" w:lineRule="auto"/>
        <w:tabs>
          <w:tab w:leader="none" w:pos="33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need to license certain intellectual property from third parties, and such licenses may not be available or may not be available on commercially reasonable terms.</w:t>
      </w:r>
    </w:p>
    <w:p>
      <w:pPr>
        <w:ind w:left="330" w:hanging="330"/>
        <w:spacing w:after="0" w:line="265" w:lineRule="auto"/>
        <w:tabs>
          <w:tab w:leader="none" w:pos="33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or our partners are sued for infringing intellectual property rights of third parties, it will be costly and time consuming to defend against such lawsuits, and an unfavorable outcome in any such lawsuit would have a material adverse effect on our business.</w:t>
      </w:r>
    </w:p>
    <w:p>
      <w:pPr>
        <w:ind w:left="330" w:hanging="330"/>
        <w:spacing w:after="0"/>
        <w:tabs>
          <w:tab w:leader="none" w:pos="33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our business may be significantly harmed.</w:t>
      </w:r>
    </w:p>
    <w:p>
      <w:pPr>
        <w:spacing w:after="0" w:line="20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Risks Related to COVID-19</w:t>
      </w:r>
    </w:p>
    <w:p>
      <w:pPr>
        <w:spacing w:after="0" w:line="27" w:lineRule="exact"/>
        <w:rPr>
          <w:sz w:val="20"/>
          <w:szCs w:val="20"/>
          <w:color w:val="auto"/>
        </w:rPr>
      </w:pPr>
    </w:p>
    <w:p>
      <w:pPr>
        <w:ind w:left="330" w:hanging="330"/>
        <w:spacing w:after="0" w:line="250" w:lineRule="auto"/>
        <w:tabs>
          <w:tab w:leader="none" w:pos="33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health issues, and specifically the pandemic caused by COVID-19, could have an adverse impact on our financial condition and results of operations and other aspects of our business.</w:t>
      </w:r>
    </w:p>
    <w:p>
      <w:pPr>
        <w:jc w:val="both"/>
        <w:ind w:left="330" w:hanging="330"/>
        <w:spacing w:after="0" w:line="277" w:lineRule="auto"/>
        <w:tabs>
          <w:tab w:leader="none" w:pos="330" w:val="left"/>
        </w:tabs>
        <w:numPr>
          <w:ilvl w:val="0"/>
          <w:numId w:val="9"/>
        </w:numPr>
        <w:rPr>
          <w:rFonts w:ascii="Arial" w:cs="Arial" w:eastAsia="Arial" w:hAnsi="Arial"/>
          <w:sz w:val="17"/>
          <w:szCs w:val="17"/>
          <w:color w:val="auto"/>
        </w:rPr>
      </w:pPr>
      <w:r>
        <w:rPr>
          <w:rFonts w:ascii="Arial" w:cs="Arial" w:eastAsia="Arial" w:hAnsi="Arial"/>
          <w:sz w:val="17"/>
          <w:szCs w:val="17"/>
          <w:color w:val="auto"/>
        </w:rPr>
        <w:t>Patients and healthcare providers have raised concerns that immunosuppressive products, like anti-CD20 antibodies and other B-cell targeted agents, may increase the risk of acquiring COVID-19 or lead to more severe complications upon infection. These concerns may impact the commercial potential for BRIUMVI and other immunosuppressive products that we have in development.</w:t>
      </w:r>
    </w:p>
    <w:p>
      <w:pPr>
        <w:spacing w:after="0" w:line="16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General Risk Factors</w:t>
      </w:r>
    </w:p>
    <w:p>
      <w:pPr>
        <w:spacing w:after="0" w:line="27" w:lineRule="exact"/>
        <w:rPr>
          <w:sz w:val="20"/>
          <w:szCs w:val="20"/>
          <w:color w:val="auto"/>
        </w:rPr>
      </w:pPr>
    </w:p>
    <w:p>
      <w:pPr>
        <w:ind w:left="330" w:hanging="330"/>
        <w:spacing w:after="0"/>
        <w:tabs>
          <w:tab w:leader="none" w:pos="33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will need to develop and expand our business, and we may encounter difficulties in managing this development and expansion.</w:t>
      </w:r>
    </w:p>
    <w:p>
      <w:pPr>
        <w:spacing w:after="0" w:line="20" w:lineRule="exact"/>
        <w:rPr>
          <w:rFonts w:ascii="Arial" w:cs="Arial" w:eastAsia="Arial" w:hAnsi="Arial"/>
          <w:sz w:val="17"/>
          <w:szCs w:val="17"/>
          <w:color w:val="auto"/>
        </w:rPr>
      </w:pPr>
    </w:p>
    <w:p>
      <w:pPr>
        <w:ind w:left="330" w:hanging="330"/>
        <w:spacing w:after="0" w:line="250" w:lineRule="auto"/>
        <w:tabs>
          <w:tab w:leader="none" w:pos="3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our clinical development and commercialization activities will depend on our ability to attract and maintain key management and other personnel.</w:t>
      </w:r>
    </w:p>
    <w:p>
      <w:pPr>
        <w:ind w:left="330" w:hanging="330"/>
        <w:spacing w:after="0" w:line="250" w:lineRule="auto"/>
        <w:tabs>
          <w:tab w:leader="none" w:pos="3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of our executive officers, directors and other stockholders own more than 5% of our outstanding common stock and may be able to influence our management and the outcome of matters submitted to shareholders for approval.</w:t>
      </w:r>
    </w:p>
    <w:p>
      <w:pPr>
        <w:ind w:left="330" w:hanging="330"/>
        <w:spacing w:after="0" w:line="250" w:lineRule="auto"/>
        <w:tabs>
          <w:tab w:leader="none" w:pos="3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anti-takeover provisions in our charter documents and Delaware law could make a third-party acquisition more difficult, which could limit the price investors might be willing to pay for our common stock.</w:t>
      </w:r>
    </w:p>
    <w:p>
      <w:pPr>
        <w:ind w:left="330" w:hanging="330"/>
        <w:spacing w:after="0" w:line="260" w:lineRule="auto"/>
        <w:tabs>
          <w:tab w:leader="none" w:pos="3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stock price is, and we expect it to remain, volatile, which could limit investors’ ability to sell stock at a profit and could subject us to securities and shareholder derivative litigation.</w:t>
      </w:r>
    </w:p>
    <w:p>
      <w:pPr>
        <w:spacing w:after="0" w:line="185" w:lineRule="exact"/>
        <w:rPr>
          <w:sz w:val="20"/>
          <w:szCs w:val="20"/>
          <w:color w:val="auto"/>
        </w:rPr>
      </w:pPr>
    </w:p>
    <w:p>
      <w:pPr>
        <w:ind w:left="10" w:right="220" w:firstLine="648"/>
        <w:spacing w:after="0" w:line="277" w:lineRule="auto"/>
        <w:rPr>
          <w:sz w:val="20"/>
          <w:szCs w:val="20"/>
          <w:color w:val="auto"/>
        </w:rPr>
      </w:pPr>
      <w:r>
        <w:rPr>
          <w:rFonts w:ascii="Arial" w:cs="Arial" w:eastAsia="Arial" w:hAnsi="Arial"/>
          <w:sz w:val="18"/>
          <w:szCs w:val="18"/>
          <w:color w:val="auto"/>
        </w:rPr>
        <w:t>The foregoing is only a summary of some of our risks. These and other risks are discussed more fully in the section entitled “Risk Factors” in Part II, Item IA and elsewhere in this Annual Report on Form 10-K (our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10"/>
          </w:cols>
          <w:pgMar w:left="830" w:top="517" w:right="8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Unless the context requires otherwise, references in this report to “TG,” “Company,” “we,” “us” and “our” refer to TG Therapeutics, Inc. and our subsidiaries. Our name, logo and BRIUMVI are trademarks or tradenames of TG Therapeutics, Inc. All other trademarks, service marks or other tradenames appearing in this Annual Report on Form 10-K are the property of their respective owners.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U.S. Food and Drug Administration (FDA) for BRIUMVI™ (ublituximab-xiiy) for the treatment of adult patients with relapsing forms of multiple sclerosis (RMS), to include clinically isolated syndrome, relapsing-remitting disease, and active secondary progressive disease, in adults. We also actively evaluate complementary products, technologies and companies for in-licensing, partnership, acquisition and/or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and U.S. Launch of BRIUMVI</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On December 28, 2022, we announced that the FDA granted approval of ublituximab, now referred to as BRIUMVI, for the treatment of RMS, to include clinically isolated syndrome, relapsing-remitting disease, and active secondary progressive disease, in adults. BRIUMVI is an anti-CD20 monoclonal antibody approved for patients with RMS that can be administered in a one-hour infusion following the starting dose. Approval was granted for this indication based on data from the ULTIMATE I &amp; II Phase 3 trials, which demonstrated superiority over teriflunomide in significantly reducing the annualized relapse rate (ARR, the primary endpoint), the number of T1 Gd-enhancing lesions and the number of new or enlarging T2 lesions. Results from the ULTIMATE I &amp; II trials were recently published in August 2022 in </w:t>
      </w:r>
      <w:r>
        <w:rPr>
          <w:rFonts w:ascii="Arial" w:cs="Arial" w:eastAsia="Arial" w:hAnsi="Arial"/>
          <w:sz w:val="18"/>
          <w:szCs w:val="18"/>
          <w:i w:val="1"/>
          <w:iCs w:val="1"/>
          <w:color w:val="auto"/>
        </w:rPr>
        <w:t>The New England Journal of Medicine.</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26, 2023, we announced the commercial launch of BRIUMVI, making it available to physicians and patients. We are committed to helping patients access BRIUMVI through the BRIUMVI Patient Support Program, which we launched following the approval, additional information can be found at www.briumvi.com.</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UNITY-CLL Phase 3 Trial &amp; Withdrawal of the BLA/sNDA Submission for U2 to Treat Patients with CLL/SLL and Withdrawal of UKONIQ</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(umbralisib) from Sale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5, 2021, we announced that the FDA granted accelerated approval of umbralisib, the Company’s PI3K delta inhibitor, then commercially referred to as UKONIQ, for the treatment of adult patients with relapsed or refractory Marginal Zone Lymphoma (MZL) who have received at least one prior anti-CD20 based regimen and adult patients with relapsed or refractory Follicular Lymphoma (FL) who have received at least three prior lines of systemic therapy.</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further expand the use of UKONIQ and to obtain the approval of ublituximab, our anti-CD20 monoclonal antibody under development, we conducted the UNITY-CLL study, a global, Phase 3, randomized, controlled clinical trial, that compared the combination of ublituximab, and UKONIQ, (combination referred to as U2), to an active control arm of obinutuzumab plus chlorambucil in patients with both treatment-naïve and relapsed or refractory chronic lymphocytic leukemia (CLL). The trial met its primary endpoint, and based on those results, a Biologics License Application (BLA) and supplemental New Drug Application (sNDA) were submitted to the U.S. Food and Drug Administration (FDA) for U2 to treat patients with CLL/small lymphocytic lymphoma (SLL).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2021, we received notification from the FDA that it planned to host an Oncologic Drug Advisory Committee (ODAC) meeting in connection with its review of the pending BLA/sNDA and to discuss the benefit risk of UKONIQ in its approved indications. While the FDA identified a number of concerns, the FDA’s desire to host an ODAC appeared to stem from an early ad hoc analysis of overall survival (OS) from the UNITY-CLL trial.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April 15, 2022, based on newly updated OS data from the UNITY-CLL study, which showed a negative survival benefit, we decided to withdraw the pending BLA/sNDA for U2 to treat CLL/SLL.</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15, 2022, we also announced the voluntary withdrawal of UKONIQ from sale for its approved indications. Our decision to withdraw UKONIQ from sale was primarily based on the withdrawal of the BLA and sNDA for U2 in CLL. On June 1, 2022, the FDA withdrew its approval of UKONIQ.</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these withdrawals, we closed or are in the process of closing all studies related to umbralisib +/- ublituximab in oncology.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were incorporated in Delaware in 1993. Our executive offices are located at 3020 Carrington Mill Blvd, Suite 475, Morrisville, North Carolina, 27560. Our telephone number is 1-877-575-TGTX(8489), and our e-mail address is info@tgtxinc.com.</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maintain a website with the address www.tgtherapeutics.com and maintain various social media accounts, including but not limited to Twitter and LinkedIn. We also maintain websites related to BRIUMVI, including but not limited to www.BRIUMVI.com, and www.BRIUMVIPATIENTSUPPORT.com. We make available free of charge through our corporate website our annual reports on Form 10-K, quarterly reports on Form 10-Q and current reports on Form 8-K, as well as any amendments to these reports, as soon as reasonably practicable after we electronically file such material with, or furnish such material to, the SEC. We are not including the information on our website or our social media accounts as a part of, nor incorporating either by reference into, this report. The SEC maintains a website that contains annual, quarterly, and current reports, proxy statements, and other information that issuers (including us) file electronically with the SEC. The SEC’s website address is </w:t>
      </w:r>
      <w:r>
        <w:rPr>
          <w:rFonts w:ascii="Arial" w:cs="Arial" w:eastAsia="Arial" w:hAnsi="Arial"/>
          <w:sz w:val="17"/>
          <w:szCs w:val="17"/>
          <w:u w:val="single" w:color="auto"/>
          <w:color w:val="0563C1"/>
        </w:rPr>
        <w:t>http://www.sec.gov</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intend to use our corporate website, SEC filings, press releases, public conference calls and webcasts as well as social media to communicate with our subscribers and the public. It is possible that the information we post on social media could be deemed to be material information. Therefore, in light of the SEC’s guidance, we encourage investors, the media and others interested in us to review the information we post on the U.S. social media channels listed on our website.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As a fully-integrated, commercial stage biopharmaceutical company focused on the acquisition, development and commercialization of novel treatments for B cell diseases, our key corporate objectives include:</w:t>
      </w:r>
    </w:p>
    <w:p>
      <w:pPr>
        <w:spacing w:after="0" w:line="1" w:lineRule="exact"/>
        <w:rPr>
          <w:sz w:val="20"/>
          <w:szCs w:val="20"/>
          <w:color w:val="auto"/>
        </w:rPr>
      </w:pPr>
    </w:p>
    <w:p>
      <w:pPr>
        <w:ind w:left="980" w:hanging="315"/>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commercializing BRIUMVI in the U.S. for relapsing forms of multiple sclerosis;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Building upon the BRIUMVI approval to evaluate other uses for BRIUMVI in additional MS indications and/or other autoimmune diseases;</w:t>
      </w:r>
    </w:p>
    <w:p>
      <w:pPr>
        <w:ind w:left="980" w:hanging="315"/>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Continuing to expand our pipeline with mechanisms of importance to B-cell mediated diseases;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potential strategic collaborations to maximize the value of our programs and B-cell directed platform;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our “patient first” culture as we grow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and Platform</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approach to drug development is centered on developing therapies for b cell diseases. Our process begins by identifying validated targets against B-cell diseases, and then searching for and, ideally, acquiring what we believe to be “best-in-class” compounds with complementary mechanisms against these targets.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Our preference is to identify targets for which there is human clinical proof of concept that the mechanism is active in B-cell diseases and then to identify drug candidates that effectively modulate the desired molecular target. We identify these drug candidates at academic centers of excellence or in development at biotech companies or pharmaceutical companies globally. Our current drug candidates were acquired through license agreements, collaborations, or joint ventures with biopharmaceutical companies located globally. This approach enables us to minimize target risk while looking for the best available drug candidates around the world. By focusing on B-cell diseases and targets </w:t>
      </w:r>
      <w:r>
        <w:rPr>
          <w:rFonts w:ascii="Arial" w:cs="Arial" w:eastAsia="Arial" w:hAnsi="Arial"/>
          <w:sz w:val="19"/>
          <w:szCs w:val="19"/>
          <w:color w:val="auto"/>
        </w:rPr>
        <w:t>with</w:t>
      </w:r>
      <w:r>
        <w:rPr>
          <w:rFonts w:ascii="Arial" w:cs="Arial" w:eastAsia="Arial" w:hAnsi="Arial"/>
          <w:sz w:val="17"/>
          <w:szCs w:val="17"/>
          <w:color w:val="auto"/>
        </w:rPr>
        <w:t xml:space="preserve"> a known activity profile, we believe that we can quickly identify the patients most likely to respond, resulting in a more efficient development path with the potential for a greater likelihood of success.</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394335</wp:posOffset>
            </wp:positionV>
            <wp:extent cx="6497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approach is enabled by our clinical development platform which includes an internal team with a deep understanding of B-cell diseases and significant experience successfully obtaining FDA approval for innovative treatments for these complex diseases.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AUTOIMMUNE DISEASE OVERVIEW</w:t>
      </w:r>
    </w:p>
    <w:p>
      <w:pPr>
        <w:spacing w:after="0" w:line="229"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An autoimmune disease occurs when the body’s immune system attacks and destroys healthy body tissue by mistake. There are currently more than 80 types of autoimmune disorders that have been identified. Some of these diseases may result from inappropriate production of antibodies from the B-cells. These antibodies cannot discriminate “self” from “non-self,” and inadvertently mount a disabling immune response against normal organs. Examples of common and very debilitating autoimmune disorders for which abnormally functioning B-cells have been implicated include MS and rheumatoid arthritis (RA).</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current focus is on 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 Sclerosis Overview</w:t>
      </w:r>
    </w:p>
    <w:p>
      <w:pPr>
        <w:spacing w:after="0" w:line="16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RMS is a chronic demyelinating disease of the central nervous system (CNS) and includes people with relapsing-remitting multiple sclerosis (RRMS) and people with secondary progressive multiple sclerosis (SPMS) who continue to experience relapses. RRMS is the most common form of MS and is characterized by episodes of new or worsening signs or symptoms (relapses) followed by periods of recovery. MS is the most prevalent chronic inflammatory disease of the CNS. It is estimated that nearly 1 million people are living with MS in the United States and over 2.3 million people world-wide are living with 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currently license worldwide development and commercial rights, subject to certain limited geographical restrictions, for all of our products under development. The following table summarizes the current clinical trial status for our lead drug candidates as of February 2023.</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70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3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31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34"/>
        </w:trPr>
        <w:tc>
          <w:tcPr>
            <w:tcW w:w="37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(molecular target)</w:t>
            </w:r>
          </w:p>
        </w:tc>
        <w:tc>
          <w:tcPr>
            <w:tcW w:w="338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(trial name)</w:t>
            </w:r>
          </w:p>
        </w:tc>
      </w:tr>
      <w:tr>
        <w:trPr>
          <w:trHeight w:val="94"/>
        </w:trPr>
        <w:tc>
          <w:tcPr>
            <w:tcW w:w="3700" w:type="dxa"/>
            <w:vAlign w:val="bottom"/>
            <w:tcBorders>
              <w:left w:val="single" w:sz="8" w:color="auto"/>
              <w:bottom w:val="single" w:sz="8" w:color="auto"/>
              <w:right w:val="single" w:sz="8" w:color="auto"/>
            </w:tcBorders>
            <w:gridSpan w:val="2"/>
          </w:tcPr>
          <w:p>
            <w:pPr>
              <w:spacing w:after="0"/>
              <w:rPr>
                <w:sz w:val="8"/>
                <w:szCs w:val="8"/>
                <w:color w:val="auto"/>
              </w:rPr>
            </w:pPr>
          </w:p>
        </w:tc>
        <w:tc>
          <w:tcPr>
            <w:tcW w:w="3380" w:type="dxa"/>
            <w:vAlign w:val="bottom"/>
            <w:tcBorders>
              <w:bottom w:val="single" w:sz="8" w:color="auto"/>
              <w:right w:val="single" w:sz="8" w:color="auto"/>
            </w:tcBorders>
          </w:tcPr>
          <w:p>
            <w:pPr>
              <w:spacing w:after="0"/>
              <w:rPr>
                <w:sz w:val="8"/>
                <w:szCs w:val="8"/>
                <w:color w:val="auto"/>
              </w:rPr>
            </w:pPr>
          </w:p>
        </w:tc>
        <w:tc>
          <w:tcPr>
            <w:tcW w:w="3160" w:type="dxa"/>
            <w:vAlign w:val="bottom"/>
            <w:tcBorders>
              <w:bottom w:val="single" w:sz="8" w:color="auto"/>
              <w:right w:val="single" w:sz="8" w:color="auto"/>
            </w:tcBorders>
          </w:tcPr>
          <w:p>
            <w:pPr>
              <w:spacing w:after="0"/>
              <w:rPr>
                <w:sz w:val="8"/>
                <w:szCs w:val="8"/>
                <w:color w:val="auto"/>
              </w:rPr>
            </w:pPr>
          </w:p>
        </w:tc>
      </w:tr>
      <w:tr>
        <w:trPr>
          <w:trHeight w:val="224"/>
        </w:trPr>
        <w:tc>
          <w:tcPr>
            <w:tcW w:w="37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Ublituximab (anti-CD20 mAb)</w:t>
            </w: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Relapsing Forms of Multiple Sclerosis (RMS)</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APPROVED</w:t>
            </w:r>
          </w:p>
        </w:tc>
      </w:tr>
      <w:tr>
        <w:trPr>
          <w:trHeight w:val="593"/>
        </w:trPr>
        <w:tc>
          <w:tcPr>
            <w:tcW w:w="680" w:type="dxa"/>
            <w:vAlign w:val="bottom"/>
            <w:tcBorders>
              <w:left w:val="single" w:sz="8" w:color="auto"/>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338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r>
      <w:tr>
        <w:trPr>
          <w:trHeight w:val="224"/>
        </w:trPr>
        <w:tc>
          <w:tcPr>
            <w:tcW w:w="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0"/>
              </w:rPr>
              <w:t>TG-1701</w:t>
            </w:r>
          </w:p>
        </w:tc>
        <w:tc>
          <w:tcPr>
            <w:tcW w:w="3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(BTK inhibitor)</w:t>
            </w: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disorders</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80"/>
        </w:trPr>
        <w:tc>
          <w:tcPr>
            <w:tcW w:w="680" w:type="dxa"/>
            <w:vAlign w:val="bottom"/>
            <w:tcBorders>
              <w:left w:val="single" w:sz="8" w:color="auto"/>
              <w:bottom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380" w:type="dxa"/>
            <w:vAlign w:val="bottom"/>
            <w:tcBorders>
              <w:bottom w:val="single" w:sz="8" w:color="auto"/>
              <w:right w:val="single" w:sz="8" w:color="auto"/>
            </w:tcBorders>
          </w:tcPr>
          <w:p>
            <w:pPr>
              <w:spacing w:after="0"/>
              <w:rPr>
                <w:sz w:val="6"/>
                <w:szCs w:val="6"/>
                <w:color w:val="auto"/>
              </w:rPr>
            </w:pPr>
          </w:p>
        </w:tc>
        <w:tc>
          <w:tcPr>
            <w:tcW w:w="3160" w:type="dxa"/>
            <w:vAlign w:val="bottom"/>
            <w:tcBorders>
              <w:bottom w:val="single" w:sz="8" w:color="auto"/>
              <w:right w:val="single" w:sz="8" w:color="auto"/>
            </w:tcBorders>
          </w:tcPr>
          <w:p>
            <w:pPr>
              <w:spacing w:after="0"/>
              <w:rPr>
                <w:sz w:val="6"/>
                <w:szCs w:val="6"/>
                <w:color w:val="auto"/>
              </w:rPr>
            </w:pPr>
          </w:p>
        </w:tc>
      </w:tr>
      <w:tr>
        <w:trPr>
          <w:trHeight w:val="224"/>
        </w:trPr>
        <w:tc>
          <w:tcPr>
            <w:tcW w:w="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0"/>
              </w:rPr>
              <w:t>TG-1801</w:t>
            </w:r>
          </w:p>
        </w:tc>
        <w:tc>
          <w:tcPr>
            <w:tcW w:w="3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(anti-CD47/CD19 bispecific mAb)</w:t>
            </w: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disorders</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80"/>
        </w:trPr>
        <w:tc>
          <w:tcPr>
            <w:tcW w:w="680" w:type="dxa"/>
            <w:vAlign w:val="bottom"/>
            <w:tcBorders>
              <w:left w:val="single" w:sz="8" w:color="auto"/>
              <w:bottom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380" w:type="dxa"/>
            <w:vAlign w:val="bottom"/>
            <w:tcBorders>
              <w:bottom w:val="single" w:sz="8" w:color="auto"/>
              <w:right w:val="single" w:sz="8" w:color="auto"/>
            </w:tcBorders>
          </w:tcPr>
          <w:p>
            <w:pPr>
              <w:spacing w:after="0"/>
              <w:rPr>
                <w:sz w:val="6"/>
                <w:szCs w:val="6"/>
                <w:color w:val="auto"/>
              </w:rPr>
            </w:pPr>
          </w:p>
        </w:tc>
        <w:tc>
          <w:tcPr>
            <w:tcW w:w="3160" w:type="dxa"/>
            <w:vAlign w:val="bottom"/>
            <w:tcBorders>
              <w:bottom w:val="single" w:sz="8" w:color="auto"/>
              <w:right w:val="single" w:sz="8" w:color="auto"/>
            </w:tcBorders>
          </w:tcPr>
          <w:p>
            <w:pPr>
              <w:spacing w:after="0"/>
              <w:rPr>
                <w:sz w:val="6"/>
                <w:szCs w:val="6"/>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BRIUMVI (ublituximab-xiiy) Overview</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BRIUMVI is the first and only anti-CD20 monoclonal antibody approved for the treatment of RMS, to include clinically isolated syndrome, relapsing-remitting disease, and active secondary progressive disease, in adults, that can be administered in a one-hour infusion following the starting dose.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Late-Stage Clinical Development of Ublituximab-xiiy</w:t>
      </w:r>
    </w:p>
    <w:p>
      <w:pPr>
        <w:spacing w:after="0" w:line="221"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color w:val="auto"/>
        </w:rPr>
        <w:t xml:space="preserve">ULTIMATE I &amp; II Trials Evaluating Single Agent Ublituximab in RMS: </w:t>
      </w:r>
      <w:r>
        <w:rPr>
          <w:rFonts w:ascii="Arial" w:cs="Arial" w:eastAsia="Arial" w:hAnsi="Arial"/>
          <w:sz w:val="16"/>
          <w:szCs w:val="16"/>
          <w:color w:val="auto"/>
        </w:rPr>
        <w:t>ULTIMATE I and ULTIMATE II are two independent Phase 3</w:t>
      </w:r>
      <w:r>
        <w:rPr>
          <w:rFonts w:ascii="Arial" w:cs="Arial" w:eastAsia="Arial" w:hAnsi="Arial"/>
          <w:sz w:val="16"/>
          <w:szCs w:val="16"/>
          <w:b w:val="1"/>
          <w:bCs w:val="1"/>
          <w:color w:val="auto"/>
        </w:rPr>
        <w:t xml:space="preserve"> </w:t>
      </w:r>
      <w:r>
        <w:rPr>
          <w:rFonts w:ascii="Arial" w:cs="Arial" w:eastAsia="Arial" w:hAnsi="Arial"/>
          <w:sz w:val="16"/>
          <w:szCs w:val="16"/>
          <w:color w:val="auto"/>
        </w:rPr>
        <w:t>trials. Each trial is a global, randomized, multi-center, double-blinded, double-dummy, active-controlled study evaluating the efficacy and safety/tolerability of ublituximab-xiiy (450mg dose administered by one hour intravenous infusion every six months, following a Day 1 infusion of 150mg over four hours, and a Day 15 infusion of 450mg over one hour) to teriflunomide (14mg oral tablets taken once daily) in subjects with RMS. The primary endpoint for each study was ARR following 96 weeks of treatment. This program was led by Lawrence Steinman, MD, George A. Zimmermann Professor and Professor of Pediatrics, Neurology and Neurological Sciences at Stanford University.</w:t>
      </w: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40" w:top="517" w:right="81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2020, we announced positive topline results from the ULTIMATE I &amp; II trials. Both studies met their primary endpoint of significantly reducing ARR over a 96-week period (p&lt;0.005 in each study) with ublituximab-xiiy demonstrating an ARR of &lt;0.10 in each of the studies. Relative reductions of approximately 60% and 50% in ARR over teriflunomide were observed in ULTIMATE I &amp; II, respectively. Key secondary MRI endpoints were also met.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August 22, 2022, the full results from the ULTIMATE I &amp; II trials were published in the New England Journal of Medicine.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of BRIUMVI (ublituximab-xiiy)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28, 2022, we announced the FDA approval of BRIUMVI (ublituximab-xiiy) for the treatment of RMS, to include clinically isolated syndrome, relapsing-remitting disease, and active secondary progressive disease, in adults, primarily based on results from the ULTIMATE I &amp; II Phase 3 trials, and on January 26, 2023, we announced the U.S. commercial launch of BRIUMVI, making it available to physicians and patients.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 marketing authorization application (MAA) has been submitted to the European Medicines Agency (EMA) for ublituximab to treat adult patients with relapsing forms of MS. We expect a decision to be made on this application in the second half of 2023.</w:t>
      </w:r>
    </w:p>
    <w:p>
      <w:pPr>
        <w:spacing w:after="0" w:line="146" w:lineRule="exact"/>
        <w:rPr>
          <w:sz w:val="20"/>
          <w:szCs w:val="20"/>
          <w:color w:val="auto"/>
        </w:rPr>
      </w:pPr>
    </w:p>
    <w:p>
      <w:pPr>
        <w:jc w:val="both"/>
        <w:ind w:right="20" w:firstLine="765"/>
        <w:spacing w:after="0" w:line="277" w:lineRule="auto"/>
        <w:rPr>
          <w:sz w:val="20"/>
          <w:szCs w:val="20"/>
          <w:color w:val="auto"/>
        </w:rPr>
      </w:pPr>
      <w:r>
        <w:rPr>
          <w:rFonts w:ascii="Arial" w:cs="Arial" w:eastAsia="Arial" w:hAnsi="Arial"/>
          <w:sz w:val="18"/>
          <w:szCs w:val="18"/>
          <w:color w:val="auto"/>
        </w:rPr>
        <w:t>We will continue to evaluate options for commercialization outside the U.S., either alone or with a partner, that maximizes the potential return on investment.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TG-1701 (BTK inhibitor) 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TG-1701 is a novel, orally available and covalently-bound Bruton’s tyrosine kinase (BTK) inhibitor that exhibits strong selectivity to BTK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kinase screening.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B-cell receptor (BCR) signaling is crucial for normal B-cell development and supports the survival and growth of malignant B-cells in patients with B-cell leukemias or lymphomas. Targeting BTK, an essential element of BCR signaling pathway which regulates the survival, activation, proliferation, and differentiation of B lymphocytes, has shown remarkable efficacy with an acceptable safety profile in B-cell malignancies.</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are currently evaluating TG-1701 in a Phase 1, multi-center, dose-escalation clinical trial in patients with B-cell malignancies. Key secondary objectives include evaluation of pharmacokinetics (PK), pharmacodynamics, and preliminary anticancer activity. Data from this trial was presented at the 2021 American Society of Hematology (ASH)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 bispecific monoclonal antibody) 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TG-1801 is a first-in-class, bispecific CD47 and CD19 antibody. It is the first therapy to target both CD19, a B-cell specific market widely expressed across B-cell malignancies, and CD47, the "don’t eat me" signal used by both healthy and tumor cells to evade macrophage mediated phagocytosis. CD47 is expressed ubiquitously on normal cells, including red blood cells and platelets. CD19 is a specific B-cell marker, expressed early during pre-B cell ontogeny and until terminal differentiation into early plasma cells. The majority of B-cell lineage malignancies (more than 90%) express CD19, including NHL, CLL and acute lymphoblastic leukemia (ALL). Tumor B-cells that have lost the expression of CD20 after anti-CD20 mAb therapy, have been found to maintain the expression of CD19, making CD19 an attractive target in the treatment of B cell malignancies.</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the first quarter of 2019, we commenced a Phase 1 first-in-human, dose-escalation study of TG-1801. This study is evaluating escalating doses of TG-1801 in patients with B-Cell lymphoma. The primary objective of the study is to determine the recommended Phase 2 dose and to characterize the safety profile of TG-1801. Key secondary objectives are to evaluate the pharmacokinetics of TG-1801 and its preliminary anticancer activity. In December 2022, preliminary results from this first-in-human Phase 1 study were presented at the 64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American Society of Hematology (ASH) Annual Meeting &amp; Exposition. TG-1801 was well tolerated as monotherapy and in combination with ublituximab with no MTD identified and exhibited preliminary signs of efficacy in a variety of relapsed or refractory B-cell lymphomas.</w:t>
      </w:r>
    </w:p>
    <w:p>
      <w:pPr>
        <w:spacing w:after="0" w:line="3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first half of 2021, we commenced a second Phase 1 study of TG-1801 in the US to continue dose optimization as monotherapy and in combination with ublituximab. Enrollment in this study is ongoing.</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394335</wp:posOffset>
            </wp:positionV>
            <wp:extent cx="6497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also depend upon the skills, knowledge and experience of our scientific and technical personnel, as well as that of our advisors, consultants and other contractors. This knowledge, trade secrets, proprietary information and experience we call “know-how.” To help protect our proprietary know-how, which is not patentable, and for inventions for which patents may be difficult to enforce, we rely on trade secret protection and confidentiality agreements to protect our interests. To this end, we seek to protect our proprietary technology and processes, in part, by entering into confidentiality agreements with our collaborators, scientific advisors, employees and consultants, and invention assignment agreements with our employees and consultants. There can be no assurance, however, that we can prevent unauthorized disclosure or use of our trade secrets, know-how and proprietary information despite the existence of confidentiality agreements.</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issued patents and pending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spacing w:after="0" w:line="16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Generally, patent applications in the U.S. are maintained in secrecy for a period of 18 months or more. Since publication of discoveries in the scientific or patent literature often lags behind actual discoveries, we are not certain that we were the first to make the inventions covered by each of our issued patents and pending patent applications or that we were the first to file patent applications covering such inventions. The patent positions of biotechnology and pharmaceutical companies are highly uncertain and involve complex legal and factual questions. To date, there has been no consistent policy regarding the breadth of claims allowed in biotechnology patents. Therefore, we cannot predict the breadth of claims that may be ultimately allowed from our pending patent applications, cannot predict whether the claims in our issued patents will be invalidated or modified through the district courts, Patent Trial and Appeal Board (PTAB) proceedings, or reexamination proceedings at the United States Patent and Trademark Office (USPTO), and thus cannot predict the enforceability of the claims in our issued patents or the claims that may ultimately issue from our pending patent applications. Third parties or competitors may challenge or circumvent our patents or patent applications, if issued. If our competitors prepare and file patent applications in the U.S. that claim technology also claimed by us in a pending patent application or issued patent, we may have to participate in interference proceedings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 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third-party claim, an adverse outcome in the litigation could subject us to significant liabilities to such third party, require us to seek a license for the disputed rights from such third 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or those companies from which we have licensed our drug candidates,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combinations of our drugs together and with drugs developed by others. The intellectual property portfolios for our most advanced drug candidates as of February 2022 are summarized below. Each of these portfolios contains one or more pending patent applications covering our products and product candidates and uses and combinations thereof. For those patents, prosecution is in progress. Prosecution is a lengthy process, during which the scope of the claims initially submitted for examination by the USPTO is often significantly narrowed by the time they issue, if they issue at all. This may be the case with respect to our pending patent applications referred to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BRIUMVI (ublituximab-xiiy)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our license for ublituximab with LFB Biotechnologies, GTC Biotherapeutics, and LFB/GTC LLC, we have the exclusive commercial rights to a series of patents and patent applications in the U.S. and in multiple countries around the world, as well as a non-exclusive license to additional background patent rights. These patents and patent applications include composition of matter patents relating to the structure and mechanism of action for ublituximab, as well as method of use patents which cover use of ublituximab in combination with various agents and for various therapeutic indications.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composition of matter patent for ublituximab has been issued in the U.S., Europe and other jurisdictions, including Australia, Canada, China, Japan, Korea, and India. The expected expiration for the composition of matter patent is 2029 in the U.S. and 2025 in Europe and other non-US jurisdictions, exclusive of patent term extensions, which could result in later expiration dates. We also have a method of use patent on the combination of UKONIQ and ublituximab, which has been issued in the U.S., Europe, and other jurisdictions, including Australia, China, Korea, and Japan, and is pending in other territories. The expected expiration of the method of use patent for the combination of UKONIQ and ublituximab is 2033. In the U.S., the Biologics Price Competition and Innovation Act provides that BRIUMVI is eligible for 12 years of market exclusivity from the date of BRIUMVI’s U.S. approval. During this 12 year period a biosimilar product that references our BRIUMVI product, cannot be approved.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TG-1701 (BTK inhibitor)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our license agreement with Jiangsu Hengrui Medicine Co. (Hengrui), we have the exclusive commercial rights in the treatment of hematologic cancers to a patent family which covers the composition of matter and proposed methods of use for various therapeutic indications in the U.S. and certain other countries. Patents directed to the compound have granted in the U.S., Europe, and other jurisdictions, including Australia, Canada, Japan, China, and Korea and are expected to expire no sooner than October 2034. Applications are pending in other jurisdictions.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 bispecific antibody)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our joint venture and license option agreement with Novimmune SA (Novimmune), we maintain an exclusive option, exercisable at specific times during development, to license the commercial rights to a series of global patent applications and patents, and the non-exclusive right to certain technology patent applications. Patents directed to a bispecific antibody have issued in Australia, China, Europe, Japan, and Russia and are pending in other jurisdictions including the U.S. Any patents maturing from these pending applications are expected to expire no sooner than December 2033.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Patent Rights and Trade Secrets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patent rights that we own or have licensed relating to our product candidates are limited in ways that may affect our ability to exclude third parties from competing against us if we obtain regulatory approval to market these product candidates. See </w:t>
      </w:r>
      <w:r>
        <w:rPr>
          <w:rFonts w:ascii="Arial" w:cs="Arial" w:eastAsia="Arial" w:hAnsi="Arial"/>
          <w:sz w:val="17"/>
          <w:szCs w:val="17"/>
          <w:i w:val="1"/>
          <w:iCs w:val="1"/>
          <w:color w:val="auto"/>
        </w:rPr>
        <w:t>“Item 1A – 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 -- Risks Related to the Company’s Intellectual Property.</w:t>
      </w:r>
      <w:r>
        <w:rPr>
          <w:rFonts w:ascii="Arial" w:cs="Arial" w:eastAsia="Arial" w:hAnsi="Arial"/>
          <w:sz w:val="17"/>
          <w:szCs w:val="17"/>
          <w:color w:val="auto"/>
        </w:rPr>
        <w:t>” In addition, the limited patent protection may adversely affect the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products or product candidates and may inhibit our ability to obtain a corporate partner at terms acceptable to us, if at all.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Patent Term Restoration and Marketing Exclusivity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Depending upon the timing, duration and specifics of any FDA approval of our drug candidates, some of our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Investigational New Drug (IND) application and the submission date of a New Drug Application (NDA) or BLA plus the time between the submission date of an NDA or BLA and the approval of that application. Only one patent applicable to an approved drug is eligible for the extension and the application for the extension must be submitted prior to the expiration of the patent, and within 60 days of a product’s approval. The USPTO, in consultation with the FDA, reviews and approves the application for any patent term extension or restoration.</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Also, under the Hatch-Waxman Act, drugs that are new chemical entities (NCEs) are eligible for a five-year period of marketing exclusivity in the United States. During the exclusivity period, the FDA may not accept for review an abbreviated new drug application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Hatch-Waxman Act also provides three years of marketing exclusivity for a drug product that contains an active moiety that has been previously approved,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During this period, FDA will not approve an application filed by a third party for the protected conditions of use that relies on any of the data from the new clinical investigations that was submitted by the innovator company. Five-year and three-year exclusivity will not delay the submission or approval of a full NDA that does not rely on the innovator company’s data.</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Biologics Price Competition and Innovation Act of 2009 2009 (BPCIA) created an abbreviated pathway for companies to bring biologic drugs to market that are biosimilar to previously approved branded reference products by relying on clinical studies that were performed by the reference product sponsor. The BPCIA also created a 12-year period of data exclusivity for innovator biologics, whereby the FDA cannot approve a biological license application (BLA) for a biosimilar product relying on data for a specific reference product until 12 years after the reference product is first licensed. BLA supplements are not eligible for any additional exclusivity. The objectives of the BPCIA are conceptually similar to those of the Hatch-Waxman Act described above. The implementation of an abbreviated approval pathway for biosimilar products is under the direction of the FDA. Since the enactment of the BPCIA, the FDA has issued guidance on biosimilars, addressing scientific, quality and procedural issues relevant to an abbreviated application for a biosimilar product. As of December 2022, the FDA had approved 40 biosimilar products.</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 AND COLLABORATIONS</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have formed strategic alliances with a number of companies for the manufacture and commercialization of our products. Our current key strategic alliances are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BRIUMVI (ublituximab-xiiy)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LFB Biotechnologies S.A.S, GTC Biotherapeutics, LFB/GTC LLC.</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2012, 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As of December 31, 2022, we have incurred expenses of approximately $25.0 million related to milestones in accordance with the terms of the LFB License Agreement, $12.0 million of which was incurred in December of 2022 related to a milestone associated with receiving approval of BRIUMVI by the FDA. LFB Group is eligible to receive future payments of approximately $6.0 million, upon our successful achievement of certain regulatory milestones, in addition to royalty payments on net sales of ublituximab at a royalty rate in the high-single digits. The license will terminate on a country-by-country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Ildong Pharmaceutical Co. Ltd.(Ildong)</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To date, we have received $2 million in the form of an upfront payment from Ildong and are eligible to receive sales-based milestone payments up to an aggregate of $5 million and royalty payments on net sales of ublituximab at a royalty rate that escalates from mid-teens to high-teens upon approval in South Korea and/or Southeast Asia. The license will terminate on a country by country basis upon the expiration of the last licensed patent right or 15 years after the first commercial sale of a product in such country, unless the agreement is earlier terminated (i) by Ildong if the Company challenges any of the licensed patent rights, (ii) by either party due to a breach of the agreement, or (iii) by either party in the event of the insolvency of the other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TG-1701 (BTK inhibitor)</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January 2018, we entered into a global exclusive license agreement with Jiangsu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 1701 (SHR1459 or EBI1459) or TG1702 (SHR1266 or EBI1266).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In July 2020, we paid Hengrui $2.0 million as part of a milestone in accordance with the license agreement. Royalty payments in the low double digits are due on net sales of licensed products and revenue from sublicenses. Additionally, before we can license, sell, develop, or commercialize ublituximab within China, we must notify Hengrui, giving Hengrui the right of first offer. The agreement allows combinations of TG-1701 or TG-1702 with umbralisib, ublituximab, or U2. Additional combinations may be undertaken under the agreement subject to additional pre-specified payments to Hengrui.</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of the agreement expires after the expiration of the last royalty term to expire with respect to any of the patent rights under the agreement. We or Hengrui may terminate the agreement upon notice to the other upon breach without remedy or upon insolvency. In addition, either party may terminate the agreement upon a material breach, after providing the other party with adequate notice and allowing 45 days to cure.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 bispecific antibody)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2018, we entered into a Joint Venture and License Option Agreement with Novimmune to collaborate on the development and commercialization of Novimmune’s novel first-in-class anti-CD47/anti-CD19 bispecific antibody known as TG 1801 (previously NI 1701). The companies will jointly develop the product on a worldwide basis, focusing on indications in the area of hematologic B-cell malignancies. We serve as the primary responsible party for the development, manufacturing and commercialization of the product.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 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UKONIQ (umbralisib)</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September 2014, we exercised our option to license the global rights to umbralisib, thereby entering into an exclusive licensing agreement (the Umbralisib License) with Rhizen Pharmaceuticals, S A (Rhizen) for the development and commercialization of umbralisib. Rhizen is eligible to receive approval and sales-based milestone payments in the aggregate of approximately $175 million payable. Additionally, Rhizen receives tiered royalties that escalate from high single digits to low double digits on any net sales of umbralisib. The license will terminate on a country-by-country basis upon the expiration of the last licensed patent right or any other exclusivity right in such country, unless the agreement is earlier terminated (i) by us for any reason, or (ii) by either party due to a breach of the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Cosibelimab</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March 2015, we entered into a global collaboration (the Collaboration Agreement) with Checkpoint Therapeutics, Inc. (Checkpoint) for the development and commercialization of Checkpoint’s anti-PD-L1 and anti-GITR antibody research programs in the field of hematological malignancies with an option to acquire rights in autoimmune diseases. Under the terms of the agreement, we will make development and sales-based milestone payments up to an aggregate of approximately $110 million and will pay a tiered low double-digit royalty on net sales. The royalty term will terminate on a country by country basis upon the later of (i) ten years after the first commercial sale of any applicable licensed product in such country, or (ii) the expiration of the last-to-expire patent containing a valid claim to any licensed product in such country.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drugs that we are attempting to develop will have to compete with existing therapies. In addition, a large number of companies are pursuing the development of pharmaceuticals that target the same diseases and conditions that we are targeting. Some of these potential competing drugs are further advanced in development than our drug candidates and may be commercialized earlier. The resulting changes in standard of care can impact the likelihood of regulatory accelerated approval opportunities for our drug candidates.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BRIUMVI, there are a number of established therapies with which we will compete:</w:t>
      </w:r>
    </w:p>
    <w:p>
      <w:pPr>
        <w:spacing w:after="0" w:line="225" w:lineRule="exact"/>
        <w:rPr>
          <w:sz w:val="20"/>
          <w:szCs w:val="20"/>
          <w:color w:val="auto"/>
        </w:rPr>
      </w:pPr>
    </w:p>
    <w:p>
      <w:pPr>
        <w:ind w:left="660" w:right="160" w:hanging="319"/>
        <w:spacing w:after="0" w:line="30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expect BRIUMVI will primarily compete against other iv CD20-targeted agents, while the group of CD20-targeted agents will also compete broadly against a number of already approved MS therapies. Currently, there is one other approved intravenously delivered anti-CD20 monoclonal antibody ocrelizumab (Roche Holdings AG). In addition, while we believe not directly competitive, there is also a subcutaneous anti-CD20 monoclonal antibody approved for MS, ofatumumab (Novartis AG).</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TG-1701 and TG-1801 if approved will also face competition from drugs on the market and under development in the same therapeutic class as each of those drugs.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Additional information can be found under Item “1A - Risk Factors – Other Risks Related to Our Business” within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MANUFACTURING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limited experience in manufacturing products for clinical or commercial purposes. We currently do not have any manufacturing capabilities of our own. We have established a contract manufacturing relationship for the commercial supply of BRIUMVI with Samsung Biologics. As with any supply program, obtaining materials of sufficient quality and quantity to meet the requirements of the market demand for BRIUMVI and our ublituximab development programs cannot be guaranteed and we cannot ensure that we will be successful in this endeavor.</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the extent possible and commercially practicable, we plan to develop back-up strategies for raw materials,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many years.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expect to similarly rely on contract manufacturing relationships for any products that we may in-license or acquire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However, there can be no assurance that we will be able to successfully contract with such manufacturers on terms acceptable to us, or at all.</w:t>
      </w:r>
    </w:p>
    <w:p>
      <w:pPr>
        <w:spacing w:after="0" w:line="23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Contract manufacturers are subject to ongoing periodic and unannounced inspections by the FDA, the Drug Enforcement Administration if applicable, and corresponding state agencies to ensure strict compliance with cGMP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need to change manufacturers after commercialization, the FDA and corresponding foreign regulatory agencies may need to approve these new manufacturers in advance, which will involve testing, regulatory submissions,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INDUSTRY REGULATION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Numerous governmental authorities, principally the FDA and corresponding state and foreign regulatory agencies, impose substantial regulations upon the clinical development, manufacture and marketing of our product candidates, as well as our ongoing research and development activities. We, along with our third-party contractors, will be required to navigate the various pre- and post-approval requirements of the governing regulatory agencies of the jurisdictions in which we wish to conduct clinical studies or market our product candidates. None of our product candidates, except BRIUMVI, are approved for sale in any market in which we have marketing rights. Before marketing in the U.S., any drug that we develop must undergo rigorous pre-clinical testing and clinical trials and an extensive regulatory review and approval process implemented by the FDA under the FDCA and, in the case of biologics, the Public Health Service Act. The FDA regulates, among other things, the pre-clinical and clinical testing, safety, efficacy, approval, manufacturing, quality control and assurance, record keeping, pharmacovigilance and adverse event reporting, packaging, labeling, storage, advertising, promotion, import and export, sale and distribution of biopharmaceutical products. The process of obtaining regulatory approvals and the subsequent compliance with applicable federal, state, local and foreign statutes and regulations require the expenditure of substantial time and financial resources.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Applications for Marketing Authorization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regulatory review and approval process is lengthy, expensive, and uncertain. We are required to submit extensive pre-clinical and clinical data and supporting information to the FDA for each indication or use to establish a drug candidate’s safety and efficacy before we can secure FDA approval to market or sell a product in the U.S. The approval process takes many years, requires the expenditure of substantial resources, and may involve ongoing requirements for post-marketing studies or surveillance. Before commencing clinical trials in humans, we must submit an IND to the FDA containing, among other things, pre-clinical data, chemistry, manufacturing and control information, and an investigative plan. Our submission of an IND may not result in FDA authorization to commence a clinical trial.</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clinical development and to pursue NDA or BLA approval, clinical trials are typically conducted in the following sequential phases:</w:t>
      </w:r>
    </w:p>
    <w:p>
      <w:pPr>
        <w:spacing w:after="0" w:line="170" w:lineRule="exact"/>
        <w:rPr>
          <w:sz w:val="20"/>
          <w:szCs w:val="20"/>
          <w:color w:val="auto"/>
        </w:rPr>
      </w:pPr>
    </w:p>
    <w:p>
      <w:pPr>
        <w:ind w:left="660" w:right="580" w:hanging="319"/>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administered to a small group of humans, either healthy volunteers or patients, to test for safety, dosage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excretion, and clinical pharmacology.</w:t>
      </w:r>
    </w:p>
    <w:p>
      <w:pPr>
        <w:spacing w:after="0" w:line="1" w:lineRule="exact"/>
        <w:rPr>
          <w:rFonts w:ascii="Arial" w:cs="Arial" w:eastAsia="Arial" w:hAnsi="Arial"/>
          <w:sz w:val="18"/>
          <w:szCs w:val="18"/>
          <w:color w:val="auto"/>
        </w:rPr>
      </w:pPr>
    </w:p>
    <w:p>
      <w:pPr>
        <w:ind w:left="660" w:right="300" w:hanging="319"/>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2: Studies are conducted on more patients to assess the product's efficacy, to ascertain dose tolerance and the optimal dose range, and to gather additional data relating to safety and potential adverse events.</w:t>
      </w:r>
    </w:p>
    <w:p>
      <w:pPr>
        <w:ind w:left="660" w:hanging="31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Studies establish safety and efficacy in an expanded patient population.</w:t>
      </w:r>
    </w:p>
    <w:p>
      <w:pPr>
        <w:spacing w:after="0" w:line="9" w:lineRule="exact"/>
        <w:rPr>
          <w:rFonts w:ascii="Arial" w:cs="Arial" w:eastAsia="Arial" w:hAnsi="Arial"/>
          <w:sz w:val="18"/>
          <w:szCs w:val="18"/>
          <w:color w:val="auto"/>
        </w:rPr>
      </w:pPr>
    </w:p>
    <w:p>
      <w:pPr>
        <w:ind w:left="660" w:right="440" w:hanging="319"/>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Phase 4: </w:t>
      </w:r>
      <w:r>
        <w:rPr>
          <w:rFonts w:ascii="Arial" w:cs="Arial" w:eastAsia="Arial" w:hAnsi="Arial"/>
          <w:sz w:val="18"/>
          <w:szCs w:val="18"/>
          <w:color w:val="auto"/>
        </w:rPr>
        <w:t>The FDA may require Phase 4 post-marketing studies to find out more about the drug’s long-term risks, benefits, and</w:t>
      </w:r>
      <w:r>
        <w:rPr>
          <w:rFonts w:ascii="Arial" w:cs="Arial" w:eastAsia="Arial" w:hAnsi="Arial"/>
          <w:sz w:val="18"/>
          <w:szCs w:val="18"/>
          <w:i w:val="1"/>
          <w:iCs w:val="1"/>
          <w:color w:val="auto"/>
        </w:rPr>
        <w:t xml:space="preserve"> </w:t>
      </w:r>
      <w:r>
        <w:rPr>
          <w:rFonts w:ascii="Arial" w:cs="Arial" w:eastAsia="Arial" w:hAnsi="Arial"/>
          <w:sz w:val="18"/>
          <w:szCs w:val="18"/>
          <w:color w:val="auto"/>
        </w:rPr>
        <w:t>optimal use, or to test the drug in different populations.</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Clinical testing must meet requirements for institutional review board oversight, informed consent and good clinical practices, and must be conducted pursuant to an IND, unless exempted. 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w:t>
      </w:r>
    </w:p>
    <w:p>
      <w:pPr>
        <w:spacing w:after="0" w:line="18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that may increase the costs of these trials, include:</w:t>
      </w:r>
    </w:p>
    <w:p>
      <w:pPr>
        <w:spacing w:after="0" w:line="184" w:lineRule="exact"/>
        <w:rPr>
          <w:sz w:val="20"/>
          <w:szCs w:val="20"/>
          <w:color w:val="auto"/>
        </w:rPr>
      </w:pPr>
    </w:p>
    <w:p>
      <w:pPr>
        <w:ind w:left="660" w:right="40" w:hanging="319"/>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slow patient enrollment due to the nature of the clinical trial plan, the proximity of patients to clinical sites, the eligibility criteria for participation in the study or other factors;</w:t>
      </w:r>
    </w:p>
    <w:p>
      <w:pPr>
        <w:spacing w:after="0" w:line="1" w:lineRule="exact"/>
        <w:rPr>
          <w:rFonts w:ascii="Arial" w:cs="Arial" w:eastAsia="Arial" w:hAnsi="Arial"/>
          <w:sz w:val="18"/>
          <w:szCs w:val="18"/>
          <w:color w:val="auto"/>
        </w:rPr>
      </w:pPr>
    </w:p>
    <w:p>
      <w:pPr>
        <w:ind w:left="660" w:right="480" w:hanging="319"/>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 or delays in approvals from a study site’s review board;</w:t>
      </w:r>
    </w:p>
    <w:p>
      <w:pPr>
        <w:ind w:left="660" w:hanging="31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treatment time required to demonstrate efficacy or determine the appropriate product dose;</w:t>
      </w:r>
    </w:p>
    <w:p>
      <w:pPr>
        <w:spacing w:after="0" w:line="9" w:lineRule="exact"/>
        <w:rPr>
          <w:rFonts w:ascii="Arial" w:cs="Arial" w:eastAsia="Arial" w:hAnsi="Arial"/>
          <w:sz w:val="18"/>
          <w:szCs w:val="18"/>
          <w:color w:val="auto"/>
        </w:rPr>
      </w:pPr>
    </w:p>
    <w:p>
      <w:pPr>
        <w:ind w:left="660" w:hanging="31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supply of the drug candidates;</w:t>
      </w:r>
    </w:p>
    <w:p>
      <w:pPr>
        <w:spacing w:after="0" w:line="9" w:lineRule="exact"/>
        <w:rPr>
          <w:rFonts w:ascii="Arial" w:cs="Arial" w:eastAsia="Arial" w:hAnsi="Arial"/>
          <w:sz w:val="18"/>
          <w:szCs w:val="18"/>
          <w:color w:val="auto"/>
        </w:rPr>
      </w:pPr>
    </w:p>
    <w:p>
      <w:pPr>
        <w:ind w:left="660" w:hanging="31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9" w:lineRule="exact"/>
        <w:rPr>
          <w:rFonts w:ascii="Arial" w:cs="Arial" w:eastAsia="Arial" w:hAnsi="Arial"/>
          <w:sz w:val="18"/>
          <w:szCs w:val="18"/>
          <w:color w:val="auto"/>
        </w:rPr>
      </w:pPr>
    </w:p>
    <w:p>
      <w:pPr>
        <w:ind w:left="660" w:hanging="31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ineffectiveness of the drug candidates.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clinical trials that are intended to form the basis of a new drug or biologics license application for approval, sponsors of drugs may apply for an SPA from the FDA, by which the FDA provides official evaluation and written guidance on the design and size of proposed protocols. While obtaining an SPA provides some assurance the design of a trial should be sufficient for approval, the final marketing approval depends on the results of efficacy, the adverse event profile and an evaluation of the benefit/risk of treatment demonstrated in the Phase 3 trial. The SPA agreement may only be changed through a written agreement between the sponsor and the FDA, or if the FDA becomes aware of a substantial scientific issue essential to product safety or efficacy.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FDA may permit expedited development, evaluation, and marketing of new therapies intended to treat persons with serious or life-threatening conditions for which there is an unmet medical need under its expedited drug development programs. A sponsor can apply for Fast Track designation at the time of submission of an IND, or at any time prior to receiving marketing approval of the new drug application, or NDA. To receive Fast Track designation, an applicant must demonstrate:</w:t>
      </w:r>
    </w:p>
    <w:p>
      <w:pPr>
        <w:spacing w:after="0" w:line="187" w:lineRule="exact"/>
        <w:rPr>
          <w:sz w:val="20"/>
          <w:szCs w:val="20"/>
          <w:color w:val="auto"/>
        </w:rPr>
      </w:pPr>
    </w:p>
    <w:p>
      <w:pPr>
        <w:ind w:left="660" w:hanging="31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the drug is intended to treat a serious or life-threatening condition; and</w:t>
      </w:r>
    </w:p>
    <w:p>
      <w:pPr>
        <w:spacing w:after="0" w:line="23" w:lineRule="exact"/>
        <w:rPr>
          <w:rFonts w:ascii="Arial" w:cs="Arial" w:eastAsia="Arial" w:hAnsi="Arial"/>
          <w:sz w:val="18"/>
          <w:szCs w:val="18"/>
          <w:color w:val="auto"/>
        </w:rPr>
      </w:pPr>
    </w:p>
    <w:p>
      <w:pPr>
        <w:ind w:left="660" w:hanging="31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nonclinical or clinical data demonstrate the potential to address an unmet medical need.</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FDA must respond to a request for Fast Track designation within 60 calendar days of receipt of the request. Over the course of drug development, a product in a Fast Track development program must continue to meet the criteria for Fast Track designation. Sponsors of products in Fast Track drug development programs must be in regular contact with the reviewing division of the FDA to ensure that the evidence necessary to support marketing approval will be developed and presented in a format conducive to an efficient review. Sponsors of products in Fast Track drug development programs are also permitted to submit portions of an NDA or BLA to the FDA on a rolling basis where the FDA may consider reviewing portions of a marketing application before the sponsor submits the complete application.</w:t>
      </w:r>
    </w:p>
    <w:p>
      <w:pPr>
        <w:spacing w:after="0" w:line="15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sponsors may also apply to the FDA for Breakthrough Therapy Designation (BTD). The procedures and requirements for BTD are similar to those required for Fast Track such that the Breakthrough Therapy Designation is intended to expedite the development and review of a potential new drug for serious or life-threatening diseases, however, with BTD, there is a further requirement that the sponsor present “preliminary clinical evidence” which “indicates that the drug may demonstrate substantial improvement over existing therapies on one or more clinically significant endpoints, such as substantial treatment effects observed early in clinical development.” The designation of a drug as a Breakthrough Therapy was enacted as part of the 2012 Food and Drug Administration Safety and Innovation Act.</w:t>
      </w:r>
    </w:p>
    <w:p>
      <w:pPr>
        <w:spacing w:after="0" w:line="15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Sponsors of drugs granted Fast Track or breakthrough therapy designation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To obtain accelerated approval a sponsor must be able to demonstrate the drug candidate treats a serious condition, provides a meaningful advantage over other available therapies, and demonstrates an effect on a surrogate endpoint that is reasonably likely to predict clinical benefit. Many companies have filed for accelerated approval and have subsequently failed to obtain such approval for a variety of reasons. To the extent a product does obtain an accelerated approval, such approval will be subject to the requirement that the applicant study the drug further in a post-marketing confirmatory clinical trial to verify and describe its clinical benefit where there is uncertainty as to the relation of the surrogate endpoint to clinical benefit or uncertainty as to the relation of the observed clinical benefit to ultimate outcome. Accelerated approval is sometimes referred to as conditional approval because if the results of these confirmatory clinical trials fail to verify clinical benefit, the FDA has the right to remove the drug from the market and has done so in the recent past. Post-marketing confirmation studies are usually underway at the time an applicant files the NDA. When required to be conducted, such post-marketing confirmation studies must also be adequate and well-controlled. The applicant must carry out any such post-marketing confirmation studies with due diligence. Completing the required post-approval clinical studies as designed can be difficult, especially as the treatment landscape evolves.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also becoming more common for the FDA to request a Risk Evaluation and Mitigation Strategy, or REMS, as part of an NDA/BLA. The REMS plan contains post-market obligations of the sponsor to train prescribing physicians, monitor off-label drug use, and conduct Phase 4 follow-up studies and registries to ensure the continued safe use of the drug.</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NDA and BLA review process also generally includes a pre-approval inspection, or PAI, to assess the manufacturing facilities and relevant processes and data for compliance, and readiness for commercial manufacture in accordance with cGMPs. Among the conditions of approval is the requirement that a manufacturer’s quality systems and manufacturing procedures conform to cGMP. Even when product approval is received, manufacturers must expend significant time, money and effort to ensure continued compliance, and the FDA conducts periodic surveillance inspections to monitor the manufacturing process and drug quality and evaluate whether the manufacturers are in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 Many drug approvals have been delayed due to issues at contract manufacturing facilities. If we were to experience any such delay that would negatively impact our business and timeline to commercialization of any of our drug candidates affected by such manufacturing issue.</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Any products for which we receive FDA approval are subject to continuing regulation by the FDA and other federal and state regulators on a wide range of matters, including, among other things cGMPs and product quality, pharmacovigilance and reporting of adverse events, product distribution requirements, fulfilling post-marketing or confirmatory study or REMS commitments, and complying with FDA promotion and advertising requirements. Violations of the FDCA or other post-approval regulatory requirements may result in agency enforcement actions, including withdrawal of approval, recall, seizure of products, warning letters, injunctions, fines and/or civil or criminal penalties. Any agency enforcement action could have a material adverse effect on our business.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 promotion and advertising requirements applicable to marketed products include, among other things, standards for direct-to-consumer advertising, restrictions against promoting products for uses or in patient populations that are not either described in the product’s approved indications and uses or otherwise consistent with the FDA-approved product labeling, limitations on industry-sponsored scientific and educational activities, rules regarding communication of health care economic information regarding biopharmaceutical products to payors and formularies, and requirements for promotional activities involving the internet. Drugs whose review was accelerated may carry additional requirements on marketing activities, including the requirement that all promotional materials are pre-submitted to the FDA.</w:t>
      </w:r>
    </w:p>
    <w:p>
      <w:pPr>
        <w:spacing w:after="0" w:line="195" w:lineRule="exact"/>
        <w:rPr>
          <w:sz w:val="20"/>
          <w:szCs w:val="20"/>
          <w:color w:val="auto"/>
        </w:rPr>
      </w:pPr>
    </w:p>
    <w:p>
      <w:pPr>
        <w:jc w:val="both"/>
        <w:ind w:firstLine="492"/>
        <w:spacing w:after="0" w:line="269" w:lineRule="auto"/>
        <w:rPr>
          <w:sz w:val="20"/>
          <w:szCs w:val="20"/>
          <w:color w:val="auto"/>
        </w:rPr>
      </w:pPr>
      <w:r>
        <w:rPr>
          <w:rFonts w:ascii="Arial" w:cs="Arial" w:eastAsia="Arial" w:hAnsi="Arial"/>
          <w:sz w:val="17"/>
          <w:szCs w:val="17"/>
          <w:color w:val="auto"/>
        </w:rPr>
        <w:t>After product approval, quality control and manufacturing procedures must continue to conform to applicable manufacturing requirements. FDA regulations require among other things, quality control and quality assurance as well as the corresponding maintenance of records and documentation and the obligation to investigate and correct any deviations from cGMPs. Manufacturers and other entities involved in the manufacture and distribution of approved products are required to register their establishments and list their products with the FDA and certain state agencies. Manufacturers and their third-party contractors may be subject to periodic unannounced inspections by the FDA and certain state agencies for assessment of compliance with cGMPs and other applicable laws. Accordingly, manufacturers must continue to expend time, money, and effort in the areas of production and quality control to maintain quality control and manufacturing compliance. Discovery of problems with a product after approval may result in restrictions on a product, including, among other things, withdrawal of approval, recall or withdrawal of the product from the market. In addition, changes to the manufacturing process are strictly regulated, and depending on the significance of the change, may require prior FDA approval or notification before being implemented. Other types of changes to the approved product, such as adding new indications and claims to the product labeling, are also subject to further FDA review and approval.</w:t>
      </w:r>
    </w:p>
    <w:p>
      <w:pPr>
        <w:spacing w:after="0" w:line="165"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Marketed products must meet the requirements of the Drug Supply Chain Security Act, or DSCSA, which regulates the commercial distribution of prescription drug products at the federal level. The DSCSA sets certain standards for federal or state registration, requires tracing of products through the pharmaceutical distribution supply chain, and imposes other requirements on entities in the supply chain, including manufacturers and repackagers, wholesale distributors, third-party logistics providers, and dispensers. The DSCSA requirements, development of standards, and the system for product tracing have been and will continue to be phased in per the DSCSA implementation timeline established by the FDA.</w:t>
      </w:r>
    </w:p>
    <w:p>
      <w:pPr>
        <w:spacing w:after="0" w:line="179" w:lineRule="exact"/>
        <w:rPr>
          <w:sz w:val="20"/>
          <w:szCs w:val="20"/>
          <w:color w:val="auto"/>
        </w:rPr>
      </w:pPr>
    </w:p>
    <w:p>
      <w:pPr>
        <w:jc w:val="both"/>
        <w:ind w:firstLine="492"/>
        <w:spacing w:after="0" w:line="275" w:lineRule="auto"/>
        <w:rPr>
          <w:sz w:val="20"/>
          <w:szCs w:val="20"/>
          <w:color w:val="auto"/>
        </w:rPr>
      </w:pPr>
      <w:r>
        <w:rPr>
          <w:rFonts w:ascii="Arial" w:cs="Arial" w:eastAsia="Arial" w:hAnsi="Arial"/>
          <w:sz w:val="17"/>
          <w:szCs w:val="17"/>
          <w:color w:val="auto"/>
        </w:rPr>
        <w:t>In addition, the post-marketing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w:t>
      </w:r>
    </w:p>
    <w:p>
      <w:pPr>
        <w:spacing w:after="0" w:line="163" w:lineRule="exact"/>
        <w:rPr>
          <w:sz w:val="20"/>
          <w:szCs w:val="20"/>
          <w:color w:val="auto"/>
        </w:rPr>
      </w:pPr>
    </w:p>
    <w:p>
      <w:pPr>
        <w:jc w:val="both"/>
        <w:ind w:firstLine="492"/>
        <w:spacing w:after="0" w:line="257"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guidance documents, and policies are often revised or reinterpreted by the agency in ways that may significantly affect our business. It is impossible to predict whether further legislative or FDA regulation or policy changes will be enacted or implemented and what the impact of such changes, if any, may be.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69" w:lineRule="auto"/>
        <w:rPr>
          <w:sz w:val="20"/>
          <w:szCs w:val="20"/>
          <w:color w:val="auto"/>
        </w:rPr>
      </w:pPr>
      <w:r>
        <w:rPr>
          <w:rFonts w:ascii="Arial" w:cs="Arial" w:eastAsia="Arial" w:hAnsi="Arial"/>
          <w:sz w:val="17"/>
          <w:szCs w:val="17"/>
          <w:color w:val="auto"/>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Importantly, the level of evidence of efficacy and safety necessary to apply for marketing authorization for a drug candidate differs from country to country. In particular, clinical trial endpoints, and the level of clinical evidence that may support, for example, an accelerated approval filing with the FDA, may be insufficient to file for marketing applications outside of the U.S. At present, companies are typically required to apply for foreign marketing authorizations at a national level. However, within the European Union, centralized registration procedures are available to companies wishing to market a product across the European Union member states.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Sales of our drugs will depend, in part, on the extent to which our drugs will be covered by third-party payors, such as government health programs, commercial insurance and managed healthcare organizations. These third-party payors are increasingly reducing reimbursements for medical drugs and services. In addition, the containment of healthcare costs has become a priority of foreign and U.S. federal and state governments, and the prices of drugs have been a focus in this effort. The U.S. government, state legislatures and foreign governments have shown significant interest in implementing cost-containment programs, including price controls, restrictions on reimbursement, importation,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U.S., the Patient Protection and Affordable Care Act, as amended by the Health Care and Education Reconciliation Act of 2010, or collectively the Affordable Care Act, enacted in March 2010, has had a significant impact on the health care industry. The Affordable Care Act expanded coverage for the uninsured while at the same time containing overall healthcare costs. With regard to pharmaceutical products, the Affordable Care Act, among other things, created a new average manufacturer price definition under the Medicaid Drug Rebate Program for drugs that are inhaled, infused, instilled, implanted or injected and not generally dispensed through the retail channel,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(subsequent legislation increased this to 70% effective as of January 1, 2019), as a condition for the manufacturer’s outpatient drugs to be covered under Medicare Part D.</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the enactment of the Affordable Care Act, certain provisions of the Affordable Care Act have been subject to judicial challenges as well as efforts to repeal or replace them or to alter their interpretation or implementation. For example, the Tax Cuts and Jobs Act enacted on December 22, 2017, eliminated the shared responsibility payment for individuals who fail to maintain minimum essential coverage under section 5000A of the Internal Revenue Code of 1986, commonly referred to as the individual mandate, effective January 1, 2019. Although litigation and legislation over the Affordable Care Act are likely to continue, with unpredictable and uncertain results, we expect that the Biden administration may seek to expand and strengthen the Affordable Care Act.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August 16, 2022, President Biden signed into law the Inflation Reduction Act of 2022 (the Act), which, among other provisions, included several measures intended to lower the cost of prescription drugs and related healthcare reforms. Specifically, the Act authorizes and directs the Department of Health and Human Services (the DHHS) to set drug price caps for certain high-cost Medicare Part B and Part D qualified drugs, with the initial list of drugs to be selected by September 1, 2023, and the first year of maximum price applicability to begin in 2026.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at $2,000 beginning in 2025. We cannot be sure whether additional or related legislation or rulemaking will be issued or enacted, or what impact, if any, such changes will have on the profitability of any of our drug candidates, if approved for commercial use, in the future.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prescription drug pricing, including price and marketing cost disclosure and transparency measures, and, in some cases, authorizing importation of prescription drugs from other countries.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or put pressure on our product pricing. We expect that additional state healthcare reform measures will be adopted in the future, which could limit the amounts that state governments will pay for healthcare products and services and result in additional pricing pressures.</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in some foreign countries, the proposed pricing for a prescription drug must be approved before the drug may be lawfully marketed. The requirements governing drug pricing vary widely from country to country. For example, the United Kingdom and many European Union member states have robust health technology assessment processes to determine pricing and reimbursement for pharmaceuticals through their national health insurance system. Many European Union members states also include either direct or indirect price referencing, or other price control mechanisms, in determining the price of a pharmaceutical in their market. There can be no assurance that any country that has price controls or reimbursement limitations for pharmaceutical drugs will allow favorable reimbursement and pricing arrangements for any of our products. Historically, drugs launched in the European Union do not follow price structures of the U.S. and generally tend to be significantly lower.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Healthcare Laws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privacy and security laws; laws governing interactions with healthcare professionals and related transparency requirements (such as the federal Sunshine Act and a range of state biopharmaceutical marketing and transparency laws); and requirements for manufacturers to report certain calculated product prices to the government or provide certain discounts or rebates to government authorities or private entities, often as a condition of reimbursement under government healthcare programs. The compliance and enforcement landscape is informed by government enforcement precedent and settlement history, Advisory Opinions, and Special Fraud Alerts. The risks we face and our approach to compliance may evolve over time in light of these types of developments. The potential safe harbors available for, example, relative to the Anti-Kickback Statute, are subject to change through legislative and regulatory action, and we may decide to adjust our business practices or be subject to heightened scrutiny as a result.</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Anti-Kickback Statute to reach large settlements with healthcare companies based on research, consulting and other financial arrangements with physicians that the government alleged were not based on the provision of bona fide services and were intended as an inducement or reward.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the civil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federal Health Insurance Portability and Accountability Act of 1996, (HIPAA),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There has also been a recent trend of increased federal and state regulation of payments made to physicians and other healthcare providers. The Affordable Care Act, among other things, imposes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are required to submit annual reports to the Centers for Medicare &amp; Medicaid Services, which publicly posts the data on its website. Effective January 1, 2022, these reporting obligations extend to include transfers of value made to certain non-physician providers such as physician assistants and nurse practitioners. Certain states also mandate implementation of compliance programs, impose restrictions on drug manufacturer marketing practices and/or require the tracking and reporting of gifts, compensation and other remuneration to physicians.</w:t>
      </w:r>
    </w:p>
    <w:p>
      <w:pPr>
        <w:spacing w:after="0" w:line="15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and Clinical Health Act,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according to the U.S. Federal Trade Commission,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under HIPAA.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we may be subject to 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thus complicating compliance efforts. For example, the California Consumer Protection Act, (CCPA), which went into effect on January 1, 2020, established a privacy framework for covered businesses by creating an expanded definition of personal information, data privacy rights for consumers in California, and a potentially severe statutory damages framework for violations of the CCPA and for businesses that fail to implement reasonable security procedures and practices to prevent data breaches. The CCPA was recently amended by the California Privacy Rights Act (CPRA), expanding certain consumer rights such as the right to know. It remains unclear what, if any, additional modifications will be made to these laws by the California legislature or how these laws will be interpreted and enforced. The potential effects of the CCPA and CPRA are significant and may cause us to incur substantial costs and expenses to comply.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 of the World Healthcare 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other countries outside of the U.S. and the European Union, the requirements governing the conduct of clinical trials, drug licensing, sales and marketing, pricing and reimbursement vary from country to country.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European Union member states, the United Kingdom, Switzerland, and other foreign jurisdictions have adopted data protection laws and regulations, which impose significant compliance obligations. In the European Union and the United Kingdom, the collection and use of personal data, including clinical trial data, is governed by the provisions of the General Data Protection Regulation, or GDPR. The GDPR, together with national legislation, regulations and guidelines of the European Union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European Union or the United Kingdom, security breach notifications, security and confidentiality of the personal data and imposition of substantial potential fines for breaches of the data protection obligations. Compliance with the GDPR is a rigorous and time-intensive process that may increase the cost of doing business to ensure full compliance. Furthermore, European data protection authorities may interpret the GDPR and national laws differently and impose additional requirements, which add to the complexity of processing personal data in or from the European Union or United Kingdom.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February 16, 2023, we had 226 full-time employees. None of our employees are represented by a collective bargaining agreement, and we have never experienced a work stoppage.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our future success largely depends upon our continued ability to attract and retain a diverse workforce of highly skilled and dedicated employees. We pride ourselves on being an equal opportunity employer and strictly prohibit unlawful discrimination based on color, religion, gender, sexual orientation, gender identity/expression, national origin/ancestry, age, disability, marital and veteran status.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expect to continue to grow our organization to support the commercialization of BRIUMVI and to enhance our overall development capabilities for current or future products under development. As part of that process, we will continue to evaluate the business needs and market opportunities, balancing in-house expertise and core competencies with outsourced capacity.</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Drug development and commercialization requires deep expertise across a broad array of disciplines. Pharmaceutical companies of all sizes compete for a limited number of qualified applicants to fill specialized positions. To attract qualified candidates, the Company offers an attractive total rewards package, consisting of base salary, cash bonus, a comprehensive benefit package, equity compensation, and 401(k) plan. Bonus opportunities and equity compensation increase as a percentage of total compensation based on level of responsibility, and actual bonus awards are based on performance.</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You should carefully consider the following risk factors and the other information contained elsewhere in this Annual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obtain FDA approval for a product candidate and do not achieve broad market acceptance among physicians, patients, healthcare payors, and the medical community, the revenues that we generate from product sales will be limited.</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currently have one marketed product, BRIUMVI, which received approval from the FDA on December 28, 2022, for the treatment of relapsing forms of multiple sclerosis (RMS), to include clinically isolated syndrome, relapsing-remitting disease, and active secondary progressive disease, in adults.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we have initiated the commercial launch of BRIUMVI in the U.S., we have limited experience as a commercial company, and our ability to successfully overcome the risks associated with commercializing drugs in the biopharmaceutical industry, including the risk that our products do not achieve an adequate level of acceptance,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projections or guidance and may not become profitable. The degree of market acceptance of BRIUMVI, as well as any future product candidates for which we may receive approval, will depend on a number of factors, including:</w:t>
      </w:r>
    </w:p>
    <w:p>
      <w:pPr>
        <w:spacing w:after="0" w:line="195" w:lineRule="exact"/>
        <w:rPr>
          <w:sz w:val="20"/>
          <w:szCs w:val="20"/>
          <w:color w:val="auto"/>
        </w:rPr>
      </w:pPr>
    </w:p>
    <w:p>
      <w:pPr>
        <w:ind w:left="980" w:right="20" w:hanging="315"/>
        <w:spacing w:after="0" w:line="25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our receipt of marketing approvals, the terms of such approvals, and the countries in which such approvals are obtained;</w:t>
      </w:r>
    </w:p>
    <w:p>
      <w:pPr>
        <w:spacing w:after="0" w:line="1"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 and as compared to alternative treatments;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market introduction of BRIUMVI and any of our product candidates, as well as competitive products;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indications for which our products are approved, and other aspects of the approved labeling for such products;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advanced practitioners, major operators of neurology clinics, and patients of our products as safe, tolerable and effective treatments;</w:t>
      </w: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advantages or disadvantages of our products compared to alternative treatments;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third-party payors and government authorities;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of patient cost-sharing obligations, including copays and deductibles;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our products;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 reliable supply of our products that meets market demand;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favorable or unfavorable publicity relating to our products or relating to the Company.</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the COVID-19 pandemic could impact commercialization of BRIUMVI. Patients and healthcare providers have raised concerns that immunosuppressive products like anti-CD20 antibodies and other B-cell targeted agents may increase the risk of acquiring COVID-19 or lead to more severe complications or outcomes upon infection, including death. These concerns may impact the commercial potential for BRIUMVI and other immunosuppressive products that we have in development. The length of time and full extent to which the COVID-19 pandemic directly or indirectly impacts our commercialization efforts depends on future developments that are highly uncertain, subject to change and are difficult to predict. For a discussion of additional pandemic-related risks to our business, see below under the heading “</w:t>
      </w:r>
      <w:r>
        <w:rPr>
          <w:rFonts w:ascii="Arial" w:cs="Arial" w:eastAsia="Arial" w:hAnsi="Arial"/>
          <w:sz w:val="17"/>
          <w:szCs w:val="17"/>
          <w:b w:val="1"/>
          <w:bCs w:val="1"/>
          <w:u w:val="single" w:color="auto"/>
          <w:color w:val="auto"/>
        </w:rPr>
        <w:t>Risks Related to the COVID-19 Pandemic.</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84"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Regulatory approvals for our product or any of our product candidates may be subject to limitations on the approved indicated uses for which the product may be marketed or contain requirements for potentially costly post-marketing testing, including Phase IV clinical trials, and surveillance to monitor the safety and efficacy of the approved product candidate. For example, with respect to the FDA’s approval of BRIUMVI for RMS, maintenance of this approval is subject to certain post-marketing requirements and commitments, including long-term safety studies, as well as studies to evaluate the effects of BRIUMVI in pregnant women and pediatric populations, among others.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with respect to BRIUMVI and any product candidate that the FDA or a comparable foreign regulatory authority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BRIUMVI, and any of our product candidates for which we in the future obtain approval, may, after approval, be found to cause undesirable side effects that could result in significant negative consequences following commercialization.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BRIUMVI or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BRIUMVI or our product candidates following introduction into the market, a number of potentially significant negative consequences could result, including:</w:t>
      </w:r>
    </w:p>
    <w:p>
      <w:pPr>
        <w:spacing w:after="0" w:line="164" w:lineRule="exact"/>
        <w:rPr>
          <w:sz w:val="20"/>
          <w:szCs w:val="20"/>
          <w:color w:val="auto"/>
        </w:rPr>
      </w:pPr>
    </w:p>
    <w:p>
      <w:pPr>
        <w:ind w:left="980" w:hanging="31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or limit the use (indication) of such products;</w:t>
      </w:r>
    </w:p>
    <w:p>
      <w:pPr>
        <w:spacing w:after="0" w:line="23"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or boxed warnings, precautions, or contraindications that could diminish the usage of the product or otherwise limit the commercial success of the affected product;</w:t>
      </w:r>
    </w:p>
    <w:p>
      <w:pPr>
        <w:spacing w:after="0" w:line="1"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jc w:val="both"/>
        <w:ind w:left="980" w:right="20" w:hanging="315"/>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spacing w:after="0" w:line="1" w:lineRule="exact"/>
        <w:rPr>
          <w:rFonts w:ascii="Arial" w:cs="Arial" w:eastAsia="Arial" w:hAnsi="Arial"/>
          <w:sz w:val="18"/>
          <w:szCs w:val="18"/>
          <w:color w:val="auto"/>
        </w:rPr>
      </w:pPr>
    </w:p>
    <w:p>
      <w:pPr>
        <w:ind w:left="980" w:hanging="31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not be able to enter into collaboration agreements on acceptable terms and execute on our business model;</w:t>
      </w:r>
    </w:p>
    <w:p>
      <w:pPr>
        <w:spacing w:after="0" w:line="20" w:lineRule="exact"/>
        <w:rPr>
          <w:rFonts w:ascii="Arial" w:cs="Arial" w:eastAsia="Arial" w:hAnsi="Arial"/>
          <w:sz w:val="17"/>
          <w:szCs w:val="17"/>
          <w:color w:val="auto"/>
        </w:rPr>
      </w:pPr>
    </w:p>
    <w:p>
      <w:pPr>
        <w:ind w:left="980" w:hanging="31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BRIUMVI and our product candidates, including TG-1701 and TG-1801 in B-cell disorders,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precise incidence and/or prevalence of RMS are unknown. Our projections of ublituximab in RMS, as well as the subset of these patients who have the potential to benefit from treatment with our products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and although there has been no material adverse condition in the market so far,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total addressable market opportunity for BRIUMVI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in clinical testing and obtaining regulatory approval for drugs. Additionally, many universities and private and public research institutes are active in research in the same diseases that we are, including in the fields of neurology and immunology,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spacing w:after="0" w:line="184" w:lineRule="exact"/>
        <w:rPr>
          <w:sz w:val="20"/>
          <w:szCs w:val="20"/>
          <w:color w:val="auto"/>
        </w:rPr>
      </w:pPr>
    </w:p>
    <w:p>
      <w:pPr>
        <w:ind w:left="980" w:hanging="315"/>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patient registration for clinical trials, and in identifying and in-licensing new products and product candidates.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BRIUMVI, as well as any products that we are able to commercialize in the future, may become subject to unfavorable pricing regulations or third-party payor coverage and reimbursement policies, which would harm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payer-driven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expand our commercialization operations, we may not be successful in commercializing BRIUMVI or any product candidate, if and when such product candidates are approved, and we may not be able to generate any revenue.</w:t>
      </w:r>
    </w:p>
    <w:p>
      <w:pPr>
        <w:spacing w:after="0" w:line="14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7"/>
          <w:szCs w:val="17"/>
          <w:color w:val="auto"/>
        </w:rPr>
        <w:t>Commercialization of pharmaceutical products is an extremely complex and highly capital and resource intensive process, even for established companies with existing infrastructure and significantly greater resources than we have, challenges have occurred.</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made and continue to make significant investments in our commercial organization and infrastructure. We built processes and systems to support the commercialization of UKONIQ in the U.S. Although we withdrew UKONIQ from sale, we are using and expanding upon many of those systems and processes to market BRIUMVI following its commercial launch on January 26, 2023. There are risks involved with establishing our own commercialization capabilities. For example, if we are unable to recruit and retain adequate numbers of effective personnel to support the ongoing commercialization of BRIUMVI, we may not be successful in marketing and selling the product.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factors that may inhibit our efforts to commercialize BRIUMVI and our other product candidates on our own and generate product revenues include:</w:t>
      </w:r>
    </w:p>
    <w:p>
      <w:pPr>
        <w:spacing w:after="0" w:line="170" w:lineRule="exact"/>
        <w:rPr>
          <w:sz w:val="20"/>
          <w:szCs w:val="20"/>
          <w:color w:val="auto"/>
        </w:rPr>
      </w:pPr>
    </w:p>
    <w:p>
      <w:pPr>
        <w:ind w:left="980" w:right="20" w:hanging="315"/>
        <w:spacing w:after="0" w:line="25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commercialization personnel on the applicable disease states, products, competitors, and legal and regulatory compliance matters;</w:t>
      </w:r>
    </w:p>
    <w:p>
      <w:pPr>
        <w:spacing w:after="0" w:line="1"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commercialization personnel to obtain access to physicians or to effectively promote or provide education about BRIUMVI and any future approved products;</w:t>
      </w:r>
    </w:p>
    <w:p>
      <w:pPr>
        <w:ind w:left="980" w:right="20" w:hanging="315"/>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complementary drugs to be offered by the Company, which may put us at a competitive disadvantage relative to companies with more extensive product lines;</w:t>
      </w:r>
    </w:p>
    <w:p>
      <w:pPr>
        <w:ind w:left="980" w:right="20" w:hanging="315"/>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decisions by third-party payors to deny reimbursement of or delay coverage decisions regarding BRIUMVI or following approval of any product candidates;</w:t>
      </w:r>
    </w:p>
    <w:p>
      <w:pPr>
        <w:ind w:left="980" w:hanging="315"/>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a healthcare compliance program including effective mechanisms for compliance monitoring;</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product availability for commercial sale following approval and continued product supply;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commercialization organization</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future, we may choose to participate in sales activities with collaborators for our product and for our product candidates if and when they are approved, particularly for regions outside the U.S.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expand into certain European markets. Building and maintaining an infrastructure outside the United States is expensive, complex, resource intensive and time consuming. We have not undertaken significant commercialization activities outside of the U.S., including in the EU, where the potential market opportunity for ublituximab, if approved, is smaller than the U.S. If we were to do so, we would expect to incur significant expenses in establishing an infrastructure to commercialize outside the U.S. If this were to occur, depending on the expenses incurred, it could have a negative impact our cash resources.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an even greater risk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spacing w:after="0" w:line="171" w:lineRule="exact"/>
        <w:rPr>
          <w:sz w:val="20"/>
          <w:szCs w:val="20"/>
          <w:color w:val="auto"/>
        </w:rPr>
      </w:pPr>
    </w:p>
    <w:p>
      <w:pPr>
        <w:ind w:left="980" w:hanging="315"/>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any products that we may commercialize;</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including the risk that any individuals who may face such related litigation may in turn seek to recover from us;</w:t>
      </w:r>
    </w:p>
    <w:p>
      <w:pPr>
        <w:ind w:left="980" w:hanging="315"/>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any products or product candidates that we may develop.</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(which we withdrew from sale), and launching BRIUMVI. We are transitioning from a company with a research and development focus and commercialization capabilities in oncology to a company capable of supporting commercial activities in neurology and immunology in the U.S. and outside the U.S. This transition involves a wide variety of risks, and we may not be successful in such transition.</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Since inception, we have focused our efforts and financial resources on clinical trials, manufacturing of our product and product candidates, and preparing to support a commercial product. To date, we have financed our operations primarily through public offerings of our common stock and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Our prior losses, combined with expected future losses, have had, and will continue to have an adverse effect on our stockholders’ deficit and working capital. BRIUMVI is currently our only marketed product. We expect to continue to incur significant research and development expenses and we expect to continue to incur significant commercialization and outsourced-manufacturing expenses as we commercialize BRIUMVI.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not generated any significant revenue from sales of any of our products. It is uncertain when and if we will generate any significant revenue from the sale of our product or any product candidates, if approved, in the future. Furthermore, no assurance can be given that we will meet revenue projections or guidance with respect to BRIUMVI or our product candidates, if approved. To obtain significant and sustained revenues and meet our revenue projections or guidance, we must succeed, either alone or with others, in (i) obtaining and maintaining regulatory approval for our product and product candidates; and (ii) manufacturing and marketing our products and product candidates. Our ability to generate sustained revenue depends on a number of factors, including, but not limited to, our ability to:</w:t>
      </w:r>
    </w:p>
    <w:p>
      <w:pPr>
        <w:spacing w:after="0" w:line="164" w:lineRule="exact"/>
        <w:rPr>
          <w:sz w:val="20"/>
          <w:szCs w:val="20"/>
          <w:color w:val="auto"/>
        </w:rPr>
      </w:pPr>
    </w:p>
    <w:p>
      <w:pPr>
        <w:ind w:left="980" w:hanging="315"/>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23"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and non-clinical studies required to obtain U.S. and foreign marketing approval for our product and product candidates;</w:t>
      </w:r>
    </w:p>
    <w:p>
      <w:pPr>
        <w:ind w:left="980" w:right="20" w:hanging="315"/>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from the FDA and foreign equivalents to market and sell our product and product candidates, and maintain FDA approval of BRIUMVI for RMS;</w:t>
      </w:r>
    </w:p>
    <w:p>
      <w:pPr>
        <w:ind w:left="980" w:right="20" w:hanging="315"/>
        <w:spacing w:after="0" w:line="265"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and maintain commercial manufacturing capabilities with third parties that are satisfactory to the regulatory authorities, cost effective, and that are capable of providing commercial supply of our product and product candidates;</w:t>
      </w:r>
    </w:p>
    <w:p>
      <w:pPr>
        <w:ind w:left="980" w:right="20" w:hanging="315"/>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on our commercialization infrastructure to commercialize BRIUMVI, and/or entering into collaborations with third parties; and</w:t>
      </w:r>
    </w:p>
    <w:p>
      <w:pPr>
        <w:ind w:left="980" w:right="20" w:hanging="315"/>
        <w:spacing w:after="0" w:line="26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market acceptance of BRIUMVI and any other products for which we may receive regulatory approval in the medical community and with third-party payors.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development of pharmaceuticals is capital-intensive. We are currently advancing our early-stage drug candidates, TG-1701 and TG-1801 in ongoing Phase 1 studies to identify tolerable and efficacious doses, we are also advancing BRIUMVI for long-term tolerability in an Open-Label Extension of the Phase 3 ULTIMATE I and II trials and anticipate conducting additional clinical studies in the near future including those necessary to satisfy post-approval commitments for regulatory authorities. Moreover, now that we have launched BRIUMVI, we will need to expend substantial resources on maintaining approvals, continuing commercialization, and manufacturing over the next 6 to 12 months.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amount and timing of our future funding requirements will depend on many factors, including, but not limited to, the following:</w:t>
      </w:r>
    </w:p>
    <w:p>
      <w:pPr>
        <w:spacing w:after="0" w:line="46" w:lineRule="exact"/>
        <w:rPr>
          <w:sz w:val="20"/>
          <w:szCs w:val="20"/>
          <w:color w:val="auto"/>
        </w:rPr>
      </w:pPr>
    </w:p>
    <w:p>
      <w:pPr>
        <w:ind w:left="660" w:hanging="31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the commercialization of BRIUMVI and any other products for which we receive regulatory approval;</w:t>
      </w:r>
    </w:p>
    <w:p>
      <w:pPr>
        <w:spacing w:after="0" w:line="9" w:lineRule="exact"/>
        <w:rPr>
          <w:rFonts w:ascii="Arial" w:cs="Arial" w:eastAsia="Arial" w:hAnsi="Arial"/>
          <w:sz w:val="18"/>
          <w:szCs w:val="18"/>
          <w:color w:val="auto"/>
        </w:rPr>
      </w:pPr>
    </w:p>
    <w:p>
      <w:pPr>
        <w:ind w:left="660" w:hanging="319"/>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costs and timing of clinical and commercial manufacturing supply arrangements for each product and product candidate;</w:t>
      </w:r>
    </w:p>
    <w:p>
      <w:pPr>
        <w:spacing w:after="0" w:line="20" w:lineRule="exact"/>
        <w:rPr>
          <w:rFonts w:ascii="Arial" w:cs="Arial" w:eastAsia="Arial" w:hAnsi="Arial"/>
          <w:sz w:val="17"/>
          <w:szCs w:val="17"/>
          <w:color w:val="auto"/>
        </w:rPr>
      </w:pPr>
    </w:p>
    <w:p>
      <w:pPr>
        <w:ind w:left="660" w:hanging="31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expanding our sales, distribution, and other commercialization capabilities;</w:t>
      </w:r>
    </w:p>
    <w:p>
      <w:pPr>
        <w:spacing w:after="0" w:line="9" w:lineRule="exact"/>
        <w:rPr>
          <w:rFonts w:ascii="Arial" w:cs="Arial" w:eastAsia="Arial" w:hAnsi="Arial"/>
          <w:sz w:val="18"/>
          <w:szCs w:val="18"/>
          <w:color w:val="auto"/>
        </w:rPr>
      </w:pPr>
    </w:p>
    <w:p>
      <w:pPr>
        <w:ind w:left="660" w:hanging="31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660" w:right="200" w:hanging="319"/>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660" w:hanging="31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660" w:hanging="31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660" w:hanging="31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of BRIUMVI, or any of our product candidates and otherwise forego attractive business opportunities. Any additional sources of financing may involve the issuance of our equity securities, which would have a dilutive effect to stockholders. Currently, other than BRIUMVI, our products are investigational and have not been approved by the FDA or any foreign regulatory authority for sale. For the foreseeable future, we will have to fund all our operations and capital expenditures from sales of BRIUMVI in the U.S.,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Until such time, if ever, as we can generate substantial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and which was expanded in December 2021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6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 See our risk factors below under the heading </w:t>
      </w:r>
      <w:r>
        <w:rPr>
          <w:rFonts w:ascii="Arial" w:cs="Arial" w:eastAsia="Arial" w:hAnsi="Arial"/>
          <w:sz w:val="16"/>
          <w:szCs w:val="16"/>
          <w:b w:val="1"/>
          <w:bCs w:val="1"/>
          <w:color w:val="auto"/>
        </w:rPr>
        <w:t>“Risks Related to Our Indebtedness.”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Long-term commercialization and product candidate development timelines and projections in this report are based on the assumption of further financing.</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timelines and projections in this report are predicated upon the assumption that we will raise additional financing in the future to continue our long-term commercialization efforts and the development of our product and product candidates. In the event we do not successfully raise subsequent financing, such commercialization and product development activities may be curtailed commensurate with the magnitude of the shortfall. If our commercialization or product development activities are slowed or stopped, we would be unable to meet the timelines and projections outlined in this filing. Failure to progress our commercialization activities or the development of our product and product candidates as anticipated will have a negative effect on our business, future prospects, and ability to obtain further financing on acceptable terms, if at all, and the value of the enterprise.</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February 2019, we entered into a Loan and Security Agreement, with Hercules Capital, Inc., a Maryland corporation (Hercules) and on December 30, 2021 (the First Amendment Closing Date), the Company entered into an Amended and Restated Loan and Security Agreement (the Amended Loan Agreement) with Hercules. Under the Amended Loan Agreement, Hercules increased the aggregate principal amount of the loan, available at the Company’s option, from $60.0 million to $200.0 million (see Note 6 to our consolidated financial statements for more information). A first advance of $70.0 million was drawn at the First Amendment Closing Date, a portion of which was used to refinance the then outstanding loan balance of approximately $7.8 million. Now that we have received approval for BRIUMVI, we have the option to request an additional $45.0 million under the Amended Loan Agreement. Such option will lapse if not elected by March 31, 2023. We have the option to request additional loan advances, in an aggregate principal amount of up to $65.0 million under the Amended Loan Agreement.</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obligations under the Amended Loan Agreement are secured by substantially all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87" w:lineRule="exact"/>
        <w:rPr>
          <w:sz w:val="20"/>
          <w:szCs w:val="20"/>
          <w:color w:val="auto"/>
        </w:rPr>
      </w:pPr>
    </w:p>
    <w:p>
      <w:pPr>
        <w:ind w:left="980" w:right="20" w:hanging="315"/>
        <w:spacing w:after="0" w:line="291"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will need to repay the indebtedness by making payments of interest and principal, which will reduce the amount of money available to finance our operations, our research and development efforts and other general corporate activities; and</w:t>
      </w:r>
    </w:p>
    <w:p>
      <w:pPr>
        <w:jc w:val="both"/>
        <w:ind w:left="980" w:right="20" w:hanging="315"/>
        <w:spacing w:after="0" w:line="255"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to comply with the restrictive covenants in the Amended Loan Agreement could result in an event of default that, if not cured or waived, would accelerate our obligation to repay this indebtedness, and Hercules could seek to enforce its security interest in the assets securing such indebtedness.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cash available in an amount sufficient to enable us to make interest or principal payments on our indebtedness when due.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Failure to satisfy our current and future debt obligations under the Amended Loan Agreement, or the breach of any of its covenants, subject to specified cure periods with respect to certain breaches, could result in an event of default and, as a result, Hercules could accelerate all the amounts due. In the event of an acceleration of amounts due under the Amended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our property other than intellectual property. Our business, financial condition and results of operations could be materially adversely affected as a result of any of these events.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Amended Loan Agreement imposes operating and other restrictions on the Company. Such restrictions will affect, and in many respects limit or prohibit, our ability and the ability of any future subsidiary to, among other things:</w:t>
      </w:r>
    </w:p>
    <w:p>
      <w:pPr>
        <w:spacing w:after="0" w:line="170" w:lineRule="exact"/>
        <w:rPr>
          <w:sz w:val="20"/>
          <w:szCs w:val="20"/>
          <w:color w:val="auto"/>
        </w:rPr>
      </w:pPr>
    </w:p>
    <w:p>
      <w:pPr>
        <w:ind w:left="980" w:hanging="31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breach of any of these restrictive covenants could have a material adverse effect on our business and prospects.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Drug Development and Regulatory Approval</w:t>
      </w:r>
    </w:p>
    <w:p>
      <w:pPr>
        <w:spacing w:after="0" w:line="189"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If we are unable to obtain and maintain regulatory approval for our product candidates and ultimately cannot successfully commercialize our product or product candidates, or experience significant delays in doing so, our business will be materially harmed.</w:t>
      </w:r>
    </w:p>
    <w:p>
      <w:pPr>
        <w:spacing w:after="0" w:line="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15, 2022, we announced our voluntary withdrawal of the pending BLA and sNDA for U2 to treat CLL and SLL and the voluntary withdrawal of UKONIQ from the market. We are still assessing the impact, if any, of the withdrawal of the BLA and sNDA for U2 and the withdrawal of UKONIQ from sale.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the following:</w:t>
      </w:r>
    </w:p>
    <w:p>
      <w:pPr>
        <w:spacing w:after="0" w:line="187" w:lineRule="exact"/>
        <w:rPr>
          <w:sz w:val="20"/>
          <w:szCs w:val="20"/>
          <w:color w:val="auto"/>
        </w:rPr>
      </w:pPr>
    </w:p>
    <w:p>
      <w:pPr>
        <w:ind w:left="980" w:right="20" w:hanging="315"/>
        <w:spacing w:after="0" w:line="274"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successful completion of our clinical programs with positive results that support a finding of effectiveness and an acceptable safety profile of our product candidates in the intended populations within the timeframes we have projected;</w:t>
      </w:r>
    </w:p>
    <w:p>
      <w:pPr>
        <w:ind w:left="980" w:right="20" w:hanging="315"/>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INDs and clinical trial applications (CTAs), being cleared/approved such that our product candidates can commence clinical trials;</w:t>
      </w:r>
    </w:p>
    <w:p>
      <w:pPr>
        <w:ind w:left="980" w:right="20" w:hanging="315"/>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and successful initiation of, enrollment in, and completion of clinical trials;</w:t>
      </w:r>
    </w:p>
    <w:p>
      <w:pPr>
        <w:ind w:left="980" w:hanging="31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product candidates;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commercially viable arrangements with third-party manufacturers for clinical supply and commercial manufacturing; and</w:t>
      </w:r>
    </w:p>
    <w:p>
      <w:pPr>
        <w:ind w:left="980" w:hanging="31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9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have the potential to change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or product candidates may be harmed, which could harm our business, operating results, prospects or financial condition.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63"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Successful completion of our clinical trials is a prerequisite to submitting an NDA or a BLA to the FDA and a Marketing Authorization Application (MAA) to the European Medicines Agency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such as the COVID-19 pandemic, that could delay or prevent our ability to complete current clinical trials, initiate new trials, receive marketing approval or commercialize our product candidates, including:</w:t>
      </w:r>
    </w:p>
    <w:p>
      <w:pPr>
        <w:spacing w:after="0" w:line="178" w:lineRule="exact"/>
        <w:rPr>
          <w:sz w:val="20"/>
          <w:szCs w:val="20"/>
          <w:color w:val="auto"/>
        </w:rPr>
      </w:pPr>
    </w:p>
    <w:p>
      <w:pPr>
        <w:ind w:left="980" w:right="20" w:hanging="315"/>
        <w:spacing w:after="0" w:line="23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jc w:val="both"/>
        <w:ind w:left="980" w:right="20" w:hanging="315"/>
        <w:spacing w:after="0" w:line="22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spacing w:after="0" w:line="2" w:lineRule="exact"/>
        <w:rPr>
          <w:rFonts w:ascii="Arial" w:cs="Arial" w:eastAsia="Arial" w:hAnsi="Arial"/>
          <w:sz w:val="18"/>
          <w:szCs w:val="18"/>
          <w:color w:val="auto"/>
        </w:rPr>
      </w:pPr>
    </w:p>
    <w:p>
      <w:pPr>
        <w:jc w:val="both"/>
        <w:ind w:left="980" w:right="20" w:hanging="315"/>
        <w:spacing w:after="0" w:line="22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spacing w:after="0" w:line="1" w:lineRule="exact"/>
        <w:rPr>
          <w:rFonts w:ascii="Arial" w:cs="Arial" w:eastAsia="Arial" w:hAnsi="Arial"/>
          <w:sz w:val="18"/>
          <w:szCs w:val="18"/>
          <w:color w:val="auto"/>
        </w:rPr>
      </w:pPr>
    </w:p>
    <w:p>
      <w:pPr>
        <w:jc w:val="both"/>
        <w:ind w:left="980" w:right="20" w:hanging="315"/>
        <w:spacing w:after="0" w:line="22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Arial" w:cs="Arial" w:eastAsia="Arial" w:hAnsi="Arial"/>
          <w:sz w:val="18"/>
          <w:szCs w:val="18"/>
          <w:color w:val="auto"/>
        </w:rPr>
      </w:pPr>
    </w:p>
    <w:p>
      <w:pPr>
        <w:jc w:val="both"/>
        <w:ind w:left="980" w:right="20" w:hanging="315"/>
        <w:spacing w:after="0" w:line="22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Arial" w:cs="Arial" w:eastAsia="Arial" w:hAnsi="Arial"/>
          <w:sz w:val="18"/>
          <w:szCs w:val="18"/>
          <w:color w:val="auto"/>
        </w:rPr>
      </w:pPr>
    </w:p>
    <w:p>
      <w:pPr>
        <w:jc w:val="both"/>
        <w:ind w:left="980" w:right="20" w:hanging="315"/>
        <w:spacing w:after="0" w:line="22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Arial" w:cs="Arial" w:eastAsia="Arial" w:hAnsi="Arial"/>
          <w:sz w:val="18"/>
          <w:szCs w:val="18"/>
          <w:color w:val="auto"/>
        </w:rPr>
      </w:pPr>
    </w:p>
    <w:p>
      <w:pPr>
        <w:ind w:left="980" w:hanging="315"/>
        <w:spacing w:after="0" w:line="23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jc w:val="both"/>
        <w:ind w:left="980" w:right="20" w:hanging="315"/>
        <w:spacing w:after="0" w:line="23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such as the COVID-19 pandemic, international conflicts such as the Russian invasion of Ukraine, economic instability, or natural disasters;</w:t>
      </w:r>
    </w:p>
    <w:p>
      <w:pPr>
        <w:spacing w:after="0" w:line="3" w:lineRule="exact"/>
        <w:rPr>
          <w:rFonts w:ascii="Arial" w:cs="Arial" w:eastAsia="Arial" w:hAnsi="Arial"/>
          <w:sz w:val="18"/>
          <w:szCs w:val="18"/>
          <w:color w:val="auto"/>
        </w:rPr>
      </w:pPr>
    </w:p>
    <w:p>
      <w:pPr>
        <w:ind w:left="980" w:right="20" w:hanging="315"/>
        <w:spacing w:after="0" w:line="22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revise the requirements for approving our product candidates, or such requirements may not be as we anticipate; and</w:t>
      </w:r>
    </w:p>
    <w:p>
      <w:pPr>
        <w:spacing w:after="0" w:line="1" w:lineRule="exact"/>
        <w:rPr>
          <w:rFonts w:ascii="Arial" w:cs="Arial" w:eastAsia="Arial" w:hAnsi="Arial"/>
          <w:sz w:val="18"/>
          <w:szCs w:val="18"/>
          <w:color w:val="auto"/>
        </w:rPr>
      </w:pPr>
    </w:p>
    <w:p>
      <w:pPr>
        <w:jc w:val="both"/>
        <w:ind w:left="980" w:right="20" w:hanging="315"/>
        <w:spacing w:after="0" w:line="275"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also could encounter delays if a clinical trial is suspended or terminated by us, by the IRBs of the institutions in which such trials are being conducted, by the Data and Safety Monitoring Board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to the FDA,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Negative or inconclusive results from the clinical trials we conduct, unanticipated adverse medical events, or changes in regulatory policy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8" w:lineRule="exact"/>
        <w:rPr>
          <w:sz w:val="20"/>
          <w:szCs w:val="20"/>
          <w:color w:val="auto"/>
        </w:rPr>
      </w:pPr>
    </w:p>
    <w:p>
      <w:pPr>
        <w:ind w:left="980" w:hanging="31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others;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post-marketing requirements or post-marketing commitments;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changes in regulatory policy could cause us to have to repeat or conduct additional clinical trials or change our clinical development strategy.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or product candidates may cause undesirable side effects that could delay or prevent their regulatory approval, or impact their availability and commercial potential after approval.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Unacceptable or undesirable adverse events caused by BRIUMVI or any of our product candidates that we take into clinical trials could cause either of,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clinical development, manufacturing, labeling, packaging, storage, record-keeping, advertising, promotion, import, export, marketing and distribution,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FDA and foreign regulatory authorities have substantial discretion in the pharmaceutical product approval process, including the ability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that has received a SPA. There is no guarantee that the FDA will not delay, limit or deny approval of our product candidates in the future.</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Furthermore, some of our clinical trials may be conducted as open-label studies, meaning that trial participants, investigators, site staff, some employees of our CROs,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Other reasons that the FDA or regulatory authorities around the world may delay, limit or deny approval of a product candidate,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980" w:right="20" w:hanging="315"/>
        <w:spacing w:after="0" w:line="258"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tolerable and effective for an indication;</w:t>
      </w:r>
    </w:p>
    <w:p>
      <w:pPr>
        <w:spacing w:after="0" w:line="1"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that of the United States;</w:t>
      </w:r>
    </w:p>
    <w:p>
      <w:pPr>
        <w:ind w:left="980" w:right="20" w:hanging="315"/>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and/or clinical trials;</w:t>
      </w:r>
    </w:p>
    <w:p>
      <w:pPr>
        <w:ind w:left="980" w:right="20" w:hanging="315"/>
        <w:spacing w:after="0" w:line="265"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 BLA, NDA or other marketing authorization submission to obtain regulatory approval in the United States or elsewhere;</w:t>
      </w:r>
    </w:p>
    <w:p>
      <w:pPr>
        <w:jc w:val="both"/>
        <w:ind w:left="980" w:right="20" w:hanging="315"/>
        <w:spacing w:after="0" w:line="255"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980" w:right="20" w:hanging="315"/>
        <w:spacing w:after="0" w:line="25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PDUFA goal date or at all to satisfy the FDA or foreign regulatory authorities;</w:t>
      </w:r>
    </w:p>
    <w:p>
      <w:pPr>
        <w:spacing w:after="0" w:line="3"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or</w:t>
      </w:r>
    </w:p>
    <w:p>
      <w:pPr>
        <w:jc w:val="both"/>
        <w:ind w:left="980" w:right="20" w:hanging="315"/>
        <w:spacing w:after="0" w:line="255"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and foreign regulatory authorities as a result of global health or economic crises, such as the COVID-19 pandemic, international conflict, or national disasters may negatively impact review, inspection, and approval timelines.</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Even if we succeed in obtaining regulatory approval for a product candidate, the FDA may require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Breakthrough Therapy or Fast Track designation by the FDA may not actually lead to a faster development or regulatory review or approval process.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seek orphan drug designation for some of our drug candidates. However, we may be unsuccessful in obtaining or may be unable to maintain the benefits associated with orphan drug designation, including the potential for market exclusivity.</w:t>
      </w:r>
    </w:p>
    <w:p>
      <w:pPr>
        <w:spacing w:after="0" w:line="12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conducting clinical trials and anticipate conducting additional clinical trials for our product and product candidates at sites outside the United States, and the FDA may not accept data from trials conducted in such locations or clinical trial activities in such locations may be impacted by political conditions, including international conflict.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Many of our Phase 3 and registration-directed clinical trials across our multiple sclerosis and oncology programs, including ULTIMATE I and II and related extension studies,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The geographic variability of the COVID-19 pandemic also introduces increased risk in the conduct of clinical research in certain countries and territories where vaccination rates and available standard of care anti-viral therapy varies significantly.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addition, our clinical studies with sites outside the United States may be adversely impacted by international conflict. For example, in February 2022, Russia initiated a full-scale military invasion of Ukraine. In one or both countries, as well as neighboring countries that may be impacted by this conflict (e.g. Poland, Slovakia, Belarus, Georgia), we have clinical trial sites for our RMS and/or oncology programs. While no clinical trials are actively enrolling patients in these territories,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its European allies have imposed significant new sanctions against Russia and Belarus, including regional embargoes, full blocking sanctions, and other restrictions targeting major Russian financial institutions. Specifically, such sanctions have included, among other things, a prohibition on doing business with certain Russian companies, officials, and oligarchs; a commitment by certain countries and the European Union to remove selected Russian banks from the Society for Worldwide Interbank Financial Telecommunications (SWIFT) electronic banking network that connects banks globally; and restrictive measures to prevent the Russian Central Bank from undermining the impact of the sanctions. Our ability to conduct clinical trials in Russia, Belarus, Ukraine and elsewhere in the region may also become restricted under applicable sanctions laws. The conflict, as well as government responses, has resulted in global economic instability, which could affect our supply chain and commercialization efforts. While we do not believe this conflict will have a material impact on product development or our overall business, given the rapidly evolving situation and the potential to expand beyond Ukraine and Russia, the full impact of the conflict remains uncertain.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Approval of one of our product candidates in the United States would not assure approval of that candidate in foreign jurisdictions.</w:t>
      </w:r>
    </w:p>
    <w:p>
      <w:pPr>
        <w:spacing w:after="0" w:line="24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intend to seek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foreign jurisdiction on a timely basis, if at all. Failure to receive approval in certain foreign markets could significantly impact the full market potential of our product and product candidates and may negatively impact the regulatory process in other countries. Furthermore, if we obtain regulatory approval for a product or product candidate in a foreign jurisdiction, we will be subject to the burden of complying with complex regulatory, legal, and other requirements that could be costly and could subject us to additional risks and uncertainties.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12121"/>
        </w:rPr>
        <w:t>We have limited experience in manufacturing products for clinical or commercial purposes. We currently do not have any manufacturing capabilities of our own. We have established a contract manufacturing relationship for the commercial supply of BRIUMVI with Samsung Biologics. As with any supply program, obtaining materials of sufficient quality and quantity to meet the requirements of the market demand for BRIUMVI and our development programs cannot be guaranteed and we cannot ensure that we will be successful in these endeavors.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12121"/>
        </w:rPr>
        <w:t>To the extent possible and commercially practicable, we plan to develop back-up strategies for raw materials,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many years.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121"/>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212121"/>
        </w:rPr>
        <w:t>Contract manufacturers are subject to ongoing periodic and unannounced inspections by the FDA, the Drug Enforcement Administration if applicable, and corresponding state agencies to ensure strict compliance with cGMP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12121"/>
        </w:rPr>
        <w:t>If we need to change manufacturers either before or after commercialization, the FDA and corresponding foreign regulatory agencies may need to approve these new manufacturers in advance, which will involve testing, regulatory submissions,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Further, no assurance can be given that the material manufactured from any future optimized processes, if any, for ublituximab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Governmental Regulation of Pharmaceutical Industry and Legal Compliance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70" w:lineRule="exact"/>
        <w:rPr>
          <w:sz w:val="20"/>
          <w:szCs w:val="20"/>
          <w:color w:val="auto"/>
        </w:rPr>
      </w:pPr>
    </w:p>
    <w:p>
      <w:pPr>
        <w:jc w:val="both"/>
        <w:ind w:firstLine="698"/>
        <w:spacing w:after="0" w:line="279" w:lineRule="auto"/>
        <w:rPr>
          <w:sz w:val="20"/>
          <w:szCs w:val="20"/>
          <w:color w:val="auto"/>
        </w:rPr>
      </w:pPr>
      <w:r>
        <w:rPr>
          <w:rFonts w:ascii="Arial" w:cs="Arial" w:eastAsia="Arial" w:hAnsi="Arial"/>
          <w:sz w:val="17"/>
          <w:szCs w:val="17"/>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effect further changes to the ACA would have on our business.</w:t>
      </w:r>
    </w:p>
    <w:p>
      <w:pPr>
        <w:spacing w:after="0" w:line="1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Beyond the ACA, there has been increasing legislative, regulatory and enforcement interest with respect to prescription drug pricing practices. Proposals that may garner bipartisan legislative support or become legislation through reconciliation include adding a cap on out-of-pocket spending under Medicare Part D, authorizing Medicare to negotiate certain drugs covered by Medicare Parts D and B directly with manufacturers,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increase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Most recently, on August 16, 2022, President Biden signed into law the Inflation Reduction Act of 2022 (the Act), which, among other provisions, included several measures intended to lower the cost of prescription drugs and related healthcare reforms. Specifically, the Act authorizes and directs the Department of Health and Human Services (the DHHS) to set drug price caps for certain high-cost Medicare Part B and Part D qualified drugs, with the initial list of drugs to be selected by September 1, 2023, and the first year of maximum price applicability to begin in 2026.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at $2,000 beginning in 2025. We cannot be sure whether additional or related legislation or rulemaking will be issued or enacted, or what impact, if any, such changes will have on the profitability of any of our drug candidates, if approved for commercial use, in the future.</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the state level, individual states are experiencing significant economic pressure within their state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Furthermore, legislative and regulatory proposals have been made to expand post-approval requirements, make changes the Orphan Drug Act and related guidance,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88" w:lineRule="exact"/>
        <w:rPr>
          <w:sz w:val="20"/>
          <w:szCs w:val="20"/>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the FDA approval of BRIUMVI in December 2022,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will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92" w:lineRule="exact"/>
        <w:rPr>
          <w:sz w:val="20"/>
          <w:szCs w:val="20"/>
          <w:color w:val="auto"/>
        </w:rPr>
      </w:pPr>
    </w:p>
    <w:p>
      <w:pPr>
        <w:jc w:val="both"/>
        <w:ind w:left="980" w:right="20" w:hanging="315"/>
        <w:spacing w:after="0" w:line="268"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2" w:lineRule="exact"/>
        <w:rPr>
          <w:rFonts w:ascii="Arial" w:cs="Arial" w:eastAsia="Arial" w:hAnsi="Arial"/>
          <w:sz w:val="17"/>
          <w:szCs w:val="17"/>
          <w:color w:val="auto"/>
        </w:rPr>
      </w:pPr>
    </w:p>
    <w:p>
      <w:pPr>
        <w:jc w:val="both"/>
        <w:ind w:left="980" w:right="20" w:hanging="315"/>
        <w:spacing w:after="0" w:line="25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2" w:lineRule="exact"/>
        <w:rPr>
          <w:rFonts w:ascii="Arial" w:cs="Arial" w:eastAsia="Arial" w:hAnsi="Arial"/>
          <w:sz w:val="18"/>
          <w:szCs w:val="18"/>
          <w:color w:val="auto"/>
        </w:rPr>
      </w:pPr>
    </w:p>
    <w:p>
      <w:pPr>
        <w:jc w:val="both"/>
        <w:ind w:left="980" w:right="20" w:hanging="315"/>
        <w:spacing w:after="0" w:line="25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980" w:right="20" w:hanging="315"/>
        <w:spacing w:after="0" w:line="253" w:lineRule="auto"/>
        <w:tabs>
          <w:tab w:leader="none" w:pos="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so-called federal “Sunshine Act” under the Affordable Care Act requires manufacturers of drugs, devices, biologics and medical supplies that are reimbursable under Medicare, Medicaid, or the Children’s Health Insurance Program to monitor and report information related to payments and other transfers of value to and the ownership and investment interests of physicians and teaching hospitals (and additional categories of healthcare providers beginning with reports submitted in 2022) to the federal government for redisclosure to the public;</w:t>
      </w:r>
    </w:p>
    <w:p>
      <w:pPr>
        <w:spacing w:after="0" w:line="3"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 w:lineRule="exact"/>
        <w:rPr>
          <w:rFonts w:ascii="Arial" w:cs="Arial" w:eastAsia="Arial" w:hAnsi="Arial"/>
          <w:sz w:val="18"/>
          <w:szCs w:val="18"/>
          <w:color w:val="auto"/>
        </w:rPr>
      </w:pPr>
    </w:p>
    <w:p>
      <w:pPr>
        <w:ind w:left="980" w:right="20" w:hanging="315"/>
        <w:spacing w:after="0" w:line="250" w:lineRule="auto"/>
        <w:tabs>
          <w:tab w:leader="none" w:pos="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 wide range of federal and state consumer protection and unfair competition laws, which broadly regulate marketplace activities and activities that potentially harm consumers including those related to privacy;</w:t>
      </w:r>
    </w:p>
    <w:p>
      <w:pPr>
        <w:jc w:val="both"/>
        <w:ind w:left="960" w:right="20" w:hanging="313"/>
        <w:spacing w:after="0" w:line="255" w:lineRule="auto"/>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Federal Food, Drug, and Cosmetic Act and its implementing regulations, which among other things, strictly regulate drug product marketing and prohibit manufacturers from promotion and marketing of products prior to approval or for uses inconsistent with the FDA-required labeling;</w:t>
      </w:r>
    </w:p>
    <w:p>
      <w:pPr>
        <w:spacing w:after="0" w:line="1" w:lineRule="exact"/>
        <w:rPr>
          <w:rFonts w:ascii="Arial" w:cs="Arial" w:eastAsia="Arial" w:hAnsi="Arial"/>
          <w:sz w:val="18"/>
          <w:szCs w:val="18"/>
          <w:color w:val="auto"/>
        </w:rPr>
      </w:pPr>
    </w:p>
    <w:p>
      <w:pPr>
        <w:jc w:val="both"/>
        <w:ind w:left="960" w:right="20" w:hanging="327"/>
        <w:spacing w:after="0" w:line="260"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2" w:lineRule="exact"/>
        <w:rPr>
          <w:rFonts w:ascii="Arial" w:cs="Arial" w:eastAsia="Arial" w:hAnsi="Arial"/>
          <w:sz w:val="18"/>
          <w:szCs w:val="18"/>
          <w:color w:val="auto"/>
        </w:rPr>
      </w:pPr>
    </w:p>
    <w:p>
      <w:pPr>
        <w:ind w:left="960" w:right="20" w:hanging="327"/>
        <w:spacing w:after="0" w:line="273" w:lineRule="auto"/>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Drug Supply Chain Security Act (DSCSA), which imposes obligations on entities in the commercial product supply chain, including manufacturers, to identify and track prescription drugs as they are distributed in the U.S.; and</w:t>
      </w:r>
    </w:p>
    <w:p>
      <w:pPr>
        <w:jc w:val="both"/>
        <w:ind w:left="980" w:right="20" w:hanging="315"/>
        <w:spacing w:after="0" w:line="275" w:lineRule="auto"/>
        <w:tabs>
          <w:tab w:leader="none" w:pos="980" w:val="left"/>
        </w:tabs>
        <w:numPr>
          <w:ilvl w:val="2"/>
          <w:numId w:val="32"/>
        </w:numPr>
        <w:rPr>
          <w:rFonts w:ascii="Arial" w:cs="Arial" w:eastAsia="Arial" w:hAnsi="Arial"/>
          <w:sz w:val="17"/>
          <w:szCs w:val="17"/>
          <w:color w:val="auto"/>
        </w:rPr>
      </w:pPr>
      <w:r>
        <w:rPr>
          <w:rFonts w:ascii="Arial" w:cs="Arial" w:eastAsia="Arial" w:hAnsi="Arial"/>
          <w:sz w:val="17"/>
          <w:szCs w:val="17"/>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we continue commercialization of BRIUMVI, we are taking steps to provide patient support services to help patients access the product. Our patient support program will be administered in conjunction with a patient support program vendor and other third parties. There has been heightened governmental scrutiny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violate applicable data privacy and security laws, we may be subject to penalties, including civil and criminal penalties, damages, fines and the curtailment or restructuring of our operations.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subject to privacy and security laws in the various jurisdictions in which we operate, obtain or store personal information. The legislative and regulatory landscape for privacy and data protection continues to evolve, and there has been an increasing focus on privacy and data protection issues with the potential to affect our business.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Within the United States, various federal and state laws regulate the privacy and security of personal information and so may affect our business operations. For example, at the federal level, our operations may be affected by the data privacy and security provisions of HIPAA, as amended by the Health Information Technology for Economic and Clinical Health Act and its implementing regulations. HIPAA affects the ability of healthcare providers and other entities with which we may interact, including clinical trial sites, to disclose patient health information to us. Under Section 5(a) of the Federal Trade Commission Act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States may also impose requirements, for example the California Consumer Privacy Act (the CCPA), went into effect in January 2020 creating data privacy obligations for covered companies and providing privacy rights to California residents, including the right to opt out of certain disclosures of their information. Colorado, Connecticut, Utah and Virginia have also enacted data privacy statutes, and both California and Colorado are also undergoing rulemaking procedures to finalize regulatory regimes to supplement their privacy statutes.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Numerous other jurisdictions regulate the privacy and security of personally identifiable data. For example, the processing of personal data in the European Economic Area (the EEA), is subject to the General Data Protection Regulation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European Commission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w:t>
      </w:r>
    </w:p>
    <w:p>
      <w:pPr>
        <w:sectPr>
          <w:pgSz w:w="11900" w:h="16838" w:orient="portrait"/>
          <w:cols w:equalWidth="0" w:num="1">
            <w:col w:w="10220"/>
          </w:cols>
          <w:pgMar w:left="840" w:top="517" w:right="8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products.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Failure to comply with these regulatory requirements or later discovery of previously unknown problems with products, manufacturers, or manufacturing processes, may result in actions such as:</w:t>
      </w:r>
    </w:p>
    <w:p>
      <w:pPr>
        <w:spacing w:after="0" w:line="157" w:lineRule="exact"/>
        <w:rPr>
          <w:sz w:val="20"/>
          <w:szCs w:val="20"/>
          <w:color w:val="auto"/>
        </w:rPr>
      </w:pPr>
    </w:p>
    <w:p>
      <w:pPr>
        <w:ind w:left="980" w:hanging="315"/>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11" w:lineRule="exact"/>
        <w:rPr>
          <w:rFonts w:ascii="Arial" w:cs="Arial" w:eastAsia="Arial" w:hAnsi="Arial"/>
          <w:sz w:val="18"/>
          <w:szCs w:val="18"/>
          <w:color w:val="auto"/>
        </w:rPr>
      </w:pPr>
    </w:p>
    <w:p>
      <w:pPr>
        <w:ind w:left="980" w:hanging="315"/>
        <w:spacing w:after="0" w:line="23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ind w:left="980" w:hanging="315"/>
        <w:spacing w:after="0" w:line="23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ind w:left="980" w:hanging="315"/>
        <w:spacing w:after="0" w:line="23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warning letters;</w:t>
      </w:r>
    </w:p>
    <w:p>
      <w:pPr>
        <w:ind w:left="980" w:hanging="315"/>
        <w:spacing w:after="0" w:line="23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ind w:left="980" w:hanging="315"/>
        <w:spacing w:after="0" w:line="23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ind w:left="980" w:hanging="315"/>
        <w:spacing w:after="0" w:line="23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recalls;</w:t>
      </w:r>
    </w:p>
    <w:p>
      <w:pPr>
        <w:ind w:left="980" w:hanging="315"/>
        <w:spacing w:after="0" w:line="23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ind w:left="980" w:hanging="315"/>
        <w:spacing w:after="0" w:line="23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restitutions, or disgorgement of profits or revenues;</w:t>
      </w:r>
    </w:p>
    <w:p>
      <w:pPr>
        <w:ind w:left="980" w:hanging="315"/>
        <w:spacing w:after="0" w:line="23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ind w:left="980" w:hanging="315"/>
        <w:spacing w:after="0" w:line="23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detentions;</w:t>
      </w:r>
    </w:p>
    <w:p>
      <w:pPr>
        <w:ind w:left="980" w:hanging="315"/>
        <w:spacing w:after="0" w:line="23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ind w:left="980" w:hanging="315"/>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2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spacing w:after="0" w:line="16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6" w:lineRule="exact"/>
        <w:rPr>
          <w:sz w:val="20"/>
          <w:szCs w:val="20"/>
          <w:color w:val="auto"/>
        </w:rPr>
      </w:pPr>
    </w:p>
    <w:p>
      <w:pPr>
        <w:ind w:left="980" w:hanging="315"/>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contract with third parties for the manufacture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For example, we currently rely on Samsung Biologics for clinical and commercial supply of ublituximab.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85" w:lineRule="auto"/>
        <w:rPr>
          <w:sz w:val="20"/>
          <w:szCs w:val="20"/>
          <w:color w:val="auto"/>
        </w:rPr>
      </w:pPr>
      <w:r>
        <w:rPr>
          <w:rFonts w:ascii="Arial" w:cs="Arial" w:eastAsia="Arial" w:hAnsi="Arial"/>
          <w:sz w:val="16"/>
          <w:szCs w:val="16"/>
          <w:color w:val="auto"/>
        </w:rPr>
        <w:t>The facilities used by contract manufacturers to manufacture, test, package, and label our product and product candidates typically undergo periodic inspections by the FDA or a comparable foreign regulatory authority to verify compliance with applicable cGMP regulations. Additional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reliance on third-party manufacturers entails additional risks, including:</w:t>
      </w:r>
    </w:p>
    <w:p>
      <w:pPr>
        <w:spacing w:after="0" w:line="225" w:lineRule="exact"/>
        <w:rPr>
          <w:sz w:val="20"/>
          <w:szCs w:val="20"/>
          <w:color w:val="auto"/>
        </w:rPr>
      </w:pPr>
    </w:p>
    <w:p>
      <w:pPr>
        <w:ind w:left="980" w:hanging="315"/>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breach of the manufacturing, supply or quality agreement by the third party;</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Moreover, our current long-term supply agreement for ublituximab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 In negotiating our supply agreement for ublituximab,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public health emergencies such as the COVID-19 pandemic or natural disasters that may cause those suppliers to stop work for a period of time or lead to a sudden increase in demand for selected materials resulting in short-term unavailability of such materials. If any of our suppliers ceases its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COVID-19 pandemic has caused strain on the global supply chain. Although the pandemic has not had a material adverse effect on our supply chain to date, no assurance can be given that it will not in the future if the situation persists or worsens. In addition to potential disruptions at our contract manufacturers, there may be unfavorable changes in the availability or cost of raw materials, intermediates or other materials that we need for clinical and commercial production, which may result in higher costs or supply chain interruptions.</w:t>
      </w:r>
    </w:p>
    <w:p>
      <w:pPr>
        <w:spacing w:after="0" w:line="1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48" w:lineRule="exact"/>
        <w:rPr>
          <w:sz w:val="20"/>
          <w:szCs w:val="20"/>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 w:lineRule="exact"/>
        <w:rPr>
          <w:rFonts w:ascii="Arial" w:cs="Arial" w:eastAsia="Arial" w:hAnsi="Arial"/>
          <w:sz w:val="18"/>
          <w:szCs w:val="18"/>
          <w:color w:val="auto"/>
        </w:rPr>
      </w:pPr>
    </w:p>
    <w:p>
      <w:pPr>
        <w:ind w:left="980" w:right="20" w:hanging="315"/>
        <w:spacing w:after="0" w:line="226"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spacing w:after="0" w:line="1" w:lineRule="exact"/>
        <w:rPr>
          <w:rFonts w:ascii="Arial" w:cs="Arial" w:eastAsia="Arial" w:hAnsi="Arial"/>
          <w:sz w:val="18"/>
          <w:szCs w:val="18"/>
          <w:color w:val="auto"/>
        </w:rPr>
      </w:pPr>
    </w:p>
    <w:p>
      <w:pPr>
        <w:ind w:left="980" w:right="20" w:hanging="315"/>
        <w:spacing w:after="0" w:line="226"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 and obligations associated with sublicensing;</w:t>
      </w:r>
    </w:p>
    <w:p>
      <w:pPr>
        <w:spacing w:after="0" w:line="1" w:lineRule="exact"/>
        <w:rPr>
          <w:rFonts w:ascii="Arial" w:cs="Arial" w:eastAsia="Arial" w:hAnsi="Arial"/>
          <w:sz w:val="18"/>
          <w:szCs w:val="18"/>
          <w:color w:val="auto"/>
        </w:rPr>
      </w:pPr>
    </w:p>
    <w:p>
      <w:pPr>
        <w:ind w:left="980" w:hanging="315"/>
        <w:spacing w:after="0" w:line="23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ind w:left="980" w:right="20" w:hanging="315"/>
        <w:spacing w:after="0" w:line="226"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1" w:lineRule="exact"/>
        <w:rPr>
          <w:rFonts w:ascii="Arial" w:cs="Arial" w:eastAsia="Arial" w:hAnsi="Arial"/>
          <w:sz w:val="18"/>
          <w:szCs w:val="18"/>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9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5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62"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0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risks and uncertainties include the following:</w:t>
      </w:r>
    </w:p>
    <w:p>
      <w:pPr>
        <w:spacing w:after="0" w:line="198" w:lineRule="exact"/>
        <w:rPr>
          <w:sz w:val="20"/>
          <w:szCs w:val="20"/>
          <w:color w:val="auto"/>
        </w:rPr>
      </w:pPr>
    </w:p>
    <w:p>
      <w:pPr>
        <w:ind w:left="980" w:hanging="315"/>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issue as patent;</w:t>
      </w:r>
    </w:p>
    <w:p>
      <w:pPr>
        <w:spacing w:after="0" w:line="23"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20" w:hanging="315"/>
        <w:spacing w:after="0" w:line="25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first-to-invent to a first-to-file system. If we do not win the filing race, we will not be entitled to inventive priority;</w:t>
      </w:r>
    </w:p>
    <w:p>
      <w:pPr>
        <w:jc w:val="both"/>
        <w:ind w:left="980" w:right="20" w:hanging="315"/>
        <w:spacing w:after="0" w:line="25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p>
      <w:pPr>
        <w:spacing w:after="0" w:line="1"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p>
      <w:pPr>
        <w:spacing w:after="0" w:line="1" w:lineRule="exact"/>
        <w:rPr>
          <w:rFonts w:ascii="Arial" w:cs="Arial" w:eastAsia="Arial" w:hAnsi="Arial"/>
          <w:sz w:val="18"/>
          <w:szCs w:val="18"/>
          <w:color w:val="auto"/>
        </w:rPr>
      </w:pPr>
    </w:p>
    <w:p>
      <w:pPr>
        <w:jc w:val="both"/>
        <w:ind w:left="980" w:right="20" w:hanging="315"/>
        <w:spacing w:after="0" w:line="255"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of the United States, allowing foreign competitors to exploit such less restrictive patent laws to make, use, and/or sell competing products in their respective jurisdictions.</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are not able to obtain patents that protect our product and product candidates, it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or other partnerships,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8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patent term extensions under the Hatch-Waxman Act and similar foreign legislation extending the terms of our licensed patents and any future patents we may own, our business may be materially harmed.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7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Other products or product candidates that we may in-license or acquire could be subject to similar risks and uncertainties.</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in which case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may be harmed.</w:t>
      </w:r>
    </w:p>
    <w:p>
      <w:pPr>
        <w:spacing w:after="0" w:line="2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Organization and Governance, Strategy, Employees and Growth Management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commercial, and clinical development personnel, we may be unable to successfully develop or commercialize our product and product candidates.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In January and April 2022, following the withdrawal of the BLA and sNDA for U2 and the withdrawal of UKONIQ from sale, we engaged in streamlining efforts across the Company, reducing headcount and external expenses, primarily related to our oncology commercialization and research and development functions. Those streamlining efforts have made and may continue to make retention of key personnel more difficult.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of February 16, 2023, we had 226 full-time employees. Our management and medical, commercial, and scientific personnel, systems and facilities currently in place, which were largely designed to support research and development and commercialization in oncology, may not be adequate to support our anticipated future growth, particularly in MS. To manage our anticipated future growth and focus in neurology and immunology,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neurology and immunology,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2022, we had federal net operating loss carryforwards of approximately $1.4 billion,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Coronavirus Aid, Relief, and Economic Security (CARES) Act was signed by President Trump.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9" w:lineRule="exact"/>
        <w:rPr>
          <w:sz w:val="20"/>
          <w:szCs w:val="20"/>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even more so due to the conflict between Russia and Ukraine.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or results of operations.</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rising inflation, restricted credit, poor liquidity, reduced corporate profitability, debt, equity and foreign exchange market volatility, bankruptcies, rising interest rates, and overall uncertainty with respect to the economy. Increasing interest rates in the United States to respond to inflationary pressures and market volatility could negatively impact our results of operations and financial condition. In addition, increased interest rates or a general economic downturn or recession could reduce our ability to raise additional capital when needed on acceptable terms, if at all. A weak or declining economy, supply disruptions or international trade disputes could also strain our third-party suppliers, possibly resulting in supply disruption.</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Furthermore, the COVID-19 pandemic has caused extreme volatility and disruptions in the capital and credit markets. Likewise, the capital and credit markets may be adversely affected by the recent conflict between Russia and Ukraine, the possibility of a wider European or global conflict, and global sanctions imposed in response thereto.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drugs, or form strategic alliances, in the future, and we may not realize the benefits of such acquisitions.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adverse legislative or regulatory tax changes that could negatively impact our financial condition.</w:t>
      </w:r>
    </w:p>
    <w:p>
      <w:pPr>
        <w:spacing w:after="0" w:line="19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business if new variants continue to circulate and government control measures are reinstated.</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COVID-19 pandemic presented substantial public health challenges and negatively impacted the global economy, global supply chains, and the global healthcare system, including the conduct of clinical trials in the U.S. and other parts of the world. New variants continue to circulate, and uncertainty remains as to whether restrictions that have been lifted will be reinstated or new measures will be implemented to address the spread of new variants. The extent to which the COVID-19 pandemic continues to impact our business and operating results will depend on future developments that cannot be accurately predicted. Should the COVID-19 pandemic worsen and government restrictions be reinstated, our business operations could be materially delayed or interrupted. For instance, our supply chain may be disrupted; health authority inspections of clinical sites, marketing application sponsor, CROs, or manufacturing facilities or review of our regulatory submissions may be delayed; and our commercialization efforts may be impacted.</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we may encounter delays in our clinical development program. The majority of our clinical trials involve patients with multiple sclerosis who may be at higher risk of infection. These patients are thus more likely to be subject to travel restrictions and self-quarantining and may be more likely to withdraw from our clinical trials or unable to complete study assessments, which may affect our ability to meet our projected timelines. Further, patients and healthcare providers have raised concerns that B-cell targeted agents, like anti-CD20 antibodies, may increase the risk of acquiring COVID-19 or lead to more severe complications or outcomes upon infection, including death, which could have a material adverse effect on our product and product candidates by negatively impacting:</w:t>
      </w:r>
    </w:p>
    <w:p>
      <w:pPr>
        <w:spacing w:after="0" w:line="1" w:lineRule="exact"/>
        <w:rPr>
          <w:sz w:val="20"/>
          <w:szCs w:val="20"/>
          <w:color w:val="auto"/>
        </w:rPr>
      </w:pPr>
    </w:p>
    <w:p>
      <w:pPr>
        <w:ind w:left="1320" w:hanging="331"/>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clinical trials;</w:t>
      </w:r>
    </w:p>
    <w:p>
      <w:pPr>
        <w:spacing w:after="0" w:line="9" w:lineRule="exact"/>
        <w:rPr>
          <w:rFonts w:ascii="Arial" w:cs="Arial" w:eastAsia="Arial" w:hAnsi="Arial"/>
          <w:sz w:val="18"/>
          <w:szCs w:val="18"/>
          <w:color w:val="auto"/>
        </w:rPr>
      </w:pPr>
    </w:p>
    <w:p>
      <w:pPr>
        <w:ind w:left="1320" w:hanging="331"/>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regulatory review and approval;</w:t>
      </w:r>
    </w:p>
    <w:p>
      <w:pPr>
        <w:spacing w:after="0" w:line="9" w:lineRule="exact"/>
        <w:rPr>
          <w:rFonts w:ascii="Arial" w:cs="Arial" w:eastAsia="Arial" w:hAnsi="Arial"/>
          <w:sz w:val="18"/>
          <w:szCs w:val="18"/>
          <w:color w:val="auto"/>
        </w:rPr>
      </w:pPr>
    </w:p>
    <w:p>
      <w:pPr>
        <w:ind w:left="1320" w:hanging="331"/>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labeling, if approved, including restrictions on use or other warnings, or</w:t>
      </w:r>
    </w:p>
    <w:p>
      <w:pPr>
        <w:spacing w:after="0" w:line="9" w:lineRule="exact"/>
        <w:rPr>
          <w:rFonts w:ascii="Arial" w:cs="Arial" w:eastAsia="Arial" w:hAnsi="Arial"/>
          <w:sz w:val="18"/>
          <w:szCs w:val="18"/>
          <w:color w:val="auto"/>
        </w:rPr>
      </w:pPr>
    </w:p>
    <w:p>
      <w:pPr>
        <w:ind w:left="1320" w:hanging="331"/>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their acceptance among patients, healthcare providers, and payors, if approved.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pandemic also may adversely affect our ability to complete ongoing clinical trials or conduct new trials. Some factors from the COVID-19 outbreak that may delay or otherwise adversely affect our clinical trial programs, as well as adversely impact our business generally, include, among other things:</w:t>
      </w:r>
    </w:p>
    <w:p>
      <w:pPr>
        <w:spacing w:after="0" w:line="184" w:lineRule="exact"/>
        <w:rPr>
          <w:sz w:val="20"/>
          <w:szCs w:val="20"/>
          <w:color w:val="auto"/>
        </w:rPr>
      </w:pPr>
    </w:p>
    <w:p>
      <w:pPr>
        <w:jc w:val="both"/>
        <w:ind w:left="980" w:right="20" w:hanging="315"/>
        <w:spacing w:after="0" w:line="255"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and retaining clinical sites, impacts on compliance with clinical study protocols, delays enrolling patients in our clinical trials, decreased enrollment in our clinical trials or increased rates of patients withdrawing from our clinical trials following enrollment</w:t>
      </w:r>
    </w:p>
    <w:p>
      <w:pPr>
        <w:spacing w:after="0" w:line="2"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impacts to clinical results, including an increased number of observed adverse events, as a result of participants enrolled in our clinical trials contracting COVID-19;</w:t>
      </w:r>
    </w:p>
    <w:p>
      <w:pPr>
        <w:jc w:val="both"/>
        <w:ind w:left="980" w:right="20" w:hanging="315"/>
        <w:spacing w:after="0" w:line="25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and product candidates from our contract manufacturing organizations due to staffing shortages, production slowdowns or stoppages or interruption in global shipping that may affect the transport of clinical trial materials;</w:t>
      </w:r>
    </w:p>
    <w:p>
      <w:pPr>
        <w:spacing w:after="0" w:line="1"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disruptions in or delays to regulatory reviews, responses, inspections, or other regulatory activities, including review of marketing applications and approvals of protocol changes or amendments to SPAs, as a result of the spread of COVID-19 affecting the operations of the FDA or other regulatory authorities;</w:t>
      </w:r>
    </w:p>
    <w:p>
      <w:pPr>
        <w:spacing w:after="0" w:line="1" w:lineRule="exact"/>
        <w:rPr>
          <w:rFonts w:ascii="Arial" w:cs="Arial" w:eastAsia="Arial" w:hAnsi="Arial"/>
          <w:sz w:val="18"/>
          <w:szCs w:val="18"/>
          <w:color w:val="auto"/>
        </w:rPr>
      </w:pPr>
    </w:p>
    <w:p>
      <w:pPr>
        <w:ind w:left="980" w:right="20" w:hanging="315"/>
        <w:spacing w:after="0" w:line="265"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pandemic which may require us to change the ways in which clinical trials are conducted, which may result in unexpected costs, or to discontinue the clinical trials altogether; and</w:t>
      </w:r>
    </w:p>
    <w:p>
      <w:pPr>
        <w:ind w:left="980" w:hanging="315"/>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effects on the quality, completeness, integrity, interpretability, and cost of our clinical study data.</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potential disruptions and other impacts discussed above and other consequences of the COVID-19 pandemic could result in missed study visits or study procedures in our clinical trials, which could lead to an abundance of protocol deviations that impact the interpretability of the trial results. A significant number of deviations may call into question whether the execution of a clinical trial was consistent with the protocol, which is of particular importance where study designs were agreed to as part of a SPA, as in the case of our Phase 3 clinical trial for ublituximab in RMS. In extreme cases, significant deviations from the protocol may be considered a violation of the SPA. The impacts of COVID-19 on clinical studies described above may be greater in geographies outside the U.S., including in Eastern European countries where we have a number of study sites for ULTIMATE I and II.</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event government-imposed restrictions related to COVID-19 that have been lifted are reinstated or new measures are implemented to address the spread of new variants, our ability to successfully commercialize our product or any of our product candidates for which we in the future obtain regulatory approval also may be adversely impacted. In response to the COVID-19 pandemic, many healthcare institutions reduced access of pharmaceutical and biotechnology companies to healthcare providers as part of their safety measures. Should limitations on access continue, our commercialization activities, including the manner in which our field teams engage with healthcare providers and facilities, may limit our ability to provide product education and information, which could slow adoption and impact sales.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continue to monitor the potential impact of COVID-19 on our business; however, the full extent to which the COVID-19 pandemic may directly or indirectly impact the progress of our current and planned trials will depend on future developments that are uncertain and cannot be accurately predicted.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subject to wide fluctuations in price in response to various factors, many of which are beyond our control. These factors include:</w:t>
      </w:r>
    </w:p>
    <w:p>
      <w:pPr>
        <w:ind w:left="980" w:hanging="315"/>
        <w:spacing w:after="0" w:line="236"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reception and success of BRIUMVI in the market;</w:t>
      </w:r>
    </w:p>
    <w:p>
      <w:pPr>
        <w:ind w:left="980" w:right="20" w:hanging="315"/>
        <w:spacing w:after="0" w:line="226"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our product or products under development by our competitors or us;</w:t>
      </w:r>
    </w:p>
    <w:p>
      <w:pPr>
        <w:spacing w:after="0" w:line="1" w:lineRule="exact"/>
        <w:rPr>
          <w:rFonts w:ascii="Arial" w:cs="Arial" w:eastAsia="Arial" w:hAnsi="Arial"/>
          <w:sz w:val="18"/>
          <w:szCs w:val="18"/>
          <w:color w:val="auto"/>
        </w:rPr>
      </w:pPr>
    </w:p>
    <w:p>
      <w:pPr>
        <w:ind w:left="980" w:right="20" w:hanging="315"/>
        <w:spacing w:after="0" w:line="226"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1" w:lineRule="exact"/>
        <w:rPr>
          <w:rFonts w:ascii="Arial" w:cs="Arial" w:eastAsia="Arial" w:hAnsi="Arial"/>
          <w:sz w:val="18"/>
          <w:szCs w:val="18"/>
          <w:color w:val="auto"/>
        </w:rPr>
      </w:pPr>
    </w:p>
    <w:p>
      <w:pPr>
        <w:ind w:left="980" w:hanging="315"/>
        <w:spacing w:after="0" w:line="23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us or our competitors;</w:t>
      </w:r>
    </w:p>
    <w:p>
      <w:pPr>
        <w:jc w:val="both"/>
        <w:ind w:left="980" w:right="20" w:hanging="315"/>
        <w:spacing w:after="0" w:line="230"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spacing w:after="0" w:line="3" w:lineRule="exact"/>
        <w:rPr>
          <w:rFonts w:ascii="Arial" w:cs="Arial" w:eastAsia="Arial" w:hAnsi="Arial"/>
          <w:sz w:val="18"/>
          <w:szCs w:val="18"/>
          <w:color w:val="auto"/>
        </w:rPr>
      </w:pPr>
    </w:p>
    <w:p>
      <w:pPr>
        <w:ind w:left="980" w:hanging="315"/>
        <w:spacing w:after="0" w:line="23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ind w:left="980" w:hanging="315"/>
        <w:spacing w:after="0" w:line="23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ind w:left="980" w:hanging="315"/>
        <w:spacing w:after="0" w:line="23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ind w:left="980" w:hanging="315"/>
        <w:spacing w:after="0" w:line="23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ind w:left="980" w:right="20" w:hanging="315"/>
        <w:spacing w:after="0" w:line="226"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 such as the disruptions in the global economy caused by the COVID-19 pandemic and the conflict between Russia and Ukraine;</w:t>
      </w:r>
    </w:p>
    <w:p>
      <w:pPr>
        <w:spacing w:after="0" w:line="1" w:lineRule="exact"/>
        <w:rPr>
          <w:rFonts w:ascii="Arial" w:cs="Arial" w:eastAsia="Arial" w:hAnsi="Arial"/>
          <w:sz w:val="18"/>
          <w:szCs w:val="18"/>
          <w:color w:val="auto"/>
        </w:rPr>
      </w:pPr>
    </w:p>
    <w:p>
      <w:pPr>
        <w:ind w:left="980" w:hanging="315"/>
        <w:spacing w:after="0" w:line="23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ind w:left="980" w:hanging="315"/>
        <w:spacing w:after="0" w:line="23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meet our revenue projections or guidance;</w:t>
      </w:r>
    </w:p>
    <w:p>
      <w:pPr>
        <w:ind w:left="980" w:hanging="315"/>
        <w:spacing w:after="0" w:line="23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ind w:left="980" w:hanging="31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196"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under the Amended Loan Agreement with Hercules,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the sole source of gain for our stockholders for the foreseeable future.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Volatility in the price of our common stock may subject us to securities and shareholder derivative litigation, which could cause us to incur substantial costs and divert management’s attention, financial resources and other company assets.</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ectPr>
          <w:pgSz w:w="11900" w:h="16838" w:orient="portrait"/>
          <w:cols w:equalWidth="0" w:num="1">
            <w:col w:w="10220"/>
          </w:cols>
          <w:pgMar w:left="840" w:top="517" w:right="8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maintain corporate and executive space in New York, New York, Edison, New Jersey and Morrisville, North Carolina. We are also currently leasing small office space in Boca Raton, Florida. We believe that our existing facilities are adequate to meet our current requirements. We do not own any real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July 2022, a putative securities class action (the Class Action Lawsuit) complaint was filed in the US District Court for the Southern District of New York against the Company and two of its officers, purportedly on behalf of all shareholders who purchased or otherwise acquired TG Therapeutics common stock between January 15, 2020 and May 31, 2022 (the Class Period). The case was captioned </w:t>
      </w:r>
      <w:r>
        <w:rPr>
          <w:rFonts w:ascii="Arial" w:cs="Arial" w:eastAsia="Arial" w:hAnsi="Arial"/>
          <w:sz w:val="18"/>
          <w:szCs w:val="18"/>
          <w:i w:val="1"/>
          <w:iCs w:val="1"/>
          <w:color w:val="auto"/>
        </w:rPr>
        <w:t>Shapiro v. TG Therapeutics, Inc., et al., Case No. 1:22-cv-06106</w:t>
      </w:r>
      <w:r>
        <w:rPr>
          <w:rFonts w:ascii="Arial" w:cs="Arial" w:eastAsia="Arial" w:hAnsi="Arial"/>
          <w:sz w:val="18"/>
          <w:szCs w:val="18"/>
          <w:color w:val="auto"/>
        </w:rPr>
        <w:t>. The complaint alleged that the Company and the named officers violated</w:t>
      </w:r>
      <w:r>
        <w:rPr>
          <w:rFonts w:ascii="Arial" w:cs="Arial" w:eastAsia="Arial" w:hAnsi="Arial"/>
          <w:sz w:val="18"/>
          <w:szCs w:val="18"/>
          <w:i w:val="1"/>
          <w:iCs w:val="1"/>
          <w:color w:val="auto"/>
        </w:rPr>
        <w:t xml:space="preserve"> </w:t>
      </w:r>
      <w:r>
        <w:rPr>
          <w:rFonts w:ascii="Arial" w:cs="Arial" w:eastAsia="Arial" w:hAnsi="Arial"/>
          <w:sz w:val="18"/>
          <w:szCs w:val="18"/>
          <w:color w:val="auto"/>
        </w:rPr>
        <w:t>the federal securities laws by allegedly making materially false and misleading statements throughout the Class Period concerning the Company’s business and operations relating to ublituximab and umbralisib, and sought monetary damages. In January 2023, the Court dismissed the action in full, with prejudice.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record holders of our common stock as of February 17, 2023 was 218.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in the foreseeable future. Any future determination to pay dividends will be at the discretion of our board of directors.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provides information as of December 31, 2022, regarding the securities authorized for issuance under our equity compensation plans, the TG Therapeutics, Inc. Amended and Restated 2012 Incentive Plan (the 2012 Incentive Plan) and the TG Therapeutics, Inc. 2022 Incentive Plan (the 2022 Incentive Plan). There were no additional shares available to be issued under the 2012 Incentive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7" w:name="page68"/>
    <w:bookmarkEnd w:id="67"/>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Equity Compensation Plan Information</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Weighted-average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options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in column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5,135,685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5,135,685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12,251,485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50"/>
        <w:spacing w:after="0"/>
        <w:rPr>
          <w:sz w:val="20"/>
          <w:szCs w:val="20"/>
          <w:color w:val="auto"/>
        </w:rPr>
      </w:pPr>
      <w:r>
        <w:rPr>
          <w:rFonts w:ascii="Arial" w:cs="Arial" w:eastAsia="Arial" w:hAnsi="Arial"/>
          <w:sz w:val="17"/>
          <w:szCs w:val="17"/>
          <w:color w:val="auto"/>
        </w:rPr>
        <w:t>For information about all of our equity compensation plans see Note 5 to our Consolidated Financial Statements included in this</w:t>
      </w:r>
    </w:p>
    <w:p>
      <w:pPr>
        <w:spacing w:after="0" w:line="35" w:lineRule="exact"/>
        <w:rPr>
          <w:sz w:val="20"/>
          <w:szCs w:val="20"/>
          <w:color w:val="auto"/>
        </w:rPr>
      </w:pPr>
    </w:p>
    <w:p>
      <w:pPr>
        <w:ind w:left="10"/>
        <w:spacing w:after="0"/>
        <w:rPr>
          <w:sz w:val="20"/>
          <w:szCs w:val="20"/>
          <w:color w:val="auto"/>
        </w:rPr>
      </w:pPr>
      <w:r>
        <w:rPr>
          <w:rFonts w:ascii="Arial" w:cs="Arial" w:eastAsia="Arial" w:hAnsi="Arial"/>
          <w:sz w:val="18"/>
          <w:szCs w:val="18"/>
          <w:color w:val="auto"/>
        </w:rPr>
        <w:t>report.</w:t>
      </w:r>
    </w:p>
    <w:p>
      <w:pPr>
        <w:spacing w:after="0" w:line="20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COMMON STOCK PERFORMANCE GRAPH</w:t>
      </w:r>
    </w:p>
    <w:p>
      <w:pPr>
        <w:spacing w:after="0" w:line="229" w:lineRule="exact"/>
        <w:rPr>
          <w:sz w:val="20"/>
          <w:szCs w:val="20"/>
          <w:color w:val="auto"/>
        </w:rPr>
      </w:pPr>
    </w:p>
    <w:p>
      <w:pPr>
        <w:jc w:val="both"/>
        <w:ind w:left="10" w:firstLine="648"/>
        <w:spacing w:after="0" w:line="291" w:lineRule="auto"/>
        <w:rPr>
          <w:sz w:val="20"/>
          <w:szCs w:val="20"/>
          <w:color w:val="auto"/>
        </w:rPr>
      </w:pPr>
      <w:r>
        <w:rPr>
          <w:rFonts w:ascii="Arial" w:cs="Arial" w:eastAsia="Arial" w:hAnsi="Arial"/>
          <w:sz w:val="16"/>
          <w:szCs w:val="16"/>
          <w:color w:val="auto"/>
        </w:rPr>
        <w:t>The following graph compares the cumulative total stockholder return on our common stock for the period from December 31, 2017 through December 31, 2022, with the cumulative total return over such period on (i) the U.S. Index of The Nasdaq Stock Market and</w:t>
      </w:r>
    </w:p>
    <w:p>
      <w:pPr>
        <w:jc w:val="both"/>
        <w:ind w:left="10" w:hanging="10"/>
        <w:spacing w:after="0" w:line="255" w:lineRule="auto"/>
        <w:tabs>
          <w:tab w:leader="none" w:pos="2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Biotechnology Index of The Nasdaq Stock Market. The graph assumes an investment of $100 on December 31, 2017, in our common stock (at the adjusted closing market price) and in each of the indices listed above, and assumes the reinvestment of all dividends. Measurement points are December 31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6163310" cy="28378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63310" cy="283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10" w:hanging="310"/>
        <w:spacing w:after="0"/>
        <w:tabs>
          <w:tab w:leader="none" w:pos="31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$100 invested on December 31, 2017 in stock or index, including reinvestment of dividends. Fiscal Years ending December 31.</w:t>
      </w:r>
    </w:p>
    <w:p>
      <w:pPr>
        <w:spacing w:after="0" w:line="248" w:lineRule="exact"/>
        <w:rPr>
          <w:rFonts w:ascii="Arial" w:cs="Arial" w:eastAsia="Arial" w:hAnsi="Arial"/>
          <w:sz w:val="16"/>
          <w:szCs w:val="16"/>
          <w:b w:val="1"/>
          <w:bCs w:val="1"/>
          <w:color w:val="auto"/>
        </w:rPr>
      </w:pPr>
    </w:p>
    <w:p>
      <w:pPr>
        <w:ind w:left="1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ITEM 6. REMOVED AND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517" w:right="839" w:bottom="1440" w:gutter="0" w:footer="0" w:header="0"/>
        </w:sectPr>
      </w:pPr>
    </w:p>
    <w:bookmarkStart w:id="68" w:name="page69"/>
    <w:bookmarkEnd w:id="68"/>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left="20" w:firstLine="648"/>
        <w:spacing w:after="0" w:line="275" w:lineRule="auto"/>
        <w:rPr>
          <w:sz w:val="20"/>
          <w:szCs w:val="20"/>
          <w:color w:val="auto"/>
        </w:rPr>
      </w:pPr>
      <w:r>
        <w:rPr>
          <w:rFonts w:ascii="Arial" w:cs="Arial" w:eastAsia="Arial" w:hAnsi="Arial"/>
          <w:sz w:val="17"/>
          <w:szCs w:val="17"/>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76"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You should read the following discussion and analysis in conjunction with “Item 8. Financial Statements and Supplementary Data,” and our consolidated financial statements beginning on page F-1 of this report.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20" w:firstLine="648"/>
        <w:spacing w:after="0" w:line="296" w:lineRule="auto"/>
        <w:rPr>
          <w:sz w:val="20"/>
          <w:szCs w:val="20"/>
          <w:color w:val="auto"/>
        </w:rPr>
      </w:pPr>
      <w:r>
        <w:rPr>
          <w:rFonts w:ascii="Arial" w:cs="Arial" w:eastAsia="Arial" w:hAnsi="Arial"/>
          <w:sz w:val="16"/>
          <w:szCs w:val="16"/>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FDA for BRIUMVI (ublituximab-xiiy) for the treatment of adult patients with RMS, to include clinically isolated syndrome, relapsing-remitting disease, and active secondary progressive disease, in adults. We also actively evaluate complementary products, technologies and companies for in-licensing, partnership, acquisition and/or investment opportunities.</w:t>
      </w:r>
    </w:p>
    <w:p>
      <w:pPr>
        <w:spacing w:after="0" w:line="161" w:lineRule="exact"/>
        <w:rPr>
          <w:sz w:val="20"/>
          <w:szCs w:val="20"/>
          <w:color w:val="auto"/>
        </w:rPr>
      </w:pPr>
    </w:p>
    <w:p>
      <w:pPr>
        <w:jc w:val="both"/>
        <w:ind w:left="20" w:firstLine="648"/>
        <w:spacing w:after="0" w:line="254" w:lineRule="auto"/>
        <w:rPr>
          <w:sz w:val="20"/>
          <w:szCs w:val="20"/>
          <w:color w:val="auto"/>
        </w:rPr>
      </w:pPr>
      <w:r>
        <w:rPr>
          <w:rFonts w:ascii="Arial" w:cs="Arial" w:eastAsia="Arial" w:hAnsi="Arial"/>
          <w:sz w:val="18"/>
          <w:szCs w:val="18"/>
          <w:color w:val="auto"/>
        </w:rPr>
        <w:t>On February 5, 2021, we announced that the FDA granted accelerated approval of umbralisib, the Company’s PI3K delta inhibitor, then commercially referred to as UKONIQ, for the treatment of adult patients with relapsed or refractory MZL who have received at least one prior anti-CD20 based regimen and adult patients with relapsed or refractory FL who have received at least three prior lines of systemic therapy. On April 15, 2022, we announced the voluntary withdrawal of UKONIQ from sale for the approved indications. During the year ended December 31, 2022, our only sources of product revenues were from the sales of UKONIQ. Product revenues are recorded net of estimates of variable consideration. For further discussion of our revenue recognition policy, see “Critical Accounting Policies and Significant Judgements and Estimates” below.</w:t>
      </w:r>
    </w:p>
    <w:p>
      <w:pPr>
        <w:spacing w:after="0" w:line="195"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Cost of product revenue consists primarily of materials and third-party manufacturing costs, as well as freight and royalties owed to our licensing partner for UKONIQ sales. Based on our policy to expense costs associated with the manufacture of our products prior to regulatory approval, the manufacturing costs of UKONIQ units recognized as revenue during the year ended December 31, 2022 were expensed prior to receipt of FDA approval on February 5, 2021, and therefore are not included in costs of product revenue during the current period.</w:t>
      </w:r>
    </w:p>
    <w:p>
      <w:pPr>
        <w:spacing w:after="0" w:line="188" w:lineRule="exact"/>
        <w:rPr>
          <w:sz w:val="20"/>
          <w:szCs w:val="20"/>
          <w:color w:val="auto"/>
        </w:rPr>
      </w:pPr>
    </w:p>
    <w:p>
      <w:pPr>
        <w:jc w:val="both"/>
        <w:ind w:left="20" w:firstLine="648"/>
        <w:spacing w:after="0" w:line="273" w:lineRule="auto"/>
        <w:rPr>
          <w:sz w:val="20"/>
          <w:szCs w:val="20"/>
          <w:color w:val="auto"/>
        </w:rPr>
      </w:pPr>
      <w:r>
        <w:rPr>
          <w:rFonts w:ascii="Arial" w:cs="Arial" w:eastAsia="Arial" w:hAnsi="Arial"/>
          <w:sz w:val="17"/>
          <w:szCs w:val="17"/>
          <w:color w:val="auto"/>
        </w:rPr>
        <w:t>Our other research and development expenses consist primarily of expenses relating to the design, development, manufacture, testing and enhancement of our drug candidates and technologies, milestone expenses related to in-licensing of new product candidates, fees paid to consultants and outside service providers for clinical and laboratory development, personnel expenses and other facilities-related expenses. We expense our research and development costs as they are incurred. Research and development expenses for the years ended December 31, 2022, 2021 and 2020 were approximately $112.1 million, $198.5 million and $151.9 million respectively, excluding noncash compensation expenses related to research and development.</w:t>
      </w:r>
    </w:p>
    <w:p>
      <w:pPr>
        <w:spacing w:after="0" w:line="178"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The following table sets forth the research and development expenses per project, exclusive of noncash compensation expenses, for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Ublituximab</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Umbralisib</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Clinical Pipeline &amp; Pre-Clinical</w:t>
            </w:r>
          </w:p>
        </w:tc>
        <w:tc>
          <w:tcPr>
            <w:tcW w:w="3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120"/>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112,128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198,532</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200" w:type="dxa"/>
            <w:vAlign w:val="bottom"/>
            <w:vMerge w:val="restart"/>
          </w:tcPr>
          <w:p>
            <w:pPr>
              <w:jc w:val="right"/>
              <w:ind w:right="1790"/>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9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7" w:right="839" w:bottom="1440" w:gutter="0" w:footer="0" w:header="0"/>
        </w:sectPr>
      </w:pPr>
    </w:p>
    <w:bookmarkStart w:id="69" w:name="page70"/>
    <w:bookmarkEnd w:id="69"/>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20" w:firstLine="648"/>
        <w:spacing w:after="0" w:line="279" w:lineRule="auto"/>
        <w:rPr>
          <w:sz w:val="20"/>
          <w:szCs w:val="20"/>
          <w:color w:val="auto"/>
        </w:rPr>
      </w:pPr>
      <w:r>
        <w:rPr>
          <w:rFonts w:ascii="Arial" w:cs="Arial" w:eastAsia="Arial" w:hAnsi="Arial"/>
          <w:sz w:val="17"/>
          <w:szCs w:val="17"/>
          <w:color w:val="auto"/>
        </w:rPr>
        <w:t>Our selling, general and administrative expenses consist primarily of expenses related to the commercial launch of our products, including salaries and related expenses for our commercialization team and commercial development activities. Other selling, general and administrative expenses consist of executive, finance and other administrative personnel, recruitment expenses, professional fees and other corporate expenses, including investor relations, legal activities and facilities-related expenses.</w:t>
      </w:r>
    </w:p>
    <w:p>
      <w:pPr>
        <w:spacing w:after="0" w:line="171" w:lineRule="exact"/>
        <w:rPr>
          <w:sz w:val="20"/>
          <w:szCs w:val="20"/>
          <w:color w:val="auto"/>
        </w:rPr>
      </w:pPr>
    </w:p>
    <w:p>
      <w:pPr>
        <w:jc w:val="both"/>
        <w:ind w:left="20" w:firstLine="648"/>
        <w:spacing w:after="0" w:line="301" w:lineRule="auto"/>
        <w:rPr>
          <w:sz w:val="20"/>
          <w:szCs w:val="20"/>
          <w:color w:val="auto"/>
        </w:rPr>
      </w:pPr>
      <w:r>
        <w:rPr>
          <w:rFonts w:ascii="Arial" w:cs="Arial" w:eastAsia="Arial" w:hAnsi="Arial"/>
          <w:sz w:val="16"/>
          <w:szCs w:val="16"/>
          <w:color w:val="auto"/>
        </w:rPr>
        <w:t>Our results of operations include noncash compensation expenses as a result of the grants of restricted stock and stock options. Compensation expense for awards of restricted stock and stock options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57"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We recognize all share-based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results of operations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7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revenue, net</w:t>
            </w:r>
          </w:p>
        </w:tc>
        <w:tc>
          <w:tcPr>
            <w:tcW w:w="17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License Revenue</w:t>
            </w:r>
          </w:p>
        </w:tc>
        <w:tc>
          <w:tcPr>
            <w:tcW w:w="17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7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13,224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w:t>
            </w:r>
          </w:p>
        </w:tc>
        <w:tc>
          <w:tcPr>
            <w:tcW w:w="17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112,128</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8"/>
                <w:szCs w:val="18"/>
                <w:color w:val="auto"/>
              </w:rPr>
              <w:t>Total research and development</w:t>
            </w: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125,352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1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17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64,046</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selling, general and administrative</w:t>
            </w:r>
          </w:p>
        </w:tc>
        <w:tc>
          <w:tcPr>
            <w:tcW w:w="17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70,007</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7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195,624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(4,695)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17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3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(198,335)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550"/>
              <w:spacing w:after="0"/>
              <w:rPr>
                <w:sz w:val="20"/>
                <w:szCs w:val="20"/>
                <w:color w:val="auto"/>
              </w:rPr>
            </w:pPr>
            <w:r>
              <w:rPr>
                <w:rFonts w:ascii="Arial" w:cs="Arial" w:eastAsia="Arial" w:hAnsi="Arial"/>
                <w:sz w:val="18"/>
                <w:szCs w:val="18"/>
                <w:color w:val="auto"/>
              </w:rPr>
              <w:t>69</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7" w:right="8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for the year ended December 31, 2022 decreased compared to the comparable period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due to a decrease in net product revenues resulting from the voluntary withdrawal from the U.S. market of our sole commercial product UKONIQ.</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Cost of Product Revenue. </w:t>
      </w:r>
      <w:r>
        <w:rPr>
          <w:rFonts w:ascii="Arial" w:cs="Arial" w:eastAsia="Arial" w:hAnsi="Arial"/>
          <w:sz w:val="17"/>
          <w:szCs w:val="17"/>
          <w:color w:val="auto"/>
        </w:rPr>
        <w:t>Cost of product revenue for the year ended December 31, 2022 decreased compared to the comparable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ended December 31, 2021 due to the stoppage of product sales resulting from the withdrawal from the U.S. market of our sole commercial product UKONIQ. During the year ended December 31, 2022 the cost of product revenue consists primarily of freight and royalties on net sales of UKONIQ owed to our licensing partner. Based on our policy to expense costs associated with the manufacture of our products prior to regulatory approval, the manufacturing costs of UKONIQ units recognized as revenue during the year ended December 31, 2022 were expensed as research and development expenses prior to receipt of FDA approval on February 5, 2021, and therefore are not included in costs of product revenue during the current period.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equity incentive grants totaled $13.2 million for the year ended December 31, 2022, as compared to $24.0 million during the comparable period in 2021. The decrease in noncash compensation expense was primarily due to forfeitures of restricted stock during the year ended December 31, 2022, as well as an overall decreased headcount during the year ended December 31, 2022 compared to the year ended December 31, 2021.</w:t>
      </w:r>
    </w:p>
    <w:p>
      <w:pPr>
        <w:spacing w:after="0" w:line="188" w:lineRule="exact"/>
        <w:rPr>
          <w:sz w:val="20"/>
          <w:szCs w:val="20"/>
          <w:color w:val="auto"/>
        </w:rPr>
      </w:pPr>
    </w:p>
    <w:p>
      <w:pPr>
        <w:ind w:right="200" w:firstLine="648"/>
        <w:spacing w:after="0" w:line="327" w:lineRule="auto"/>
        <w:rPr>
          <w:sz w:val="20"/>
          <w:szCs w:val="20"/>
          <w:color w:val="auto"/>
        </w:rPr>
      </w:pPr>
      <w:r>
        <w:rPr>
          <w:rFonts w:ascii="Arial" w:cs="Arial" w:eastAsia="Arial" w:hAnsi="Arial"/>
          <w:sz w:val="15"/>
          <w:szCs w:val="15"/>
          <w:b w:val="1"/>
          <w:bCs w:val="1"/>
          <w:i w:val="1"/>
          <w:iCs w:val="1"/>
          <w:color w:val="auto"/>
        </w:rPr>
        <w:t>Other Research and Development Expense</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research and development expense decreased for the year ended December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2022, by approximately $86.4 million to $112.1 million as compared to the prior year ended December 31, 2021. The decrease in research and development expense is primarily attributable to reduced clinical trial related expenses, headcount, lower fees paid to consultants and outside service providers, license milestones and decreased manufacturing expense during the year ended December 31, 2022.</w:t>
      </w:r>
    </w:p>
    <w:p>
      <w:pPr>
        <w:spacing w:after="0" w:line="1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Noncash Compensation Expense (Selling, General and Administrative). </w:t>
      </w:r>
      <w:r>
        <w:rPr>
          <w:rFonts w:ascii="Arial" w:cs="Arial" w:eastAsia="Arial" w:hAnsi="Arial"/>
          <w:sz w:val="18"/>
          <w:szCs w:val="18"/>
          <w:color w:val="auto"/>
        </w:rPr>
        <w:t>Noncash compensation expense (selling, general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related to equity incentive grants totaled $6.0 million for the year ended December 31, 2022, as compared to $37.2 million during the comparable period in 2021. The decrease in noncash compensation expense was primarily due to forfeitures of restricted stock during the year ended December 31, 2022, as well as an overall decreased headcount during the year ended December 31, 2022 compared to the year ended December 31, 2021.</w:t>
      </w:r>
    </w:p>
    <w:p>
      <w:pPr>
        <w:spacing w:after="0" w:line="18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Other Selling, General and Administrative. </w:t>
      </w:r>
      <w:r>
        <w:rPr>
          <w:rFonts w:ascii="Arial" w:cs="Arial" w:eastAsia="Arial" w:hAnsi="Arial"/>
          <w:sz w:val="18"/>
          <w:szCs w:val="18"/>
          <w:color w:val="auto"/>
        </w:rPr>
        <w:t>Other selling, general and administrative expenses decreased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 by approximately $26.8 million to $64.0 million as compared to the prior year ended December 31, 2021. The decrease was due primarily to lower other selling, general and administrative costs, as a result of our withdrawal of UKONIQ and decreased headcount, during the period ended December 31, 2022.</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the year ended December 31, 2022 was $10.2 million compared to $5.6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period ended December 31, 2021. The $4.6 million increase is mainly due to greater interest expense related to the Amended Loan Agreement entered into in December 2021.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increased by $2.4 million to $4.7 million for the year ended December 31, 2022, as compared to $2.3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2021. The increase is mainly due to greater interest income, as well as a research &amp; development tax credit refund received by our Australian subsidiary during the year ended December 31,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1" w:name="page72"/>
    <w:bookmarkEnd w:id="71"/>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results of operations for the years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revenue, net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License Revenue</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24,047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w:t>
            </w:r>
          </w:p>
        </w:tc>
        <w:tc>
          <w:tcPr>
            <w:tcW w:w="5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198,532</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research and development</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222,579</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90,863</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w:t>
            </w:r>
          </w:p>
        </w:tc>
        <w:tc>
          <w:tcPr>
            <w:tcW w:w="5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128,090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5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351,459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500" w:type="dxa"/>
            <w:vAlign w:val="bottom"/>
          </w:tcPr>
          <w:p>
            <w:pPr>
              <w:spacing w:after="0"/>
              <w:rPr>
                <w:sz w:val="18"/>
                <w:szCs w:val="18"/>
                <w:color w:val="auto"/>
              </w:rPr>
            </w:pP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(2,307)</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(348,101)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for the year ended December 31, 2021 increased compared to the comparable periods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due to net product revenues from U.S. sales of our sole commercial product, UKONIQ, which was approved by the FDA on February 5, 2021.</w:t>
      </w:r>
    </w:p>
    <w:p>
      <w:pPr>
        <w:spacing w:after="0" w:line="184" w:lineRule="exact"/>
        <w:rPr>
          <w:sz w:val="20"/>
          <w:szCs w:val="20"/>
          <w:color w:val="auto"/>
        </w:rPr>
      </w:pPr>
    </w:p>
    <w:p>
      <w:pPr>
        <w:jc w:val="both"/>
        <w:ind w:left="20" w:firstLine="648"/>
        <w:spacing w:after="0" w:line="275" w:lineRule="auto"/>
        <w:rPr>
          <w:sz w:val="20"/>
          <w:szCs w:val="20"/>
          <w:color w:val="auto"/>
        </w:rPr>
      </w:pPr>
      <w:r>
        <w:rPr>
          <w:rFonts w:ascii="Arial" w:cs="Arial" w:eastAsia="Arial" w:hAnsi="Arial"/>
          <w:sz w:val="17"/>
          <w:szCs w:val="17"/>
          <w:b w:val="1"/>
          <w:bCs w:val="1"/>
          <w:i w:val="1"/>
          <w:iCs w:val="1"/>
          <w:color w:val="auto"/>
        </w:rPr>
        <w:t xml:space="preserve">Cost of Product Revenue. </w:t>
      </w:r>
      <w:r>
        <w:rPr>
          <w:rFonts w:ascii="Arial" w:cs="Arial" w:eastAsia="Arial" w:hAnsi="Arial"/>
          <w:sz w:val="17"/>
          <w:szCs w:val="17"/>
          <w:color w:val="auto"/>
        </w:rPr>
        <w:t>Cost of product revenue consists primarily of freight and royalties on net sales of UKONIQ owed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licensing partner. During the year ended December 31, 2021, the cost of product revenue was $0.8 million. Based on our policy to expense costs associated with the manufacture of our products prior to regulatory approval, the manufacturing costs of UKONIQ units recognized as revenue during the year ended December 31, 2021 were expensed as research and development expenses prior to receipt of FDA approval on February 5, 2021, and therefore are not included in costs of product revenue during the current period.</w:t>
      </w:r>
    </w:p>
    <w:p>
      <w:pPr>
        <w:spacing w:after="0" w:line="176" w:lineRule="exact"/>
        <w:rPr>
          <w:sz w:val="20"/>
          <w:szCs w:val="20"/>
          <w:color w:val="auto"/>
        </w:rPr>
      </w:pPr>
    </w:p>
    <w:p>
      <w:pPr>
        <w:jc w:val="both"/>
        <w:ind w:left="20" w:firstLine="648"/>
        <w:spacing w:after="0" w:line="301" w:lineRule="auto"/>
        <w:rPr>
          <w:sz w:val="20"/>
          <w:szCs w:val="20"/>
          <w:color w:val="auto"/>
        </w:rPr>
      </w:pPr>
      <w:r>
        <w:rPr>
          <w:rFonts w:ascii="Arial" w:cs="Arial" w:eastAsia="Arial" w:hAnsi="Arial"/>
          <w:sz w:val="16"/>
          <w:szCs w:val="16"/>
          <w:b w:val="1"/>
          <w:bCs w:val="1"/>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equity incentive grants totaled $24.0 million for the year ended December 31, 2021, as compared to $14.0 million during the comparable period in 2020. The increase in noncash compensation expense was primarily due to vesting of milestone-based grants, an increase in research and development personnel and the vesting of grants at a higher stock price during the year ended December 31, 2021.</w:t>
      </w:r>
    </w:p>
    <w:p>
      <w:pPr>
        <w:spacing w:after="0" w:line="157" w:lineRule="exact"/>
        <w:rPr>
          <w:sz w:val="20"/>
          <w:szCs w:val="20"/>
          <w:color w:val="auto"/>
        </w:rPr>
      </w:pPr>
    </w:p>
    <w:p>
      <w:pPr>
        <w:ind w:left="20" w:right="20" w:firstLine="648"/>
        <w:spacing w:after="0" w:line="257" w:lineRule="auto"/>
        <w:rPr>
          <w:sz w:val="20"/>
          <w:szCs w:val="20"/>
          <w:color w:val="auto"/>
        </w:rPr>
      </w:pPr>
      <w:r>
        <w:rPr>
          <w:rFonts w:ascii="Arial" w:cs="Arial" w:eastAsia="Arial" w:hAnsi="Arial"/>
          <w:sz w:val="18"/>
          <w:szCs w:val="18"/>
          <w:b w:val="1"/>
          <w:bCs w:val="1"/>
          <w:i w:val="1"/>
          <w:iCs w:val="1"/>
          <w:color w:val="auto"/>
        </w:rPr>
        <w:t>Other Research and Development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research and development expense increased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by approximately $46.6 million to $198.5 million as compared to the comparable period ended December 31, 2020. The increase in research and development expense is primarily attributable to increased manufacturing expense of approximately $34.4 million in preparation for commercialization and for our Phase 3 clinical trials. Additionally, an increase in personnel expense of $9.5 million associated with the buildout of our regulatory and late-stage development groups.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72" w:name="page73"/>
    <w:bookmarkEnd w:id="72"/>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20" w:firstLine="648"/>
        <w:spacing w:after="0" w:line="279" w:lineRule="auto"/>
        <w:rPr>
          <w:sz w:val="20"/>
          <w:szCs w:val="20"/>
          <w:color w:val="auto"/>
        </w:rPr>
      </w:pPr>
      <w:r>
        <w:rPr>
          <w:rFonts w:ascii="Arial" w:cs="Arial" w:eastAsia="Arial" w:hAnsi="Arial"/>
          <w:sz w:val="17"/>
          <w:szCs w:val="17"/>
          <w:b w:val="1"/>
          <w:bCs w:val="1"/>
          <w:i w:val="1"/>
          <w:iCs w:val="1"/>
          <w:color w:val="auto"/>
        </w:rPr>
        <w:t xml:space="preserve">Noncash Compensation Expense (Selling, General and Administrative). </w:t>
      </w:r>
      <w:r>
        <w:rPr>
          <w:rFonts w:ascii="Arial" w:cs="Arial" w:eastAsia="Arial" w:hAnsi="Arial"/>
          <w:sz w:val="17"/>
          <w:szCs w:val="17"/>
          <w:color w:val="auto"/>
        </w:rPr>
        <w:t>Noncash compensation expense (selling, general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administrative) related to equity incentive grants totaled $37.2 million for the year ended December 31, 2021, as compared to $66.3 million during the comparable period in 2020. The decrease in noncash compensation expense was primarily related to more milestone-based vesting of restricted stock granted to executive personnel occurring during the year ended December 31, 2020.</w:t>
      </w:r>
    </w:p>
    <w:p>
      <w:pPr>
        <w:spacing w:after="0" w:line="171"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Other Selling, General and Administrative. </w:t>
      </w:r>
      <w:r>
        <w:rPr>
          <w:rFonts w:ascii="Arial" w:cs="Arial" w:eastAsia="Arial" w:hAnsi="Arial"/>
          <w:sz w:val="18"/>
          <w:szCs w:val="18"/>
          <w:color w:val="auto"/>
        </w:rPr>
        <w:t>Other selling, general and administrative expenses increased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by approximately $49.3 million to $90.9 million as compared to the comparable period ended December 31, 2020. The increase in selling, general and administrative expense is primarily attributable to increased personnel and other selling, general and administrative costs associated with execution of the launch of UKONIQ and planning for the potential launches of U2 in CLL and BRIUMVI in RMS.</w:t>
      </w:r>
    </w:p>
    <w:p>
      <w:pPr>
        <w:spacing w:after="0" w:line="188" w:lineRule="exact"/>
        <w:rPr>
          <w:sz w:val="20"/>
          <w:szCs w:val="20"/>
          <w:color w:val="auto"/>
        </w:rPr>
      </w:pPr>
    </w:p>
    <w:p>
      <w:pPr>
        <w:jc w:val="both"/>
        <w:ind w:left="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for the year ended December 31, 2021 was $5.6 million compared to $6.3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period ended December 31, 2020. The $0.7 million decrease is mainly due to an increase in interest expense related to administrative fees in connection with contract manufacturing costs during the year ended December 31, 2020.</w:t>
      </w:r>
    </w:p>
    <w:p>
      <w:pPr>
        <w:spacing w:after="0" w:line="165"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increased by $1.9 million to $2.3 million for the year ended December 31, 2021, as compared to $0.5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2020. The increase is mainly due to greater interest income and an increase in the change in fair value of notes payable during the year ended December 31, 2021.</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20" w:firstLine="648"/>
        <w:spacing w:after="0" w:line="269" w:lineRule="auto"/>
        <w:rPr>
          <w:sz w:val="20"/>
          <w:szCs w:val="20"/>
          <w:color w:val="auto"/>
        </w:rPr>
      </w:pPr>
      <w:r>
        <w:rPr>
          <w:rFonts w:ascii="Arial" w:cs="Arial" w:eastAsia="Arial" w:hAnsi="Arial"/>
          <w:sz w:val="17"/>
          <w:szCs w:val="17"/>
          <w:color w:val="auto"/>
        </w:rPr>
        <w:t>Our major sources of cash have been proceeds from private placement and public offering of equity securities, and from our loan and security agreements executed with Hercules Capital, Inc. (Hercules) (see Note 6 for more information).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As of December 31, 2022, we had not yet generated revenue from drug sales of BRIUMVI. BRIUMVI first became commercially available in the United States in January of 2023. Even with the commercialization of BRIUMVI and the future commercialization of our other drug candidates, we may not become profitable. Our ability to achieve profitability depends on our ability to generate revenue and many other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85" w:lineRule="exact"/>
        <w:rPr>
          <w:sz w:val="20"/>
          <w:szCs w:val="20"/>
          <w:color w:val="auto"/>
        </w:rPr>
      </w:pPr>
    </w:p>
    <w:p>
      <w:pPr>
        <w:jc w:val="both"/>
        <w:ind w:left="20" w:firstLine="648"/>
        <w:spacing w:after="0" w:line="272" w:lineRule="auto"/>
        <w:rPr>
          <w:sz w:val="20"/>
          <w:szCs w:val="20"/>
          <w:color w:val="auto"/>
        </w:rPr>
      </w:pPr>
      <w:r>
        <w:rPr>
          <w:rFonts w:ascii="Arial" w:cs="Arial" w:eastAsia="Arial" w:hAnsi="Arial"/>
          <w:sz w:val="17"/>
          <w:szCs w:val="17"/>
          <w:color w:val="auto"/>
        </w:rPr>
        <w:t>As of December 31, 2022, we had $174.1 million in cash and cash equivalents, and investment securities. We anticipate that our cash, cash equivalents, and investment securities as of December 31, 2022, capital contractually available under our existing Amended Loan Agreement, and forecasted revenue, will provide sufficient liquidity for more than a twelve-month period from the date of filing this Annual Report on Form 10-K. The actual amount of cash that we will need to operate is subject to many factors, including, but not limited to, our BRIUMVI commercialization efforts, preparations for the potential commercialization of our other drug candidates, and the timing, design and conduct of clinical trials for our drug candidates. We are dependent upon significant future financing to provide the cash necessary to execute our ongoing and future operations, including the commercialization of any of our drug candidates.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Discussion of Cash Flows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summarizes our cash flows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3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(295,634)</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(20,013)</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w:t>
            </w: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41,419</w:t>
            </w:r>
          </w:p>
        </w:tc>
      </w:tr>
    </w:tbl>
    <w:p>
      <w:pPr>
        <w:spacing w:after="0" w:line="202" w:lineRule="exact"/>
        <w:rPr>
          <w:sz w:val="20"/>
          <w:szCs w:val="20"/>
          <w:color w:val="auto"/>
        </w:rPr>
      </w:pPr>
    </w:p>
    <w:p>
      <w:pPr>
        <w:jc w:val="both"/>
        <w:ind w:left="20" w:right="20" w:firstLine="648"/>
        <w:spacing w:after="0" w:line="286" w:lineRule="auto"/>
        <w:rPr>
          <w:sz w:val="20"/>
          <w:szCs w:val="20"/>
          <w:color w:val="auto"/>
        </w:rPr>
      </w:pPr>
      <w:r>
        <w:rPr>
          <w:rFonts w:ascii="Arial" w:cs="Arial" w:eastAsia="Arial" w:hAnsi="Arial"/>
          <w:sz w:val="17"/>
          <w:szCs w:val="17"/>
          <w:color w:val="auto"/>
        </w:rPr>
        <w:t>Cash used in operating activities for the year ended December 31, 2022 was $176.2 million as compared to $295.6 million for the year ended December 31, 2021. The decrease in cash used in operating activities was due primarily to greater expenditures associated with our license milestone payments and clinical trial expenses during the year ended December 31, 2021.</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2022, net cash used in investing activities was $20.0 million as compared to $0.3 million for the year ended December 31, 2021. The increase in net cash used in investing activities was primarily due to greater investment in short-term securities during the year ended December 31, 2022.</w:t>
      </w:r>
    </w:p>
    <w:p>
      <w:pPr>
        <w:spacing w:after="0" w:line="184"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For the year ended December 31, 2022, net cash used in financing activities was $0.4 million as compared to net cash provided by financing activities of $41.4 million for the year ended December 31, 2021. The decrease in net cash provided by financing activities was primarily attributable to proceeds from debt financings that took place during the year ended December 31,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Program</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paid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we sold a total of 8,528,286 shares of common stock under the 2020 ATM for aggregate total gross proceeds of approximately $187.5 million at an average selling price of $21.99 per share, resulting in net proceeds of approximately $184.2 million after deducting commissions and other transactions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we sold a total of 804,100 shares of common stock under the 2021 ATM for aggregate total gross proceeds of approximately $33.9 million at an average selling price of $42.18 per share, resulting in net proceeds of approximately $33.3 million after deducting commissions and other transactions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2021, we sold a total of 72,000 shares of common stock under the 2021 ATM for aggregate total gross proceeds of approximately $2.5 million at an average selling price of $34.25 per share, resulting in net proceeds of approximately $2.4 million after deducting commissions and other transactions costs.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 The 2022 ATM has replaced the 2021 ATM as the only active ATM program.</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had no activity on the 2021 ATM or 2022 ATM during the year ended December 31, 2022.</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2022 WKSI Shelf is currently our only active shelf 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 registration statements in the future to provide us with the flexibility to raise additional capital to finance our operations as needed.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Financings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2020, we completed an underwritten public offering of 8,500,000 shares of our common stock (plus an underwriter option to purchase up to an additional 1,275,000 shares of common stock, which was exercised) at a price of $18 per share. Net proceeds from this offering, including the overallotment, were approximately $165.1 million, net of underwriting discounts and offering expenses of approximately $10.8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17, 2020, we completed a public offering of 6,320,000 shares of our common stock (plus a 30-day underwriter overallotment option to purchase up to an additional 948,000 shares of common stock, which was exercised) at a price of $43.50 per share. Net proceeds from this offering, including the overallotment, were approximately $297.2 million after underwriting discounts and offering expenses of approximately $19.0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28, 2019 (the Closing Date), we entered into a term loan facility of up to $60.0 million (Term Loan) with Hercules Capital, Inc. (Hercules),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An additional $30.0 million was available with different milestones and time points that have lapsed.</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30, 2021 (the First Amendment Closing Date), the Company entered into an Amended and Restated Loan and Security Agreement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first advance of $70.0 million drawn at the First Amendment Closing date, a portion of which was used to refinance the current outstanding loan balance of approximately $7.8 million and pay for expenses incurred by the Lender in executing the agreements, (iii) change the draw amounts and dates available in Tranche 2 through Tranche 4 including increasing the amount available under Tranche 2 subject to the achievement of performance milestones from $10.0 million to $20.0 million, increasing the amount available under Tranche 3 subject to the achievement of performance milestones from $10.0 million to $45.0 million, and increasing the amount under Tranche 4 subject to the approval of Hercules’ investment committee from $10.0 million to $65.0 million, (iv) extend the maturity date of the facility from the original March 1, 2022 to January 1, 2026, (v) reset and extend the interest only period from April 1, 2021 to February 1, 2025 and extendable to August 1, 2025 subject to the achievement of certain performance milestones, and (vi) modify the cash interest rate to be the greater of either (a) the “prime rate” as reported in The Wall Street Journal plus 2.15%, and (b) 5.40%. The performance milestones are based on achievement of certain U.S. Food and Drug Administration approvals and impact the potential extension of the interest only period, access to future advances under the Loan Agreement and minimum cash levels required under the Amended Loan Agreement.</w:t>
      </w:r>
    </w:p>
    <w:p>
      <w:pPr>
        <w:spacing w:after="0" w:line="18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Amended Loan Agreement contains financial covenants from and after October 15, 2022 that require the Company to maintain certain levels of unrestricted cash and additional financial covenants related to market capitalization and unrestricted cash commencing on July 1, 2023 at any time when the Amended Term Loan advances made under the Amended Loan Agreement are greater than $70 million.</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Amended Loan Agreement also contains warrant coverage of 2.95% of the total amount funded. A warrant (the Warrant) was issued by the Company to Hercules to purchase 115,042 shares of common stock with an exercise price of $17.95 for the initial amount funded at closing. The Warrant shall be exercisable for seven years from the date of issuance. Hercules may exercise the Warrant either by (a) cash or check or (b) through a net issuance conversion.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Company is required to pay a final payment fee equal to 5.95% of the aggregate principal amount of the Term Loan Advances.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at its option, prepay the Amended Term Loan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We began to occupy this new space in April 2016, with rental payments beginning in the third quarter of 2016. Also in connection with this lease, we have pledged $1.3 million to secure a line of credit as a security deposit for the Office Agreement, which has been recorded as restricted cash in the accompanying condensed consolidated balance sheets.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rental expense was approximately $2.7 million, $2.2 million and 2.7 million for the years ended December 31, 2022, 2021 and 2020,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Future minimum lease commitments as of December 31, 2022 total, in the aggregate, approximately $17.4 million through December 31, 2032. Our future minimum lease commitments include our office leases in New York, New Jersey and North Carolina as of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Pursuant to Topic 606, we recognize revenue to depict the transfer of promised goods or services to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Product Revenue, Net –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product returns, and co-payment assistance.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 For a complete discussion of the accounting for product revenue, see Note 1 – Organization and Summary of Significant Accounting Policies in the Notes to Consolidated Financial Statements.</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We have granted stock options and restricted stock to employees, directors and consultants, as well as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to other third parties. For employee, director and consultant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because some of the options, restricted stock and warrants issued to employees, consultants and other third parties vest upon the achievement of certain milestones, the total expense is uncertain. Compensation expense for such awards that vest upon the achievement of milestones is recognized when the achievement of such milestones occurs.</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Accrued Research and Development Expenses. </w:t>
      </w:r>
      <w:r>
        <w:rPr>
          <w:rFonts w:ascii="Arial" w:cs="Arial" w:eastAsia="Arial" w:hAnsi="Arial"/>
          <w:sz w:val="16"/>
          <w:szCs w:val="16"/>
          <w:color w:val="auto"/>
        </w:rPr>
        <w:t>As part of the process of preparing our financial statements, we are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our accrued expenses. This process involves reviewing open contracts,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w:t>
      </w:r>
    </w:p>
    <w:p>
      <w:pPr>
        <w:spacing w:after="0" w:line="166" w:lineRule="exact"/>
        <w:rPr>
          <w:sz w:val="20"/>
          <w:szCs w:val="20"/>
          <w:color w:val="auto"/>
        </w:rPr>
      </w:pPr>
    </w:p>
    <w:p>
      <w:pPr>
        <w:ind w:left="980" w:hanging="315"/>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paid to contract research organizations (CROs) in connection with clinical studies;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paid to contract manufacturing organizations (CMOs);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paid to trial sites in connection with clinical studies;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paid to vendors associated with licenses/milestones.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CROs that conduct and manage clinical studies on our behalf. The financial terms of these agreements are subject to an initial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certain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an effect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currently invest in government and investment-grade corporate debt in accordance with our investment policy, which we may change from time to time.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December 31, 2022, our portfolio of financial instruments consists of cash equivalents and short-term interest-bearing securities, including government debt and money market funds. The average duration of all of our held-to-maturity investments held as of December 31, 2022, was less than 24 months. Due to the relatively short-term nature of these financial instruments, we believe there is no material exposure to interest rate risk, and/or credit risk, arising from our portfolio of financial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consolidated financial statements and the notes thereto, included in Part IV, Item 14(a), part 1, are incorporated by reference into this Item 8.</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of December 31, 2022, management carried out an evaluation,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supervision and with the participation of our Chief Executive Officer and our Chief Financial Officer, of the effectiveness of the design and operation of our disclosure controls and procedures (as defined in Rules 13a-15(e) and 15d-15(e) of the Securities Exchange Act of 1934, as amended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and Chief Financial Officers concluded that, as of December 31, 2022, our disclosure controls and procedures were effective.</w:t>
      </w:r>
    </w:p>
    <w:p>
      <w:pPr>
        <w:spacing w:after="0" w:line="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Our management is responsible for establishing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maintaining adequate internal control over financial reporting (as defined in Rule 13a-15(f) or Rule 15d-15(f) under the Exchange Act). Our management assessed the effectiveness of our internal control over financial reporting as of December 31, 2022. In making this assessment, our management used the criteria established in Internal Control – Integrated Framework (2013) issued by the Committee of Sponsoring Organizations of the Treadway Commission, or COSO Framework. Our management has concluded that, as of December 31, 2022, our internal control over financial reporting was effective based on these criteria.</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2022 was audited by KPMG LLP, our independent registered public accounting firm, as stated in their report.</w:t>
      </w:r>
    </w:p>
    <w:p>
      <w:pPr>
        <w:spacing w:after="0" w:line="6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quarter ended December 31, 2022 that have materially affected, or are reasonably likely to materially affect, our internal control over financial reporting.</w:t>
      </w:r>
    </w:p>
    <w:p>
      <w:pPr>
        <w:spacing w:after="0" w:line="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Our management, including our Chief Executive Officer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2023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2023 Annual Meeting of Stockholders.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2023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2023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2023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2"/>
          </w:tcPr>
          <w:p>
            <w:pPr>
              <w:ind w:left="660"/>
              <w:spacing w:after="0"/>
              <w:rPr>
                <w:sz w:val="20"/>
                <w:szCs w:val="20"/>
                <w:color w:val="auto"/>
              </w:rPr>
            </w:pPr>
            <w:r>
              <w:rPr>
                <w:rFonts w:ascii="Arial" w:cs="Arial" w:eastAsia="Arial" w:hAnsi="Arial"/>
                <w:sz w:val="18"/>
                <w:szCs w:val="18"/>
                <w:b w:val="1"/>
                <w:bCs w:val="1"/>
                <w:color w:val="auto"/>
              </w:rPr>
              <w:t>1.</w:t>
            </w:r>
          </w:p>
        </w:tc>
        <w:tc>
          <w:tcPr>
            <w:tcW w:w="8300" w:type="dxa"/>
            <w:vAlign w:val="bottom"/>
            <w:gridSpan w:val="8"/>
          </w:tcPr>
          <w:p>
            <w:pPr>
              <w:ind w:left="80"/>
              <w:spacing w:after="0"/>
              <w:rPr>
                <w:sz w:val="20"/>
                <w:szCs w:val="20"/>
                <w:color w:val="auto"/>
              </w:rPr>
            </w:pPr>
            <w:r>
              <w:rPr>
                <w:rFonts w:ascii="Arial" w:cs="Arial" w:eastAsia="Arial" w:hAnsi="Arial"/>
                <w:sz w:val="18"/>
                <w:szCs w:val="18"/>
                <w:b w:val="1"/>
                <w:bCs w:val="1"/>
                <w:color w:val="auto"/>
              </w:rPr>
              <w:t>Consolidated Financial Statements</w:t>
            </w:r>
          </w:p>
        </w:tc>
        <w:tc>
          <w:tcPr>
            <w:tcW w:w="1020" w:type="dxa"/>
            <w:vAlign w:val="bottom"/>
          </w:tcPr>
          <w:p>
            <w:pPr>
              <w:spacing w:after="0"/>
              <w:rPr>
                <w:sz w:val="20"/>
                <w:szCs w:val="20"/>
                <w:color w:val="auto"/>
              </w:rPr>
            </w:pPr>
          </w:p>
        </w:tc>
      </w:tr>
      <w:tr>
        <w:trPr>
          <w:trHeight w:val="432"/>
        </w:trPr>
        <w:tc>
          <w:tcPr>
            <w:tcW w:w="9200" w:type="dxa"/>
            <w:vAlign w:val="bottom"/>
            <w:gridSpan w:val="10"/>
          </w:tcPr>
          <w:p>
            <w:pPr>
              <w:spacing w:after="0"/>
              <w:rPr>
                <w:sz w:val="20"/>
                <w:szCs w:val="20"/>
                <w:color w:val="auto"/>
              </w:rPr>
            </w:pPr>
            <w:r>
              <w:rPr>
                <w:rFonts w:ascii="Arial" w:cs="Arial" w:eastAsia="Arial" w:hAnsi="Arial"/>
                <w:sz w:val="18"/>
                <w:szCs w:val="18"/>
                <w:color w:val="auto"/>
              </w:rPr>
              <w:t>The following consolidated financial statements of TG Therapeutics, Inc. are filed as part of this report.</w:t>
            </w:r>
          </w:p>
        </w:tc>
        <w:tc>
          <w:tcPr>
            <w:tcW w:w="1020" w:type="dxa"/>
            <w:vAlign w:val="bottom"/>
          </w:tcPr>
          <w:p>
            <w:pPr>
              <w:spacing w:after="0"/>
              <w:rPr>
                <w:sz w:val="24"/>
                <w:szCs w:val="24"/>
                <w:color w:val="auto"/>
              </w:rPr>
            </w:pPr>
          </w:p>
        </w:tc>
      </w:tr>
      <w:tr>
        <w:trPr>
          <w:trHeight w:val="445"/>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2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169"/>
        </w:trPr>
        <w:tc>
          <w:tcPr>
            <w:tcW w:w="20" w:type="dxa"/>
            <w:vAlign w:val="bottom"/>
          </w:tcPr>
          <w:p>
            <w:pPr>
              <w:spacing w:after="0"/>
              <w:rPr>
                <w:sz w:val="14"/>
                <w:szCs w:val="14"/>
                <w:color w:val="auto"/>
              </w:rPr>
            </w:pPr>
          </w:p>
        </w:tc>
        <w:tc>
          <w:tcPr>
            <w:tcW w:w="8940" w:type="dxa"/>
            <w:vAlign w:val="bottom"/>
            <w:tcBorders>
              <w:top w:val="single" w:sz="8" w:color="auto"/>
            </w:tcBorders>
            <w:gridSpan w:val="8"/>
          </w:tcPr>
          <w:p>
            <w:pPr>
              <w:spacing w:after="0" w:line="169" w:lineRule="exact"/>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(KPMG LLP, New York, NY, Audit Firm ID: 185)</w:t>
            </w:r>
          </w:p>
        </w:tc>
        <w:tc>
          <w:tcPr>
            <w:tcW w:w="2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37"/>
        </w:trPr>
        <w:tc>
          <w:tcPr>
            <w:tcW w:w="46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(CohnReznick LLP, New York, NY, Audit Firm ID: 596)</w:t>
            </w:r>
          </w:p>
        </w:tc>
        <w:tc>
          <w:tcPr>
            <w:tcW w:w="4560" w:type="dxa"/>
            <w:vAlign w:val="bottom"/>
            <w:gridSpan w:val="5"/>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F-1</w:t>
            </w:r>
          </w:p>
        </w:tc>
      </w:tr>
      <w:tr>
        <w:trPr>
          <w:trHeight w:val="392"/>
        </w:trPr>
        <w:tc>
          <w:tcPr>
            <w:tcW w:w="9200" w:type="dxa"/>
            <w:vAlign w:val="bottom"/>
            <w:gridSpan w:val="10"/>
          </w:tcPr>
          <w:p>
            <w:pPr>
              <w:spacing w:after="0"/>
              <w:rPr>
                <w:sz w:val="20"/>
                <w:szCs w:val="20"/>
                <w:color w:val="auto"/>
              </w:rPr>
            </w:pPr>
            <w:r>
              <w:rPr>
                <w:rFonts w:ascii="Arial" w:cs="Arial" w:eastAsia="Arial" w:hAnsi="Arial"/>
                <w:sz w:val="18"/>
                <w:szCs w:val="18"/>
                <w:color w:val="0000EE"/>
              </w:rPr>
              <w:t>Consolidated Balance Sheets as of December 31, 2022 and 202</w:t>
            </w:r>
            <w:r>
              <w:rPr>
                <w:rFonts w:ascii="Arial" w:cs="Arial" w:eastAsia="Arial" w:hAnsi="Arial"/>
                <w:sz w:val="18"/>
                <w:szCs w:val="18"/>
                <w:color w:val="000000"/>
              </w:rPr>
              <w:t>1</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F-5</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200" w:type="dxa"/>
            <w:vAlign w:val="bottom"/>
            <w:gridSpan w:val="10"/>
          </w:tcPr>
          <w:p>
            <w:pPr>
              <w:spacing w:after="0"/>
              <w:rPr>
                <w:sz w:val="20"/>
                <w:szCs w:val="20"/>
                <w:color w:val="auto"/>
              </w:rPr>
            </w:pPr>
            <w:r>
              <w:rPr>
                <w:rFonts w:ascii="Arial" w:cs="Arial" w:eastAsia="Arial" w:hAnsi="Arial"/>
                <w:sz w:val="18"/>
                <w:szCs w:val="18"/>
                <w:color w:val="0000EE"/>
              </w:rPr>
              <w:t>Consolidated Statements of Operations for the years ended December 31, 2022, 2021 and 2020</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F-6</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75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Consolidated Statements of Stockholders’ Equity for the years ended December 31, 2022, 2021 and 2020</w:t>
            </w:r>
          </w:p>
        </w:tc>
        <w:tc>
          <w:tcPr>
            <w:tcW w:w="1620" w:type="dxa"/>
            <w:vAlign w:val="bottom"/>
            <w:gridSpan w:val="2"/>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F-7</w:t>
            </w:r>
          </w:p>
        </w:tc>
      </w:tr>
      <w:tr>
        <w:trPr>
          <w:trHeight w:val="412"/>
        </w:trPr>
        <w:tc>
          <w:tcPr>
            <w:tcW w:w="9200" w:type="dxa"/>
            <w:vAlign w:val="bottom"/>
            <w:gridSpan w:val="10"/>
          </w:tcPr>
          <w:p>
            <w:pPr>
              <w:spacing w:after="0"/>
              <w:rPr>
                <w:sz w:val="20"/>
                <w:szCs w:val="20"/>
                <w:color w:val="auto"/>
              </w:rPr>
            </w:pPr>
            <w:r>
              <w:rPr>
                <w:rFonts w:ascii="Arial" w:cs="Arial" w:eastAsia="Arial" w:hAnsi="Arial"/>
                <w:sz w:val="18"/>
                <w:szCs w:val="18"/>
                <w:color w:val="0000EE"/>
              </w:rPr>
              <w:t>Consolidated Statements of Cash Flows for the years ended December 31, 2022, 2021 and 2020</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F-8</w:t>
            </w:r>
          </w:p>
        </w:tc>
      </w:tr>
      <w:tr>
        <w:trPr>
          <w:trHeight w:val="412"/>
        </w:trPr>
        <w:tc>
          <w:tcPr>
            <w:tcW w:w="69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Notes to Consolidated Financial Statements</w:t>
            </w:r>
          </w:p>
        </w:tc>
        <w:tc>
          <w:tcPr>
            <w:tcW w:w="2300" w:type="dxa"/>
            <w:vAlign w:val="bottom"/>
            <w:gridSpan w:val="3"/>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F-9</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0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53"/>
        </w:trPr>
        <w:tc>
          <w:tcPr>
            <w:tcW w:w="900" w:type="dxa"/>
            <w:vAlign w:val="bottom"/>
            <w:gridSpan w:val="2"/>
          </w:tcPr>
          <w:p>
            <w:pPr>
              <w:ind w:left="640"/>
              <w:spacing w:after="0"/>
              <w:rPr>
                <w:sz w:val="20"/>
                <w:szCs w:val="20"/>
                <w:color w:val="auto"/>
              </w:rPr>
            </w:pPr>
            <w:r>
              <w:rPr>
                <w:rFonts w:ascii="Arial" w:cs="Arial" w:eastAsia="Arial" w:hAnsi="Arial"/>
                <w:sz w:val="18"/>
                <w:szCs w:val="18"/>
                <w:b w:val="1"/>
                <w:bCs w:val="1"/>
                <w:color w:val="auto"/>
              </w:rPr>
              <w:t>2.</w:t>
            </w:r>
          </w:p>
        </w:tc>
        <w:tc>
          <w:tcPr>
            <w:tcW w:w="8300" w:type="dxa"/>
            <w:vAlign w:val="bottom"/>
            <w:gridSpan w:val="8"/>
          </w:tcPr>
          <w:p>
            <w:pPr>
              <w:ind w:left="140"/>
              <w:spacing w:after="0"/>
              <w:rPr>
                <w:sz w:val="20"/>
                <w:szCs w:val="20"/>
                <w:color w:val="auto"/>
              </w:rPr>
            </w:pPr>
            <w:r>
              <w:rPr>
                <w:rFonts w:ascii="Arial" w:cs="Arial" w:eastAsia="Arial" w:hAnsi="Arial"/>
                <w:sz w:val="18"/>
                <w:szCs w:val="18"/>
                <w:b w:val="1"/>
                <w:bCs w:val="1"/>
                <w:color w:val="auto"/>
              </w:rPr>
              <w:t>Consolidated Financial Statement Schedules</w:t>
            </w:r>
          </w:p>
        </w:tc>
        <w:tc>
          <w:tcPr>
            <w:tcW w:w="102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schedules are omitted as the information required is inapplicable or the information is presented in the consolidated financial statements or the related notes.</w:t>
      </w:r>
    </w:p>
    <w:p>
      <w:pPr>
        <w:spacing w:after="0" w:line="166" w:lineRule="exact"/>
        <w:rPr>
          <w:sz w:val="20"/>
          <w:szCs w:val="20"/>
          <w:color w:val="auto"/>
        </w:rPr>
      </w:pPr>
    </w:p>
    <w:p>
      <w:pPr>
        <w:ind w:left="1000" w:hanging="362"/>
        <w:spacing w:after="0"/>
        <w:tabs>
          <w:tab w:leader="none" w:pos="10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380" w:type="dxa"/>
            <w:vAlign w:val="bottom"/>
          </w:tcPr>
          <w:p>
            <w:pPr>
              <w:spacing w:after="0"/>
              <w:rPr>
                <w:sz w:val="18"/>
                <w:szCs w:val="18"/>
                <w:color w:val="auto"/>
              </w:rPr>
            </w:pPr>
          </w:p>
        </w:tc>
      </w:t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380" w:type="dxa"/>
            <w:vAlign w:val="bottom"/>
          </w:tcPr>
          <w:p>
            <w:pPr>
              <w:ind w:left="180"/>
              <w:spacing w:after="0"/>
              <w:rPr>
                <w:sz w:val="20"/>
                <w:szCs w:val="20"/>
                <w:color w:val="auto"/>
              </w:rPr>
            </w:pPr>
            <w:r>
              <w:rPr>
                <w:rFonts w:ascii="Arial" w:cs="Arial" w:eastAsia="Arial" w:hAnsi="Arial"/>
                <w:sz w:val="18"/>
                <w:szCs w:val="18"/>
                <w:b w:val="1"/>
                <w:bCs w:val="1"/>
                <w:color w:val="auto"/>
              </w:rPr>
              <w:t>Exhibit Description</w:t>
            </w:r>
          </w:p>
        </w:tc>
      </w:tr>
      <w:tr>
        <w:trPr>
          <w:trHeight w:val="391"/>
        </w:trPr>
        <w:tc>
          <w:tcPr>
            <w:tcW w:w="820" w:type="dxa"/>
            <w:vAlign w:val="bottom"/>
            <w:gridSpan w:val="2"/>
          </w:tcPr>
          <w:p>
            <w:pPr>
              <w:spacing w:after="0"/>
              <w:rPr>
                <w:rFonts w:ascii="Arial" w:cs="Arial" w:eastAsia="Arial" w:hAnsi="Arial"/>
                <w:sz w:val="18"/>
                <w:szCs w:val="18"/>
                <w:color w:val="0000EE"/>
              </w:rPr>
            </w:pPr>
            <w:hyperlink r:id="rId90">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9380" w:type="dxa"/>
            <w:vAlign w:val="bottom"/>
          </w:tcPr>
          <w:p>
            <w:pPr>
              <w:ind w:left="180"/>
              <w:spacing w:after="0"/>
              <w:rPr>
                <w:sz w:val="20"/>
                <w:szCs w:val="20"/>
                <w:color w:val="auto"/>
              </w:rPr>
            </w:pPr>
            <w:r>
              <w:rPr>
                <w:rFonts w:ascii="Arial" w:cs="Arial" w:eastAsia="Arial" w:hAnsi="Arial"/>
                <w:sz w:val="18"/>
                <w:szCs w:val="18"/>
                <w:color w:val="auto"/>
                <w:w w:val="91"/>
              </w:rPr>
              <w:t>Amended and Restated Certificate of Incorporation of TG Therapeutics, Inc. dated April 26, 2012 (incorporated by reference to</w:t>
            </w:r>
          </w:p>
        </w:tc>
      </w:tr>
      <w:tr>
        <w:trPr>
          <w:trHeight w:val="237"/>
        </w:trPr>
        <w:tc>
          <w:tcPr>
            <w:tcW w:w="22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9380" w:type="dxa"/>
            <w:vAlign w:val="bottom"/>
          </w:tcPr>
          <w:p>
            <w:pPr>
              <w:ind w:left="180"/>
              <w:spacing w:after="0"/>
              <w:rPr>
                <w:sz w:val="20"/>
                <w:szCs w:val="20"/>
                <w:color w:val="auto"/>
              </w:rPr>
            </w:pPr>
            <w:r>
              <w:rPr>
                <w:rFonts w:ascii="Arial" w:cs="Arial" w:eastAsia="Arial" w:hAnsi="Arial"/>
                <w:sz w:val="18"/>
                <w:szCs w:val="18"/>
                <w:color w:val="auto"/>
              </w:rPr>
              <w:t>Exhibit 3.1 to the Registrant’s Form 10-Q for the quarter ended June 30, 2012).</w:t>
            </w:r>
          </w:p>
        </w:tc>
      </w:tr>
      <w:tr>
        <w:trPr>
          <w:trHeight w:val="391"/>
        </w:trPr>
        <w:tc>
          <w:tcPr>
            <w:tcW w:w="820" w:type="dxa"/>
            <w:vAlign w:val="bottom"/>
            <w:gridSpan w:val="2"/>
          </w:tcPr>
          <w:p>
            <w:pPr>
              <w:spacing w:after="0"/>
              <w:rPr>
                <w:rFonts w:ascii="Arial" w:cs="Arial" w:eastAsia="Arial" w:hAnsi="Arial"/>
                <w:sz w:val="18"/>
                <w:szCs w:val="18"/>
                <w:color w:val="0000EE"/>
              </w:rPr>
            </w:pPr>
            <w:hyperlink r:id="rId91">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9380" w:type="dxa"/>
            <w:vAlign w:val="bottom"/>
          </w:tcPr>
          <w:p>
            <w:pPr>
              <w:ind w:left="180"/>
              <w:spacing w:after="0"/>
              <w:rPr>
                <w:sz w:val="20"/>
                <w:szCs w:val="20"/>
                <w:color w:val="auto"/>
              </w:rPr>
            </w:pPr>
            <w:r>
              <w:rPr>
                <w:rFonts w:ascii="Arial" w:cs="Arial" w:eastAsia="Arial" w:hAnsi="Arial"/>
                <w:sz w:val="18"/>
                <w:szCs w:val="18"/>
                <w:color w:val="auto"/>
                <w:w w:val="92"/>
              </w:rPr>
              <w:t>Certificate of Amendment to Amended and Restated Certificate of Incorporation of TG Therapeutics, Inc. dated June 9, 2014</w:t>
            </w:r>
          </w:p>
        </w:tc>
      </w:tr>
      <w:tr>
        <w:trPr>
          <w:trHeight w:val="237"/>
        </w:trPr>
        <w:tc>
          <w:tcPr>
            <w:tcW w:w="22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9380" w:type="dxa"/>
            <w:vAlign w:val="bottom"/>
          </w:tcPr>
          <w:p>
            <w:pPr>
              <w:ind w:left="180"/>
              <w:spacing w:after="0"/>
              <w:rPr>
                <w:sz w:val="20"/>
                <w:szCs w:val="20"/>
                <w:color w:val="auto"/>
              </w:rPr>
            </w:pPr>
            <w:r>
              <w:rPr>
                <w:rFonts w:ascii="Arial" w:cs="Arial" w:eastAsia="Arial" w:hAnsi="Arial"/>
                <w:sz w:val="18"/>
                <w:szCs w:val="18"/>
                <w:color w:val="auto"/>
              </w:rPr>
              <w:t>(incorporated by reference to Exhibit 3.2 to the Registrant’s Form 10-Q for the quarter ended June 30, 2014).</w:t>
            </w:r>
          </w:p>
        </w:tc>
      </w:tr>
      <w:tr>
        <w:trPr>
          <w:trHeight w:val="391"/>
        </w:trPr>
        <w:tc>
          <w:tcPr>
            <w:tcW w:w="820" w:type="dxa"/>
            <w:vAlign w:val="bottom"/>
            <w:gridSpan w:val="2"/>
          </w:tcPr>
          <w:p>
            <w:pPr>
              <w:spacing w:after="0"/>
              <w:rPr>
                <w:rFonts w:ascii="Arial" w:cs="Arial" w:eastAsia="Arial" w:hAnsi="Arial"/>
                <w:sz w:val="18"/>
                <w:szCs w:val="18"/>
                <w:color w:val="0000EE"/>
              </w:rPr>
            </w:pPr>
            <w:hyperlink r:id="rId92">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9380" w:type="dxa"/>
            <w:vAlign w:val="bottom"/>
          </w:tcPr>
          <w:p>
            <w:pPr>
              <w:ind w:left="180"/>
              <w:spacing w:after="0"/>
              <w:rPr>
                <w:sz w:val="20"/>
                <w:szCs w:val="20"/>
                <w:color w:val="auto"/>
              </w:rPr>
            </w:pPr>
            <w:r>
              <w:rPr>
                <w:rFonts w:ascii="Arial" w:cs="Arial" w:eastAsia="Arial" w:hAnsi="Arial"/>
                <w:sz w:val="18"/>
                <w:szCs w:val="18"/>
                <w:color w:val="auto"/>
                <w:w w:val="91"/>
              </w:rPr>
              <w:t>Certificate of Amendment to Amended and Restated Certificate of Incorporation of TG Therapeutics, Inc. dated June 16, 2021</w:t>
            </w:r>
          </w:p>
        </w:tc>
      </w:tr>
      <w:tr>
        <w:trPr>
          <w:trHeight w:val="237"/>
        </w:trPr>
        <w:tc>
          <w:tcPr>
            <w:tcW w:w="22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9380" w:type="dxa"/>
            <w:vAlign w:val="bottom"/>
          </w:tcPr>
          <w:p>
            <w:pPr>
              <w:ind w:left="180"/>
              <w:spacing w:after="0"/>
              <w:rPr>
                <w:sz w:val="20"/>
                <w:szCs w:val="20"/>
                <w:color w:val="auto"/>
              </w:rPr>
            </w:pPr>
            <w:r>
              <w:rPr>
                <w:rFonts w:ascii="Arial" w:cs="Arial" w:eastAsia="Arial" w:hAnsi="Arial"/>
                <w:sz w:val="18"/>
                <w:szCs w:val="18"/>
                <w:color w:val="auto"/>
              </w:rPr>
              <w:t>(incorporated by reference to Exhibit 3.1 to the Registrant’s Current Report on Form 8-K filed on June 21, 2021).</w:t>
            </w:r>
          </w:p>
        </w:tc>
      </w:tr>
      <w:tr>
        <w:trPr>
          <w:trHeight w:val="391"/>
        </w:trPr>
        <w:tc>
          <w:tcPr>
            <w:tcW w:w="820" w:type="dxa"/>
            <w:vAlign w:val="bottom"/>
            <w:gridSpan w:val="2"/>
          </w:tcPr>
          <w:p>
            <w:pPr>
              <w:spacing w:after="0"/>
              <w:rPr>
                <w:rFonts w:ascii="Arial" w:cs="Arial" w:eastAsia="Arial" w:hAnsi="Arial"/>
                <w:sz w:val="18"/>
                <w:szCs w:val="18"/>
                <w:color w:val="0000EE"/>
              </w:rPr>
            </w:pPr>
            <w:hyperlink r:id="rId93">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9380" w:type="dxa"/>
            <w:vAlign w:val="bottom"/>
          </w:tcPr>
          <w:p>
            <w:pPr>
              <w:ind w:left="180"/>
              <w:spacing w:after="0"/>
              <w:rPr>
                <w:sz w:val="20"/>
                <w:szCs w:val="20"/>
                <w:color w:val="auto"/>
              </w:rPr>
            </w:pPr>
            <w:r>
              <w:rPr>
                <w:rFonts w:ascii="Arial" w:cs="Arial" w:eastAsia="Arial" w:hAnsi="Arial"/>
                <w:sz w:val="18"/>
                <w:szCs w:val="18"/>
                <w:color w:val="auto"/>
                <w:w w:val="93"/>
              </w:rPr>
              <w:t>Amended and Restated Bylaws of TG Therapeutics, Inc. dated July 18, 2014 (incorporated by reference to Exhibit 3.1 to the</w:t>
            </w:r>
          </w:p>
        </w:tc>
      </w:tr>
      <w:tr>
        <w:trPr>
          <w:trHeight w:val="237"/>
        </w:trPr>
        <w:tc>
          <w:tcPr>
            <w:tcW w:w="22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9380" w:type="dxa"/>
            <w:vAlign w:val="bottom"/>
          </w:tcPr>
          <w:p>
            <w:pPr>
              <w:ind w:left="180"/>
              <w:spacing w:after="0"/>
              <w:rPr>
                <w:sz w:val="20"/>
                <w:szCs w:val="20"/>
                <w:color w:val="auto"/>
              </w:rPr>
            </w:pPr>
            <w:r>
              <w:rPr>
                <w:rFonts w:ascii="Arial" w:cs="Arial" w:eastAsia="Arial" w:hAnsi="Arial"/>
                <w:sz w:val="18"/>
                <w:szCs w:val="18"/>
                <w:color w:val="auto"/>
              </w:rPr>
              <w:t>Registrant’s Current Report on Form 8-K filed on July 21, 2014).</w:t>
            </w:r>
          </w:p>
        </w:tc>
      </w:tr>
      <w:tr>
        <w:trPr>
          <w:trHeight w:val="391"/>
        </w:trPr>
        <w:tc>
          <w:tcPr>
            <w:tcW w:w="820" w:type="dxa"/>
            <w:vAlign w:val="bottom"/>
            <w:gridSpan w:val="2"/>
          </w:tcPr>
          <w:p>
            <w:pPr>
              <w:spacing w:after="0"/>
              <w:rPr>
                <w:rFonts w:ascii="Arial" w:cs="Arial" w:eastAsia="Arial" w:hAnsi="Arial"/>
                <w:sz w:val="18"/>
                <w:szCs w:val="18"/>
                <w:color w:val="0000EE"/>
              </w:rPr>
            </w:pPr>
            <w:hyperlink r:id="rId9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9380" w:type="dxa"/>
            <w:vAlign w:val="bottom"/>
          </w:tcPr>
          <w:p>
            <w:pPr>
              <w:ind w:left="180"/>
              <w:spacing w:after="0"/>
              <w:rPr>
                <w:sz w:val="20"/>
                <w:szCs w:val="20"/>
                <w:color w:val="auto"/>
              </w:rPr>
            </w:pPr>
            <w:r>
              <w:rPr>
                <w:rFonts w:ascii="Arial" w:cs="Arial" w:eastAsia="Arial" w:hAnsi="Arial"/>
                <w:sz w:val="18"/>
                <w:szCs w:val="18"/>
                <w:color w:val="auto"/>
                <w:w w:val="91"/>
              </w:rPr>
              <w:t>Specimen common stock certificate (incorporated by reference to Exhibit 4.1 to the Registrant’s Form 10-K for the year ended</w:t>
            </w:r>
          </w:p>
        </w:tc>
      </w:tr>
      <w:tr>
        <w:trPr>
          <w:trHeight w:val="237"/>
        </w:trPr>
        <w:tc>
          <w:tcPr>
            <w:tcW w:w="22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9380" w:type="dxa"/>
            <w:vAlign w:val="bottom"/>
          </w:tcPr>
          <w:p>
            <w:pPr>
              <w:ind w:left="180"/>
              <w:spacing w:after="0"/>
              <w:rPr>
                <w:sz w:val="20"/>
                <w:szCs w:val="20"/>
                <w:color w:val="auto"/>
              </w:rPr>
            </w:pPr>
            <w:r>
              <w:rPr>
                <w:rFonts w:ascii="Arial" w:cs="Arial" w:eastAsia="Arial" w:hAnsi="Arial"/>
                <w:sz w:val="18"/>
                <w:szCs w:val="18"/>
                <w:color w:val="auto"/>
              </w:rPr>
              <w:t>December 31, 2011).</w:t>
            </w:r>
          </w:p>
        </w:tc>
      </w:tr>
      <w:tr>
        <w:trPr>
          <w:trHeight w:val="391"/>
        </w:trPr>
        <w:tc>
          <w:tcPr>
            <w:tcW w:w="820" w:type="dxa"/>
            <w:vAlign w:val="bottom"/>
            <w:gridSpan w:val="2"/>
          </w:tcPr>
          <w:p>
            <w:pPr>
              <w:spacing w:after="0"/>
              <w:rPr>
                <w:rFonts w:ascii="Arial" w:cs="Arial" w:eastAsia="Arial" w:hAnsi="Arial"/>
                <w:sz w:val="18"/>
                <w:szCs w:val="18"/>
                <w:color w:val="0000EE"/>
              </w:rPr>
            </w:pPr>
            <w:hyperlink r:id="rId95">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9380" w:type="dxa"/>
            <w:vAlign w:val="bottom"/>
          </w:tcPr>
          <w:p>
            <w:pPr>
              <w:ind w:left="180"/>
              <w:spacing w:after="0"/>
              <w:rPr>
                <w:sz w:val="20"/>
                <w:szCs w:val="20"/>
                <w:color w:val="auto"/>
              </w:rPr>
            </w:pPr>
            <w:r>
              <w:rPr>
                <w:rFonts w:ascii="Arial" w:cs="Arial" w:eastAsia="Arial" w:hAnsi="Arial"/>
                <w:sz w:val="18"/>
                <w:szCs w:val="18"/>
                <w:color w:val="auto"/>
                <w:w w:val="91"/>
              </w:rPr>
              <w:t>Stockholder Protection Rights Agreement, dated July 18, 2014 between TG Therapeutics, Inc. and American Stock Transfer &amp;</w:t>
            </w:r>
          </w:p>
        </w:tc>
      </w:tr>
      <w:tr>
        <w:trPr>
          <w:trHeight w:val="222"/>
        </w:trPr>
        <w:tc>
          <w:tcPr>
            <w:tcW w:w="22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9380" w:type="dxa"/>
            <w:vAlign w:val="bottom"/>
          </w:tcPr>
          <w:p>
            <w:pPr>
              <w:ind w:left="180"/>
              <w:spacing w:after="0"/>
              <w:rPr>
                <w:sz w:val="20"/>
                <w:szCs w:val="20"/>
                <w:color w:val="auto"/>
              </w:rPr>
            </w:pPr>
            <w:r>
              <w:rPr>
                <w:rFonts w:ascii="Arial" w:cs="Arial" w:eastAsia="Arial" w:hAnsi="Arial"/>
                <w:sz w:val="18"/>
                <w:szCs w:val="18"/>
                <w:color w:val="auto"/>
                <w:w w:val="92"/>
              </w:rPr>
              <w:t>Trust Company, LLC, as Rights Agent (incorporated by reference to Exhibit 4.1 to the Registrant’s Current Report on Form 8-</w:t>
            </w:r>
          </w:p>
        </w:tc>
      </w:tr>
      <w:tr>
        <w:trPr>
          <w:trHeight w:val="230"/>
        </w:trPr>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380" w:type="dxa"/>
            <w:vAlign w:val="bottom"/>
          </w:tcPr>
          <w:p>
            <w:pPr>
              <w:ind w:left="180"/>
              <w:spacing w:after="0"/>
              <w:rPr>
                <w:sz w:val="20"/>
                <w:szCs w:val="20"/>
                <w:color w:val="auto"/>
              </w:rPr>
            </w:pPr>
            <w:r>
              <w:rPr>
                <w:rFonts w:ascii="Arial" w:cs="Arial" w:eastAsia="Arial" w:hAnsi="Arial"/>
                <w:sz w:val="18"/>
                <w:szCs w:val="18"/>
                <w:color w:val="auto"/>
              </w:rPr>
              <w:t>K filed on July 21, 2014).</w:t>
            </w:r>
          </w:p>
        </w:tc>
      </w:tr>
      <w:tr>
        <w:trPr>
          <w:trHeight w:val="391"/>
        </w:trPr>
        <w:tc>
          <w:tcPr>
            <w:tcW w:w="820" w:type="dxa"/>
            <w:vAlign w:val="bottom"/>
            <w:gridSpan w:val="2"/>
          </w:tcPr>
          <w:p>
            <w:pPr>
              <w:spacing w:after="0"/>
              <w:rPr>
                <w:rFonts w:ascii="Arial" w:cs="Arial" w:eastAsia="Arial" w:hAnsi="Arial"/>
                <w:sz w:val="18"/>
                <w:szCs w:val="18"/>
                <w:color w:val="0000EE"/>
              </w:rPr>
            </w:pPr>
            <w:hyperlink r:id="rId96">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9380" w:type="dxa"/>
            <w:vAlign w:val="bottom"/>
          </w:tcPr>
          <w:p>
            <w:pPr>
              <w:ind w:left="180"/>
              <w:spacing w:after="0"/>
              <w:rPr>
                <w:sz w:val="20"/>
                <w:szCs w:val="20"/>
                <w:color w:val="auto"/>
              </w:rPr>
            </w:pPr>
            <w:r>
              <w:rPr>
                <w:rFonts w:ascii="Arial" w:cs="Arial" w:eastAsia="Arial" w:hAnsi="Arial"/>
                <w:sz w:val="18"/>
                <w:szCs w:val="18"/>
                <w:color w:val="auto"/>
                <w:w w:val="92"/>
              </w:rPr>
              <w:t>Description of Securities of TG Therapeutics, Inc. (incorporated by reference to Exhibit 4.5 of the Registrant’s Annual Report</w:t>
            </w:r>
          </w:p>
        </w:tc>
      </w:tr>
      <w:tr>
        <w:trPr>
          <w:trHeight w:val="236"/>
        </w:trPr>
        <w:tc>
          <w:tcPr>
            <w:tcW w:w="22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9380" w:type="dxa"/>
            <w:vAlign w:val="bottom"/>
          </w:tcPr>
          <w:p>
            <w:pPr>
              <w:ind w:left="180"/>
              <w:spacing w:after="0"/>
              <w:rPr>
                <w:sz w:val="20"/>
                <w:szCs w:val="20"/>
                <w:color w:val="auto"/>
              </w:rPr>
            </w:pPr>
            <w:r>
              <w:rPr>
                <w:rFonts w:ascii="Arial" w:cs="Arial" w:eastAsia="Arial" w:hAnsi="Arial"/>
                <w:sz w:val="18"/>
                <w:szCs w:val="18"/>
                <w:color w:val="auto"/>
              </w:rPr>
              <w:t>on Form 10-K for the fiscal year ended December 31, 2020).</w:t>
            </w:r>
          </w:p>
        </w:tc>
      </w:tr>
    </w:tbl>
    <w:p>
      <w:pPr>
        <w:spacing w:after="0" w:line="200" w:lineRule="exact"/>
        <w:rPr>
          <w:sz w:val="20"/>
          <w:szCs w:val="20"/>
          <w:color w:val="auto"/>
        </w:rPr>
      </w:pP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80" w:name="page81"/>
    <w:bookmarkEnd w:id="8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gridSpan w:val="3"/>
          </w:tcPr>
          <w:p>
            <w:pPr>
              <w:ind w:left="20"/>
              <w:spacing w:after="0"/>
              <w:rPr>
                <w:rFonts w:ascii="Arial" w:cs="Arial" w:eastAsia="Arial" w:hAnsi="Arial"/>
                <w:sz w:val="18"/>
                <w:szCs w:val="18"/>
                <w:color w:val="0000EE"/>
              </w:rPr>
            </w:pPr>
            <w:hyperlink r:id="rId9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0" w:type="dxa"/>
            <w:vAlign w:val="bottom"/>
          </w:tcPr>
          <w:p>
            <w:pPr>
              <w:spacing w:after="0"/>
              <w:rPr>
                <w:sz w:val="17"/>
                <w:szCs w:val="17"/>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2"/>
              </w:rPr>
              <w:t>Employment Agreement, effective December 29, 2011, between the Registrant and Michael Weiss (incorporated by reference</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rPr>
              <w:t>to Exhibit 10.30 to the Registrant’s Form 10-K for the fiscal year ended December 31, 2011). †</w:t>
            </w:r>
          </w:p>
        </w:tc>
      </w:tr>
      <w:tr>
        <w:trPr>
          <w:trHeight w:val="392"/>
        </w:trPr>
        <w:tc>
          <w:tcPr>
            <w:tcW w:w="400" w:type="dxa"/>
            <w:vAlign w:val="bottom"/>
            <w:gridSpan w:val="3"/>
          </w:tcPr>
          <w:p>
            <w:pPr>
              <w:ind w:left="20"/>
              <w:spacing w:after="0"/>
              <w:rPr>
                <w:rFonts w:ascii="Arial" w:cs="Arial" w:eastAsia="Arial" w:hAnsi="Arial"/>
                <w:sz w:val="18"/>
                <w:szCs w:val="18"/>
                <w:color w:val="0000EE"/>
              </w:rPr>
            </w:pPr>
            <w:hyperlink r:id="rId99">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0" w:type="dxa"/>
            <w:vAlign w:val="bottom"/>
          </w:tcPr>
          <w:p>
            <w:pPr>
              <w:spacing w:after="0"/>
              <w:rPr>
                <w:sz w:val="24"/>
                <w:szCs w:val="24"/>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rPr>
              <w:t>Restricted Stock Subscription Agreement, effective December 29, 2011, between the Registrant and Michael Weiss</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5"/>
              </w:rPr>
              <w:t>(incorporated by reference to Exhibit 10.31 to the Registrant’s Form 10-K for the fiscal year ended December 31, 2011). †</w:t>
            </w:r>
          </w:p>
        </w:tc>
      </w:tr>
      <w:tr>
        <w:trPr>
          <w:trHeight w:val="391"/>
        </w:trPr>
        <w:tc>
          <w:tcPr>
            <w:tcW w:w="400" w:type="dxa"/>
            <w:vAlign w:val="bottom"/>
            <w:gridSpan w:val="3"/>
          </w:tcPr>
          <w:p>
            <w:pPr>
              <w:ind w:left="20"/>
              <w:spacing w:after="0"/>
              <w:rPr>
                <w:rFonts w:ascii="Arial" w:cs="Arial" w:eastAsia="Arial" w:hAnsi="Arial"/>
                <w:sz w:val="18"/>
                <w:szCs w:val="18"/>
                <w:color w:val="0000EE"/>
              </w:rPr>
            </w:pPr>
            <w:hyperlink r:id="rId100">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0" w:type="dxa"/>
            <w:vAlign w:val="bottom"/>
          </w:tcPr>
          <w:p>
            <w:pPr>
              <w:spacing w:after="0"/>
              <w:rPr>
                <w:sz w:val="24"/>
                <w:szCs w:val="24"/>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1"/>
              </w:rPr>
              <w:t>Amendment to Restricted Stock Agreement, dated July 12, 2013, by and between TG Therapeutics, Inc. and Michael S. Weiss</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rPr>
              <w:t>(incorporated by reference to Exhibit 10.1 to the Registrant’s Current Report on Form 8-K filed on July 16, 2013). †</w:t>
            </w:r>
          </w:p>
        </w:tc>
      </w:tr>
      <w:tr>
        <w:trPr>
          <w:trHeight w:val="392"/>
        </w:trPr>
        <w:tc>
          <w:tcPr>
            <w:tcW w:w="400" w:type="dxa"/>
            <w:vAlign w:val="bottom"/>
            <w:gridSpan w:val="3"/>
          </w:tcPr>
          <w:p>
            <w:pPr>
              <w:ind w:left="20"/>
              <w:spacing w:after="0"/>
              <w:rPr>
                <w:rFonts w:ascii="Arial" w:cs="Arial" w:eastAsia="Arial" w:hAnsi="Arial"/>
                <w:sz w:val="18"/>
                <w:szCs w:val="18"/>
                <w:color w:val="0000EE"/>
              </w:rPr>
            </w:pPr>
            <w:hyperlink r:id="rId101">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0" w:type="dxa"/>
            <w:vAlign w:val="bottom"/>
          </w:tcPr>
          <w:p>
            <w:pPr>
              <w:spacing w:after="0"/>
              <w:rPr>
                <w:sz w:val="24"/>
                <w:szCs w:val="24"/>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1"/>
              </w:rPr>
              <w:t>Amendment to Restricted Stock Agreements, dated December 31, 2014, by and between TG Therapeutics, Inc. and Michael S.</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3"/>
              </w:rPr>
              <w:t>Weiss (incorporated by reference to Exhibit 10.1 to the Registrant’s Current Report on Form 8-K filed on January 7, 2015). †</w:t>
            </w:r>
          </w:p>
        </w:tc>
      </w:tr>
      <w:tr>
        <w:trPr>
          <w:trHeight w:val="391"/>
        </w:trPr>
        <w:tc>
          <w:tcPr>
            <w:tcW w:w="400" w:type="dxa"/>
            <w:vAlign w:val="bottom"/>
            <w:gridSpan w:val="3"/>
          </w:tcPr>
          <w:p>
            <w:pPr>
              <w:ind w:left="20"/>
              <w:spacing w:after="0"/>
              <w:rPr>
                <w:rFonts w:ascii="Arial" w:cs="Arial" w:eastAsia="Arial" w:hAnsi="Arial"/>
                <w:sz w:val="18"/>
                <w:szCs w:val="18"/>
                <w:color w:val="0000EE"/>
              </w:rPr>
            </w:pPr>
            <w:hyperlink r:id="rId102">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0" w:type="dxa"/>
            <w:vAlign w:val="bottom"/>
          </w:tcPr>
          <w:p>
            <w:pPr>
              <w:spacing w:after="0"/>
              <w:rPr>
                <w:sz w:val="24"/>
                <w:szCs w:val="24"/>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1"/>
              </w:rPr>
              <w:t>Employment Agreement, effective December 29, 2011, between the Registrant and Sean Power (incorporated by reference to</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rPr>
              <w:t>Exhibit 10.32 to the Registrant’s Form 10-K for the fiscal year ended December 31, 2011). †</w:t>
            </w:r>
          </w:p>
        </w:tc>
      </w:tr>
      <w:tr>
        <w:trPr>
          <w:trHeight w:val="392"/>
        </w:trPr>
        <w:tc>
          <w:tcPr>
            <w:tcW w:w="400" w:type="dxa"/>
            <w:vAlign w:val="bottom"/>
            <w:gridSpan w:val="3"/>
          </w:tcPr>
          <w:p>
            <w:pPr>
              <w:ind w:left="20"/>
              <w:spacing w:after="0"/>
              <w:rPr>
                <w:rFonts w:ascii="Arial" w:cs="Arial" w:eastAsia="Arial" w:hAnsi="Arial"/>
                <w:sz w:val="18"/>
                <w:szCs w:val="18"/>
                <w:color w:val="0000EE"/>
              </w:rPr>
            </w:pPr>
            <w:hyperlink r:id="rId103">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0" w:type="dxa"/>
            <w:vAlign w:val="bottom"/>
          </w:tcPr>
          <w:p>
            <w:pPr>
              <w:spacing w:after="0"/>
              <w:rPr>
                <w:sz w:val="24"/>
                <w:szCs w:val="24"/>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1"/>
              </w:rPr>
              <w:t>Restricted Stock Subscription Agreement, effective December 29, 2011 between the Registrant and Sean Power (incorporated</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rPr>
              <w:t>by reference to Exhibit 10.33 to the Registrant’s Form 10-K for the fiscal year ended December 31, 2011). †</w:t>
            </w:r>
          </w:p>
        </w:tc>
      </w:tr>
      <w:tr>
        <w:trPr>
          <w:trHeight w:val="391"/>
        </w:trPr>
        <w:tc>
          <w:tcPr>
            <w:tcW w:w="400" w:type="dxa"/>
            <w:vAlign w:val="bottom"/>
            <w:gridSpan w:val="3"/>
          </w:tcPr>
          <w:p>
            <w:pPr>
              <w:ind w:left="20"/>
              <w:spacing w:after="0"/>
              <w:rPr>
                <w:rFonts w:ascii="Arial" w:cs="Arial" w:eastAsia="Arial" w:hAnsi="Arial"/>
                <w:sz w:val="18"/>
                <w:szCs w:val="18"/>
                <w:color w:val="0000EE"/>
              </w:rPr>
            </w:pPr>
            <w:hyperlink r:id="rId104">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0" w:type="dxa"/>
            <w:vAlign w:val="bottom"/>
          </w:tcPr>
          <w:p>
            <w:pPr>
              <w:spacing w:after="0"/>
              <w:rPr>
                <w:sz w:val="24"/>
                <w:szCs w:val="24"/>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3"/>
              </w:rPr>
              <w:t>Amendment to Restricted Stock Agreement, dated July 12, 2013, by and between TG Therapeutics, Inc. and Sean A. Power</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rPr>
              <w:t>(incorporated by reference to Exhibit 10.2 to the Registrant’s Current Report on Form 8-K filed on July 16, 2013). †</w:t>
            </w:r>
          </w:p>
        </w:tc>
      </w:tr>
      <w:tr>
        <w:trPr>
          <w:trHeight w:val="392"/>
        </w:trPr>
        <w:tc>
          <w:tcPr>
            <w:tcW w:w="400" w:type="dxa"/>
            <w:vAlign w:val="bottom"/>
            <w:gridSpan w:val="3"/>
          </w:tcPr>
          <w:p>
            <w:pPr>
              <w:ind w:left="20"/>
              <w:spacing w:after="0"/>
              <w:rPr>
                <w:rFonts w:ascii="Arial" w:cs="Arial" w:eastAsia="Arial" w:hAnsi="Arial"/>
                <w:sz w:val="18"/>
                <w:szCs w:val="18"/>
                <w:color w:val="0000EE"/>
              </w:rPr>
            </w:pPr>
            <w:hyperlink r:id="rId105">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0" w:type="dxa"/>
            <w:vAlign w:val="bottom"/>
          </w:tcPr>
          <w:p>
            <w:pPr>
              <w:spacing w:after="0"/>
              <w:rPr>
                <w:sz w:val="24"/>
                <w:szCs w:val="24"/>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2"/>
              </w:rPr>
              <w:t>Amendment to Restricted Stock Agreements, dated December 31, 2014, by and between TG Therapeutics, Inc. and Sean A.</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3"/>
              </w:rPr>
              <w:t>Power (incorporated by reference to Exhibit 10.2 to the Registrant’s Current Report on Form 8-K filed on January 7, 2015). †</w:t>
            </w:r>
          </w:p>
        </w:tc>
      </w:tr>
      <w:tr>
        <w:trPr>
          <w:trHeight w:val="391"/>
        </w:trPr>
        <w:tc>
          <w:tcPr>
            <w:tcW w:w="400" w:type="dxa"/>
            <w:vAlign w:val="bottom"/>
            <w:gridSpan w:val="3"/>
          </w:tcPr>
          <w:p>
            <w:pPr>
              <w:ind w:left="20"/>
              <w:spacing w:after="0"/>
              <w:rPr>
                <w:rFonts w:ascii="Arial" w:cs="Arial" w:eastAsia="Arial" w:hAnsi="Arial"/>
                <w:sz w:val="18"/>
                <w:szCs w:val="18"/>
                <w:color w:val="0000EE"/>
              </w:rPr>
            </w:pPr>
            <w:hyperlink r:id="rId106">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0" w:type="dxa"/>
            <w:vAlign w:val="bottom"/>
          </w:tcPr>
          <w:p>
            <w:pPr>
              <w:spacing w:after="0"/>
              <w:rPr>
                <w:sz w:val="24"/>
                <w:szCs w:val="24"/>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3"/>
              </w:rPr>
              <w:t>License Agreement dated January 30, 2012, by and among the Registrant, GTC Biotherapeutics, Inc., LFB Biotechnologies</w:t>
            </w: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3"/>
              </w:rPr>
              <w:t>S.A.S. and LFB/GTC LLC (incorporated by reference to Exhibit 10.35 to the Registrant’s Form 10-K for the fiscal year ended</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rPr>
              <w:t>December 31, 2011). *</w:t>
            </w:r>
          </w:p>
        </w:tc>
      </w:tr>
      <w:tr>
        <w:trPr>
          <w:trHeight w:val="391"/>
        </w:trPr>
        <w:tc>
          <w:tcPr>
            <w:tcW w:w="420" w:type="dxa"/>
            <w:vAlign w:val="bottom"/>
            <w:gridSpan w:val="4"/>
          </w:tcPr>
          <w:p>
            <w:pPr>
              <w:ind w:left="20"/>
              <w:spacing w:after="0"/>
              <w:rPr>
                <w:rFonts w:ascii="Arial" w:cs="Arial" w:eastAsia="Arial" w:hAnsi="Arial"/>
                <w:sz w:val="18"/>
                <w:szCs w:val="18"/>
                <w:color w:val="0000EE"/>
                <w:w w:val="84"/>
              </w:rPr>
            </w:pPr>
            <w:hyperlink r:id="rId10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10</w:t>
              </w:r>
            </w:hyperlink>
          </w:p>
        </w:tc>
        <w:tc>
          <w:tcPr>
            <w:tcW w:w="9820" w:type="dxa"/>
            <w:vAlign w:val="bottom"/>
          </w:tcPr>
          <w:p>
            <w:pPr>
              <w:ind w:left="580"/>
              <w:spacing w:after="0"/>
              <w:rPr>
                <w:sz w:val="20"/>
                <w:szCs w:val="20"/>
                <w:color w:val="auto"/>
              </w:rPr>
            </w:pPr>
            <w:r>
              <w:rPr>
                <w:rFonts w:ascii="Arial" w:cs="Arial" w:eastAsia="Arial" w:hAnsi="Arial"/>
                <w:sz w:val="18"/>
                <w:szCs w:val="18"/>
                <w:color w:val="auto"/>
                <w:w w:val="98"/>
              </w:rPr>
              <w:t>Sublicense Agreement between TG Therapeutics, Inc. and Ildong Pharmaceutical Co. Ltd., dated November 13, 2012</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5"/>
              </w:rPr>
              <w:t>(incorporated by reference to Exhibit 10.37 to the Registrant’s Form 10-K for the fiscal year ended December 31, 2012). *</w:t>
            </w:r>
          </w:p>
        </w:tc>
      </w:tr>
      <w:tr>
        <w:trPr>
          <w:trHeight w:val="391"/>
        </w:trPr>
        <w:tc>
          <w:tcPr>
            <w:tcW w:w="420" w:type="dxa"/>
            <w:vAlign w:val="bottom"/>
            <w:gridSpan w:val="4"/>
          </w:tcPr>
          <w:p>
            <w:pPr>
              <w:ind w:left="20"/>
              <w:spacing w:after="0"/>
              <w:rPr>
                <w:rFonts w:ascii="Arial" w:cs="Arial" w:eastAsia="Arial" w:hAnsi="Arial"/>
                <w:sz w:val="18"/>
                <w:szCs w:val="18"/>
                <w:color w:val="0000EE"/>
                <w:w w:val="84"/>
              </w:rPr>
            </w:pPr>
            <w:hyperlink r:id="rId10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9820" w:type="dxa"/>
            <w:vAlign w:val="bottom"/>
          </w:tcPr>
          <w:p>
            <w:pPr>
              <w:ind w:left="580"/>
              <w:spacing w:after="0"/>
              <w:rPr>
                <w:sz w:val="20"/>
                <w:szCs w:val="20"/>
                <w:color w:val="auto"/>
              </w:rPr>
            </w:pPr>
            <w:r>
              <w:rPr>
                <w:rFonts w:ascii="Arial" w:cs="Arial" w:eastAsia="Arial" w:hAnsi="Arial"/>
                <w:sz w:val="18"/>
                <w:szCs w:val="18"/>
                <w:color w:val="auto"/>
                <w:w w:val="93"/>
              </w:rPr>
              <w:t>License  Agreement  between  TG  Therapeutics,  Inc.  and  Ligand  Pharmaceuticals  Incorporated,  dated  June  23,  2014</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rPr>
              <w:t>(incorporated by reference to Exhibit 10.1 to the Registrant’s Form 10-Q for the quarter ended June 30, 2014).*</w:t>
            </w:r>
          </w:p>
        </w:tc>
      </w:tr>
      <w:tr>
        <w:trPr>
          <w:trHeight w:val="391"/>
        </w:trPr>
        <w:tc>
          <w:tcPr>
            <w:tcW w:w="420" w:type="dxa"/>
            <w:vAlign w:val="bottom"/>
            <w:gridSpan w:val="4"/>
          </w:tcPr>
          <w:p>
            <w:pPr>
              <w:ind w:left="20"/>
              <w:spacing w:after="0"/>
              <w:rPr>
                <w:rFonts w:ascii="Arial" w:cs="Arial" w:eastAsia="Arial" w:hAnsi="Arial"/>
                <w:sz w:val="18"/>
                <w:szCs w:val="18"/>
                <w:color w:val="0000EE"/>
                <w:w w:val="84"/>
              </w:rPr>
            </w:pPr>
            <w:hyperlink r:id="rId10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12</w:t>
              </w:r>
            </w:hyperlink>
          </w:p>
        </w:tc>
        <w:tc>
          <w:tcPr>
            <w:tcW w:w="9820" w:type="dxa"/>
            <w:vAlign w:val="bottom"/>
          </w:tcPr>
          <w:p>
            <w:pPr>
              <w:ind w:left="580"/>
              <w:spacing w:after="0"/>
              <w:rPr>
                <w:sz w:val="20"/>
                <w:szCs w:val="20"/>
                <w:color w:val="auto"/>
              </w:rPr>
            </w:pPr>
            <w:r>
              <w:rPr>
                <w:rFonts w:ascii="Arial" w:cs="Arial" w:eastAsia="Arial" w:hAnsi="Arial"/>
                <w:sz w:val="18"/>
                <w:szCs w:val="18"/>
                <w:color w:val="auto"/>
                <w:w w:val="91"/>
              </w:rPr>
              <w:t>License Agreement between TG Therapeutics, Inc. and Rhizen Pharmaceuticals SA, dated September 22, 2014 (incorporated</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rPr>
              <w:t>by reference to Exhibit 10.1 to the Registrant’s Current Report on Form 8-K filed on January 20, 2015). *</w:t>
            </w:r>
          </w:p>
        </w:tc>
      </w:tr>
      <w:tr>
        <w:trPr>
          <w:trHeight w:val="391"/>
        </w:trPr>
        <w:tc>
          <w:tcPr>
            <w:tcW w:w="420" w:type="dxa"/>
            <w:vAlign w:val="bottom"/>
            <w:gridSpan w:val="4"/>
          </w:tcPr>
          <w:p>
            <w:pPr>
              <w:ind w:left="20"/>
              <w:spacing w:after="0"/>
              <w:rPr>
                <w:rFonts w:ascii="Arial" w:cs="Arial" w:eastAsia="Arial" w:hAnsi="Arial"/>
                <w:sz w:val="18"/>
                <w:szCs w:val="18"/>
                <w:color w:val="0000EE"/>
                <w:w w:val="84"/>
              </w:rPr>
            </w:pPr>
            <w:hyperlink r:id="rId11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13</w:t>
              </w:r>
            </w:hyperlink>
          </w:p>
        </w:tc>
        <w:tc>
          <w:tcPr>
            <w:tcW w:w="9820" w:type="dxa"/>
            <w:vAlign w:val="bottom"/>
          </w:tcPr>
          <w:p>
            <w:pPr>
              <w:ind w:left="580"/>
              <w:spacing w:after="0"/>
              <w:rPr>
                <w:sz w:val="20"/>
                <w:szCs w:val="20"/>
                <w:color w:val="auto"/>
              </w:rPr>
            </w:pPr>
            <w:r>
              <w:rPr>
                <w:rFonts w:ascii="Arial" w:cs="Arial" w:eastAsia="Arial" w:hAnsi="Arial"/>
                <w:sz w:val="18"/>
                <w:szCs w:val="18"/>
                <w:color w:val="auto"/>
                <w:w w:val="90"/>
              </w:rPr>
              <w:t>Collaboration Agreement between TG Therapeutics, Inc. and Checkpoint Therapeutics, Inc., dated March 3, 2015 (incorporated</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rPr>
              <w:t>by reference to Exhibit 10.1 to the Registrant’s Form 10-Q for the quarter ended March 31, 2015). *</w:t>
            </w:r>
          </w:p>
        </w:tc>
      </w:tr>
      <w:tr>
        <w:trPr>
          <w:trHeight w:val="391"/>
        </w:trPr>
        <w:tc>
          <w:tcPr>
            <w:tcW w:w="420" w:type="dxa"/>
            <w:vAlign w:val="bottom"/>
            <w:gridSpan w:val="4"/>
          </w:tcPr>
          <w:p>
            <w:pPr>
              <w:ind w:left="20"/>
              <w:spacing w:after="0"/>
              <w:rPr>
                <w:rFonts w:ascii="Arial" w:cs="Arial" w:eastAsia="Arial" w:hAnsi="Arial"/>
                <w:sz w:val="18"/>
                <w:szCs w:val="18"/>
                <w:color w:val="0000EE"/>
                <w:w w:val="84"/>
              </w:rPr>
            </w:pPr>
            <w:hyperlink r:id="rId11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14</w:t>
              </w:r>
            </w:hyperlink>
          </w:p>
        </w:tc>
        <w:tc>
          <w:tcPr>
            <w:tcW w:w="9820" w:type="dxa"/>
            <w:vAlign w:val="bottom"/>
          </w:tcPr>
          <w:p>
            <w:pPr>
              <w:ind w:left="580"/>
              <w:spacing w:after="0"/>
              <w:rPr>
                <w:sz w:val="20"/>
                <w:szCs w:val="20"/>
                <w:color w:val="auto"/>
              </w:rPr>
            </w:pPr>
            <w:r>
              <w:rPr>
                <w:rFonts w:ascii="Arial" w:cs="Arial" w:eastAsia="Arial" w:hAnsi="Arial"/>
                <w:sz w:val="18"/>
                <w:szCs w:val="18"/>
                <w:color w:val="auto"/>
                <w:w w:val="92"/>
              </w:rPr>
              <w:t>Sublicense Agreement between TG Therapeutics, Inc. and Checkpoint Therapeutics, Inc., dated May 27, 2016, (incorporated</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rPr>
              <w:t>by reference to Exhibit 10.1 to the Registrant’s Form 10-Q for the quarter ended June 30, 2016). *</w:t>
            </w:r>
          </w:p>
        </w:tc>
      </w:tr>
      <w:tr>
        <w:trPr>
          <w:trHeight w:val="392"/>
        </w:trPr>
        <w:tc>
          <w:tcPr>
            <w:tcW w:w="420" w:type="dxa"/>
            <w:vAlign w:val="bottom"/>
            <w:gridSpan w:val="4"/>
          </w:tcPr>
          <w:p>
            <w:pPr>
              <w:ind w:left="20"/>
              <w:spacing w:after="0"/>
              <w:rPr>
                <w:rFonts w:ascii="Arial" w:cs="Arial" w:eastAsia="Arial" w:hAnsi="Arial"/>
                <w:sz w:val="18"/>
                <w:szCs w:val="18"/>
                <w:color w:val="0000EE"/>
                <w:w w:val="84"/>
              </w:rPr>
            </w:pPr>
            <w:hyperlink r:id="rId11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15</w:t>
              </w:r>
            </w:hyperlink>
          </w:p>
        </w:tc>
        <w:tc>
          <w:tcPr>
            <w:tcW w:w="9820" w:type="dxa"/>
            <w:vAlign w:val="bottom"/>
          </w:tcPr>
          <w:p>
            <w:pPr>
              <w:ind w:left="580"/>
              <w:spacing w:after="0"/>
              <w:rPr>
                <w:sz w:val="20"/>
                <w:szCs w:val="20"/>
                <w:color w:val="auto"/>
              </w:rPr>
            </w:pPr>
            <w:r>
              <w:rPr>
                <w:rFonts w:ascii="Arial" w:cs="Arial" w:eastAsia="Arial" w:hAnsi="Arial"/>
                <w:sz w:val="18"/>
                <w:szCs w:val="18"/>
                <w:color w:val="auto"/>
                <w:w w:val="95"/>
              </w:rPr>
              <w:t>Amendment to Employment Agreement, effective January 1, 2017, between TG Therapeutics, Inc. and Michael S. Weiss</w:t>
            </w:r>
          </w:p>
        </w:tc>
      </w:tr>
      <w:tr>
        <w:trPr>
          <w:trHeight w:val="236"/>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w w:val="98"/>
              </w:rPr>
              <w:t>(incorporated by reference to Exhibit 10.18 to the Registrant’s Form 10-K/A for the year ended December 31, 2016). †</w:t>
            </w:r>
          </w:p>
        </w:tc>
      </w:tr>
      <w:tr>
        <w:trPr>
          <w:trHeight w:val="392"/>
        </w:trPr>
        <w:tc>
          <w:tcPr>
            <w:tcW w:w="420" w:type="dxa"/>
            <w:vAlign w:val="bottom"/>
            <w:gridSpan w:val="4"/>
          </w:tcPr>
          <w:p>
            <w:pPr>
              <w:ind w:left="20"/>
              <w:spacing w:after="0"/>
              <w:rPr>
                <w:rFonts w:ascii="Arial" w:cs="Arial" w:eastAsia="Arial" w:hAnsi="Arial"/>
                <w:sz w:val="18"/>
                <w:szCs w:val="18"/>
                <w:color w:val="0000EE"/>
                <w:w w:val="84"/>
              </w:rPr>
            </w:pPr>
            <w:hyperlink r:id="rId11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16</w:t>
              </w:r>
            </w:hyperlink>
          </w:p>
        </w:tc>
        <w:tc>
          <w:tcPr>
            <w:tcW w:w="9820" w:type="dxa"/>
            <w:vAlign w:val="bottom"/>
          </w:tcPr>
          <w:p>
            <w:pPr>
              <w:ind w:left="580"/>
              <w:spacing w:after="0"/>
              <w:rPr>
                <w:sz w:val="20"/>
                <w:szCs w:val="20"/>
                <w:color w:val="auto"/>
              </w:rPr>
            </w:pPr>
            <w:r>
              <w:rPr>
                <w:rFonts w:ascii="Arial" w:cs="Arial" w:eastAsia="Arial" w:hAnsi="Arial"/>
                <w:sz w:val="18"/>
                <w:szCs w:val="18"/>
                <w:color w:val="auto"/>
                <w:w w:val="91"/>
              </w:rPr>
              <w:t>License Agreement between TG Therapeutics, Inc. and Jiangsu Hengrui Medicine Co., dated January 8, 2018 (incorporated by</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rPr>
              <w:t>reference to Exhibit 10.20 to the Registrant’s Form 10-K for the year ended December 31, 2017). *</w:t>
            </w:r>
          </w:p>
        </w:tc>
      </w:tr>
      <w:tr>
        <w:trPr>
          <w:trHeight w:val="391"/>
        </w:trPr>
        <w:tc>
          <w:tcPr>
            <w:tcW w:w="420" w:type="dxa"/>
            <w:vAlign w:val="bottom"/>
            <w:gridSpan w:val="4"/>
          </w:tcPr>
          <w:p>
            <w:pPr>
              <w:ind w:left="20"/>
              <w:spacing w:after="0"/>
              <w:rPr>
                <w:rFonts w:ascii="Arial" w:cs="Arial" w:eastAsia="Arial" w:hAnsi="Arial"/>
                <w:sz w:val="18"/>
                <w:szCs w:val="18"/>
                <w:color w:val="0000EE"/>
                <w:w w:val="84"/>
              </w:rPr>
            </w:pPr>
            <w:hyperlink r:id="rId11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17</w:t>
              </w:r>
            </w:hyperlink>
          </w:p>
        </w:tc>
        <w:tc>
          <w:tcPr>
            <w:tcW w:w="9820" w:type="dxa"/>
            <w:vAlign w:val="bottom"/>
          </w:tcPr>
          <w:p>
            <w:pPr>
              <w:ind w:left="580"/>
              <w:spacing w:after="0"/>
              <w:rPr>
                <w:sz w:val="20"/>
                <w:szCs w:val="20"/>
                <w:color w:val="auto"/>
              </w:rPr>
            </w:pPr>
            <w:r>
              <w:rPr>
                <w:rFonts w:ascii="Arial" w:cs="Arial" w:eastAsia="Arial" w:hAnsi="Arial"/>
                <w:sz w:val="18"/>
                <w:szCs w:val="18"/>
                <w:color w:val="auto"/>
                <w:w w:val="90"/>
              </w:rPr>
              <w:t>Joint Venture and License Option Agreement by and between TG Therapeutics, Inc. and Novimmune S.A., dated June 18, 2018</w:t>
            </w:r>
          </w:p>
        </w:tc>
      </w:tr>
      <w:tr>
        <w:trPr>
          <w:trHeight w:val="236"/>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820" w:type="dxa"/>
            <w:vAlign w:val="bottom"/>
          </w:tcPr>
          <w:p>
            <w:pPr>
              <w:ind w:left="580"/>
              <w:spacing w:after="0"/>
              <w:rPr>
                <w:sz w:val="20"/>
                <w:szCs w:val="20"/>
                <w:color w:val="auto"/>
              </w:rPr>
            </w:pPr>
            <w:r>
              <w:rPr>
                <w:rFonts w:ascii="Arial" w:cs="Arial" w:eastAsia="Arial" w:hAnsi="Arial"/>
                <w:sz w:val="18"/>
                <w:szCs w:val="18"/>
                <w:color w:val="auto"/>
              </w:rPr>
              <w:t>(incorporated by reference to Exhibit 10.20 to the Registrant’s Form 10-Q for the quarter ended June 30, 2018). *</w:t>
            </w:r>
          </w:p>
        </w:tc>
      </w:tr>
      <w:tr>
        <w:trPr>
          <w:trHeight w:val="86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Pr>
          <w:p>
            <w:pPr>
              <w:ind w:left="4620"/>
              <w:spacing w:after="0"/>
              <w:rPr>
                <w:sz w:val="20"/>
                <w:szCs w:val="20"/>
                <w:color w:val="auto"/>
              </w:rPr>
            </w:pPr>
            <w:r>
              <w:rPr>
                <w:rFonts w:ascii="Arial" w:cs="Arial" w:eastAsia="Arial" w:hAnsi="Arial"/>
                <w:sz w:val="18"/>
                <w:szCs w:val="18"/>
                <w:color w:val="auto"/>
              </w:rPr>
              <w:t>80</w:t>
            </w:r>
          </w:p>
        </w:tc>
      </w:tr>
      <w:tr>
        <w:trPr>
          <w:trHeight w:val="547"/>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17" w:right="839" w:bottom="1440" w:gutter="0" w:footer="0" w:header="0"/>
        </w:sectPr>
      </w:pPr>
    </w:p>
    <w:bookmarkStart w:id="81" w:name="page82"/>
    <w:bookmarkEnd w:id="81"/>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3"/>
          </w:tcPr>
          <w:p>
            <w:pPr>
              <w:ind w:left="20"/>
              <w:spacing w:after="0"/>
              <w:rPr>
                <w:rFonts w:ascii="Arial" w:cs="Arial" w:eastAsia="Arial" w:hAnsi="Arial"/>
                <w:sz w:val="18"/>
                <w:szCs w:val="18"/>
                <w:color w:val="0000EE"/>
                <w:w w:val="84"/>
              </w:rPr>
            </w:pPr>
            <w:hyperlink r:id="rId11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18</w:t>
              </w:r>
            </w:hyperlink>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5"/>
              </w:rPr>
              <w:t>Master Services Agreement between Samsung Biologics Co., Ltd. And TG Therapeutics, Inc., effective February 21, 2018</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rPr>
              <w:t>(incorporated by reference to the Exhibit 10.2 to the Registrant’s Form 10-Q for the quarter ended June 30, 2019). *</w:t>
            </w:r>
          </w:p>
        </w:tc>
      </w:tr>
      <w:tr>
        <w:trPr>
          <w:trHeight w:val="392"/>
        </w:trPr>
        <w:tc>
          <w:tcPr>
            <w:tcW w:w="420" w:type="dxa"/>
            <w:vAlign w:val="bottom"/>
            <w:gridSpan w:val="3"/>
          </w:tcPr>
          <w:p>
            <w:pPr>
              <w:ind w:left="20"/>
              <w:spacing w:after="0"/>
              <w:rPr>
                <w:rFonts w:ascii="Arial" w:cs="Arial" w:eastAsia="Arial" w:hAnsi="Arial"/>
                <w:sz w:val="18"/>
                <w:szCs w:val="18"/>
                <w:color w:val="0000EE"/>
                <w:w w:val="84"/>
              </w:rPr>
            </w:pPr>
            <w:hyperlink r:id="rId11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19</w:t>
              </w:r>
            </w:hyperlink>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1"/>
              </w:rPr>
              <w:t>Loan and Security Agreement, dated February 28, 2019, by and among TG Therapeutics, Inc., TG Biologics, Inc. and Hercules</w:t>
            </w: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4"/>
              </w:rPr>
              <w:t>Capital, Inc. (incorporated by reference to the Exhibit 10.2 to the Registrant’s Current Report on Form 8-K filed on March 5,</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gridSpan w:val="2"/>
          </w:tcPr>
          <w:p>
            <w:pPr>
              <w:ind w:left="580"/>
              <w:spacing w:after="0"/>
              <w:rPr>
                <w:sz w:val="20"/>
                <w:szCs w:val="20"/>
                <w:color w:val="auto"/>
              </w:rPr>
            </w:pPr>
            <w:r>
              <w:rPr>
                <w:rFonts w:ascii="Arial" w:cs="Arial" w:eastAsia="Arial" w:hAnsi="Arial"/>
                <w:sz w:val="18"/>
                <w:szCs w:val="18"/>
                <w:color w:val="auto"/>
              </w:rPr>
              <w:t>2019).</w:t>
            </w:r>
          </w:p>
        </w:tc>
        <w:tc>
          <w:tcPr>
            <w:tcW w:w="5780" w:type="dxa"/>
            <w:vAlign w:val="bottom"/>
          </w:tcPr>
          <w:p>
            <w:pPr>
              <w:spacing w:after="0"/>
              <w:rPr>
                <w:sz w:val="20"/>
                <w:szCs w:val="20"/>
                <w:color w:val="auto"/>
              </w:rPr>
            </w:pP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r:id="rId11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20</w:t>
              </w:r>
            </w:hyperlink>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2"/>
              </w:rPr>
              <w:t>Warrant Agreement, dated February 28, 2019, by and between TG Therapeutics, Inc. and Hercules Capital, Inc. (incorporated</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rPr>
              <w:t>by reference to the Exhibit 10.3 to the Registrant’s Current Report on Form 8-K filed on March 5, 2019).</w:t>
            </w:r>
          </w:p>
        </w:tc>
      </w:tr>
      <w:tr>
        <w:trPr>
          <w:trHeight w:val="392"/>
        </w:trPr>
        <w:tc>
          <w:tcPr>
            <w:tcW w:w="420" w:type="dxa"/>
            <w:vAlign w:val="bottom"/>
            <w:gridSpan w:val="3"/>
          </w:tcPr>
          <w:p>
            <w:pPr>
              <w:ind w:left="20"/>
              <w:spacing w:after="0"/>
              <w:rPr>
                <w:rFonts w:ascii="Arial" w:cs="Arial" w:eastAsia="Arial" w:hAnsi="Arial"/>
                <w:sz w:val="18"/>
                <w:szCs w:val="18"/>
                <w:color w:val="0000EE"/>
                <w:w w:val="84"/>
              </w:rPr>
            </w:pPr>
            <w:hyperlink r:id="rId11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21</w:t>
              </w:r>
            </w:hyperlink>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6"/>
              </w:rPr>
              <w:t>Warrant Agreement, dated February 28, 2019, by and between TG Therapeutics, Inc. and Hercules Technology III, L.P.</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8"/>
              </w:rPr>
              <w:t>(incorporated by reference to the Exhibit 10.4 to the Registrant’s Current Report on Form 8-K filed on March 5, 2019).</w:t>
            </w: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r:id="rId11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22</w:t>
              </w:r>
            </w:hyperlink>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3"/>
              </w:rPr>
              <w:t>Amended and Restated Collaboration Agreement by and between TG Therapeutics, Inc. and Checkpoint Therapeutics, Inc.,</w:t>
            </w: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3"/>
              </w:rPr>
              <w:t>dated June 19, 2019 (incorporated by reference to Exhibit 10.1 to the Registrant’s Form 10-Q for the quarter ended June 30,</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gridSpan w:val="2"/>
          </w:tcPr>
          <w:p>
            <w:pPr>
              <w:ind w:left="580"/>
              <w:spacing w:after="0"/>
              <w:rPr>
                <w:sz w:val="20"/>
                <w:szCs w:val="20"/>
                <w:color w:val="auto"/>
              </w:rPr>
            </w:pPr>
            <w:r>
              <w:rPr>
                <w:rFonts w:ascii="Arial" w:cs="Arial" w:eastAsia="Arial" w:hAnsi="Arial"/>
                <w:sz w:val="18"/>
                <w:szCs w:val="18"/>
                <w:color w:val="auto"/>
              </w:rPr>
              <w:t>2019). *</w:t>
            </w:r>
          </w:p>
        </w:tc>
        <w:tc>
          <w:tcPr>
            <w:tcW w:w="5780" w:type="dxa"/>
            <w:vAlign w:val="bottom"/>
          </w:tcPr>
          <w:p>
            <w:pPr>
              <w:spacing w:after="0"/>
              <w:rPr>
                <w:sz w:val="20"/>
                <w:szCs w:val="20"/>
                <w:color w:val="auto"/>
              </w:rPr>
            </w:pP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r:id="rId12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23</w:t>
              </w:r>
            </w:hyperlink>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1"/>
              </w:rPr>
              <w:t>Amended and Restated Employment Agreement by and between TG Therapeutics, Inc. and Michael S. Weiss, dated June 18,</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8"/>
              </w:rPr>
              <w:t>2021 (incorporated by reference to Exhibit 10.1 to the Registrant’s Form 10 Q for the quarter ended June 30, 2021). †</w:t>
            </w:r>
          </w:p>
        </w:tc>
      </w:tr>
      <w:tr>
        <w:trPr>
          <w:trHeight w:val="392"/>
        </w:trPr>
        <w:tc>
          <w:tcPr>
            <w:tcW w:w="420" w:type="dxa"/>
            <w:vAlign w:val="bottom"/>
            <w:gridSpan w:val="3"/>
          </w:tcPr>
          <w:p>
            <w:pPr>
              <w:ind w:left="20"/>
              <w:spacing w:after="0"/>
              <w:rPr>
                <w:rFonts w:ascii="Arial" w:cs="Arial" w:eastAsia="Arial" w:hAnsi="Arial"/>
                <w:sz w:val="18"/>
                <w:szCs w:val="18"/>
                <w:color w:val="0000EE"/>
                <w:w w:val="84"/>
              </w:rPr>
            </w:pPr>
            <w:hyperlink r:id="rId12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24</w:t>
              </w:r>
            </w:hyperlink>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3"/>
              </w:rPr>
              <w:t>Amended and Restated Loan and Security Agreement, dated December 30, 2021, by and among TG Therapeutics, Inc., TG</w:t>
            </w: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1"/>
              </w:rPr>
              <w:t>Biologics, Inc. and Hercules Capital, Inc. (incorporated by reference to Exhibit 10.28 to the Registrant’s Form 10-K for the year</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rPr>
              <w:t>ended December 31, 2021).</w:t>
            </w: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r:id="rId12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25</w:t>
              </w:r>
            </w:hyperlink>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1"/>
              </w:rPr>
              <w:t>Warrant Agreement, dated December 30, 2021, by and between TG Therapeutics, Inc. and Hercules Capital Inc. (incorporated</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rPr>
              <w:t>by reference to Exhibit 10.29 to the Registrant’s Form 10-K for the year ended December 31, 2021).</w:t>
            </w: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r:id="rId12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26</w:t>
              </w:r>
            </w:hyperlink>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1"/>
              </w:rPr>
              <w:t>Warrant Agreement, dated December 30, 2021, by and between TG Therapeutics, Inc. and Hercules Private Credit Fund I L.P.</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rPr>
              <w:t>(incorporated by reference to Exhibit 10.30 to the Registrant’s Form 10-K for the year ended December 31, 2021).</w:t>
            </w: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r:id="rId12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27</w:t>
              </w:r>
            </w:hyperlink>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3"/>
              </w:rPr>
              <w:t>Warrant Agreement, dated December 30, 2021, by and between TG Therapeutics, Inc. and Hercules Private Global Venture</w:t>
            </w: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1"/>
              </w:rPr>
              <w:t>Growth Fund I L.P. (incorporated by reference to Exhibit 10.31 to the Registrant’s Form 10-K for the year ended December 31,</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gridSpan w:val="2"/>
          </w:tcPr>
          <w:p>
            <w:pPr>
              <w:ind w:left="580"/>
              <w:spacing w:after="0"/>
              <w:rPr>
                <w:sz w:val="20"/>
                <w:szCs w:val="20"/>
                <w:color w:val="auto"/>
              </w:rPr>
            </w:pPr>
            <w:r>
              <w:rPr>
                <w:rFonts w:ascii="Arial" w:cs="Arial" w:eastAsia="Arial" w:hAnsi="Arial"/>
                <w:sz w:val="18"/>
                <w:szCs w:val="18"/>
                <w:color w:val="auto"/>
              </w:rPr>
              <w:t>2021).</w:t>
            </w:r>
          </w:p>
        </w:tc>
        <w:tc>
          <w:tcPr>
            <w:tcW w:w="5780" w:type="dxa"/>
            <w:vAlign w:val="bottom"/>
          </w:tcPr>
          <w:p>
            <w:pPr>
              <w:spacing w:after="0"/>
              <w:rPr>
                <w:sz w:val="20"/>
                <w:szCs w:val="20"/>
                <w:color w:val="auto"/>
              </w:rPr>
            </w:pP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r:id="rId12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28</w:t>
              </w:r>
            </w:hyperlink>
          </w:p>
        </w:tc>
        <w:tc>
          <w:tcPr>
            <w:tcW w:w="9820" w:type="dxa"/>
            <w:vAlign w:val="bottom"/>
            <w:gridSpan w:val="3"/>
          </w:tcPr>
          <w:p>
            <w:pPr>
              <w:ind w:left="580"/>
              <w:spacing w:after="0"/>
              <w:rPr>
                <w:sz w:val="20"/>
                <w:szCs w:val="20"/>
                <w:color w:val="auto"/>
              </w:rPr>
            </w:pPr>
            <w:r>
              <w:rPr>
                <w:rFonts w:ascii="Arial" w:cs="Arial" w:eastAsia="Arial" w:hAnsi="Arial"/>
                <w:sz w:val="18"/>
                <w:szCs w:val="18"/>
                <w:color w:val="auto"/>
                <w:w w:val="95"/>
              </w:rPr>
              <w:t>TG Therapeutics, Inc. 2022 Incentive Plan (incorporated by reference to Exhibit 10.1 to the Registrant’s Current Report on</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rPr>
              <w:t>Form 8-K filed on June 23, 2022). †</w:t>
            </w:r>
          </w:p>
        </w:tc>
      </w:tr>
      <w:tr>
        <w:trPr>
          <w:trHeight w:val="391"/>
        </w:trPr>
        <w:tc>
          <w:tcPr>
            <w:tcW w:w="320" w:type="dxa"/>
            <w:vAlign w:val="bottom"/>
            <w:gridSpan w:val="2"/>
          </w:tcPr>
          <w:p>
            <w:pPr>
              <w:ind w:left="20"/>
              <w:spacing w:after="0"/>
              <w:rPr>
                <w:sz w:val="20"/>
                <w:szCs w:val="20"/>
                <w:color w:val="auto"/>
              </w:rPr>
            </w:pPr>
            <w:r>
              <w:rPr>
                <w:rFonts w:ascii="Arial" w:cs="Arial" w:eastAsia="Arial" w:hAnsi="Arial"/>
                <w:sz w:val="18"/>
                <w:szCs w:val="18"/>
                <w:color w:val="0000EE"/>
                <w:w w:val="79"/>
              </w:rPr>
              <w:t>21.</w:t>
            </w:r>
            <w:r>
              <w:rPr>
                <w:rFonts w:ascii="Arial" w:cs="Arial" w:eastAsia="Arial" w:hAnsi="Arial"/>
                <w:sz w:val="18"/>
                <w:szCs w:val="18"/>
                <w:u w:val="single" w:color="auto"/>
                <w:color w:val="0000EE"/>
                <w:w w:val="79"/>
              </w:rPr>
              <w:t>1</w:t>
            </w:r>
          </w:p>
        </w:tc>
        <w:tc>
          <w:tcPr>
            <w:tcW w:w="100" w:type="dxa"/>
            <w:vAlign w:val="bottom"/>
          </w:tcPr>
          <w:p>
            <w:pPr>
              <w:spacing w:after="0"/>
              <w:rPr>
                <w:sz w:val="24"/>
                <w:szCs w:val="24"/>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rPr>
              <w:t>Subsidiaries of TG Therapeutics, Inc. #</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412"/>
        </w:trPr>
        <w:tc>
          <w:tcPr>
            <w:tcW w:w="320" w:type="dxa"/>
            <w:vAlign w:val="bottom"/>
            <w:gridSpan w:val="2"/>
          </w:tcPr>
          <w:p>
            <w:pPr>
              <w:ind w:left="20"/>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p>
        </w:tc>
        <w:tc>
          <w:tcPr>
            <w:tcW w:w="100" w:type="dxa"/>
            <w:vAlign w:val="bottom"/>
          </w:tcPr>
          <w:p>
            <w:pPr>
              <w:spacing w:after="0"/>
              <w:rPr>
                <w:sz w:val="24"/>
                <w:szCs w:val="24"/>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rPr>
              <w:t>Consent of Independent Registered Public Accounting Firm (KPMG, LLP). #</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412"/>
        </w:trPr>
        <w:tc>
          <w:tcPr>
            <w:tcW w:w="320" w:type="dxa"/>
            <w:vAlign w:val="bottom"/>
            <w:gridSpan w:val="2"/>
          </w:tcPr>
          <w:p>
            <w:pPr>
              <w:ind w:left="20"/>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2</w:t>
            </w:r>
          </w:p>
        </w:tc>
        <w:tc>
          <w:tcPr>
            <w:tcW w:w="100" w:type="dxa"/>
            <w:vAlign w:val="bottom"/>
          </w:tcPr>
          <w:p>
            <w:pPr>
              <w:spacing w:after="0"/>
              <w:rPr>
                <w:sz w:val="24"/>
                <w:szCs w:val="24"/>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rPr>
              <w:t>Consent of Independent Registered Public Accounting Firm (CohnReznick LLP). #</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412"/>
        </w:trPr>
        <w:tc>
          <w:tcPr>
            <w:tcW w:w="320" w:type="dxa"/>
            <w:vAlign w:val="bottom"/>
            <w:gridSpan w:val="2"/>
          </w:tcPr>
          <w:p>
            <w:pPr>
              <w:ind w:left="20"/>
              <w:spacing w:after="0"/>
              <w:rPr>
                <w:sz w:val="20"/>
                <w:szCs w:val="20"/>
                <w:color w:val="auto"/>
              </w:rPr>
            </w:pPr>
            <w:r>
              <w:rPr>
                <w:rFonts w:ascii="Arial" w:cs="Arial" w:eastAsia="Arial" w:hAnsi="Arial"/>
                <w:sz w:val="18"/>
                <w:szCs w:val="18"/>
                <w:color w:val="0000EE"/>
                <w:w w:val="79"/>
              </w:rPr>
              <w:t>24.</w:t>
            </w:r>
            <w:r>
              <w:rPr>
                <w:rFonts w:ascii="Arial" w:cs="Arial" w:eastAsia="Arial" w:hAnsi="Arial"/>
                <w:sz w:val="18"/>
                <w:szCs w:val="18"/>
                <w:u w:val="single" w:color="auto"/>
                <w:color w:val="0000EE"/>
                <w:w w:val="79"/>
              </w:rPr>
              <w:t>1</w:t>
            </w:r>
          </w:p>
        </w:tc>
        <w:tc>
          <w:tcPr>
            <w:tcW w:w="100" w:type="dxa"/>
            <w:vAlign w:val="bottom"/>
          </w:tcPr>
          <w:p>
            <w:pPr>
              <w:spacing w:after="0"/>
              <w:rPr>
                <w:sz w:val="24"/>
                <w:szCs w:val="24"/>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0000EE"/>
              </w:rPr>
              <w:t>Power of Attorney (included in signature page).</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412"/>
        </w:trPr>
        <w:tc>
          <w:tcPr>
            <w:tcW w:w="320" w:type="dxa"/>
            <w:vAlign w:val="bottom"/>
            <w:gridSpan w:val="2"/>
          </w:tcPr>
          <w:p>
            <w:pPr>
              <w:ind w:left="20"/>
              <w:spacing w:after="0"/>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p>
        </w:tc>
        <w:tc>
          <w:tcPr>
            <w:tcW w:w="100" w:type="dxa"/>
            <w:vAlign w:val="bottom"/>
          </w:tcPr>
          <w:p>
            <w:pPr>
              <w:spacing w:after="0"/>
              <w:rPr>
                <w:sz w:val="24"/>
                <w:szCs w:val="24"/>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rPr>
              <w:t>Certification of Principal Executive Officer. #</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20" w:type="dxa"/>
            <w:vAlign w:val="bottom"/>
            <w:gridSpan w:val="3"/>
          </w:tcPr>
          <w:p>
            <w:pPr>
              <w:spacing w:after="0" w:line="20" w:lineRule="exact"/>
              <w:rPr>
                <w:sz w:val="1"/>
                <w:szCs w:val="1"/>
                <w:color w:val="auto"/>
              </w:rPr>
            </w:pPr>
          </w:p>
        </w:tc>
      </w:tr>
      <w:tr>
        <w:trPr>
          <w:trHeight w:val="412"/>
        </w:trPr>
        <w:tc>
          <w:tcPr>
            <w:tcW w:w="320" w:type="dxa"/>
            <w:vAlign w:val="bottom"/>
            <w:gridSpan w:val="2"/>
          </w:tcPr>
          <w:p>
            <w:pPr>
              <w:ind w:left="20"/>
              <w:spacing w:after="0"/>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p>
        </w:tc>
        <w:tc>
          <w:tcPr>
            <w:tcW w:w="100" w:type="dxa"/>
            <w:vAlign w:val="bottom"/>
          </w:tcPr>
          <w:p>
            <w:pPr>
              <w:spacing w:after="0"/>
              <w:rPr>
                <w:sz w:val="24"/>
                <w:szCs w:val="24"/>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rPr>
              <w:t>Certification of Principal Financial Officer. #</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20" w:type="dxa"/>
            <w:vAlign w:val="bottom"/>
            <w:gridSpan w:val="3"/>
          </w:tcPr>
          <w:p>
            <w:pPr>
              <w:spacing w:after="0" w:line="20" w:lineRule="exact"/>
              <w:rPr>
                <w:sz w:val="1"/>
                <w:szCs w:val="1"/>
                <w:color w:val="auto"/>
              </w:rPr>
            </w:pPr>
          </w:p>
        </w:tc>
      </w:tr>
      <w:tr>
        <w:trPr>
          <w:trHeight w:val="412"/>
        </w:trPr>
        <w:tc>
          <w:tcPr>
            <w:tcW w:w="320" w:type="dxa"/>
            <w:vAlign w:val="bottom"/>
            <w:gridSpan w:val="2"/>
          </w:tcPr>
          <w:p>
            <w:pPr>
              <w:ind w:left="20"/>
              <w:spacing w:after="0"/>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p>
        </w:tc>
        <w:tc>
          <w:tcPr>
            <w:tcW w:w="100" w:type="dxa"/>
            <w:vAlign w:val="bottom"/>
          </w:tcPr>
          <w:p>
            <w:pPr>
              <w:spacing w:after="0"/>
              <w:rPr>
                <w:sz w:val="24"/>
                <w:szCs w:val="24"/>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 #</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20" w:type="dxa"/>
            <w:vAlign w:val="bottom"/>
            <w:gridSpan w:val="3"/>
          </w:tcPr>
          <w:p>
            <w:pPr>
              <w:spacing w:after="0" w:line="20" w:lineRule="exact"/>
              <w:rPr>
                <w:sz w:val="1"/>
                <w:szCs w:val="1"/>
                <w:color w:val="auto"/>
              </w:rPr>
            </w:pPr>
          </w:p>
        </w:tc>
      </w:tr>
      <w:tr>
        <w:trPr>
          <w:trHeight w:val="412"/>
        </w:trPr>
        <w:tc>
          <w:tcPr>
            <w:tcW w:w="320" w:type="dxa"/>
            <w:vAlign w:val="bottom"/>
            <w:gridSpan w:val="2"/>
          </w:tcPr>
          <w:p>
            <w:pPr>
              <w:ind w:left="20"/>
              <w:spacing w:after="0"/>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p>
        </w:tc>
        <w:tc>
          <w:tcPr>
            <w:tcW w:w="100" w:type="dxa"/>
            <w:vAlign w:val="bottom"/>
          </w:tcPr>
          <w:p>
            <w:pPr>
              <w:spacing w:after="0"/>
              <w:rPr>
                <w:sz w:val="24"/>
                <w:szCs w:val="24"/>
                <w:color w:val="auto"/>
              </w:rPr>
            </w:pPr>
          </w:p>
        </w:tc>
        <w:tc>
          <w:tcPr>
            <w:tcW w:w="9820" w:type="dxa"/>
            <w:vAlign w:val="bottom"/>
            <w:gridSpan w:val="3"/>
          </w:tcPr>
          <w:p>
            <w:pPr>
              <w:ind w:left="5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 #</w:t>
            </w:r>
          </w:p>
        </w:tc>
      </w:tr>
      <w:tr>
        <w:trPr>
          <w:trHeight w:val="884"/>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gridSpan w:val="3"/>
          </w:tcPr>
          <w:p>
            <w:pPr>
              <w:jc w:val="right"/>
              <w:ind w:right="5020"/>
              <w:spacing w:after="0"/>
              <w:rPr>
                <w:sz w:val="20"/>
                <w:szCs w:val="20"/>
                <w:color w:val="auto"/>
              </w:rPr>
            </w:pPr>
            <w:r>
              <w:rPr>
                <w:rFonts w:ascii="Arial" w:cs="Arial" w:eastAsia="Arial" w:hAnsi="Arial"/>
                <w:sz w:val="18"/>
                <w:szCs w:val="18"/>
                <w:color w:val="auto"/>
              </w:rPr>
              <w:t>81</w:t>
            </w:r>
          </w:p>
        </w:tc>
      </w:tr>
      <w:tr>
        <w:trPr>
          <w:trHeight w:val="547"/>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17" w:right="839" w:bottom="1440" w:gutter="0" w:footer="0" w:header="0"/>
        </w:sectPr>
      </w:pPr>
    </w:p>
    <w:bookmarkStart w:id="82" w:name="page83"/>
    <w:bookmarkEnd w:id="82"/>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right="20" w:hanging="990"/>
        <w:spacing w:after="0" w:line="259"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financial information from TG Therapeutics, Inc.’s Annual Report on Form 10-K for the year ended December 31, 2022, formatted in iXBRL (Inline eXtensible Business Reporting Language): (i) Consolidated Balance Sheets, (ii) Consolidated Statements of Operations, (iii) Consolidated Statements of Stockholders’ Equity, (iv) Consolidated Statements of Cash Flows, (v) the Notes to Consolidated Financial Statements.</w:t>
      </w:r>
    </w:p>
    <w:p>
      <w:pPr>
        <w:spacing w:after="0" w:line="18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16287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5" w:lineRule="exact"/>
        <w:rPr>
          <w:sz w:val="20"/>
          <w:szCs w:val="20"/>
          <w:color w:val="auto"/>
        </w:rPr>
      </w:pPr>
    </w:p>
    <w:p>
      <w:pPr>
        <w:ind w:left="340" w:hanging="330"/>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hanging="330"/>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340" w:hanging="330"/>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 of Regulation S-K.</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gridSpan w:val="8"/>
          </w:tcPr>
          <w:p>
            <w:pPr>
              <w:ind w:left="20"/>
              <w:spacing w:after="0"/>
              <w:rPr>
                <w:sz w:val="20"/>
                <w:szCs w:val="20"/>
                <w:color w:val="auto"/>
              </w:rPr>
            </w:pPr>
            <w:r>
              <w:rPr>
                <w:rFonts w:ascii="Arial" w:cs="Arial" w:eastAsia="Arial" w:hAnsi="Arial"/>
                <w:sz w:val="18"/>
                <w:szCs w:val="18"/>
                <w:b w:val="1"/>
                <w:bCs w:val="1"/>
                <w:color w:val="auto"/>
              </w:rPr>
              <w:t>TG Therapeutics, Inc.</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380" w:type="dxa"/>
            <w:vAlign w:val="bottom"/>
            <w:gridSpan w:val="8"/>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360" w:type="dxa"/>
            <w:vAlign w:val="bottom"/>
            <w:gridSpan w:val="7"/>
            <w:vMerge w:val="restart"/>
          </w:tcPr>
          <w:p>
            <w:pPr>
              <w:spacing w:after="0"/>
              <w:rPr>
                <w:sz w:val="20"/>
                <w:szCs w:val="20"/>
                <w:color w:val="auto"/>
              </w:rPr>
            </w:pPr>
            <w:r>
              <w:rPr>
                <w:rFonts w:ascii="Arial" w:cs="Arial" w:eastAsia="Arial" w:hAnsi="Arial"/>
                <w:sz w:val="18"/>
                <w:szCs w:val="18"/>
                <w:color w:val="0000EE"/>
                <w:w w:val="96"/>
              </w:rPr>
              <w:t xml:space="preserve">Report of Independent Registered Public Accounting Firm </w:t>
            </w:r>
            <w:r>
              <w:rPr>
                <w:rFonts w:ascii="Arial" w:cs="Arial" w:eastAsia="Arial" w:hAnsi="Arial"/>
                <w:sz w:val="18"/>
                <w:szCs w:val="18"/>
                <w:color w:val="000000"/>
                <w:w w:val="96"/>
              </w:rPr>
              <w:t>(KPMG LLP, New York, NY, Audit Firm ID: 185) (CohnReznick</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360" w:type="dxa"/>
            <w:vAlign w:val="bottom"/>
            <w:gridSpan w:val="7"/>
            <w:vMerge w:val="continue"/>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LLP, New York, NY, Audit Firm ID: 596)</w:t>
            </w:r>
          </w:p>
        </w:tc>
        <w:tc>
          <w:tcPr>
            <w:tcW w:w="5140" w:type="dxa"/>
            <w:vAlign w:val="bottom"/>
            <w:gridSpan w:val="5"/>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360" w:type="dxa"/>
            <w:vAlign w:val="bottom"/>
            <w:gridSpan w:val="7"/>
          </w:tcPr>
          <w:p>
            <w:pPr>
              <w:spacing w:after="0"/>
              <w:rPr>
                <w:sz w:val="20"/>
                <w:szCs w:val="20"/>
                <w:color w:val="auto"/>
              </w:rPr>
            </w:pPr>
            <w:r>
              <w:rPr>
                <w:rFonts w:ascii="Arial" w:cs="Arial" w:eastAsia="Arial" w:hAnsi="Arial"/>
                <w:sz w:val="18"/>
                <w:szCs w:val="18"/>
                <w:color w:val="0000EE"/>
              </w:rPr>
              <w:t>Consolidated Balance Sheets as of December 31, 2022 and 202</w:t>
            </w:r>
            <w:r>
              <w:rPr>
                <w:rFonts w:ascii="Arial" w:cs="Arial" w:eastAsia="Arial" w:hAnsi="Arial"/>
                <w:sz w:val="18"/>
                <w:szCs w:val="18"/>
                <w:color w:val="000000"/>
              </w:rPr>
              <w:t>1</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360" w:type="dxa"/>
            <w:vAlign w:val="bottom"/>
            <w:gridSpan w:val="7"/>
          </w:tcPr>
          <w:p>
            <w:pPr>
              <w:spacing w:after="0"/>
              <w:rPr>
                <w:sz w:val="20"/>
                <w:szCs w:val="20"/>
                <w:color w:val="auto"/>
              </w:rPr>
            </w:pPr>
            <w:r>
              <w:rPr>
                <w:rFonts w:ascii="Arial" w:cs="Arial" w:eastAsia="Arial" w:hAnsi="Arial"/>
                <w:sz w:val="18"/>
                <w:szCs w:val="18"/>
                <w:color w:val="0000EE"/>
              </w:rPr>
              <w:t>Consolidated Statements of Operations for the years ended December 31, 2022, 2021 and 2020</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5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9"/>
              </w:rPr>
              <w:t>Consolidated Statements of Stockholders’ Equity for the years ended December 31, 2022, 2021 and 2020</w:t>
            </w:r>
          </w:p>
        </w:tc>
        <w:tc>
          <w:tcPr>
            <w:tcW w:w="17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360" w:type="dxa"/>
            <w:vAlign w:val="bottom"/>
            <w:gridSpan w:val="7"/>
          </w:tcPr>
          <w:p>
            <w:pPr>
              <w:spacing w:after="0"/>
              <w:rPr>
                <w:sz w:val="20"/>
                <w:szCs w:val="20"/>
                <w:color w:val="auto"/>
              </w:rPr>
            </w:pPr>
            <w:r>
              <w:rPr>
                <w:rFonts w:ascii="Arial" w:cs="Arial" w:eastAsia="Arial" w:hAnsi="Arial"/>
                <w:sz w:val="18"/>
                <w:szCs w:val="18"/>
                <w:color w:val="0000EE"/>
              </w:rPr>
              <w:t>Consolidated Statements of Cash Flows for the years ended December 31, 2022, 2021 and 2020</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9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Notes to Consolidated Financial Statements</w:t>
            </w:r>
          </w:p>
        </w:tc>
        <w:tc>
          <w:tcPr>
            <w:tcW w:w="2460" w:type="dxa"/>
            <w:vAlign w:val="bottom"/>
            <w:gridSpan w:val="2"/>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3700" w:type="dxa"/>
            <w:vAlign w:val="bottom"/>
            <w:gridSpan w:val="3"/>
          </w:tcPr>
          <w:p>
            <w:pPr>
              <w:jc w:val="right"/>
              <w:ind w:right="164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7" w:right="8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audited the accompanying consolidated balance sheets of TG Therapeutics, Inc. and subsidiaries (the Company) as of December 31, 2022 and 2021, the related consolidated statements of operations, stockholders’ equity, and cash flows for each of the years in the two-year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two-year period ended December 31, 2022, in conformity with U.S. generally accepted accounting principles.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2022, based on criteria established in Internal Control</w:t>
      </w:r>
    </w:p>
    <w:p>
      <w:pPr>
        <w:ind w:right="20"/>
        <w:spacing w:after="0" w:line="290" w:lineRule="auto"/>
        <w:rPr>
          <w:sz w:val="20"/>
          <w:szCs w:val="20"/>
          <w:color w:val="auto"/>
        </w:rPr>
      </w:pPr>
      <w:r>
        <w:rPr>
          <w:rFonts w:ascii="Arial" w:cs="Arial" w:eastAsia="Arial" w:hAnsi="Arial"/>
          <w:sz w:val="17"/>
          <w:szCs w:val="17"/>
          <w:color w:val="auto"/>
        </w:rPr>
        <w:t>– Integrated Framework (2013) issued by the Committee of Sponsoring Organizations of the Treadway Commission, and our report dated March 1, 2023 expressed an unqualified opinion on the effectiveness of the Company’s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discussed in Note 1 to the consolidated financial statements, the Company's sources of cash have primarily been proceeds from private placement and public offering of equity securities, and from its loan and security agreements. The Company has incurred operating losses since inception. The Company’s ability to achieve profitability depends on its ability to generate revenue and many other internal and external factors. The Company may continue to incur substantial operating losses even if the Company begins to generate revenue from its drug candidates. The Company believes that its cash and cash equivalents, investment securities, capital contractually available under its existing Amended Loan Agreement, and forecasted revenue will provide the Company with sufficient liquidity for more than a twelve-month period from the date the consolidated financial statements are issued. As of December 31, 2022, the Company had $174.1 million in cash and cash equivalents, and investment securities, and $45.0 million of capital available under its Amended Loan Agreement.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identified the evaluation of the Company’s assessment of its liquidity and capital resources and related disclosures as a critical audit matter. Significant auditor judgment was required to evaluate the forecasted revenue used in the Company’s forecasted cash flows analysis for the twelve-month period subsequent to issuance of the consolidated financial statements.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assessment of its ability to continue as a going concern, including the development of the forecasted revenue over the twelve-month period following the date the consolidated financial statements are issued. To assess the Company’s ability to forecast revenue, we compared the Company's forecasted revenue with available external industry data and other internal information. We performed sensitivity analyses over the Company’s going concern assessment by evaluating the effect of changes to the forecasted revenue. We evaluated the reasonableness of the Company’s forecasted revenue by comparing it to management’s stated plans which were corroborated by meeting minutes of the Board of Directors. We assessed the Company’s disclosures related to its going concern assessment by comparing the disclosures to the audit evidence obtained.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TG Therapeutics,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Internal Control Over Financial Reporting</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have audited TG Therapeutics, Inc.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17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the Company as of December 31, 2022 and 2021, the related consolidated statements of operations, stockholders’ equity, and cash flows for each of the years in the two-year period ended December 31, 2022, and the related notes (collectively, the consolidated financial statements), and our report dated March 1, 2023 expressed an unqualified opinion on those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22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w:t>
      </w:r>
      <w:r>
        <w:rPr>
          <w:rFonts w:ascii="Arial" w:cs="Arial" w:eastAsia="Arial" w:hAnsi="Arial"/>
          <w:sz w:val="18"/>
          <w:szCs w:val="18"/>
          <w:b w:val="1"/>
          <w:bCs w:val="1"/>
          <w:color w:val="auto"/>
        </w:rPr>
        <w:t>e</w:t>
      </w:r>
      <w:r>
        <w:rPr>
          <w:rFonts w:ascii="Arial" w:cs="Arial" w:eastAsia="Arial" w:hAnsi="Arial"/>
          <w:sz w:val="18"/>
          <w:szCs w:val="18"/>
          <w:b w:val="1"/>
          <w:bCs w:val="1"/>
          <w:i w:val="1"/>
          <w:iCs w:val="1"/>
          <w:color w:val="auto"/>
        </w:rPr>
        <w:t xml:space="preserve"> Consolidated Financial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audited the accompanying consolidated statements of operations, stockholders’ equity and cash flows of TG Therapeutics, Inc. (the “Company”) for the period ended December 31, 2020, and the related notes (collectively referred to as the consolidated financial statements). In our opinion, the consolidated financial statements present fairly, in all material respects, the results of its operations and its cash flows for the period ended December 31, 2020,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 served as the Company’s auditor from 2003 to 2020.</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91"/>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102,304</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00"/>
              <w:spacing w:after="0"/>
              <w:rPr>
                <w:sz w:val="20"/>
                <w:szCs w:val="20"/>
                <w:color w:val="auto"/>
              </w:rPr>
            </w:pPr>
            <w:r>
              <w:rPr>
                <w:rFonts w:ascii="Arial" w:cs="Arial" w:eastAsia="Arial" w:hAnsi="Arial"/>
                <w:sz w:val="18"/>
                <w:szCs w:val="18"/>
                <w:color w:val="auto"/>
              </w:rPr>
              <w:t>Short-term investment securities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00"/>
              <w:spacing w:after="0"/>
              <w:rPr>
                <w:sz w:val="20"/>
                <w:szCs w:val="20"/>
                <w:color w:val="auto"/>
              </w:rPr>
            </w:pPr>
            <w:r>
              <w:rPr>
                <w:rFonts w:ascii="Arial" w:cs="Arial" w:eastAsia="Arial" w:hAnsi="Arial"/>
                <w:sz w:val="18"/>
                <w:szCs w:val="18"/>
                <w:color w:val="auto"/>
              </w:rPr>
              <w:t>Prepaid research and development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168,274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Long-term investment securities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Leasehold interest,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Equipment,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193,572</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42,019</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Loan payable – current portion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00"/>
              <w:spacing w:after="0"/>
              <w:rPr>
                <w:sz w:val="20"/>
                <w:szCs w:val="20"/>
                <w:color w:val="auto"/>
              </w:rPr>
            </w:pPr>
            <w:r>
              <w:rPr>
                <w:rFonts w:ascii="Arial" w:cs="Arial" w:eastAsia="Arial" w:hAnsi="Arial"/>
                <w:sz w:val="18"/>
                <w:szCs w:val="18"/>
                <w:color w:val="auto"/>
              </w:rPr>
              <w:t>Lease liability – current portion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Loan payable – non-current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71,135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 non-current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134,985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Common stock, $0.001 par value per share (175,000,000 shares authorized, 146,426,697 and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143,292,043 shares issued, 146,385,388 and 143,250,734 shares outstanding at December 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2022 and December 31, 2021, respectively)</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1,585,708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at cost, 41,309 shares at December 31, 2022 and December 31, 2021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(1,527,033)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193,572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TG Therapeutics, Inc. and Subsidiaries Consolidated Statements of Operations for the Years Ended December 31 (in thousands, except share and per share amounts)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56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80"/>
              <w:spacing w:after="0"/>
              <w:rPr>
                <w:sz w:val="20"/>
                <w:szCs w:val="20"/>
                <w:color w:val="auto"/>
              </w:rPr>
            </w:pPr>
            <w:r>
              <w:rPr>
                <w:rFonts w:ascii="Arial" w:cs="Arial" w:eastAsia="Arial" w:hAnsi="Arial"/>
                <w:sz w:val="18"/>
                <w:szCs w:val="18"/>
                <w:color w:val="auto"/>
              </w:rPr>
              <w:t>Product revenue, net</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License revenue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product revenue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compensation</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research and development</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112,128</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198,532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research and development</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125,352</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222,579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Noncash compensation</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selling, general and administrative</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64,046</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selling, general and administrative</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128,090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107,850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195,624</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351,459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loss</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(192,839)</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(344,770)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expense (income):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 net</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(198,335)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(348,101)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Weighted-average shares used in computing basic and diluted net loss per</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135,411,258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132,222,753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115,333,693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w:t>
            </w:r>
          </w:p>
        </w:tc>
        <w:tc>
          <w:tcPr>
            <w:tcW w:w="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9" w:name="page90"/>
    <w:bookmarkEnd w:id="89"/>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 for the Years Ended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Additional</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3"/>
        </w:trPr>
        <w:tc>
          <w:tcPr>
            <w:tcW w:w="2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paid-in</w:t>
            </w:r>
          </w:p>
        </w:tc>
        <w:tc>
          <w:tcPr>
            <w:tcW w:w="1660" w:type="dxa"/>
            <w:vAlign w:val="bottom"/>
            <w:gridSpan w:val="5"/>
          </w:tcPr>
          <w:p>
            <w:pPr>
              <w:ind w:left="300"/>
              <w:spacing w:after="0"/>
              <w:rPr>
                <w:sz w:val="20"/>
                <w:szCs w:val="20"/>
                <w:color w:val="auto"/>
              </w:rPr>
            </w:pPr>
            <w:r>
              <w:rPr>
                <w:rFonts w:ascii="Arial" w:cs="Arial" w:eastAsia="Arial" w:hAnsi="Arial"/>
                <w:sz w:val="13"/>
                <w:szCs w:val="13"/>
                <w:b w:val="1"/>
                <w:bCs w:val="1"/>
                <w:color w:val="auto"/>
              </w:rPr>
              <w:t>Treasury Stock</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8"/>
        </w:trPr>
        <w:tc>
          <w:tcPr>
            <w:tcW w:w="2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7"/>
              </w:rPr>
              <w:t>capital</w:t>
            </w:r>
          </w:p>
        </w:tc>
        <w:tc>
          <w:tcPr>
            <w:tcW w:w="78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1"/>
                <w:szCs w:val="11"/>
                <w:color w:val="auto"/>
              </w:rPr>
            </w:pPr>
          </w:p>
        </w:tc>
        <w:tc>
          <w:tcPr>
            <w:tcW w:w="58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4200" w:type="dxa"/>
            <w:vAlign w:val="bottom"/>
            <w:tcBorders>
              <w:top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2020</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109,425,243</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739,956</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(701,216)</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38,615</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35,814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146</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146</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4,909,829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(128,666)</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Issuance of common stock in offerings (net of offering costs of $29.9 million)</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17,043,000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462,212</w:t>
            </w: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462,229</w:t>
            </w:r>
          </w:p>
        </w:tc>
      </w:tr>
      <w:tr>
        <w:trPr>
          <w:trHeight w:val="121"/>
        </w:trPr>
        <w:tc>
          <w:tcPr>
            <w:tcW w:w="4200" w:type="dxa"/>
            <w:vAlign w:val="bottom"/>
            <w:gridSpan w:val="2"/>
          </w:tcPr>
          <w:p>
            <w:pPr>
              <w:ind w:left="20"/>
              <w:spacing w:after="0" w:line="121" w:lineRule="exact"/>
              <w:rPr>
                <w:sz w:val="20"/>
                <w:szCs w:val="20"/>
                <w:color w:val="auto"/>
              </w:rPr>
            </w:pPr>
            <w:r>
              <w:rPr>
                <w:rFonts w:ascii="Arial" w:cs="Arial" w:eastAsia="Arial" w:hAnsi="Arial"/>
                <w:sz w:val="13"/>
                <w:szCs w:val="13"/>
                <w:color w:val="auto"/>
                <w:w w:val="94"/>
              </w:rPr>
              <w:t>Issuance of common stock in At-the-Market offerings (net of offering costs of</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$4.0 million)</w:t>
            </w:r>
          </w:p>
        </w:tc>
        <w:tc>
          <w:tcPr>
            <w:tcW w:w="740" w:type="dxa"/>
            <w:vAlign w:val="bottom"/>
          </w:tcPr>
          <w:p>
            <w:pPr>
              <w:jc w:val="right"/>
              <w:spacing w:after="0"/>
              <w:rPr>
                <w:sz w:val="20"/>
                <w:szCs w:val="20"/>
                <w:color w:val="auto"/>
              </w:rPr>
            </w:pPr>
            <w:r>
              <w:rPr>
                <w:rFonts w:ascii="Arial" w:cs="Arial" w:eastAsia="Arial" w:hAnsi="Arial"/>
                <w:sz w:val="13"/>
                <w:szCs w:val="13"/>
                <w:color w:val="auto"/>
              </w:rPr>
              <w:t>9,332,386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217,442</w:t>
            </w:r>
          </w:p>
        </w:tc>
        <w:tc>
          <w:tcPr>
            <w:tcW w:w="1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217,452</w:t>
            </w:r>
          </w:p>
        </w:tc>
      </w:tr>
      <w:tr>
        <w:trPr>
          <w:trHeight w:val="121"/>
        </w:trPr>
        <w:tc>
          <w:tcPr>
            <w:tcW w:w="420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w w:val="90"/>
              </w:rPr>
              <w:t>Compensation in respect of restricted stock granted to employees, directors and</w:t>
            </w: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consultants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80,289</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80,289</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(279,381)</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(279,381)</w:t>
            </w:r>
          </w:p>
        </w:tc>
      </w:tr>
      <w:tr>
        <w:trPr>
          <w:trHeight w:val="128"/>
        </w:trPr>
        <w:tc>
          <w:tcPr>
            <w:tcW w:w="4200" w:type="dxa"/>
            <w:vAlign w:val="bottom"/>
            <w:tcBorders>
              <w:top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December 31, 2020</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140,617,606</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1,500,040</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(980,597)</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519,350</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52,694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216</w:t>
            </w:r>
          </w:p>
        </w:tc>
        <w:tc>
          <w:tcPr>
            <w:tcW w:w="18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216</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2,738,974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Warrants issued with debt financing</w:t>
            </w: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2,195</w:t>
            </w:r>
          </w:p>
        </w:tc>
        <w:tc>
          <w:tcPr>
            <w:tcW w:w="18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2,195</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(189,231)</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Offering Costs Paid</w:t>
            </w: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(204)</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(204)</w:t>
            </w:r>
          </w:p>
        </w:tc>
      </w:tr>
      <w:tr>
        <w:trPr>
          <w:trHeight w:val="121"/>
        </w:trPr>
        <w:tc>
          <w:tcPr>
            <w:tcW w:w="420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w w:val="94"/>
              </w:rPr>
              <w:t>Issuance of common stock in At-the-Market offerings (net of offering costs of</w:t>
            </w: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$0.1 million)</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w:t>
            </w:r>
          </w:p>
        </w:tc>
      </w:tr>
      <w:tr>
        <w:trPr>
          <w:trHeight w:val="121"/>
        </w:trPr>
        <w:tc>
          <w:tcPr>
            <w:tcW w:w="4200" w:type="dxa"/>
            <w:vAlign w:val="bottom"/>
            <w:gridSpan w:val="2"/>
          </w:tcPr>
          <w:p>
            <w:pPr>
              <w:ind w:left="20"/>
              <w:spacing w:after="0" w:line="121" w:lineRule="exact"/>
              <w:rPr>
                <w:sz w:val="20"/>
                <w:szCs w:val="20"/>
                <w:color w:val="auto"/>
              </w:rPr>
            </w:pPr>
            <w:r>
              <w:rPr>
                <w:rFonts w:ascii="Arial" w:cs="Arial" w:eastAsia="Arial" w:hAnsi="Arial"/>
                <w:sz w:val="13"/>
                <w:szCs w:val="13"/>
                <w:color w:val="auto"/>
                <w:w w:val="90"/>
              </w:rPr>
              <w:t>Compensation in respect of restricted stock granted to employees, directors and</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consultants</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61,274</w:t>
            </w:r>
          </w:p>
        </w:tc>
        <w:tc>
          <w:tcPr>
            <w:tcW w:w="1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61,274</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(348,101)</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(348,101)</w:t>
            </w:r>
          </w:p>
        </w:tc>
      </w:tr>
      <w:tr>
        <w:trPr>
          <w:trHeight w:val="128"/>
        </w:trPr>
        <w:tc>
          <w:tcPr>
            <w:tcW w:w="42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Balance at December 31, 2021</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143,292,043</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143</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1,565,942</w:t>
            </w:r>
          </w:p>
        </w:tc>
        <w:tc>
          <w:tcPr>
            <w:tcW w:w="18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(1,328,698)</w:t>
            </w: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237,153</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142,409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584</w:t>
            </w: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584</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5,179,201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(2,186,956)</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4200" w:type="dxa"/>
            <w:vAlign w:val="bottom"/>
            <w:gridSpan w:val="2"/>
          </w:tcPr>
          <w:p>
            <w:pPr>
              <w:ind w:left="20"/>
              <w:spacing w:after="0" w:line="121" w:lineRule="exact"/>
              <w:rPr>
                <w:sz w:val="20"/>
                <w:szCs w:val="20"/>
                <w:color w:val="auto"/>
              </w:rPr>
            </w:pPr>
            <w:r>
              <w:rPr>
                <w:rFonts w:ascii="Arial" w:cs="Arial" w:eastAsia="Arial" w:hAnsi="Arial"/>
                <w:sz w:val="13"/>
                <w:szCs w:val="13"/>
                <w:color w:val="auto"/>
                <w:w w:val="90"/>
              </w:rPr>
              <w:t>Compensation in respect of restricted stock granted to employees, directors and</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consultants</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19,185</w:t>
            </w:r>
          </w:p>
        </w:tc>
        <w:tc>
          <w:tcPr>
            <w:tcW w:w="1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19,185</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(198,335)</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(198,335)</w:t>
            </w:r>
          </w:p>
        </w:tc>
      </w:tr>
      <w:tr>
        <w:trPr>
          <w:trHeight w:val="128"/>
        </w:trPr>
        <w:tc>
          <w:tcPr>
            <w:tcW w:w="42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Balance at December 31, 2022</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146,426,697</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146</w:t>
            </w: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1,585,708</w:t>
            </w:r>
          </w:p>
        </w:tc>
        <w:tc>
          <w:tcPr>
            <w:tcW w:w="18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(1,527,033)</w:t>
            </w:r>
          </w:p>
        </w:tc>
        <w:tc>
          <w:tcPr>
            <w:tcW w:w="1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58,587</w:t>
            </w:r>
          </w:p>
        </w:tc>
      </w:tr>
      <w:tr>
        <w:trPr>
          <w:trHeight w:val="20"/>
        </w:trPr>
        <w:tc>
          <w:tcPr>
            <w:tcW w:w="2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58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Amount less than one thousand dollars.</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517" w:right="8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line="275" w:lineRule="auto"/>
        <w:rPr>
          <w:sz w:val="20"/>
          <w:szCs w:val="20"/>
          <w:color w:val="auto"/>
        </w:rPr>
      </w:pPr>
      <w:r>
        <w:rPr>
          <w:rFonts w:ascii="Arial" w:cs="Arial" w:eastAsia="Arial" w:hAnsi="Arial"/>
          <w:sz w:val="18"/>
          <w:szCs w:val="18"/>
          <w:b w:val="1"/>
          <w:bCs w:val="1"/>
          <w:color w:val="auto"/>
        </w:rPr>
        <w:t>TG Therapeutics, Inc. and Subsidiaries Consolidated Statements of Cash Flows for the Years Ended December 31 (in thousands)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(198,335)</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(348,101)</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(279,381)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stock compensation expense</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19,185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61,274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premium (discount) on investment securities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Amortization of debt issuance costs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1,844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1,080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leasehold interest</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Noncash change in lease liability and right of use asset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2,715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1,896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fair value of notes payable</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Decrease (increase) in other current assets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Decrease (increase) in accounts receivable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1,389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(1,389)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(Decrease) increase in accounts payable and accrued expenses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(11,010)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15,991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Decrease in lease liabilities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(2,332)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other current liabilities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(16,146)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Decrease in deferred revenue</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operating activities</w:t>
            </w:r>
          </w:p>
        </w:tc>
        <w:tc>
          <w:tcPr>
            <w:tcW w:w="7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(176,170)</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(295,634)</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(214,507)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Proceeds from maturity of short-term securities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87,275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55,600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43,250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held-to-maturity securities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(107,274)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(55,531)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Purchases of PPE</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7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(20,013)</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Payment of loan payable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common stock, net</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Proceeds from exercise of options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584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debt financings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Offering costs paid</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(1,016)</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7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41,419</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679,827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CASH, CASH EQUIVALENTS AND RESTRICTED CASH</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(196,574)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(254,547)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440,810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7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300,151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554,698</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113,888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103,577</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300,151</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Reconciliation to amounts on condensed consolidated balance sheets: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102,304</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298,887</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553,439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1,273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7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103,577</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300,151</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554,698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80"/>
              <w:spacing w:after="0" w:line="149" w:lineRule="exact"/>
              <w:rPr>
                <w:sz w:val="20"/>
                <w:szCs w:val="20"/>
                <w:color w:val="auto"/>
              </w:rPr>
            </w:pPr>
            <w:r>
              <w:rPr>
                <w:rFonts w:ascii="Arial" w:cs="Arial" w:eastAsia="Arial" w:hAnsi="Arial"/>
                <w:sz w:val="14"/>
                <w:szCs w:val="14"/>
                <w:color w:val="auto"/>
              </w:rPr>
              <w:t>Interest</w:t>
            </w: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5,445</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3,466</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requires otherwise, references in this report to “TG,” “Company,” “we,” “us” and “our” refer to TG Therapeutics,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U.S. Food and Drug Administration (FDA) for BRIUMVI™ (ublituximab-xiiy) for the treatment of adult patients with relapsing forms of multiple sclerosis (RMS), to include clinically isolated syndrome, relapsing-remitting disease, and active secondary progressive disease, in adults. We also actively evaluate complementary products, technologies and companies for in-licensing, partnership, acquisition and/or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December 31, 2022, we have an accumulated deficit of $1.5 billion.</w:t>
      </w:r>
    </w:p>
    <w:p>
      <w:pPr>
        <w:spacing w:after="0" w:line="170" w:lineRule="exact"/>
        <w:rPr>
          <w:sz w:val="20"/>
          <w:szCs w:val="20"/>
          <w:color w:val="auto"/>
        </w:rPr>
      </w:pPr>
    </w:p>
    <w:p>
      <w:pPr>
        <w:jc w:val="both"/>
        <w:ind w:firstLine="492"/>
        <w:spacing w:after="0" w:line="269" w:lineRule="auto"/>
        <w:rPr>
          <w:sz w:val="20"/>
          <w:szCs w:val="20"/>
          <w:color w:val="auto"/>
        </w:rPr>
      </w:pPr>
      <w:r>
        <w:rPr>
          <w:rFonts w:ascii="Arial" w:cs="Arial" w:eastAsia="Arial" w:hAnsi="Arial"/>
          <w:sz w:val="17"/>
          <w:szCs w:val="17"/>
          <w:color w:val="auto"/>
        </w:rPr>
        <w:t>Our major sources of cash have been proceeds from private placement and public offering of equity securities, and from our loan and security agreements executed with Hercules Capital, Inc. (Hercules) (see Note 6 for more information).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As of December 31, 2022, we had not yet generated revenue from drug sales of BRIUMVI. BRIUMVI first became commercially available in the United States in January of 2023. Even with the commercialization of BRIUMVI and the future commercialization of our other drug candidates, we may not become profitable. Our ability to achieve profitability depends on our ability to generate revenue and many other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4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2022, we had $174.1 million in cash and cash equivalents, and investment securities. We anticipate that our cash, cash equivalents, and investment securities as of December 31, 2022, capital contractually available under our existing Amended Loan Agreement, and forecasted revenue, will provide sufficient liquidity for more than a twelve-month period from the date of filing this Annual Report on Form 10-K. The actual amount of cash that we will need to operate is subject to many factors, including, but not limited to, our BRIUMVI commercialization efforts, preparations for the potential commercialization of our other drug candidates, and the timing, design and conduct of clinical trials for our drug candidates. We are dependent upon significant future financing to provide the cash necessary to execute our ongoing and future operations, including the commercialization of any of our drug candidates.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an effect on the Company’s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revenue, accrued clinical trial expenses and stock-based compensation. Actual results could differ from those estimates. Such differences could be material to the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ind w:right="680" w:firstLine="648"/>
        <w:spacing w:after="0" w:line="453" w:lineRule="auto"/>
        <w:rPr>
          <w:sz w:val="20"/>
          <w:szCs w:val="20"/>
          <w:color w:val="auto"/>
        </w:rPr>
      </w:pPr>
      <w:r>
        <w:rPr>
          <w:rFonts w:ascii="Arial" w:cs="Arial" w:eastAsia="Arial" w:hAnsi="Arial"/>
          <w:sz w:val="18"/>
          <w:szCs w:val="18"/>
          <w:color w:val="auto"/>
        </w:rPr>
        <w:t xml:space="preserve">We treat liquid investments with original maturities of less than three months when purchased as cash and cash equivalents. </w:t>
      </w:r>
      <w:r>
        <w:rPr>
          <w:rFonts w:ascii="Arial" w:cs="Arial" w:eastAsia="Arial" w:hAnsi="Arial"/>
          <w:sz w:val="18"/>
          <w:szCs w:val="18"/>
          <w:b w:val="1"/>
          <w:bCs w:val="1"/>
          <w:color w:val="auto"/>
        </w:rPr>
        <w:t>RESTRICTED CASH</w:t>
      </w:r>
    </w:p>
    <w:p>
      <w:pPr>
        <w:spacing w:after="0" w:line="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record cash pledged or held in trust as restricted cash. As of December 31, 2022 and 2021, we have approximately $1.3 million of restricted cash pledged to secure a line of credit as a security deposit for an Office Agreement (see Note 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Investment securities at December 31, 2022 and 2021 consist of short-term and long-term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Dividend and interest income are recognized when earned.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3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3" w:name="page94"/>
    <w:bookmarkEnd w:id="93"/>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10" w:firstLine="648"/>
        <w:spacing w:after="0" w:line="296"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 The Company recognizes product revenues, net of variable consideration related to certain allowances and</w:t>
      </w:r>
      <w:r>
        <w:rPr>
          <w:rFonts w:ascii="Arial" w:cs="Arial" w:eastAsia="Arial" w:hAnsi="Arial"/>
          <w:sz w:val="16"/>
          <w:szCs w:val="16"/>
          <w:i w:val="1"/>
          <w:iCs w:val="1"/>
          <w:color w:val="auto"/>
        </w:rPr>
        <w:t xml:space="preserve"> </w:t>
      </w:r>
      <w:r>
        <w:rPr>
          <w:rFonts w:ascii="Arial" w:cs="Arial" w:eastAsia="Arial" w:hAnsi="Arial"/>
          <w:sz w:val="16"/>
          <w:szCs w:val="16"/>
          <w:color w:val="auto"/>
        </w:rPr>
        <w:t>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product returns, and co-payment assistance.</w:t>
      </w:r>
    </w:p>
    <w:p>
      <w:pPr>
        <w:spacing w:after="0" w:line="121" w:lineRule="exact"/>
        <w:rPr>
          <w:sz w:val="20"/>
          <w:szCs w:val="20"/>
          <w:color w:val="auto"/>
        </w:rPr>
      </w:pPr>
    </w:p>
    <w:p>
      <w:pPr>
        <w:jc w:val="both"/>
        <w:ind w:left="10" w:firstLine="648"/>
        <w:spacing w:after="0" w:line="269" w:lineRule="auto"/>
        <w:rPr>
          <w:sz w:val="20"/>
          <w:szCs w:val="20"/>
          <w:color w:val="auto"/>
        </w:rPr>
      </w:pPr>
      <w:r>
        <w:rPr>
          <w:rFonts w:ascii="Arial" w:cs="Arial" w:eastAsia="Arial" w:hAnsi="Arial"/>
          <w:sz w:val="17"/>
          <w:szCs w:val="17"/>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pacing w:after="0" w:line="145" w:lineRule="exact"/>
        <w:rPr>
          <w:sz w:val="20"/>
          <w:szCs w:val="20"/>
          <w:color w:val="auto"/>
        </w:rPr>
      </w:pPr>
    </w:p>
    <w:p>
      <w:pPr>
        <w:jc w:val="both"/>
        <w:ind w:left="10" w:firstLine="648"/>
        <w:spacing w:after="0" w:line="293" w:lineRule="auto"/>
        <w:rPr>
          <w:sz w:val="20"/>
          <w:szCs w:val="20"/>
          <w:color w:val="auto"/>
        </w:rPr>
      </w:pPr>
      <w:r>
        <w:rPr>
          <w:rFonts w:ascii="Arial" w:cs="Arial" w:eastAsia="Arial" w:hAnsi="Arial"/>
          <w:sz w:val="16"/>
          <w:szCs w:val="16"/>
          <w:color w:val="auto"/>
        </w:rPr>
        <w:t>Chargebacks and Administrative Fees: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 As part of the Company's contractual commitments to sell product to qualified healthcare providers, the Company pays fees for administrative services, such as account management and data reporting.</w:t>
      </w:r>
    </w:p>
    <w:p>
      <w:pPr>
        <w:spacing w:after="0" w:line="137" w:lineRule="exact"/>
        <w:rPr>
          <w:sz w:val="20"/>
          <w:szCs w:val="20"/>
          <w:color w:val="auto"/>
        </w:rPr>
      </w:pPr>
    </w:p>
    <w:p>
      <w:pPr>
        <w:jc w:val="both"/>
        <w:ind w:left="10" w:firstLine="648"/>
        <w:spacing w:after="0" w:line="263" w:lineRule="auto"/>
        <w:rPr>
          <w:sz w:val="20"/>
          <w:szCs w:val="20"/>
          <w:color w:val="auto"/>
        </w:rPr>
      </w:pPr>
      <w:r>
        <w:rPr>
          <w:rFonts w:ascii="Arial" w:cs="Arial" w:eastAsia="Arial" w:hAnsi="Arial"/>
          <w:sz w:val="18"/>
          <w:szCs w:val="18"/>
          <w:color w:val="auto"/>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43" w:lineRule="exact"/>
        <w:rPr>
          <w:sz w:val="20"/>
          <w:szCs w:val="20"/>
          <w:color w:val="auto"/>
        </w:rPr>
      </w:pPr>
    </w:p>
    <w:p>
      <w:pPr>
        <w:jc w:val="both"/>
        <w:ind w:left="10" w:firstLine="648"/>
        <w:spacing w:after="0" w:line="259" w:lineRule="auto"/>
        <w:rPr>
          <w:sz w:val="20"/>
          <w:szCs w:val="20"/>
          <w:color w:val="auto"/>
        </w:rPr>
      </w:pPr>
      <w:r>
        <w:rPr>
          <w:rFonts w:ascii="Arial" w:cs="Arial" w:eastAsia="Arial" w:hAnsi="Arial"/>
          <w:sz w:val="18"/>
          <w:szCs w:val="18"/>
          <w:color w:val="auto"/>
        </w:rPr>
        <w:t>GPO and Payor Rebates: The Company contracts with various private payor organizations and group purchasing organizations (GPO), primarily insurance companies, pharmacy benefit managers and clinics, for the payment of rebates with respect to utilization of our product. The Company estimates these rebates and records such estimates in the same period the related revenue is recognized, resulting in a reduction of product revenue and the establishment of a current liability.</w:t>
      </w:r>
    </w:p>
    <w:p>
      <w:pPr>
        <w:spacing w:after="0" w:line="146" w:lineRule="exact"/>
        <w:rPr>
          <w:sz w:val="20"/>
          <w:szCs w:val="20"/>
          <w:color w:val="auto"/>
        </w:rPr>
      </w:pPr>
    </w:p>
    <w:p>
      <w:pPr>
        <w:jc w:val="both"/>
        <w:ind w:left="10" w:firstLine="648"/>
        <w:spacing w:after="0" w:line="263" w:lineRule="auto"/>
        <w:rPr>
          <w:sz w:val="20"/>
          <w:szCs w:val="20"/>
          <w:color w:val="auto"/>
        </w:rPr>
      </w:pPr>
      <w:r>
        <w:rPr>
          <w:rFonts w:ascii="Arial" w:cs="Arial" w:eastAsia="Arial" w:hAnsi="Arial"/>
          <w:sz w:val="18"/>
          <w:szCs w:val="18"/>
          <w:color w:val="auto"/>
        </w:rPr>
        <w:t>Trade Discounts and Allowances: The Company provides its customers with discounts that are explicitly stated in the contracts and are recorded in the period the related product revenue is recognized. In addition, the Company also receives sales order management, inventory management, and data services from its customers in exchange for certain fees.</w:t>
      </w:r>
    </w:p>
    <w:p>
      <w:pPr>
        <w:spacing w:after="0" w:line="157" w:lineRule="exact"/>
        <w:rPr>
          <w:sz w:val="20"/>
          <w:szCs w:val="20"/>
          <w:color w:val="auto"/>
        </w:rPr>
      </w:pPr>
    </w:p>
    <w:p>
      <w:pPr>
        <w:jc w:val="both"/>
        <w:ind w:left="10" w:firstLine="648"/>
        <w:spacing w:after="0" w:line="301" w:lineRule="auto"/>
        <w:rPr>
          <w:sz w:val="20"/>
          <w:szCs w:val="20"/>
          <w:color w:val="auto"/>
        </w:rPr>
      </w:pPr>
      <w:r>
        <w:rPr>
          <w:rFonts w:ascii="Arial" w:cs="Arial" w:eastAsia="Arial" w:hAnsi="Arial"/>
          <w:sz w:val="16"/>
          <w:szCs w:val="16"/>
          <w:color w:val="auto"/>
        </w:rPr>
        <w:t>Product Returns: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17" w:lineRule="exact"/>
        <w:rPr>
          <w:sz w:val="20"/>
          <w:szCs w:val="20"/>
          <w:color w:val="auto"/>
        </w:rPr>
      </w:pPr>
    </w:p>
    <w:p>
      <w:pPr>
        <w:jc w:val="both"/>
        <w:ind w:left="10" w:firstLine="648"/>
        <w:spacing w:after="0" w:line="277" w:lineRule="auto"/>
        <w:rPr>
          <w:sz w:val="20"/>
          <w:szCs w:val="20"/>
          <w:color w:val="auto"/>
        </w:rPr>
      </w:pPr>
      <w:r>
        <w:rPr>
          <w:rFonts w:ascii="Arial" w:cs="Arial" w:eastAsia="Arial" w:hAnsi="Arial"/>
          <w:sz w:val="18"/>
          <w:szCs w:val="18"/>
          <w:color w:val="auto"/>
        </w:rPr>
        <w:t>Subject to certain limitations, the Company’s return policy allows for eligible returns of UKONIQ for credit under the following circumstances:</w:t>
      </w:r>
    </w:p>
    <w:p>
      <w:pPr>
        <w:spacing w:after="0" w:line="62" w:lineRule="exact"/>
        <w:rPr>
          <w:sz w:val="20"/>
          <w:szCs w:val="20"/>
          <w:color w:val="auto"/>
        </w:rPr>
      </w:pPr>
    </w:p>
    <w:p>
      <w:pPr>
        <w:ind w:left="330" w:hanging="330"/>
        <w:spacing w:after="0"/>
        <w:tabs>
          <w:tab w:leader="none" w:pos="3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receipt of damaged product;</w:t>
      </w:r>
    </w:p>
    <w:p>
      <w:pPr>
        <w:spacing w:after="0" w:line="23" w:lineRule="exact"/>
        <w:rPr>
          <w:rFonts w:ascii="Arial" w:cs="Arial" w:eastAsia="Arial" w:hAnsi="Arial"/>
          <w:sz w:val="18"/>
          <w:szCs w:val="18"/>
          <w:color w:val="auto"/>
        </w:rPr>
      </w:pPr>
    </w:p>
    <w:p>
      <w:pPr>
        <w:ind w:left="330" w:hanging="330"/>
        <w:spacing w:after="0"/>
        <w:tabs>
          <w:tab w:leader="none" w:pos="3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shipment errors that were a result of an error by the Company;</w:t>
      </w:r>
    </w:p>
    <w:p>
      <w:pPr>
        <w:spacing w:after="0" w:line="9" w:lineRule="exact"/>
        <w:rPr>
          <w:rFonts w:ascii="Arial" w:cs="Arial" w:eastAsia="Arial" w:hAnsi="Arial"/>
          <w:sz w:val="18"/>
          <w:szCs w:val="18"/>
          <w:color w:val="auto"/>
        </w:rPr>
      </w:pPr>
    </w:p>
    <w:p>
      <w:pPr>
        <w:ind w:left="330" w:right="20" w:hanging="330"/>
        <w:spacing w:after="0" w:line="250" w:lineRule="auto"/>
        <w:tabs>
          <w:tab w:leader="none" w:pos="3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expired product that is returned during the period beginning three months prior to the product’s expiration and ending six months after the expiration date;</w:t>
      </w:r>
    </w:p>
    <w:p>
      <w:pPr>
        <w:ind w:left="330" w:hanging="330"/>
        <w:spacing w:after="0"/>
        <w:tabs>
          <w:tab w:leader="none" w:pos="3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subject to a recall; and</w:t>
      </w:r>
    </w:p>
    <w:p>
      <w:pPr>
        <w:spacing w:after="0" w:line="9" w:lineRule="exact"/>
        <w:rPr>
          <w:rFonts w:ascii="Arial" w:cs="Arial" w:eastAsia="Arial" w:hAnsi="Arial"/>
          <w:sz w:val="18"/>
          <w:szCs w:val="18"/>
          <w:color w:val="auto"/>
        </w:rPr>
      </w:pPr>
    </w:p>
    <w:p>
      <w:pPr>
        <w:ind w:left="330" w:hanging="330"/>
        <w:spacing w:after="0"/>
        <w:tabs>
          <w:tab w:leader="none" w:pos="3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that the Company, at its sole discretion, has specified can be returned for credit.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517" w:right="8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2022, the Company has received $0.6 million in returns as a result of the market withdrawal of UKONIQ.</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Co-Payment Assistance Programs: Co-payment assistance is provided to qualified patients,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December 31, 2022, due to the product withdrawal in April of 2022, there are no outstanding net receivables from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REVENUE</w:t>
      </w:r>
    </w:p>
    <w:p>
      <w:pPr>
        <w:spacing w:after="0" w:line="229" w:lineRule="exact"/>
        <w:rPr>
          <w:sz w:val="20"/>
          <w:szCs w:val="20"/>
          <w:color w:val="auto"/>
        </w:rPr>
      </w:pPr>
    </w:p>
    <w:p>
      <w:pPr>
        <w:jc w:val="both"/>
        <w:ind w:firstLine="492"/>
        <w:spacing w:after="0" w:line="257" w:lineRule="auto"/>
        <w:rPr>
          <w:sz w:val="20"/>
          <w:szCs w:val="20"/>
          <w:color w:val="auto"/>
        </w:rPr>
      </w:pPr>
      <w:r>
        <w:rPr>
          <w:rFonts w:ascii="Arial" w:cs="Arial" w:eastAsia="Arial" w:hAnsi="Arial"/>
          <w:sz w:val="18"/>
          <w:szCs w:val="18"/>
          <w:color w:val="auto"/>
        </w:rPr>
        <w:t>Cost of product revenue consists primarily of materials and third-party manufacturing costs, as well as freight and royalties owed to our licensing partner for UKONIQ sales. Based on our policy to expense costs associated with the manufacture of our products prior to regulatory approval, the manufacturing costs of UKONIQ units recognized as revenue during the year ended December 31, 2022 were expensed prior to receipt of FDA approval on February 5, 2021, and therefore are not included in costs of product revenue during the current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8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Prior to regulatory approval, we expense costs relating to the production of inventory as research and development expense in the period incurred. Following regulatory approval, costs to manufacture those approved products will be capitalized. Inventories are stated at the lower of cost or estimated net realizable value with cost based on the first-in-first-out method. Inventory that can be used in either the production of clinical or commercial products is expensed as research and development costs when identified for use in clinical trials.</w:t>
      </w:r>
    </w:p>
    <w:p>
      <w:pPr>
        <w:spacing w:after="0" w:line="13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Prior to the approval of UKONIQ, all manufacturing and other potential costs related to the commercial launch of UKONIQ were expensed to research and development expense in the period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Generally, research and development costs are expensed as incurred. Research and development expenses consist primarily of costs incurred to third-party service providers for the conduct of research, preclinical and clinical studies, contract manufacturing costs, license milestone fees, personnel costs for our research and development employees, consulting, and other related expenses. We recognize research, preclinical and clinical study expenses based on services performed, pursuant to contracts with third-party research and development organizations that conduct and manage research, preclinical and clinical activities on our behalf. We accrue these expenses based on the progress or stage of completion of services and the contracted fees to be paid for such services. If the actual timing of the performance of services or the level of effort varies from the original accrual, we will adjust the accrual accordingly. With respect to clinical trial costs, the financial terms of these agreements are subject to an initial negotiation and vary from contract to contract. Payments under these contracts may be uneven and depend on factors such as the achievement of certain events, the successful recruitment of patients, the completion of portions of the clinical trial or similar conditions. As such, certain expense accruals related to clinical site costs are recognized based on the degree of performance of the event or events specified in the specific clinical study or trial contract.</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Prepaid research and development in our consolidated balance sheets includes, among other things, costs related to agreements with CROs, certain costs to third-party service providers related to development and manufacturing services as well as clinical development. These agreements often require payments in advance of services performed or goods received. Accordingly, as of December 31, 2022 and December 31, 2021, we recorded approximately $4.2 million and $11.9 million, respectively, in prepaid research and development related to such advance agreements.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 Refer to Note 8 for further information on impact of tax reform.</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Coronavirus Aid, Relief, and Economic Security Act of 2020 (CARES Act) was enacted on March 27, 2020 in response to the economic fallout of the COVID-19 pandemic in the United States. There are several provisions of the CARES Act that were considered in the December 31, 2022 year-end tax provision. However, the Company chose not to utilize any provisions or participate in certain programs due to lack of a benefit to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measures employee and non-employee stock-based compensation based on the grant date fair value of the stock-based compensation award. The Company grants stock options at exercise prices equal to the fair value of the Company’s common stock on the date of grant, based on observable market prices. The Company uses the Black-Scholes option-pricing model to measure the fair value of stock option awards. We recognize all stock-based payments to employees and non-employee directors (as compensation for service) as noncash compensation expense in the consolidated financial statements. Stock-based compensation expense recognized each period is based on the value of the portion of stock-based payment awards that is ultimately expected to vest during the period. Forfeitures are recognized as they occur.</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 parties vest upon achievement of certain milestones, the total expense is uncertain. Compensation expense for such awards that vest upon the achievement of milestones is recognized when the achievement of such milestones occurs.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12,650,658, 13,280,608 and 11,976,276 at December 31, 2022, 2021 and 2020, respectively. During the years ended December 31, 2022, 2021 and 2020, the Company incurred a net loss; therefore, all of the securities are antidilutive and excluded from the computation of diluted loss per share.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potentially dilutive securities at December 31, 2022, 2021 and 2020:</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10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110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94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7,232,254</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10,532,029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9,285,020</w:t>
            </w:r>
          </w:p>
        </w:tc>
      </w:tr>
      <w:tr>
        <w:trPr>
          <w:trHeight w:val="216"/>
        </w:trPr>
        <w:tc>
          <w:tcPr>
            <w:tcW w:w="6980" w:type="dxa"/>
            <w:vAlign w:val="bottom"/>
          </w:tcPr>
          <w:p>
            <w:pPr>
              <w:ind w:left="40"/>
              <w:spacing w:after="0"/>
              <w:rPr>
                <w:sz w:val="20"/>
                <w:szCs w:val="20"/>
                <w:color w:val="auto"/>
              </w:rPr>
            </w:pPr>
            <w:r>
              <w:rPr>
                <w:rFonts w:ascii="Arial" w:cs="Arial" w:eastAsia="Arial" w:hAnsi="Arial"/>
                <w:sz w:val="18"/>
                <w:szCs w:val="18"/>
                <w:color w:val="auto"/>
              </w:rPr>
              <w:t>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5,135,685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2,467,537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2,526,166</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262,100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r>
      <w:tr>
        <w:trPr>
          <w:trHeight w:val="216"/>
        </w:trPr>
        <w:tc>
          <w:tcPr>
            <w:tcW w:w="6980" w:type="dxa"/>
            <w:vAlign w:val="bottom"/>
          </w:tcPr>
          <w:p>
            <w:pPr>
              <w:ind w:left="40"/>
              <w:spacing w:after="0"/>
              <w:rPr>
                <w:sz w:val="20"/>
                <w:szCs w:val="20"/>
                <w:color w:val="auto"/>
              </w:rPr>
            </w:pPr>
            <w:r>
              <w:rPr>
                <w:rFonts w:ascii="Arial" w:cs="Arial" w:eastAsia="Arial" w:hAnsi="Arial"/>
                <w:sz w:val="18"/>
                <w:szCs w:val="18"/>
                <w:color w:val="auto"/>
              </w:rPr>
              <w:t>Shares issuable upon note conversion</w:t>
            </w:r>
          </w:p>
        </w:tc>
        <w:tc>
          <w:tcPr>
            <w:tcW w:w="1020" w:type="dxa"/>
            <w:vAlign w:val="bottom"/>
          </w:tcPr>
          <w:p>
            <w:pPr>
              <w:jc w:val="right"/>
              <w:spacing w:after="0"/>
              <w:rPr>
                <w:sz w:val="20"/>
                <w:szCs w:val="20"/>
                <w:color w:val="auto"/>
              </w:rPr>
            </w:pPr>
            <w:r>
              <w:rPr>
                <w:rFonts w:ascii="Arial" w:cs="Arial" w:eastAsia="Arial" w:hAnsi="Arial"/>
                <w:sz w:val="18"/>
                <w:szCs w:val="18"/>
                <w:color w:val="auto"/>
              </w:rPr>
              <w:t>20,619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18,942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18,032</w:t>
            </w:r>
          </w:p>
        </w:tc>
      </w:tr>
      <w:tr>
        <w:trPr>
          <w:trHeight w:val="209"/>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12,650,658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13,280,608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11,976,276</w:t>
            </w:r>
          </w:p>
        </w:tc>
      </w:tr>
      <w:tr>
        <w:trPr>
          <w:trHeight w:val="20"/>
        </w:trPr>
        <w:tc>
          <w:tcPr>
            <w:tcW w:w="6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GOODWILL</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 There was no impairment to goodwill as of December 31, 2022.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7" w:name="page98"/>
    <w:bookmarkEnd w:id="97"/>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2 - REVENUE RECOGNITION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Gross-to-Net Sales Adjustments</w:t>
      </w:r>
    </w:p>
    <w:p>
      <w:pPr>
        <w:spacing w:after="0" w:line="229" w:lineRule="exact"/>
        <w:rPr>
          <w:sz w:val="20"/>
          <w:szCs w:val="20"/>
          <w:color w:val="auto"/>
        </w:rPr>
      </w:pPr>
    </w:p>
    <w:p>
      <w:pPr>
        <w:ind w:left="20" w:right="80" w:firstLine="648"/>
        <w:spacing w:after="0" w:line="257" w:lineRule="auto"/>
        <w:rPr>
          <w:sz w:val="20"/>
          <w:szCs w:val="20"/>
          <w:color w:val="auto"/>
        </w:rPr>
      </w:pPr>
      <w:r>
        <w:rPr>
          <w:rFonts w:ascii="Arial" w:cs="Arial" w:eastAsia="Arial" w:hAnsi="Arial"/>
          <w:sz w:val="18"/>
          <w:szCs w:val="18"/>
          <w:color w:val="auto"/>
        </w:rPr>
        <w:t>To date our only source of product revenue has been from the U.S. sales of UKONIQ, which we began shipping to our customers in February 2021. The voluntary withdrawal of UKONIQ from the U.S. market was announced on April 15, 2022. Effective May 31, 2022, UKONIQ was officially withdrawn from the market. We record our best estimate for sales discounts and allowances to which customers are likely to be entitled. The reconciliation of gross product sales to net product sales by each significant category of gross-to-net adjustments was as follows for the year ended December 31,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Year ended</w:t>
            </w:r>
          </w:p>
        </w:tc>
        <w:tc>
          <w:tcPr>
            <w:tcW w:w="1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product revenue</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8"/>
                <w:szCs w:val="18"/>
                <w:color w:val="auto"/>
              </w:rPr>
              <w:t>Gross-to-net adjustments:</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Chargebacks and administrative fees</w:t>
            </w: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Trade discounts and allowances</w:t>
            </w:r>
          </w:p>
        </w:tc>
        <w:tc>
          <w:tcPr>
            <w:tcW w:w="3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rebates and co-payment assistance</w:t>
            </w: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Sales returns and allowances</w:t>
            </w:r>
          </w:p>
        </w:tc>
        <w:tc>
          <w:tcPr>
            <w:tcW w:w="3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(708)</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Total gross-to-net adjustments</w:t>
            </w:r>
            <w:r>
              <w:rPr>
                <w:rFonts w:ascii="Arial" w:cs="Arial" w:eastAsia="Arial" w:hAnsi="Arial"/>
                <w:sz w:val="24"/>
                <w:szCs w:val="24"/>
                <w:color w:val="auto"/>
                <w:vertAlign w:val="superscript"/>
              </w:rPr>
              <w:t>(1)</w:t>
            </w:r>
          </w:p>
        </w:tc>
        <w:tc>
          <w:tcPr>
            <w:tcW w:w="3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20"/>
              <w:spacing w:after="0"/>
              <w:rPr>
                <w:sz w:val="20"/>
                <w:szCs w:val="20"/>
                <w:color w:val="auto"/>
              </w:rPr>
            </w:pPr>
            <w:r>
              <w:rPr>
                <w:rFonts w:ascii="Arial" w:cs="Arial" w:eastAsia="Arial" w:hAnsi="Arial"/>
                <w:sz w:val="18"/>
                <w:szCs w:val="18"/>
                <w:color w:val="auto"/>
              </w:rPr>
              <w:t>Net product revenue</w:t>
            </w: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2,633</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980" w:hanging="322"/>
        <w:spacing w:after="0" w:line="263"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of December 31, 2022 and 2021, approximately $0.2 million and $0.4 million of estimated gross-to-net-accruals have been recorded as a reduction of accounts receivable, net and within accounts payable and accrued expenses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517" w:right="859" w:bottom="1440" w:gutter="0" w:footer="0" w:header="0"/>
        </w:sectPr>
      </w:pPr>
    </w:p>
    <w:bookmarkStart w:id="98" w:name="page99"/>
    <w:bookmarkEnd w:id="98"/>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3 – INVESTMENT SECURITIES</w:t>
      </w:r>
    </w:p>
    <w:p>
      <w:pPr>
        <w:spacing w:after="0" w:line="229"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Our investments as of December 31, 2022 and 2021 are classified as held-to-maturity. Held-to-maturity investments are recorded at amortized cost.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December 31,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0"/>
                <w:szCs w:val="10"/>
                <w:color w:val="auto"/>
              </w:rPr>
            </w:pPr>
          </w:p>
        </w:tc>
        <w:tc>
          <w:tcPr>
            <w:tcW w:w="9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9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7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cost, as</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adjusted</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holding gains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 losses</w:t>
            </w:r>
          </w:p>
        </w:tc>
        <w:tc>
          <w:tcPr>
            <w:tcW w:w="14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20"/>
              <w:spacing w:after="0" w:line="201" w:lineRule="exact"/>
              <w:rPr>
                <w:sz w:val="20"/>
                <w:szCs w:val="20"/>
                <w:color w:val="auto"/>
              </w:rPr>
            </w:pPr>
            <w:r>
              <w:rPr>
                <w:rFonts w:ascii="Arial" w:cs="Arial" w:eastAsia="Arial" w:hAnsi="Arial"/>
                <w:sz w:val="18"/>
                <w:szCs w:val="18"/>
                <w:color w:val="auto"/>
                <w:w w:val="95"/>
              </w:rPr>
              <w:t>Obligations of domestic governmental agencies (maturing between January 2023</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and December 2023) (held-to-maturity)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59,374</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1,053</w:t>
            </w:r>
          </w:p>
        </w:tc>
        <w:tc>
          <w:tcPr>
            <w:tcW w:w="16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58,321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Obligations of domestic governmental agencies (maturing between January 2024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February 2024) (held-to-maturity)</w:t>
            </w: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11,975</w:t>
            </w:r>
          </w:p>
        </w:tc>
        <w:tc>
          <w:tcPr>
            <w:tcW w:w="0" w:type="dxa"/>
            <w:vAlign w:val="bottom"/>
          </w:tcPr>
          <w:p>
            <w:pPr>
              <w:spacing w:after="0"/>
              <w:rPr>
                <w:sz w:val="1"/>
                <w:szCs w:val="1"/>
                <w:color w:val="auto"/>
              </w:rPr>
            </w:pPr>
          </w:p>
        </w:tc>
      </w:tr>
      <w:tr>
        <w:trPr>
          <w:trHeight w:val="210"/>
        </w:trPr>
        <w:tc>
          <w:tcPr>
            <w:tcW w:w="6200" w:type="dxa"/>
            <w:vAlign w:val="bottom"/>
          </w:tcPr>
          <w:p>
            <w:pPr>
              <w:ind w:left="220"/>
              <w:spacing w:after="0"/>
              <w:rPr>
                <w:sz w:val="20"/>
                <w:szCs w:val="20"/>
                <w:color w:val="auto"/>
              </w:rPr>
            </w:pPr>
            <w:r>
              <w:rPr>
                <w:rFonts w:ascii="Arial" w:cs="Arial" w:eastAsia="Arial" w:hAnsi="Arial"/>
                <w:sz w:val="18"/>
                <w:szCs w:val="18"/>
                <w:color w:val="auto"/>
              </w:rPr>
              <w:t>Total short-term and long-term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70,296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260"/>
              <w:spacing w:after="0" w:line="142"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84"/>
              </w:rPr>
              <w:t>cost, as</w:t>
            </w:r>
          </w:p>
        </w:tc>
        <w:tc>
          <w:tcPr>
            <w:tcW w:w="120" w:type="dxa"/>
            <w:vAlign w:val="bottom"/>
          </w:tcPr>
          <w:p>
            <w:pPr>
              <w:spacing w:after="0"/>
              <w:rPr>
                <w:sz w:val="10"/>
                <w:szCs w:val="10"/>
                <w:color w:val="auto"/>
              </w:rPr>
            </w:pPr>
          </w:p>
        </w:tc>
        <w:tc>
          <w:tcPr>
            <w:tcW w:w="92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0"/>
                <w:szCs w:val="10"/>
                <w:color w:val="auto"/>
              </w:rPr>
            </w:pPr>
          </w:p>
        </w:tc>
        <w:tc>
          <w:tcPr>
            <w:tcW w:w="92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unrealized</w:t>
            </w:r>
          </w:p>
        </w:tc>
        <w:tc>
          <w:tcPr>
            <w:tcW w:w="920" w:type="dxa"/>
            <w:vAlign w:val="bottom"/>
            <w:gridSpan w:val="2"/>
          </w:tcPr>
          <w:p>
            <w:pPr>
              <w:ind w:left="20"/>
              <w:spacing w:after="0" w:line="126" w:lineRule="exact"/>
              <w:rPr>
                <w:sz w:val="20"/>
                <w:szCs w:val="20"/>
                <w:color w:val="auto"/>
              </w:rPr>
            </w:pPr>
            <w:r>
              <w:rPr>
                <w:rFonts w:ascii="Arial" w:cs="Arial" w:eastAsia="Arial" w:hAnsi="Arial"/>
                <w:sz w:val="14"/>
                <w:szCs w:val="14"/>
                <w:b w:val="1"/>
                <w:bCs w:val="1"/>
                <w:color w:val="auto"/>
                <w:w w:val="94"/>
              </w:rPr>
              <w:t>Estimated fair</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adjusted</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holding gains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 losses</w:t>
            </w:r>
          </w:p>
        </w:tc>
        <w:tc>
          <w:tcPr>
            <w:tcW w:w="140" w:type="dxa"/>
            <w:vAlign w:val="bottom"/>
          </w:tcPr>
          <w:p>
            <w:pPr>
              <w:spacing w:after="0"/>
              <w:rPr>
                <w:sz w:val="14"/>
                <w:szCs w:val="14"/>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20"/>
              <w:spacing w:after="0" w:line="201" w:lineRule="exact"/>
              <w:rPr>
                <w:sz w:val="20"/>
                <w:szCs w:val="20"/>
                <w:color w:val="auto"/>
              </w:rPr>
            </w:pPr>
            <w:r>
              <w:rPr>
                <w:rFonts w:ascii="Arial" w:cs="Arial" w:eastAsia="Arial" w:hAnsi="Arial"/>
                <w:sz w:val="18"/>
                <w:szCs w:val="18"/>
                <w:color w:val="auto"/>
                <w:w w:val="95"/>
              </w:rPr>
              <w:t>Obligations of domestic governmental agencies (maturing between January 2022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and April 2022) (held-to-maturity)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15,876</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15,872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Obligations of domestic governmental agencies (maturing between February 2023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June 2023) (held-to-maturity)</w:t>
            </w: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35,533</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35,373</w:t>
            </w:r>
          </w:p>
        </w:tc>
        <w:tc>
          <w:tcPr>
            <w:tcW w:w="0" w:type="dxa"/>
            <w:vAlign w:val="bottom"/>
          </w:tcPr>
          <w:p>
            <w:pPr>
              <w:spacing w:after="0"/>
              <w:rPr>
                <w:sz w:val="1"/>
                <w:szCs w:val="1"/>
                <w:color w:val="auto"/>
              </w:rPr>
            </w:pPr>
          </w:p>
        </w:tc>
      </w:tr>
      <w:tr>
        <w:trPr>
          <w:trHeight w:val="210"/>
        </w:trPr>
        <w:tc>
          <w:tcPr>
            <w:tcW w:w="6200" w:type="dxa"/>
            <w:vAlign w:val="bottom"/>
          </w:tcPr>
          <w:p>
            <w:pPr>
              <w:ind w:left="220"/>
              <w:spacing w:after="0"/>
              <w:rPr>
                <w:sz w:val="20"/>
                <w:szCs w:val="20"/>
                <w:color w:val="auto"/>
              </w:rPr>
            </w:pPr>
            <w:r>
              <w:rPr>
                <w:rFonts w:ascii="Arial" w:cs="Arial" w:eastAsia="Arial" w:hAnsi="Arial"/>
                <w:sz w:val="18"/>
                <w:szCs w:val="18"/>
                <w:color w:val="auto"/>
              </w:rPr>
              <w:t>Total short-term and long-term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4" w:lineRule="exact"/>
        <w:rPr>
          <w:sz w:val="20"/>
          <w:szCs w:val="20"/>
          <w:color w:val="auto"/>
        </w:rPr>
      </w:pPr>
    </w:p>
    <w:p>
      <w:pPr>
        <w:ind w:left="1000" w:hanging="315"/>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117" w:lineRule="exact"/>
        <w:rPr>
          <w:rFonts w:ascii="Arial" w:cs="Arial" w:eastAsia="Arial" w:hAnsi="Arial"/>
          <w:sz w:val="18"/>
          <w:szCs w:val="18"/>
          <w:color w:val="auto"/>
        </w:rPr>
      </w:pPr>
    </w:p>
    <w:p>
      <w:pPr>
        <w:ind w:left="1000" w:hanging="315"/>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117" w:lineRule="exact"/>
        <w:rPr>
          <w:rFonts w:ascii="Arial" w:cs="Arial" w:eastAsia="Arial" w:hAnsi="Arial"/>
          <w:sz w:val="18"/>
          <w:szCs w:val="18"/>
          <w:color w:val="auto"/>
        </w:rPr>
      </w:pPr>
    </w:p>
    <w:p>
      <w:pPr>
        <w:ind w:left="1000" w:hanging="315"/>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jc w:val="both"/>
        <w:ind w:left="20" w:right="20" w:firstLine="648"/>
        <w:spacing w:after="0" w:line="277" w:lineRule="auto"/>
        <w:rPr>
          <w:sz w:val="20"/>
          <w:szCs w:val="20"/>
          <w:color w:val="auto"/>
        </w:rPr>
      </w:pPr>
      <w:r>
        <w:rPr>
          <w:rFonts w:ascii="Arial" w:cs="Arial" w:eastAsia="Arial" w:hAnsi="Arial"/>
          <w:sz w:val="18"/>
          <w:szCs w:val="18"/>
          <w:color w:val="auto"/>
        </w:rPr>
        <w:t>As of December 31, 2022 and 2021, the fair values of cash and cash equivalents, restricted cash, accounts receivable, and notes and interest payable approximate their carrying value.</w:t>
      </w:r>
    </w:p>
    <w:p>
      <w:pPr>
        <w:spacing w:after="0" w:line="170" w:lineRule="exact"/>
        <w:rPr>
          <w:sz w:val="20"/>
          <w:szCs w:val="20"/>
          <w:color w:val="auto"/>
        </w:rPr>
      </w:pPr>
    </w:p>
    <w:p>
      <w:pPr>
        <w:jc w:val="both"/>
        <w:ind w:left="20" w:firstLine="648"/>
        <w:spacing w:after="0" w:line="301" w:lineRule="auto"/>
        <w:rPr>
          <w:sz w:val="20"/>
          <w:szCs w:val="20"/>
          <w:color w:val="auto"/>
        </w:rPr>
      </w:pPr>
      <w:r>
        <w:rPr>
          <w:rFonts w:ascii="Arial" w:cs="Arial" w:eastAsia="Arial" w:hAnsi="Arial"/>
          <w:sz w:val="16"/>
          <w:szCs w:val="16"/>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provide the fair value measurements of applicable financial liabilities as of December 31, 2022 and 2021: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400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w w:val="99"/>
              </w:rPr>
              <w:t>Financial liabilities at fair value as of December 31, 2022</w:t>
            </w: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8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8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8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88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1"/>
          </w:tcPr>
          <w:p>
            <w:pPr>
              <w:jc w:val="right"/>
              <w:ind w:right="194"/>
              <w:spacing w:after="0"/>
              <w:rPr>
                <w:sz w:val="20"/>
                <w:szCs w:val="20"/>
                <w:color w:val="auto"/>
              </w:rPr>
            </w:pPr>
            <w:r>
              <w:rPr>
                <w:rFonts w:ascii="Arial" w:cs="Arial" w:eastAsia="Arial" w:hAnsi="Arial"/>
                <w:sz w:val="14"/>
                <w:szCs w:val="14"/>
                <w:b w:val="1"/>
                <w:bCs w:val="1"/>
                <w:color w:val="auto"/>
                <w:w w:val="95"/>
              </w:rPr>
              <w:t>Financial liabilities at fair value as of December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Company’s financial instruments include cash, cash equivalents consisting of money market funds, accounts receivable, accounts payable and debt. Cash, cash equivalents, accounts payable and debt are stated at their respective historical carrying amounts, which approximate fair value due to their short-term nature.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Level 3 instruments for the years ended December 31, 2022 and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80" w:type="dxa"/>
            <w:vAlign w:val="bottom"/>
          </w:tcPr>
          <w:p>
            <w:pPr>
              <w:spacing w:after="0"/>
              <w:rPr>
                <w:sz w:val="20"/>
                <w:szCs w:val="20"/>
                <w:color w:val="auto"/>
              </w:rPr>
            </w:pPr>
            <w:r>
              <w:rPr>
                <w:rFonts w:ascii="Arial" w:cs="Arial" w:eastAsia="Arial" w:hAnsi="Arial"/>
                <w:sz w:val="14"/>
                <w:szCs w:val="14"/>
                <w:color w:val="auto"/>
              </w:rPr>
              <w:t>(in thousands)</w:t>
            </w:r>
          </w:p>
        </w:tc>
        <w:tc>
          <w:tcPr>
            <w:tcW w:w="2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32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Interest accrued on face value of 5% Notes</w:t>
            </w:r>
          </w:p>
        </w:tc>
        <w:tc>
          <w:tcPr>
            <w:tcW w:w="2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Level 3 liabilities</w:t>
            </w:r>
          </w:p>
        </w:tc>
        <w:tc>
          <w:tcPr>
            <w:tcW w:w="28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2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accrued on face value of 5% Notes</w:t>
            </w:r>
          </w:p>
        </w:tc>
        <w:tc>
          <w:tcPr>
            <w:tcW w:w="2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16"/>
        </w:trPr>
        <w:tc>
          <w:tcPr>
            <w:tcW w:w="6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Change in fair value of Level 3 liabilities</w:t>
            </w:r>
          </w:p>
        </w:tc>
        <w:tc>
          <w:tcPr>
            <w:tcW w:w="28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r>
      <w:tr>
        <w:trPr>
          <w:trHeight w:val="21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28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6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Plan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18, 2014, we adopted a stockholder rights plan. The stockholder rights plan is embodied in the Stockholder Protection Rights Agreement dated as of July 18, 2014 (the Rights Agreement), between us and American Stock Transfer &amp; Trust Company, LLC, as rights agent (the Rights Agent).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Accordingly, the Board of Directors declared a distribution of one right (a “Right”) for each outstanding share of common stock, to stockholders of record at the close of business on July 28, 2014, for each share of common stock issued (including shares distributed from Treasury) by us thereafter and prior to the Separation Time (as defined in the Rights Agreement), and for certain shares of common stock issued after the Separation Time. Following the Separation Time, each Right entitles the registered holder to purchase from us one one-thousandth (1/1,000) of a share of Series A Junior Participating Preferred Stock, par value $0.001 per share (the Preferred Stock), at a purchase price of $100.00 (the Exercise Price), subject to adjustment. The description and terms of the Rights are set forth in the Rights Agreement. Each one one-thousandth of a share of Preferred Stock has substantially the same rights as one share of common stock. Subject to the terms and conditions of the Rights Agreement, Rights become exercisable ten days after the public announcement that a “Person” has become an “Acquiring Person” (as each such term is defined in the Rights Agreement). Any Rights held by an Acquiring Person are void and may not be exercised.</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Rights Agreement was approved by our Board of Directors on July 18, 2014. The Rights will expire at the close of business on its ten-year anniversary, unless earlier exchanged or terminated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up to 175,000,000 shares of $0.001 par value common stock.</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paid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we sold a total of 8,528,286 shares of common stock under the 2020 ATM for aggregate total gross proceeds of approximately $187.5 million at an average selling price of $21.99 per share, resulting in net proceeds of approximately $184.2 million after deducting commissions and other transactions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we sold a total of 804,100 shares of common stock under the 2021 ATM for aggregate total gross proceeds of approximately $33.9 million at an average selling price of $42.18 per share, resulting in net proceeds of approximately $33.3 million after deducting commissions and other transactions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2021, we sold a total of 72,000 shares of common stock under the 2021 ATM for aggregate total gross proceeds of approximately $2.5 million at an average selling price of $34.25 per share, resulting in net proceeds of approximately $2.4 million after deducting commissions and other transactions costs.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2020, we completed an underwritten public offering of 8,500,000 shares of our common stock (plus an underwriter option to purchase up to an additional 1,275,000 shares of common stock, which was exercised) at a price of $18 per share. Net proceeds from this offering, including the overallotment, were approximately $165.1 million, net of underwriting discounts and offering expenses of approximately $10.8 million.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17, 2020, we completed a public offering of 6,320,000 shares of our common stock (plus a 30-day underwriter overallotment option to purchase up to an additional 948,000 shares of common stock, which was exercised) at a price of $43.50 per share. Net proceeds from this offering, including the overallotment, were approximately $297.2 million after underwriting discounts and offering expenses of approximately $19.0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 The 2022 ATM has replaced the 2021 ATM as the only active ATM program.</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had no activity on the 2021 ATM or 2022 ATM during the year ended December 31, 2022.</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2022 WKSI Shelf is currently our only active shelf 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 registration statements in the future to provide us with the flexibility to raise additional capital to finance our operations as needed.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December 31, 2022 and 2021, 41,309 shares of common stock are being held in Treasury, at a cost of approximately $0.2 million, representing the fair market value on the date the shares were surrendered to the Company to satisfy employee tax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TG Therapeutics, Inc. 2022 Incentive Plan (the 2022 Incentive Plan) was approved by stockholders in June 2022 with 17 million shares available to be issued, of which not more than 10 million shares may be issued pursuant to “full-value awards.” Full-value awards include any award other than an option or stock appreciation right and which is settled by the issuance of stock. As of December 31, 2022, 2,196,097 shares of restricted stock and 2,290,000 options were outstanding, and up to an additional 12,251,485 shares were available to be issued under the 2022 Incentive Plan.</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TG Therapeutics, Inc. Amended and Restated 2012 Incentive Plan (the 2012 Incentive Plan) was approved by stockholders in June 2020. As of December 31, 2022, 6,536,189 shares of restricted stock and 2,845,685 options were outstanding, and no additional shares were available to be issued under the 2012 Incentive Plan as the 2022 Incentive Plan is now the only active incentive plan.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2" w:name="page103"/>
    <w:bookmarkEnd w:id="102"/>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The estimated fair value of the options granted in the years ended December 31, 2022, 2021 and 2020 was determined utilizing the Black-Scholes option-pricing model at the date of grant. The following table summarizes stock option activity for the years ended December 31, 2022, 2021 and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80" w:type="dxa"/>
            <w:vAlign w:val="bottom"/>
          </w:tcPr>
          <w:p>
            <w:pPr>
              <w:spacing w:after="0"/>
              <w:rPr>
                <w:sz w:val="12"/>
                <w:szCs w:val="12"/>
                <w:color w:val="auto"/>
              </w:rPr>
            </w:pPr>
          </w:p>
        </w:tc>
        <w:tc>
          <w:tcPr>
            <w:tcW w:w="10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term</w:t>
            </w:r>
          </w:p>
        </w:tc>
        <w:tc>
          <w:tcPr>
            <w:tcW w:w="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years)</w:t>
            </w:r>
          </w:p>
        </w:tc>
        <w:tc>
          <w:tcPr>
            <w:tcW w:w="8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209"/>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2,605,730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11,706,110</w:t>
            </w: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(35,814)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(118,750)</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2,526,166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115,472,832</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(52,694)</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Expired</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2,467,537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29,503,551</w:t>
            </w: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2,975,000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(142,409)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(164,443)</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20"/>
              <w:spacing w:after="0"/>
              <w:rPr>
                <w:sz w:val="20"/>
                <w:szCs w:val="20"/>
                <w:color w:val="auto"/>
              </w:rPr>
            </w:pPr>
            <w:r>
              <w:rPr>
                <w:rFonts w:ascii="Arial" w:cs="Arial" w:eastAsia="Arial" w:hAnsi="Arial"/>
                <w:sz w:val="18"/>
                <w:szCs w:val="18"/>
                <w:color w:val="auto"/>
              </w:rPr>
              <w:t>Outstanding at December 31, 2022</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5,135,685</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25,064,799</w:t>
            </w:r>
          </w:p>
        </w:tc>
        <w:tc>
          <w:tcPr>
            <w:tcW w:w="0" w:type="dxa"/>
            <w:vAlign w:val="bottom"/>
          </w:tcPr>
          <w:p>
            <w:pPr>
              <w:spacing w:after="0"/>
              <w:rPr>
                <w:sz w:val="1"/>
                <w:szCs w:val="1"/>
                <w:color w:val="auto"/>
              </w:rPr>
            </w:pPr>
          </w:p>
        </w:tc>
      </w:tr>
      <w:tr>
        <w:trPr>
          <w:trHeight w:val="197"/>
        </w:trPr>
        <w:tc>
          <w:tcPr>
            <w:tcW w:w="59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Exercisable at December 31, 2022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2,107,583</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11,238,429</w:t>
            </w:r>
          </w:p>
        </w:tc>
        <w:tc>
          <w:tcPr>
            <w:tcW w:w="0" w:type="dxa"/>
            <w:vAlign w:val="bottom"/>
          </w:tcPr>
          <w:p>
            <w:pPr>
              <w:spacing w:after="0"/>
              <w:rPr>
                <w:sz w:val="1"/>
                <w:szCs w:val="1"/>
                <w:color w:val="auto"/>
              </w:rPr>
            </w:pPr>
          </w:p>
        </w:tc>
      </w:tr>
      <w:tr>
        <w:trPr>
          <w:trHeight w:val="197"/>
        </w:trPr>
        <w:tc>
          <w:tcPr>
            <w:tcW w:w="5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20" w:firstLine="648"/>
        <w:spacing w:after="0" w:line="254" w:lineRule="auto"/>
        <w:rPr>
          <w:sz w:val="20"/>
          <w:szCs w:val="20"/>
          <w:color w:val="auto"/>
        </w:rPr>
      </w:pPr>
      <w:r>
        <w:rPr>
          <w:rFonts w:ascii="Arial" w:cs="Arial" w:eastAsia="Arial" w:hAnsi="Arial"/>
          <w:sz w:val="18"/>
          <w:szCs w:val="18"/>
          <w:color w:val="auto"/>
        </w:rPr>
        <w:t>Total expense associated with the stock options was approximately $3.3 million, $2.9 million and $6.0 million during the years ended December 31, 2022, 2021 and 2020, respectively. As of December 31, 2022, there was approximately $8.0 million of total unrecognized compensation cost related to unvested time-based stock options, which is expected to be recognized over a weighted-average period of 3.3 years. As of December 31, 2022, the stock options outstanding include options granted to both employees and non-employees which are both time-based and milestone-based. Stock-based compensation for milestone-based options will be recorded if and when a milestone occurs. We recognized stock-based compensation expense of $1.2 million during the year ended December 31, 2022 for these stock options.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103" w:name="page104"/>
    <w:bookmarkEnd w:id="103"/>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option awards granted in each of the following years were estimated using the assumptions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Year Ended</w:t>
            </w:r>
          </w:p>
        </w:tc>
        <w:tc>
          <w:tcPr>
            <w:tcW w:w="12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December 31, 2022</w:t>
            </w:r>
          </w:p>
        </w:tc>
        <w:tc>
          <w:tcPr>
            <w:tcW w:w="20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December 31, 2021</w:t>
            </w: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December 31, 2020</w:t>
            </w:r>
          </w:p>
        </w:tc>
        <w:tc>
          <w:tcPr>
            <w:tcW w:w="400" w:type="dxa"/>
            <w:vAlign w:val="bottom"/>
            <w:tcBorders>
              <w:bottom w:val="single" w:sz="8" w:color="CCEEFF"/>
            </w:tcBorders>
          </w:tcPr>
          <w:p>
            <w:pPr>
              <w:spacing w:after="0"/>
              <w:rPr>
                <w:sz w:val="12"/>
                <w:szCs w:val="12"/>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88.37-89.67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6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8"/>
              </w:rPr>
              <w:t>N/A  186.91-191.05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440" w:type="dxa"/>
            <w:vAlign w:val="bottom"/>
          </w:tcPr>
          <w:p>
            <w:pPr>
              <w:jc w:val="right"/>
              <w:spacing w:after="0"/>
              <w:rPr>
                <w:sz w:val="20"/>
                <w:szCs w:val="20"/>
                <w:color w:val="auto"/>
              </w:rPr>
            </w:pPr>
            <w:r>
              <w:rPr>
                <w:rFonts w:ascii="Arial" w:cs="Arial" w:eastAsia="Arial" w:hAnsi="Arial"/>
                <w:sz w:val="18"/>
                <w:szCs w:val="18"/>
                <w:color w:val="auto"/>
              </w:rPr>
              <w:t>3.13-4.0</w:t>
            </w:r>
          </w:p>
        </w:tc>
        <w:tc>
          <w:tcPr>
            <w:tcW w:w="200" w:type="dxa"/>
            <w:vAlign w:val="bottom"/>
          </w:tcPr>
          <w:p>
            <w:pPr>
              <w:spacing w:after="0"/>
              <w:rPr>
                <w:sz w:val="18"/>
                <w:szCs w:val="18"/>
                <w:color w:val="auto"/>
              </w:rPr>
            </w:pPr>
          </w:p>
        </w:tc>
        <w:tc>
          <w:tcPr>
            <w:tcW w:w="1440" w:type="dxa"/>
            <w:vAlign w:val="bottom"/>
          </w:tcPr>
          <w:p>
            <w:pPr>
              <w:ind w:left="1080"/>
              <w:spacing w:after="0"/>
              <w:rPr>
                <w:sz w:val="20"/>
                <w:szCs w:val="20"/>
                <w:color w:val="auto"/>
              </w:rPr>
            </w:pPr>
            <w:r>
              <w:rPr>
                <w:rFonts w:ascii="Arial" w:cs="Arial" w:eastAsia="Arial" w:hAnsi="Arial"/>
                <w:sz w:val="18"/>
                <w:szCs w:val="18"/>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5.0-6.25</w:t>
            </w:r>
          </w:p>
        </w:tc>
        <w:tc>
          <w:tcPr>
            <w:tcW w:w="400" w:type="dxa"/>
            <w:vAlign w:val="bottom"/>
          </w:tcPr>
          <w:p>
            <w:pPr>
              <w:spacing w:after="0"/>
              <w:rPr>
                <w:sz w:val="18"/>
                <w:szCs w:val="18"/>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2.99-3.35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0.34-0.54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4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40" w:type="dxa"/>
            <w:vAlign w:val="bottom"/>
          </w:tcPr>
          <w:p>
            <w:pPr>
              <w:ind w:left="1080"/>
              <w:spacing w:after="0"/>
              <w:rPr>
                <w:sz w:val="20"/>
                <w:szCs w:val="20"/>
                <w:color w:val="auto"/>
              </w:rPr>
            </w:pPr>
            <w:r>
              <w:rPr>
                <w:rFonts w:ascii="Arial" w:cs="Arial" w:eastAsia="Arial" w:hAnsi="Arial"/>
                <w:sz w:val="18"/>
                <w:szCs w:val="18"/>
                <w:color w:val="auto"/>
              </w:rPr>
              <w:t>N/A</w:t>
            </w:r>
          </w:p>
        </w:tc>
        <w:tc>
          <w:tcPr>
            <w:tcW w:w="1200" w:type="dxa"/>
            <w:vAlign w:val="bottom"/>
          </w:tcPr>
          <w:p>
            <w:pPr>
              <w:jc w:val="right"/>
              <w:ind w:right="395"/>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w w:val="87"/>
              </w:rPr>
              <w:t>%</w:t>
            </w:r>
          </w:p>
        </w:tc>
      </w:tr>
    </w:tbl>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jc w:val="both"/>
        <w:ind w:left="20" w:firstLine="648"/>
        <w:spacing w:after="0" w:line="342" w:lineRule="auto"/>
        <w:rPr>
          <w:sz w:val="20"/>
          <w:szCs w:val="20"/>
          <w:color w:val="auto"/>
        </w:rPr>
      </w:pPr>
      <w:r>
        <w:rPr>
          <w:rFonts w:ascii="Arial" w:cs="Arial" w:eastAsia="Arial" w:hAnsi="Arial"/>
          <w:sz w:val="16"/>
          <w:szCs w:val="16"/>
          <w:color w:val="auto"/>
        </w:rPr>
        <w:t>Certain employees, directors and consultants have been awarded restricted stock. The restricted stock vesting consists of milestone and time-based vesting. The following table summarizes restricted share activity for the years ended December 31, 2022, 2021 and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12"/>
                <w:szCs w:val="12"/>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Number of shares</w:t>
            </w:r>
          </w:p>
        </w:tc>
        <w:tc>
          <w:tcPr>
            <w:tcW w:w="120" w:type="dxa"/>
            <w:vAlign w:val="bottom"/>
          </w:tcPr>
          <w:p>
            <w:pPr>
              <w:spacing w:after="0"/>
              <w:rPr>
                <w:sz w:val="12"/>
                <w:szCs w:val="12"/>
                <w:color w:val="auto"/>
              </w:rPr>
            </w:pPr>
          </w:p>
        </w:tc>
        <w:tc>
          <w:tcPr>
            <w:tcW w:w="11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0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7,091,789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4,909,829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(1,087,918)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(128,666)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0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10,785,034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2,738,974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(1,302,737)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(189,231)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12,032,040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5,179,201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(6,291,999)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(2,186,956)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8,732,286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compensation expense associated with restricted stock grants was $15.8 million, $58.4 million and $74.2 million during</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years ended December 31, 2022, 2021 and 2020, respectively. As of December 31, 2022, there was approximately $29.2 million of total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unrecognized compensation expense related to unvested time-based restricted stock, which is expected to be recognized over a weighted-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period of 2.6 years. This amount does not include, as of December 31, 2022, 1,961,258 shares of restricted stock outstanding which</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are milestone-based and vest upon certain corporate milestones. Milestone-based noncash compensation expense will be measured and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recorded if and when a milestone occurs.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The Company’s only outstanding warrants are the warrants issued to Hercules as part of our debt agreement to purchase 147,058 and 115,042 shares of common stock with exercise prices of $4.08 and $17.95, respectively. See Note 6 for further details. There will not be any ongoing stock compensation expense volatility associated with these warrants.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LOAN PAYABLE</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28, 2019 (the Closing Date), we entered into a term loan facility of up to $60.0 million (Term Loan) with Hercules Capital, Inc. (Hercules),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An additional $30.0 million was available with different milestones and time points that have lapsed.</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30, 2021 (the First Amendment Closing Date), the Company entered into an Amended and Restated Loan and Security Agreement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first advance of $70.0 million drawn at the First Amendment Closing date, a portion of which was used to refinance the current outstanding loan balance of approximately $7.8 million and pay for expenses incurred by the Lender in executing the agreements, (iii) change the draw amounts and dates available in Tranche 2 through Tranche 4 including increasing the amount available under Tranche 2 subject to the achievement of performance milestones from $10.0 million to $20.0 million, increasing the amount available under Tranche 3 subject to the achievement of performance milestones from $10.0 million to $45.0 million, and increasing the amount under Tranche 4 subject to the approval of Hercules’ investment committee from $10.0 million to $65.0 million, (iv) extend the maturity date of the facility from the original March 1, 2022 to January 1, 2026, (v) reset and extend the interest only period from April 1, 2021 to February 1, 2025 and extendable to August 1, 2025 subject to the achievement of certain performance milestones, and (vi) modify the cash interest rate to be the greater of either (a) the “prime rate” as reported in The Wall Street Journal plus 2.15%, and (b) 5.40%. The performance milestones are based on achievement of certain U.S. Food and Drug Administration approvals and impact the potential extension of the interest only period, access to future advances under the Loan Agreement and minimum cash levels required under the Amended Loan Agreement.</w:t>
      </w:r>
    </w:p>
    <w:p>
      <w:pPr>
        <w:spacing w:after="0" w:line="18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Amended Loan Agreement contains financial covenants from and after October 15, 2022 that require the Company to maintain certain levels of unrestricted cash and additional financial covenants related to market capitalization and unrestricted cash commencing on July 1, 2023 at any time when the Amended Term Loan advances made under the Amended Loan Agreement are greater than $70 million.</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Amended Loan Agreement also contains warrant coverage of 2.95% of the total amount funded. A warrant (the Warrant) was issued by the Company to Hercules to purchase 115,042 shares of common stock with an exercise price of $17.95 for the initial amount funded at closing. The Warrant shall be exercisable for seven years from the date of issuance. Hercules may exercise the Warrant either by (a) cash or check or (b) through a net issuance conversion.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Company is required to pay a final payment fee equal to 5.95% of the aggregate principal amount of the Term Loan Advances.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at its option, prepay the Amended Term Loan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evaluated whether the Amended Term Loan entered into in December 2021 represented a debt modification or extinguishment of the Term Loan in accordance with ASC 470-50, Debt – Modifications and Extinguishments. As a result of the repayment and retirement of the Term Loan, the Term Loan was accounted for by the Company under the extinguishment accounting model. The Company recorded a loss on extinguishment of debt of approximately $0.2 million on the Company’s statement of operations for the twelve months ended December 31, 2021, representing the write-off of deferred financing costs.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5" w:name="page106"/>
    <w:bookmarkEnd w:id="105"/>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estimated the fair value of the Warrant using the Black-Scholes model based on the following key assumptions: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1"/>
              </w:rPr>
              <w:t>Amended Term Loan</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60" w:type="dxa"/>
            <w:vAlign w:val="bottom"/>
            <w:shd w:val="clear" w:color="auto" w:fill="CCEEFF"/>
          </w:tcPr>
          <w:p>
            <w:pPr>
              <w:spacing w:after="0"/>
              <w:rPr>
                <w:sz w:val="18"/>
                <w:szCs w:val="18"/>
                <w:color w:val="auto"/>
              </w:rPr>
            </w:pPr>
          </w:p>
        </w:tc>
      </w:tr>
      <w:tr>
        <w:trPr>
          <w:trHeight w:val="216"/>
        </w:trPr>
        <w:tc>
          <w:tcPr>
            <w:tcW w:w="8360" w:type="dxa"/>
            <w:vAlign w:val="bottom"/>
          </w:tcPr>
          <w:p>
            <w:pPr>
              <w:ind w:left="20"/>
              <w:spacing w:after="0"/>
              <w:rPr>
                <w:sz w:val="20"/>
                <w:szCs w:val="20"/>
                <w:color w:val="auto"/>
              </w:rPr>
            </w:pPr>
            <w:r>
              <w:rPr>
                <w:rFonts w:ascii="Arial" w:cs="Arial" w:eastAsia="Arial" w:hAnsi="Arial"/>
                <w:sz w:val="18"/>
                <w:szCs w:val="18"/>
                <w:color w:val="auto"/>
              </w:rPr>
              <w:t>Common share price on date of issuance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19.35</w:t>
            </w:r>
          </w:p>
        </w:tc>
        <w:tc>
          <w:tcPr>
            <w:tcW w:w="260" w:type="dxa"/>
            <w:vAlign w:val="bottom"/>
          </w:tcPr>
          <w:p>
            <w:pPr>
              <w:spacing w:after="0"/>
              <w:rPr>
                <w:sz w:val="18"/>
                <w:szCs w:val="18"/>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83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Contractual term (in years)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7.00 years</w:t>
            </w:r>
          </w:p>
        </w:tc>
        <w:tc>
          <w:tcPr>
            <w:tcW w:w="260" w:type="dxa"/>
            <w:vAlign w:val="bottom"/>
          </w:tcPr>
          <w:p>
            <w:pPr>
              <w:spacing w:after="0"/>
              <w:rPr>
                <w:sz w:val="20"/>
                <w:szCs w:val="20"/>
                <w:color w:val="auto"/>
              </w:rPr>
            </w:pPr>
          </w:p>
        </w:tc>
      </w:tr>
    </w:tbl>
    <w:p>
      <w:pPr>
        <w:spacing w:after="0" w:line="363" w:lineRule="exact"/>
        <w:rPr>
          <w:sz w:val="20"/>
          <w:szCs w:val="20"/>
          <w:color w:val="auto"/>
        </w:rPr>
      </w:pPr>
    </w:p>
    <w:p>
      <w:pPr>
        <w:jc w:val="both"/>
        <w:ind w:left="20" w:firstLine="648"/>
        <w:spacing w:after="0" w:line="273" w:lineRule="auto"/>
        <w:rPr>
          <w:sz w:val="20"/>
          <w:szCs w:val="20"/>
          <w:color w:val="auto"/>
        </w:rPr>
      </w:pPr>
      <w:r>
        <w:rPr>
          <w:rFonts w:ascii="Arial" w:cs="Arial" w:eastAsia="Arial" w:hAnsi="Arial"/>
          <w:sz w:val="17"/>
          <w:szCs w:val="17"/>
          <w:color w:val="auto"/>
        </w:rPr>
        <w:t>The Company incurred financing expenses of $7.4 million (including the fair value of the Warrant) related to the Amended Loan Agreement which are recorded as debt issuance costs and as an offset to loan payable on the Company’s consolidated balance sheet. The debt issuance costs are being amortized over the term of the debt using the straight-line method, which approximates the effective interest method, and will be included in interest expense in the Company’s consolidated statements of operations. Amortization of debt issuance costs was $1.8 million, $1.1 million and $0.9 million for the years ended December 31, 2022, 2021 and 2020, respectively. At December 31, 2022, the remaining unamortized balance of debt issuance costs was $5.5 million.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loan payable as of December 31, 2022 and 2021, is as follows: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2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Loan payable</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 Accreted Liability of final payment fee</w:t>
            </w:r>
          </w:p>
        </w:tc>
        <w:tc>
          <w:tcPr>
            <w:tcW w:w="2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r>
      <w:tr>
        <w:trPr>
          <w:trHeight w:val="209"/>
        </w:trPr>
        <w:tc>
          <w:tcPr>
            <w:tcW w:w="54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75,140</w:t>
            </w: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debt issuance costs</w:t>
            </w:r>
          </w:p>
        </w:tc>
        <w:tc>
          <w:tcPr>
            <w:tcW w:w="2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r>
      <w:tr>
        <w:trPr>
          <w:trHeight w:val="210"/>
        </w:trPr>
        <w:tc>
          <w:tcPr>
            <w:tcW w:w="54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67,763</w:t>
            </w: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principal payments</w:t>
            </w:r>
          </w:p>
        </w:tc>
        <w:tc>
          <w:tcPr>
            <w:tcW w:w="2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loan payable</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67,763</w:t>
            </w: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2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10"/>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payable non-current</w:t>
            </w:r>
          </w:p>
        </w:tc>
        <w:tc>
          <w:tcPr>
            <w:tcW w:w="2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66,788</w:t>
            </w:r>
          </w:p>
        </w:tc>
      </w:tr>
      <w:tr>
        <w:trPr>
          <w:trHeight w:val="20"/>
        </w:trPr>
        <w:tc>
          <w:tcPr>
            <w:tcW w:w="5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229" w:lineRule="exact"/>
        <w:rPr>
          <w:sz w:val="20"/>
          <w:szCs w:val="20"/>
          <w:color w:val="auto"/>
        </w:rPr>
      </w:pPr>
    </w:p>
    <w:p>
      <w:pPr>
        <w:jc w:val="both"/>
        <w:ind w:left="20" w:firstLine="648"/>
        <w:spacing w:after="0" w:line="270" w:lineRule="auto"/>
        <w:rPr>
          <w:sz w:val="20"/>
          <w:szCs w:val="20"/>
          <w:color w:val="auto"/>
        </w:rPr>
      </w:pPr>
      <w:r>
        <w:rPr>
          <w:rFonts w:ascii="Arial" w:cs="Arial" w:eastAsia="Arial" w:hAnsi="Arial"/>
          <w:sz w:val="17"/>
          <w:szCs w:val="17"/>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We began to occupy this new space in April 2016, with rental payments beginning in the third quarter of 2016. At January 1, 2019, we recognized a lease liability and corresponding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$11.9 million and $8.9 million, respectively, as of December 31, 2022. Our leases have remaining lease terms of approximately 2 years to 10 years. One lease has a renewal option to extend the lease for an additional term of five years.</w:t>
      </w:r>
    </w:p>
    <w:p>
      <w:pPr>
        <w:spacing w:after="0" w:line="181"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84"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106" w:name="page107"/>
    <w:bookmarkEnd w:id="106"/>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In October 2021, we finalized a five-year lease for office space in North Carolina (the NC Lease). We approximate an average annual rental obligation of $0.2 million under the NC Lease. We took possession of this space in February 2022, with rental payments beginning in April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components of lease expense are included in the Company’s consolidated statements of operations for the years ended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2022, 2021, and 2020:</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Year ended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09"/>
        </w:trPr>
        <w:tc>
          <w:tcPr>
            <w:tcW w:w="646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As of December 31, 2022, the weighted-average remaining operating lease term was 6.5 years and the weighted-average discount rate for operating leases was 9.97%. Cash paid for amounts included in the measurement of operating lease liabilities during the year ended December 31, 2022 was $2.3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sheet classification of lease liabilities was as follows: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960" w:type="dxa"/>
            <w:vAlign w:val="bottom"/>
          </w:tcPr>
          <w:p>
            <w:pPr>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current portion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 non-current</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10"/>
        </w:trPr>
        <w:tc>
          <w:tcPr>
            <w:tcW w:w="6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lease liability</w:t>
            </w: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640"/>
              <w:spacing w:after="0"/>
              <w:rPr>
                <w:sz w:val="20"/>
                <w:szCs w:val="20"/>
                <w:color w:val="auto"/>
              </w:rPr>
            </w:pPr>
            <w:r>
              <w:rPr>
                <w:rFonts w:ascii="Arial" w:cs="Arial" w:eastAsia="Arial" w:hAnsi="Arial"/>
                <w:sz w:val="18"/>
                <w:szCs w:val="18"/>
                <w:color w:val="auto"/>
              </w:rPr>
              <w:t>As of December 31, 2022, the maturities of lease liabilities were as follows:</w:t>
            </w: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Operating</w:t>
            </w:r>
          </w:p>
        </w:tc>
        <w:tc>
          <w:tcPr>
            <w:tcW w:w="0" w:type="dxa"/>
            <w:vAlign w:val="bottom"/>
          </w:tcPr>
          <w:p>
            <w:pPr>
              <w:spacing w:after="0"/>
              <w:rPr>
                <w:sz w:val="1"/>
                <w:szCs w:val="1"/>
                <w:color w:val="auto"/>
              </w:rPr>
            </w:pPr>
          </w:p>
        </w:tc>
      </w:tr>
      <w:tr>
        <w:trPr>
          <w:trHeight w:val="171"/>
        </w:trPr>
        <w:tc>
          <w:tcPr>
            <w:tcW w:w="6960" w:type="dxa"/>
            <w:vAlign w:val="bottom"/>
          </w:tcPr>
          <w:p>
            <w:pPr>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2025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2027</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After 2027</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Total lease payments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17,397</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11,925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firstLine="638"/>
        <w:spacing w:after="0" w:line="259" w:lineRule="auto"/>
        <w:tabs>
          <w:tab w:leader="none" w:pos="9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leases that commenced prior to that date through December 31, 2021. We used an incremental borrowing rate of 5.65% for the NC lease.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valuation allowance has been established. The valuation allowance for deferred tax assets was approximately $400.4 million and $367.4 million as of December 31, 2022 and 2021, respectively.</w:t>
      </w:r>
    </w:p>
    <w:p>
      <w:pPr>
        <w:spacing w:after="0" w:line="17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Tax Cuts and Jobs Act of 2017 (TCJA) included changes to the treatment of research and development expenses under IRC Section 174. Formerly, a company could deduct research and development expenses under IRC Section 174 as incurred. Effective for tax years beginning after December 31, 2021, research and development expenses under IRC Section 174 are required to be capitalized, with an amortization period of 5 years for costs incurred in the US and 15 years for costs incurred in a non-US jurisdiction. The Company incurred approximately $135.4 million of US research and development costs and approximately $38.5 million of non-US research and development costs that were capitalized during the year ended December 31, 2022.</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Coronavirus Aid, Relief, and Economic Security Act of 2020 (CARES Act) was enacted on March 27, 2020 in response to the economic fall out of the COVID-19 pandemic in the United States. The CARES Act allows employers to defer the deposit and payment of the employer’s share of Social Security taxes during the payroll tax deferral period of March 27, 2020 through December 31, 2020. The CARES Act provides for half of the deferred payroll taxes to be paid by December 31, 2021 and the second half to be paid by December 31, 2022. The Company did not participate in this deferral program.</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Inflation Reduction Act of 2022 (IRA) was enacted on August 16, 2022. The IRA provided for a Corporate Alternative Minimum Tax (Corp AMT), applicable to tax years beginning after December 31, 2022. The Corp AMT will impose a 15% tax on companies with adjusted financial statement income of over $1 billion for US-based organizations. At this time, it is not anticipated that the Corp AMT will be applicable for the Company.</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December 31, 2022, we have U.S. net operating loss carryforwards of approximately $1.3 billion , research and development credit carryforwards (R&amp;D credits) of approximately $42.0 million and business interest expense carryforward of $15.7 million. For income tax purposes, these NOLs and R&amp;D credits will expire in various amounts through 2039. NOLs generated after 2017 and the business interest expense carryforwards do not expire. The Tax Reform Act of 1986 contains provisions which limit the ability to utilize net operating loss carryforwards and R&amp;D credit carryforwards in the case of certain events including significant changes in ownership interests. The Exchange Transaction with TG Bio may have resulted in a “change in ownership” as defined by IRC Section 382 of the Internal Revenue Code of 1986, as amended. Additionally, stock issuance activities may have resulted in a “change in ownership” as defined by IRC Section 382 of the Internal Revenue Code of 1986, as amended. Accordingly, a substantial portion of the Company’s NOLs above may be subject to annual limitations in reducing any future year’s taxable income, and a substantial portion of the R&amp;D Credit carryforwards may be subject to annual limitations in reducing any future year’s tax.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2022 and 2021 are presented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303,729</w:t>
            </w:r>
          </w:p>
        </w:tc>
        <w:tc>
          <w:tcPr>
            <w:tcW w:w="4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Noncash compensation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Disallowed interest</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Capitalized R&amp;D Expenses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Deferred tax asset, excluding valuation allowance</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400,363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367,446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valuation allowance</w:t>
            </w:r>
          </w:p>
        </w:tc>
        <w:tc>
          <w:tcPr>
            <w:tcW w:w="20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(400,363)</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There was no current or deferred income tax expense for the year ended December 31, 2022. Income tax expense differed from amounts computed by applying the US Federal income tax rate of 21% for the years ending December 31, 2022, 2021 and 2020, to pretax loss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3"/>
              </w:rPr>
              <w:t>Loss before income taxes, as reported in the consolidated statements of operations</w:t>
            </w:r>
          </w:p>
        </w:tc>
        <w:tc>
          <w:tcPr>
            <w:tcW w:w="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(198,335)</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(348,101)</w:t>
            </w:r>
          </w:p>
        </w:tc>
        <w:tc>
          <w:tcPr>
            <w:tcW w:w="5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(279,381)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(41,650)</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(73,101)</w:t>
            </w:r>
          </w:p>
        </w:tc>
        <w:tc>
          <w:tcPr>
            <w:tcW w:w="5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income taxes resulting from:</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80"/>
              <w:spacing w:after="0"/>
              <w:rPr>
                <w:sz w:val="20"/>
                <w:szCs w:val="20"/>
                <w:color w:val="auto"/>
              </w:rPr>
            </w:pPr>
            <w:r>
              <w:rPr>
                <w:rFonts w:ascii="Arial" w:cs="Arial" w:eastAsia="Arial" w:hAnsi="Arial"/>
                <w:sz w:val="18"/>
                <w:szCs w:val="18"/>
                <w:color w:val="auto"/>
              </w:rPr>
              <w:t>Expected benefit from state and local taxes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Officer Compensation Limitation</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8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17,599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(6,726)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Enactment of federal tax reform</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Change in the balance of the valuation allowance for deferred tax assets</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90,742</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We file income tax returns in the U.S Federal and various state and local jurisdictions. With certain exceptions, the Company is no longer subject to U.S. Federal and state income tax examinations by tax authorities for years prior to 2019. However, NOLs and tax credits generated from those prior years could still be adjusted upon audit.</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would recognize interest and penalties, if any, to uncertain tax position in income tax expense in the statement of operations. There was no accrual for interest and penalties related to uncertain tax positions for 2022. We do not believe that there will be a material change in our unrecognized tax positions over the next twelve months. All of the unrecognized tax benefits, if recognized, would be offset by the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BRIUMVI (Ublituximab)</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2012, 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For the period ended December 31, 2022, we have incurred expenses of approximately $25.0 million related to the achievement of certain milestones of the LFB License Agreement, $12.0 million of which is recorded in accounts payable as of December 31, 2022. These expenses are included in other research and development expenses in the accompanying consolidated statements of operations.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LFB Group is eligible to receive future payments of approximately $6.0 million, upon our successful achievement of certain regulatory milestones, in addition to royalty payments on net sales of ublituximab at a royalty rate in the high-single digits. The license will terminate on a country-by-country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$0.2 million for each of the years ended December 31, 2022, 2021 and 2020, and at December 31, 2022 and 2021, have deferred revenue of approximately $0.5 million and $0.6 million, respectively, associated with this $2 million payment (approximately $0.2 million of which has been classified in current liabilities at December 31, 2022 and 2021).</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TG-1701: BTK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2018, we entered into a global exclusive license agreement with Jiangsu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In July 2020, we paid Hengrui $2.0 million as part of a milestone in accordance with the license agreement. Royalty payments in the low double digits are due on net sales of licensed products and revenue from sublicenses.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TG-1801: anti-CD47/anti-CD19</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2018, we entered into a Joint Venture and License Option Agreement with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UKONIQ (umbralisib)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22, 2014, we exercised our option to license the global rights to umbralisib, thereby entering into an exclusive licensing agreement (the TGR-1202 License) with Rhizen Pharmaceuticals, SA (Rhizen) for the development and commercialization of umbralisib. As of December 31, 2022, we have incurred approximately $24.0 million in expense related to the achievement of certain milestones of the Umbralisib License.</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terms of the TGR 1202 License, Rhizen is eligible to receive approval and sales-based milestone payments in the aggregate of approximately $175 million payable. For the year ended December 31, 2021, we paid Rhizen $12.0 million as part of a primary indication approval milestone for launch of product in the US in accordance with the terms of the Umbralisib License. Additionally, Rhizen receives tiered royalties that escalate from high single digits to low double digits on any net sales of umbralisib. During the year ended December 31, 2022, the Company recorded $0.2 million related to the worldwide royalty due under the Umbralisib License in cost of product revenue based on U.S. sales of UKONIQ and as of December 31, 2022, approximately $3,000 in royalties were payable under the Umbralisib License. As a result of the withdrawal of UKONIQ from the U.S. market and discontinuation of all commercialization activities, we do not expect to incur any additional costs related to this license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TG-1501: Cosibelimab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2015, we entered into a Global Collaboration Agreement (Collaboration Agreement) with Checkpoint for the development and commercialization of anti-PD-L1 and anti-GITR antibody research programs in the field of hematological malignancies. The Collaboration Agreement was amended in June 2019 and in March of 2020. We incurred expenses of approximately $0.1 million, $0.1 million and $1.1 million for the years ended December 31, 2022, 2021 and 2020, respectively, the majority of which relates to manufacturing expenses and milestone payments of PD-L1. The relevant expenses are recorded in other research and development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$1.3 million, $0.9 million and $0.8 million for shared services for the years ended December 31, 2022, 2021 and 2020, respectively, primarily related to shared personnel. Mr. Weiss, our Chairman and Chief Executive Officer, also serves as a director and Executive Vice Chairman, Strategic Development of FBIO.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2015, we entered into the Collaboration Agreement with Checkpoint, a subsidiary of FBIO, for the development and commercialization of anti-PD-L1 and anti-GITR antibody research programs in the field of hematological malignancies. In May 2016, as part of a broader agreement with Jubilant, we entered into a sublicense agreement (JBET Agreement) with Checkpoint for the development and commercialization of Jubilant’s novel BET inhibitor program in the field of hematological malignancies. Mr. Weiss also serves as Chairman of the Board of Directors of Checkpoint.</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Please refer to Note 7 - Leases for details regarding the Office Agreement with FBIO, as well as Note 9 - License Agreements for details regarding the Collaboration Agreement with Checkpoint.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we have known contractual obligations; commitments and contingencies of $91.6 million related to our short- and long-term liabilities and operating lease obligations.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Payment due by period (in thousands)</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80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w w:val="97"/>
              </w:rPr>
              <w:t>Less than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8"/>
              </w:rPr>
              <w:t>1-3 years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35"/>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5 years</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Operating leases</w:t>
            </w:r>
          </w:p>
        </w:tc>
        <w:tc>
          <w:tcPr>
            <w:tcW w:w="17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17,397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3,993</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5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91,562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78,653</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See Note 7 - leases for a detailed description of our lease arrangements in New York, New Jersey and North Carolina. Total rental expense was approximately $2.7 million, $2.2 million and $2.7 million for the years ended December 31, 2022, 2021, and 2020, respectively.</w:t>
      </w:r>
    </w:p>
    <w:p>
      <w:pPr>
        <w:spacing w:after="0" w:line="12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Future minimum lease commitments as of December 31, 2022, in the aggregate total approximately $17.4 million through December 31, 2032. The preceding table shows future minimum lease commitments, which include our office leases in New York, New Jersey, and North Carolina by year as of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Payable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6 – Loan payable for a detail description of our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6920" w:type="dxa"/>
            <w:vAlign w:val="bottom"/>
            <w:gridSpan w:val="2"/>
          </w:tcPr>
          <w:p>
            <w:pPr>
              <w:ind w:left="1680"/>
              <w:spacing w:after="0"/>
              <w:rPr>
                <w:sz w:val="20"/>
                <w:szCs w:val="20"/>
                <w:color w:val="auto"/>
              </w:rPr>
            </w:pPr>
            <w:r>
              <w:rPr>
                <w:rFonts w:ascii="Arial" w:cs="Arial" w:eastAsia="Arial" w:hAnsi="Arial"/>
                <w:sz w:val="18"/>
                <w:szCs w:val="18"/>
                <w:b w:val="1"/>
                <w:bCs w:val="1"/>
                <w:color w:val="auto"/>
              </w:rPr>
              <w:t>TG THERAPEUTICS, INC.</w:t>
            </w:r>
          </w:p>
        </w:tc>
      </w:tr>
      <w:tr>
        <w:trPr>
          <w:trHeight w:val="364"/>
        </w:trPr>
        <w:tc>
          <w:tcPr>
            <w:tcW w:w="3180" w:type="dxa"/>
            <w:vAlign w:val="bottom"/>
          </w:tcPr>
          <w:p>
            <w:pPr>
              <w:spacing w:after="0"/>
              <w:rPr>
                <w:sz w:val="20"/>
                <w:szCs w:val="20"/>
                <w:color w:val="auto"/>
              </w:rPr>
            </w:pPr>
            <w:r>
              <w:rPr>
                <w:rFonts w:ascii="Arial" w:cs="Arial" w:eastAsia="Arial" w:hAnsi="Arial"/>
                <w:sz w:val="18"/>
                <w:szCs w:val="18"/>
                <w:color w:val="auto"/>
              </w:rPr>
              <w:t>Date: March 1, 2023</w:t>
            </w:r>
          </w:p>
        </w:tc>
        <w:tc>
          <w:tcPr>
            <w:tcW w:w="6920" w:type="dxa"/>
            <w:vAlign w:val="bottom"/>
            <w:gridSpan w:val="2"/>
          </w:tcPr>
          <w:p>
            <w:pPr>
              <w:ind w:left="1680"/>
              <w:spacing w:after="0"/>
              <w:rPr>
                <w:sz w:val="20"/>
                <w:szCs w:val="20"/>
                <w:color w:val="auto"/>
              </w:rPr>
            </w:pPr>
            <w:r>
              <w:rPr>
                <w:rFonts w:ascii="Arial" w:cs="Arial" w:eastAsia="Arial" w:hAnsi="Arial"/>
                <w:sz w:val="18"/>
                <w:szCs w:val="18"/>
                <w:color w:val="auto"/>
              </w:rPr>
              <w:t>By:  /s/ Michael S. Weiss</w:t>
            </w:r>
          </w:p>
        </w:tc>
      </w:tr>
      <w:tr>
        <w:trPr>
          <w:trHeight w:val="195"/>
        </w:trPr>
        <w:tc>
          <w:tcPr>
            <w:tcW w:w="3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3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5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Form 10-K has been signed by the following persons on behalf of the Registrant on March 1, 2023, and in the capacities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Signatures</w:t>
            </w:r>
          </w:p>
        </w:tc>
        <w:tc>
          <w:tcPr>
            <w:tcW w:w="280" w:type="dxa"/>
            <w:vAlign w:val="bottom"/>
          </w:tcPr>
          <w:p>
            <w:pPr>
              <w:spacing w:after="0"/>
              <w:rPr>
                <w:sz w:val="20"/>
                <w:szCs w:val="20"/>
                <w:color w:val="auto"/>
              </w:rPr>
            </w:pPr>
          </w:p>
        </w:tc>
        <w:tc>
          <w:tcPr>
            <w:tcW w:w="480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Title</w:t>
            </w:r>
          </w:p>
        </w:tc>
      </w:tr>
      <w:tr>
        <w:trPr>
          <w:trHeight w:val="195"/>
        </w:trPr>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0"/>
              </w:rPr>
              <w:t>/s/ Michael S. Weiss</w:t>
            </w:r>
          </w:p>
        </w:tc>
        <w:tc>
          <w:tcPr>
            <w:tcW w:w="280" w:type="dxa"/>
            <w:vAlign w:val="bottom"/>
          </w:tcPr>
          <w:p>
            <w:pPr>
              <w:spacing w:after="0"/>
              <w:rPr>
                <w:sz w:val="16"/>
                <w:szCs w:val="16"/>
                <w:color w:val="auto"/>
              </w:rPr>
            </w:pPr>
          </w:p>
        </w:tc>
        <w:tc>
          <w:tcPr>
            <w:tcW w:w="4800" w:type="dxa"/>
            <w:vAlign w:val="bottom"/>
          </w:tcPr>
          <w:p>
            <w:pPr>
              <w:spacing w:after="0"/>
              <w:rPr>
                <w:sz w:val="16"/>
                <w:szCs w:val="16"/>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89"/>
              </w:rPr>
              <w:t>Michael S. Weiss</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Chairman, Chief Executive Officer and President</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88"/>
              </w:rPr>
              <w:t>/s/ Sean A. Power</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89"/>
              </w:rPr>
              <w:t>Sean A. Power</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Chief Financial Officer, Treasurer and Corporate Secretary</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0"/>
              </w:rPr>
              <w:t>/s/ Laurence N. Charney</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91"/>
              </w:rPr>
              <w:t>Laurence N. Charney</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0"/>
              </w:rPr>
              <w:t>/s/ Yann Echelard</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88"/>
              </w:rPr>
              <w:t>Yann Echelard</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1"/>
              </w:rPr>
              <w:t>/s/ Kenneth Hoberman</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89"/>
              </w:rPr>
              <w:t>Kenneth Hoberman</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2"/>
              </w:rPr>
              <w:t>/s/ Daniel Hume</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92"/>
              </w:rPr>
              <w:t>Daniel Hume</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1"/>
              </w:rPr>
              <w:t>/s/ Sagar Lonial</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90"/>
              </w:rPr>
              <w:t>Sagar Lonial</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TG Therapeutics, Inc.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Ariston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TG Biologics,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AUS Pty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5" w:name="page116"/>
    <w:bookmarkEnd w:id="115"/>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We consent to the incorporation by reference in the registration statement (No. 333-265838) on Form S-8 and registration statement (No. 333-267262) on Form S-3ASR of our reports dated March 1, 2023, with respect to the consolidated financial statements of TG Therapeutics, Inc. and the effectiveness of internal control over financial reporting.</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6" w:name="page117"/>
    <w:bookmarkEnd w:id="116"/>
    <w:p>
      <w:pPr>
        <w:jc w:val="right"/>
        <w:ind w:right="59"/>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 333-265838 on Form S-8 and registration statement No. 333-267262 on Form S-3ASR of TG Therapeutics, Inc. of our report dated March 1, 2021 on our audit of the consolidated financial statements of TG Therapeutics, Inc. and Subsidiaries for the year ended December 31, 2020, included in this Annual Report on Form 10-K of TG Therapeutics, Inc. and Subsidiaries for the year ended December 31,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7" w:name="page118"/>
    <w:bookmarkEnd w:id="117"/>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80" w:hanging="330"/>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March 1, 2023</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992"/>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18" w:name="page119"/>
    <w:bookmarkEnd w:id="118"/>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80" w:hanging="330"/>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March 1, 2023</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19" w:name="page120"/>
    <w:bookmarkEnd w:id="119"/>
    <w:p>
      <w:pPr>
        <w:ind w:left="80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In connection with the annual report of TG Therapeutics, Inc. (the “Company”) on Form 10-K for the year ended December 31, 2022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March 1, 2023</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993"/>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20" w:name="page121"/>
    <w:bookmarkEnd w:id="120"/>
    <w:p>
      <w:pPr>
        <w:ind w:left="80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In connection with the annual report of TG Therapeutics, Inc. (the “Company”) on Form 10-K for the year ended December 31, 2022 as filed with the Securities and Exchange Commission (the “Report”), I, Sean A. Power, Chief Financial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March 1, 2023</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lvl w:ilvl="1">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lowerRoman"/>
      <w:start w:val="2"/>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3"/>
    </w:lvl>
  </w:abstractNum>
  <w:abstractNum w:abstractNumId="45">
    <w:nsid w:val="75C6C33A"/>
    <w:multiLevelType w:val="hybridMultilevel"/>
    <w:lvl w:ilvl="0">
      <w:lvlJc w:val="left"/>
      <w:lvlText w:val="%1"/>
      <w:numFmt w:val="decimal"/>
      <w:start w:val="10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endash "/>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7"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90" Type="http://schemas.openxmlformats.org/officeDocument/2006/relationships/hyperlink" Target="http://www.sec.gov/Archives/edgar/data/1001316/000114420412044111/v320662_ex3-1.htm" TargetMode="External"/><Relationship Id="rId91" Type="http://schemas.openxmlformats.org/officeDocument/2006/relationships/hyperlink" Target="http://www.sec.gov/Archives/edgar/data/1001316/000114420414044721/v383699_ex3-2.htm" TargetMode="External"/><Relationship Id="rId92" Type="http://schemas.openxmlformats.org/officeDocument/2006/relationships/hyperlink" Target="https://www.sec.gov/Archives/edgar/data/0001001316/000155837021008482/tgtx-20210616xex3d1.htm" TargetMode="External"/><Relationship Id="rId93" Type="http://schemas.openxmlformats.org/officeDocument/2006/relationships/hyperlink" Target="https://www.sec.gov/Archives/edgar/data/1001316/000114420414043936/v384259_ex3-1.htm" TargetMode="External"/><Relationship Id="rId94" Type="http://schemas.openxmlformats.org/officeDocument/2006/relationships/hyperlink" Target="http://www.sec.gov/Archives/edgar/data/1001316/000114420412014947/v305275_ex4-1.htm" TargetMode="External"/><Relationship Id="rId95" Type="http://schemas.openxmlformats.org/officeDocument/2006/relationships/hyperlink" Target="https://www.sec.gov/Archives/edgar/data/1001316/000114420414043960/v384258_ex4-1.htm" TargetMode="External"/><Relationship Id="rId96" Type="http://schemas.openxmlformats.org/officeDocument/2006/relationships/hyperlink" Target="https://www.sec.gov/Archives/edgar/data/1001316/000155837021002149/tgtx-20201231xex4d5.htm" TargetMode="External"/><Relationship Id="rId98" Type="http://schemas.openxmlformats.org/officeDocument/2006/relationships/hyperlink" Target="https://www.sec.gov/Archives/edgar/data/1001316/000114420412014947/v305275_ex10-30.htm" TargetMode="External"/><Relationship Id="rId99" Type="http://schemas.openxmlformats.org/officeDocument/2006/relationships/hyperlink" Target="https://www.sec.gov/Archives/edgar/data/1001316/000114420412014947/v305275_ex10-31.htm" TargetMode="External"/><Relationship Id="rId100" Type="http://schemas.openxmlformats.org/officeDocument/2006/relationships/hyperlink" Target="https://www.sec.gov/Archives/edgar/data/1001316/000114420413039748/v350136_ex10-1.htm" TargetMode="External"/><Relationship Id="rId101" Type="http://schemas.openxmlformats.org/officeDocument/2006/relationships/hyperlink" Target="https://www.sec.gov/Archives/edgar/data/1001316/000114420415001128/v398294_ex10-1.htm" TargetMode="External"/><Relationship Id="rId102" Type="http://schemas.openxmlformats.org/officeDocument/2006/relationships/hyperlink" Target="https://www.sec.gov/Archives/edgar/data/1001316/000114420412014947/v305275_ex10-32.htm" TargetMode="External"/><Relationship Id="rId103" Type="http://schemas.openxmlformats.org/officeDocument/2006/relationships/hyperlink" Target="http://www.sec.gov/Archives/edgar/data/1001316/000114420412014947/v305275_ex10-33.htm" TargetMode="External"/><Relationship Id="rId104" Type="http://schemas.openxmlformats.org/officeDocument/2006/relationships/hyperlink" Target="http://www.sec.gov/Archives/edgar/data/1001316/000114420413039748/v350136_ex10-2.htm" TargetMode="External"/><Relationship Id="rId105" Type="http://schemas.openxmlformats.org/officeDocument/2006/relationships/hyperlink" Target="http://www.sec.gov/Archives/edgar/data/1001316/000114420415001128/v398294_ex10-2.htm" TargetMode="External"/><Relationship Id="rId106" Type="http://schemas.openxmlformats.org/officeDocument/2006/relationships/hyperlink" Target="http://www.sec.gov/Archives/edgar/data/1001316/000114420412014947/v305275_ex10-35.htm" TargetMode="External"/><Relationship Id="rId107" Type="http://schemas.openxmlformats.org/officeDocument/2006/relationships/hyperlink" Target="http://www.sec.gov/Archives/edgar/data/1001316/000114420413016691/v335518_ex10-37.htm" TargetMode="External"/><Relationship Id="rId108" Type="http://schemas.openxmlformats.org/officeDocument/2006/relationships/hyperlink" Target="http://www.sec.gov/Archives/edgar/data/1001316/000114420414044721/v383699_ex10-1.htm" TargetMode="External"/><Relationship Id="rId109" Type="http://schemas.openxmlformats.org/officeDocument/2006/relationships/hyperlink" Target="http://www.sec.gov/Archives/edgar/data/1001316/000114420415002790/v399000_ex10-1.htm" TargetMode="External"/><Relationship Id="rId110" Type="http://schemas.openxmlformats.org/officeDocument/2006/relationships/hyperlink" Target="http://www.sec.gov/Archives/edgar/data/1001316/000114420415029311/v408312_ex10-1.htm" TargetMode="External"/><Relationship Id="rId111" Type="http://schemas.openxmlformats.org/officeDocument/2006/relationships/hyperlink" Target="http://www.sec.gov/Archives/edgar/data/1001316/000165495416001302/Exhibit10-1_Sublicense.htm" TargetMode="External"/><Relationship Id="rId112" Type="http://schemas.openxmlformats.org/officeDocument/2006/relationships/hyperlink" Target="http://www.sec.gov/Archives/edgar/data/1001316/000165495417002229/v032117_EX1018.htm" TargetMode="External"/><Relationship Id="rId113" Type="http://schemas.openxmlformats.org/officeDocument/2006/relationships/hyperlink" Target="http://www.sec.gov/Archives/edgar/data/1001316/000165495418002638/tgtx_ex1020.htm" TargetMode="External"/><Relationship Id="rId114" Type="http://schemas.openxmlformats.org/officeDocument/2006/relationships/hyperlink" Target="http://www.sec.gov/Archives/edgar/data/1001316/000165495418008750/exhibit10-20.htm" TargetMode="External"/><Relationship Id="rId115" Type="http://schemas.openxmlformats.org/officeDocument/2006/relationships/hyperlink" Target="http://www.sec.gov/Archives/edgar/data/1001316/000165495419009176/tgtx_ex102.htm" TargetMode="External"/><Relationship Id="rId116" Type="http://schemas.openxmlformats.org/officeDocument/2006/relationships/hyperlink" Target="http://www.sec.gov/Archives/edgar/data/1001316/000165495419002276/v030519_ex102.htm" TargetMode="External"/><Relationship Id="rId117" Type="http://schemas.openxmlformats.org/officeDocument/2006/relationships/hyperlink" Target="http://www.sec.gov/Archives/edgar/data/1001316/000165495419002276/v030519_ex103.htm" TargetMode="External"/><Relationship Id="rId118" Type="http://schemas.openxmlformats.org/officeDocument/2006/relationships/hyperlink" Target="http://www.sec.gov/Archives/edgar/data/1001316/000165495419002276/v030519_ex104.htm" TargetMode="External"/><Relationship Id="rId119" Type="http://schemas.openxmlformats.org/officeDocument/2006/relationships/hyperlink" Target="http://www.sec.gov/Archives/edgar/data/1001316/000165495419009176/tgtx_ex101.htm" TargetMode="External"/><Relationship Id="rId120" Type="http://schemas.openxmlformats.org/officeDocument/2006/relationships/hyperlink" Target="https://www.sec.gov/Archives/edgar/data/1001316/000155837021010837/tgtx-20210630xex10d1.htm" TargetMode="External"/><Relationship Id="rId121" Type="http://schemas.openxmlformats.org/officeDocument/2006/relationships/hyperlink" Target="https://www.sec.gov/Archives/edgar/data/1001316/000155837022002617/tgtx-20211231xex10d28.htm" TargetMode="External"/><Relationship Id="rId122" Type="http://schemas.openxmlformats.org/officeDocument/2006/relationships/hyperlink" Target="https://www.sec.gov/Archives/edgar/data/1001316/000155837022002617/tgtx-20211231xex10d29.htm" TargetMode="External"/><Relationship Id="rId123" Type="http://schemas.openxmlformats.org/officeDocument/2006/relationships/hyperlink" Target="https://www.sec.gov/Archives/edgar/data/1001316/000155837022002617/tgtx-20211231xex10d30.htm" TargetMode="External"/><Relationship Id="rId124" Type="http://schemas.openxmlformats.org/officeDocument/2006/relationships/hyperlink" Target="https://www.sec.gov/Archives/edgar/data/1001316/000155837022002617/tgtx-20211231xex10d31.htm" TargetMode="External"/><Relationship Id="rId125" Type="http://schemas.openxmlformats.org/officeDocument/2006/relationships/hyperlink" Target="https://www.sec.gov/Archives/edgar/data/1001316/000155837022010227/tgtx-20220616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2023-03-01T19:42:18Z</dcterms:created>
  <dcterms:modified xsi:type="dcterms:W3CDTF">2023-03-01T19:42:18Z</dcterms:modified>
</cp:coreProperties>
</file>